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3.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A6527" w:rsidRDefault="008A787C">
      <w:pPr>
        <w:pStyle w:val="Title"/>
        <w:jc w:val="left"/>
      </w:pPr>
      <w:r>
        <w:t xml:space="preserve">Strategija informisanja javnosti o pristupanju Crne Gore Evropskoj uniji </w:t>
      </w:r>
    </w:p>
    <w:p w14:paraId="00000002" w14:textId="77777777" w:rsidR="007A6527" w:rsidRDefault="008A787C">
      <w:pPr>
        <w:pStyle w:val="Title"/>
      </w:pPr>
      <w:r>
        <w:t>2023-2026</w:t>
      </w:r>
    </w:p>
    <w:p w14:paraId="00000004" w14:textId="77777777" w:rsidR="007A6527" w:rsidRDefault="007A6527"/>
    <w:sdt>
      <w:sdtPr>
        <w:rPr>
          <w:rFonts w:eastAsia="Calibri" w:cs="Calibri"/>
          <w:b w:val="0"/>
          <w:bCs w:val="0"/>
          <w:color w:val="auto"/>
          <w:sz w:val="24"/>
          <w:szCs w:val="24"/>
          <w:lang w:val="hr-HR" w:eastAsia="en-GB"/>
        </w:rPr>
        <w:id w:val="-1162607742"/>
        <w:docPartObj>
          <w:docPartGallery w:val="Table of Contents"/>
          <w:docPartUnique/>
        </w:docPartObj>
      </w:sdtPr>
      <w:sdtEndPr>
        <w:rPr>
          <w:noProof/>
        </w:rPr>
      </w:sdtEndPr>
      <w:sdtContent>
        <w:p w14:paraId="5532D702" w14:textId="65FE06E1" w:rsidR="004E4614" w:rsidRDefault="004E4614">
          <w:pPr>
            <w:pStyle w:val="TOCHeading"/>
          </w:pPr>
          <w:r>
            <w:t>Contents</w:t>
          </w:r>
        </w:p>
        <w:p w14:paraId="6E82B2D3" w14:textId="77777777" w:rsidR="004E4614" w:rsidRDefault="004E4614">
          <w:pPr>
            <w:pStyle w:val="TOC1"/>
            <w:tabs>
              <w:tab w:val="right" w:leader="dot" w:pos="9016"/>
            </w:tabs>
            <w:rPr>
              <w:rFonts w:eastAsiaTheme="minorEastAsia" w:cstheme="minorBidi"/>
              <w:b w:val="0"/>
              <w:bCs w:val="0"/>
              <w:i w:val="0"/>
              <w:iCs w:val="0"/>
              <w:noProof/>
              <w:sz w:val="22"/>
              <w:szCs w:val="22"/>
              <w:lang w:val="en-GB"/>
            </w:rPr>
          </w:pPr>
          <w:r>
            <w:fldChar w:fldCharType="begin"/>
          </w:r>
          <w:r>
            <w:instrText xml:space="preserve"> TOC \o "1-3" \h \z \u </w:instrText>
          </w:r>
          <w:r>
            <w:fldChar w:fldCharType="separate"/>
          </w:r>
          <w:hyperlink w:anchor="_Toc140567021" w:history="1">
            <w:r w:rsidRPr="00C8125F">
              <w:rPr>
                <w:rStyle w:val="Hyperlink"/>
                <w:noProof/>
              </w:rPr>
              <w:t>Uvod</w:t>
            </w:r>
            <w:r>
              <w:rPr>
                <w:noProof/>
                <w:webHidden/>
              </w:rPr>
              <w:tab/>
            </w:r>
            <w:r>
              <w:rPr>
                <w:noProof/>
                <w:webHidden/>
              </w:rPr>
              <w:fldChar w:fldCharType="begin"/>
            </w:r>
            <w:r>
              <w:rPr>
                <w:noProof/>
                <w:webHidden/>
              </w:rPr>
              <w:instrText xml:space="preserve"> PAGEREF _Toc140567021 \h </w:instrText>
            </w:r>
            <w:r>
              <w:rPr>
                <w:noProof/>
                <w:webHidden/>
              </w:rPr>
            </w:r>
            <w:r>
              <w:rPr>
                <w:noProof/>
                <w:webHidden/>
              </w:rPr>
              <w:fldChar w:fldCharType="separate"/>
            </w:r>
            <w:r>
              <w:rPr>
                <w:noProof/>
                <w:webHidden/>
              </w:rPr>
              <w:t>3</w:t>
            </w:r>
            <w:r>
              <w:rPr>
                <w:noProof/>
                <w:webHidden/>
              </w:rPr>
              <w:fldChar w:fldCharType="end"/>
            </w:r>
          </w:hyperlink>
        </w:p>
        <w:p w14:paraId="27133EAB" w14:textId="77777777" w:rsidR="004E4614" w:rsidRDefault="004E4614">
          <w:pPr>
            <w:pStyle w:val="TOC2"/>
            <w:tabs>
              <w:tab w:val="right" w:leader="dot" w:pos="9016"/>
            </w:tabs>
            <w:rPr>
              <w:rFonts w:eastAsiaTheme="minorEastAsia" w:cstheme="minorBidi"/>
              <w:b w:val="0"/>
              <w:bCs w:val="0"/>
              <w:noProof/>
              <w:lang w:val="en-GB"/>
            </w:rPr>
          </w:pPr>
          <w:hyperlink w:anchor="_Toc140567022" w:history="1">
            <w:r w:rsidRPr="00C8125F">
              <w:rPr>
                <w:rStyle w:val="Hyperlink"/>
                <w:noProof/>
              </w:rPr>
              <w:t>Budžet</w:t>
            </w:r>
            <w:r>
              <w:rPr>
                <w:noProof/>
                <w:webHidden/>
              </w:rPr>
              <w:tab/>
            </w:r>
            <w:r>
              <w:rPr>
                <w:noProof/>
                <w:webHidden/>
              </w:rPr>
              <w:fldChar w:fldCharType="begin"/>
            </w:r>
            <w:r>
              <w:rPr>
                <w:noProof/>
                <w:webHidden/>
              </w:rPr>
              <w:instrText xml:space="preserve"> PAGEREF _Toc140567022 \h </w:instrText>
            </w:r>
            <w:r>
              <w:rPr>
                <w:noProof/>
                <w:webHidden/>
              </w:rPr>
            </w:r>
            <w:r>
              <w:rPr>
                <w:noProof/>
                <w:webHidden/>
              </w:rPr>
              <w:fldChar w:fldCharType="separate"/>
            </w:r>
            <w:r>
              <w:rPr>
                <w:noProof/>
                <w:webHidden/>
              </w:rPr>
              <w:t>4</w:t>
            </w:r>
            <w:r>
              <w:rPr>
                <w:noProof/>
                <w:webHidden/>
              </w:rPr>
              <w:fldChar w:fldCharType="end"/>
            </w:r>
          </w:hyperlink>
        </w:p>
        <w:p w14:paraId="2857DCE5" w14:textId="77777777" w:rsidR="004E4614" w:rsidRDefault="004E4614">
          <w:pPr>
            <w:pStyle w:val="TOC2"/>
            <w:tabs>
              <w:tab w:val="right" w:leader="dot" w:pos="9016"/>
            </w:tabs>
            <w:rPr>
              <w:rFonts w:eastAsiaTheme="minorEastAsia" w:cstheme="minorBidi"/>
              <w:b w:val="0"/>
              <w:bCs w:val="0"/>
              <w:noProof/>
              <w:lang w:val="en-GB"/>
            </w:rPr>
          </w:pPr>
          <w:hyperlink w:anchor="_Toc140567023" w:history="1">
            <w:r w:rsidRPr="00C8125F">
              <w:rPr>
                <w:rStyle w:val="Hyperlink"/>
                <w:noProof/>
              </w:rPr>
              <w:t>Principi Strategije informisanja</w:t>
            </w:r>
            <w:r>
              <w:rPr>
                <w:noProof/>
                <w:webHidden/>
              </w:rPr>
              <w:tab/>
            </w:r>
            <w:r>
              <w:rPr>
                <w:noProof/>
                <w:webHidden/>
              </w:rPr>
              <w:fldChar w:fldCharType="begin"/>
            </w:r>
            <w:r>
              <w:rPr>
                <w:noProof/>
                <w:webHidden/>
              </w:rPr>
              <w:instrText xml:space="preserve"> PAGEREF _Toc140567023 \h </w:instrText>
            </w:r>
            <w:r>
              <w:rPr>
                <w:noProof/>
                <w:webHidden/>
              </w:rPr>
            </w:r>
            <w:r>
              <w:rPr>
                <w:noProof/>
                <w:webHidden/>
              </w:rPr>
              <w:fldChar w:fldCharType="separate"/>
            </w:r>
            <w:r>
              <w:rPr>
                <w:noProof/>
                <w:webHidden/>
              </w:rPr>
              <w:t>5</w:t>
            </w:r>
            <w:r>
              <w:rPr>
                <w:noProof/>
                <w:webHidden/>
              </w:rPr>
              <w:fldChar w:fldCharType="end"/>
            </w:r>
          </w:hyperlink>
        </w:p>
        <w:p w14:paraId="4DC20E90" w14:textId="77777777" w:rsidR="004E4614" w:rsidRDefault="004E4614">
          <w:pPr>
            <w:pStyle w:val="TOC2"/>
            <w:tabs>
              <w:tab w:val="right" w:leader="dot" w:pos="9016"/>
            </w:tabs>
            <w:rPr>
              <w:rFonts w:eastAsiaTheme="minorEastAsia" w:cstheme="minorBidi"/>
              <w:b w:val="0"/>
              <w:bCs w:val="0"/>
              <w:noProof/>
              <w:lang w:val="en-GB"/>
            </w:rPr>
          </w:pPr>
          <w:hyperlink w:anchor="_Toc140567024" w:history="1">
            <w:r w:rsidRPr="00C8125F">
              <w:rPr>
                <w:rStyle w:val="Hyperlink"/>
                <w:noProof/>
              </w:rPr>
              <w:t>Struktura dokumenta</w:t>
            </w:r>
            <w:r>
              <w:rPr>
                <w:noProof/>
                <w:webHidden/>
              </w:rPr>
              <w:tab/>
            </w:r>
            <w:r>
              <w:rPr>
                <w:noProof/>
                <w:webHidden/>
              </w:rPr>
              <w:fldChar w:fldCharType="begin"/>
            </w:r>
            <w:r>
              <w:rPr>
                <w:noProof/>
                <w:webHidden/>
              </w:rPr>
              <w:instrText xml:space="preserve"> PAGEREF _Toc140567024 \h </w:instrText>
            </w:r>
            <w:r>
              <w:rPr>
                <w:noProof/>
                <w:webHidden/>
              </w:rPr>
            </w:r>
            <w:r>
              <w:rPr>
                <w:noProof/>
                <w:webHidden/>
              </w:rPr>
              <w:fldChar w:fldCharType="separate"/>
            </w:r>
            <w:r>
              <w:rPr>
                <w:noProof/>
                <w:webHidden/>
              </w:rPr>
              <w:t>7</w:t>
            </w:r>
            <w:r>
              <w:rPr>
                <w:noProof/>
                <w:webHidden/>
              </w:rPr>
              <w:fldChar w:fldCharType="end"/>
            </w:r>
          </w:hyperlink>
        </w:p>
        <w:p w14:paraId="28B58E32" w14:textId="77777777" w:rsidR="004E4614" w:rsidRDefault="004E4614">
          <w:pPr>
            <w:pStyle w:val="TOC1"/>
            <w:tabs>
              <w:tab w:val="right" w:leader="dot" w:pos="9016"/>
            </w:tabs>
            <w:rPr>
              <w:rFonts w:eastAsiaTheme="minorEastAsia" w:cstheme="minorBidi"/>
              <w:b w:val="0"/>
              <w:bCs w:val="0"/>
              <w:i w:val="0"/>
              <w:iCs w:val="0"/>
              <w:noProof/>
              <w:sz w:val="22"/>
              <w:szCs w:val="22"/>
              <w:lang w:val="en-GB"/>
            </w:rPr>
          </w:pPr>
          <w:hyperlink w:anchor="_Toc140567025" w:history="1">
            <w:r w:rsidRPr="00C8125F">
              <w:rPr>
                <w:rStyle w:val="Hyperlink"/>
                <w:noProof/>
              </w:rPr>
              <w:t>Analiza stanja</w:t>
            </w:r>
            <w:r>
              <w:rPr>
                <w:noProof/>
                <w:webHidden/>
              </w:rPr>
              <w:tab/>
            </w:r>
            <w:r>
              <w:rPr>
                <w:noProof/>
                <w:webHidden/>
              </w:rPr>
              <w:fldChar w:fldCharType="begin"/>
            </w:r>
            <w:r>
              <w:rPr>
                <w:noProof/>
                <w:webHidden/>
              </w:rPr>
              <w:instrText xml:space="preserve"> PAGEREF _Toc140567025 \h </w:instrText>
            </w:r>
            <w:r>
              <w:rPr>
                <w:noProof/>
                <w:webHidden/>
              </w:rPr>
            </w:r>
            <w:r>
              <w:rPr>
                <w:noProof/>
                <w:webHidden/>
              </w:rPr>
              <w:fldChar w:fldCharType="separate"/>
            </w:r>
            <w:r>
              <w:rPr>
                <w:noProof/>
                <w:webHidden/>
              </w:rPr>
              <w:t>8</w:t>
            </w:r>
            <w:r>
              <w:rPr>
                <w:noProof/>
                <w:webHidden/>
              </w:rPr>
              <w:fldChar w:fldCharType="end"/>
            </w:r>
          </w:hyperlink>
        </w:p>
        <w:p w14:paraId="581CCC82" w14:textId="77777777" w:rsidR="004E4614" w:rsidRDefault="004E4614">
          <w:pPr>
            <w:pStyle w:val="TOC2"/>
            <w:tabs>
              <w:tab w:val="right" w:leader="dot" w:pos="9016"/>
            </w:tabs>
            <w:rPr>
              <w:rFonts w:eastAsiaTheme="minorEastAsia" w:cstheme="minorBidi"/>
              <w:b w:val="0"/>
              <w:bCs w:val="0"/>
              <w:noProof/>
              <w:lang w:val="en-GB"/>
            </w:rPr>
          </w:pPr>
          <w:hyperlink w:anchor="_Toc140567026" w:history="1">
            <w:r w:rsidRPr="00C8125F">
              <w:rPr>
                <w:rStyle w:val="Hyperlink"/>
                <w:noProof/>
              </w:rPr>
              <w:t>Podrška javnosti pristupanju Evropskoj uniji</w:t>
            </w:r>
            <w:r>
              <w:rPr>
                <w:noProof/>
                <w:webHidden/>
              </w:rPr>
              <w:tab/>
            </w:r>
            <w:r>
              <w:rPr>
                <w:noProof/>
                <w:webHidden/>
              </w:rPr>
              <w:fldChar w:fldCharType="begin"/>
            </w:r>
            <w:r>
              <w:rPr>
                <w:noProof/>
                <w:webHidden/>
              </w:rPr>
              <w:instrText xml:space="preserve"> PAGEREF _Toc140567026 \h </w:instrText>
            </w:r>
            <w:r>
              <w:rPr>
                <w:noProof/>
                <w:webHidden/>
              </w:rPr>
            </w:r>
            <w:r>
              <w:rPr>
                <w:noProof/>
                <w:webHidden/>
              </w:rPr>
              <w:fldChar w:fldCharType="separate"/>
            </w:r>
            <w:r>
              <w:rPr>
                <w:noProof/>
                <w:webHidden/>
              </w:rPr>
              <w:t>10</w:t>
            </w:r>
            <w:r>
              <w:rPr>
                <w:noProof/>
                <w:webHidden/>
              </w:rPr>
              <w:fldChar w:fldCharType="end"/>
            </w:r>
          </w:hyperlink>
        </w:p>
        <w:p w14:paraId="63DE87D8" w14:textId="77777777" w:rsidR="004E4614" w:rsidRDefault="004E4614">
          <w:pPr>
            <w:pStyle w:val="TOC2"/>
            <w:tabs>
              <w:tab w:val="right" w:leader="dot" w:pos="9016"/>
            </w:tabs>
            <w:rPr>
              <w:rFonts w:eastAsiaTheme="minorEastAsia" w:cstheme="minorBidi"/>
              <w:b w:val="0"/>
              <w:bCs w:val="0"/>
              <w:noProof/>
              <w:lang w:val="en-GB"/>
            </w:rPr>
          </w:pPr>
          <w:hyperlink w:anchor="_Toc140567027" w:history="1">
            <w:r w:rsidRPr="00C8125F">
              <w:rPr>
                <w:rStyle w:val="Hyperlink"/>
                <w:noProof/>
              </w:rPr>
              <w:t>Informisanje i razumijevanje</w:t>
            </w:r>
            <w:r>
              <w:rPr>
                <w:noProof/>
                <w:webHidden/>
              </w:rPr>
              <w:tab/>
            </w:r>
            <w:r>
              <w:rPr>
                <w:noProof/>
                <w:webHidden/>
              </w:rPr>
              <w:fldChar w:fldCharType="begin"/>
            </w:r>
            <w:r>
              <w:rPr>
                <w:noProof/>
                <w:webHidden/>
              </w:rPr>
              <w:instrText xml:space="preserve"> PAGEREF _Toc140567027 \h </w:instrText>
            </w:r>
            <w:r>
              <w:rPr>
                <w:noProof/>
                <w:webHidden/>
              </w:rPr>
            </w:r>
            <w:r>
              <w:rPr>
                <w:noProof/>
                <w:webHidden/>
              </w:rPr>
              <w:fldChar w:fldCharType="separate"/>
            </w:r>
            <w:r>
              <w:rPr>
                <w:noProof/>
                <w:webHidden/>
              </w:rPr>
              <w:t>13</w:t>
            </w:r>
            <w:r>
              <w:rPr>
                <w:noProof/>
                <w:webHidden/>
              </w:rPr>
              <w:fldChar w:fldCharType="end"/>
            </w:r>
          </w:hyperlink>
        </w:p>
        <w:p w14:paraId="6B0E4388" w14:textId="77777777" w:rsidR="004E4614" w:rsidRDefault="004E4614">
          <w:pPr>
            <w:pStyle w:val="TOC2"/>
            <w:tabs>
              <w:tab w:val="right" w:leader="dot" w:pos="9016"/>
            </w:tabs>
            <w:rPr>
              <w:rFonts w:eastAsiaTheme="minorEastAsia" w:cstheme="minorBidi"/>
              <w:b w:val="0"/>
              <w:bCs w:val="0"/>
              <w:noProof/>
              <w:lang w:val="en-GB"/>
            </w:rPr>
          </w:pPr>
          <w:hyperlink w:anchor="_Toc140567028" w:history="1">
            <w:r w:rsidRPr="00C8125F">
              <w:rPr>
                <w:rStyle w:val="Hyperlink"/>
                <w:noProof/>
              </w:rPr>
              <w:t>Pregovaračka struktura i koordinacija procesa pregovora</w:t>
            </w:r>
            <w:r>
              <w:rPr>
                <w:noProof/>
                <w:webHidden/>
              </w:rPr>
              <w:tab/>
            </w:r>
            <w:r>
              <w:rPr>
                <w:noProof/>
                <w:webHidden/>
              </w:rPr>
              <w:fldChar w:fldCharType="begin"/>
            </w:r>
            <w:r>
              <w:rPr>
                <w:noProof/>
                <w:webHidden/>
              </w:rPr>
              <w:instrText xml:space="preserve"> PAGEREF _Toc140567028 \h </w:instrText>
            </w:r>
            <w:r>
              <w:rPr>
                <w:noProof/>
                <w:webHidden/>
              </w:rPr>
            </w:r>
            <w:r>
              <w:rPr>
                <w:noProof/>
                <w:webHidden/>
              </w:rPr>
              <w:fldChar w:fldCharType="separate"/>
            </w:r>
            <w:r>
              <w:rPr>
                <w:noProof/>
                <w:webHidden/>
              </w:rPr>
              <w:t>16</w:t>
            </w:r>
            <w:r>
              <w:rPr>
                <w:noProof/>
                <w:webHidden/>
              </w:rPr>
              <w:fldChar w:fldCharType="end"/>
            </w:r>
          </w:hyperlink>
        </w:p>
        <w:p w14:paraId="1D419EFC" w14:textId="77777777" w:rsidR="004E4614" w:rsidRDefault="004E4614">
          <w:pPr>
            <w:pStyle w:val="TOC2"/>
            <w:tabs>
              <w:tab w:val="right" w:leader="dot" w:pos="9016"/>
            </w:tabs>
            <w:rPr>
              <w:rFonts w:eastAsiaTheme="minorEastAsia" w:cstheme="minorBidi"/>
              <w:b w:val="0"/>
              <w:bCs w:val="0"/>
              <w:noProof/>
              <w:lang w:val="en-GB"/>
            </w:rPr>
          </w:pPr>
          <w:hyperlink w:anchor="_Toc140567029" w:history="1">
            <w:r w:rsidRPr="00C8125F">
              <w:rPr>
                <w:rStyle w:val="Hyperlink"/>
                <w:noProof/>
              </w:rPr>
              <w:t>Promjene u komunikacionom okruženju</w:t>
            </w:r>
            <w:r>
              <w:rPr>
                <w:noProof/>
                <w:webHidden/>
              </w:rPr>
              <w:tab/>
            </w:r>
            <w:r>
              <w:rPr>
                <w:noProof/>
                <w:webHidden/>
              </w:rPr>
              <w:fldChar w:fldCharType="begin"/>
            </w:r>
            <w:r>
              <w:rPr>
                <w:noProof/>
                <w:webHidden/>
              </w:rPr>
              <w:instrText xml:space="preserve"> PAGEREF _Toc140567029 \h </w:instrText>
            </w:r>
            <w:r>
              <w:rPr>
                <w:noProof/>
                <w:webHidden/>
              </w:rPr>
            </w:r>
            <w:r>
              <w:rPr>
                <w:noProof/>
                <w:webHidden/>
              </w:rPr>
              <w:fldChar w:fldCharType="separate"/>
            </w:r>
            <w:r>
              <w:rPr>
                <w:noProof/>
                <w:webHidden/>
              </w:rPr>
              <w:t>17</w:t>
            </w:r>
            <w:r>
              <w:rPr>
                <w:noProof/>
                <w:webHidden/>
              </w:rPr>
              <w:fldChar w:fldCharType="end"/>
            </w:r>
          </w:hyperlink>
        </w:p>
        <w:p w14:paraId="797CF6A5" w14:textId="77777777" w:rsidR="004E4614" w:rsidRDefault="004E4614">
          <w:pPr>
            <w:pStyle w:val="TOC2"/>
            <w:tabs>
              <w:tab w:val="right" w:leader="dot" w:pos="9016"/>
            </w:tabs>
            <w:rPr>
              <w:rFonts w:eastAsiaTheme="minorEastAsia" w:cstheme="minorBidi"/>
              <w:b w:val="0"/>
              <w:bCs w:val="0"/>
              <w:noProof/>
              <w:lang w:val="en-GB"/>
            </w:rPr>
          </w:pPr>
          <w:hyperlink w:anchor="_Toc140567030" w:history="1">
            <w:r w:rsidRPr="00C8125F">
              <w:rPr>
                <w:rStyle w:val="Hyperlink"/>
                <w:noProof/>
              </w:rPr>
              <w:t>Evaluacija postignutog po indikatorima aktivnosti i indikatorima ishoda</w:t>
            </w:r>
            <w:r>
              <w:rPr>
                <w:noProof/>
                <w:webHidden/>
              </w:rPr>
              <w:tab/>
            </w:r>
            <w:r>
              <w:rPr>
                <w:noProof/>
                <w:webHidden/>
              </w:rPr>
              <w:fldChar w:fldCharType="begin"/>
            </w:r>
            <w:r>
              <w:rPr>
                <w:noProof/>
                <w:webHidden/>
              </w:rPr>
              <w:instrText xml:space="preserve"> PAGEREF _Toc140567030 \h </w:instrText>
            </w:r>
            <w:r>
              <w:rPr>
                <w:noProof/>
                <w:webHidden/>
              </w:rPr>
            </w:r>
            <w:r>
              <w:rPr>
                <w:noProof/>
                <w:webHidden/>
              </w:rPr>
              <w:fldChar w:fldCharType="separate"/>
            </w:r>
            <w:r>
              <w:rPr>
                <w:noProof/>
                <w:webHidden/>
              </w:rPr>
              <w:t>18</w:t>
            </w:r>
            <w:r>
              <w:rPr>
                <w:noProof/>
                <w:webHidden/>
              </w:rPr>
              <w:fldChar w:fldCharType="end"/>
            </w:r>
          </w:hyperlink>
        </w:p>
        <w:p w14:paraId="4A0F149F" w14:textId="77777777" w:rsidR="004E4614" w:rsidRDefault="004E4614">
          <w:pPr>
            <w:pStyle w:val="TOC1"/>
            <w:tabs>
              <w:tab w:val="right" w:leader="dot" w:pos="9016"/>
            </w:tabs>
            <w:rPr>
              <w:rFonts w:eastAsiaTheme="minorEastAsia" w:cstheme="minorBidi"/>
              <w:b w:val="0"/>
              <w:bCs w:val="0"/>
              <w:i w:val="0"/>
              <w:iCs w:val="0"/>
              <w:noProof/>
              <w:sz w:val="22"/>
              <w:szCs w:val="22"/>
              <w:lang w:val="en-GB"/>
            </w:rPr>
          </w:pPr>
          <w:hyperlink w:anchor="_Toc140567031" w:history="1">
            <w:r w:rsidRPr="00C8125F">
              <w:rPr>
                <w:rStyle w:val="Hyperlink"/>
                <w:noProof/>
              </w:rPr>
              <w:t xml:space="preserve"> Lekcije koje smo naučili</w:t>
            </w:r>
            <w:r>
              <w:rPr>
                <w:noProof/>
                <w:webHidden/>
              </w:rPr>
              <w:tab/>
            </w:r>
            <w:r>
              <w:rPr>
                <w:noProof/>
                <w:webHidden/>
              </w:rPr>
              <w:fldChar w:fldCharType="begin"/>
            </w:r>
            <w:r>
              <w:rPr>
                <w:noProof/>
                <w:webHidden/>
              </w:rPr>
              <w:instrText xml:space="preserve"> PAGEREF _Toc140567031 \h </w:instrText>
            </w:r>
            <w:r>
              <w:rPr>
                <w:noProof/>
                <w:webHidden/>
              </w:rPr>
            </w:r>
            <w:r>
              <w:rPr>
                <w:noProof/>
                <w:webHidden/>
              </w:rPr>
              <w:fldChar w:fldCharType="separate"/>
            </w:r>
            <w:r>
              <w:rPr>
                <w:noProof/>
                <w:webHidden/>
              </w:rPr>
              <w:t>20</w:t>
            </w:r>
            <w:r>
              <w:rPr>
                <w:noProof/>
                <w:webHidden/>
              </w:rPr>
              <w:fldChar w:fldCharType="end"/>
            </w:r>
          </w:hyperlink>
        </w:p>
        <w:p w14:paraId="3F96FB31" w14:textId="77777777" w:rsidR="004E4614" w:rsidRDefault="004E4614">
          <w:pPr>
            <w:pStyle w:val="TOC2"/>
            <w:tabs>
              <w:tab w:val="right" w:leader="dot" w:pos="9016"/>
            </w:tabs>
            <w:rPr>
              <w:rFonts w:eastAsiaTheme="minorEastAsia" w:cstheme="minorBidi"/>
              <w:b w:val="0"/>
              <w:bCs w:val="0"/>
              <w:noProof/>
              <w:lang w:val="en-GB"/>
            </w:rPr>
          </w:pPr>
          <w:hyperlink w:anchor="_Toc140567032" w:history="1">
            <w:r w:rsidRPr="00C8125F">
              <w:rPr>
                <w:rStyle w:val="Hyperlink"/>
                <w:noProof/>
              </w:rPr>
              <w:t>PESTLE ANALIZA</w:t>
            </w:r>
            <w:r>
              <w:rPr>
                <w:noProof/>
                <w:webHidden/>
              </w:rPr>
              <w:tab/>
            </w:r>
            <w:r>
              <w:rPr>
                <w:noProof/>
                <w:webHidden/>
              </w:rPr>
              <w:fldChar w:fldCharType="begin"/>
            </w:r>
            <w:r>
              <w:rPr>
                <w:noProof/>
                <w:webHidden/>
              </w:rPr>
              <w:instrText xml:space="preserve"> PAGEREF _Toc140567032 \h </w:instrText>
            </w:r>
            <w:r>
              <w:rPr>
                <w:noProof/>
                <w:webHidden/>
              </w:rPr>
            </w:r>
            <w:r>
              <w:rPr>
                <w:noProof/>
                <w:webHidden/>
              </w:rPr>
              <w:fldChar w:fldCharType="separate"/>
            </w:r>
            <w:r>
              <w:rPr>
                <w:noProof/>
                <w:webHidden/>
              </w:rPr>
              <w:t>20</w:t>
            </w:r>
            <w:r>
              <w:rPr>
                <w:noProof/>
                <w:webHidden/>
              </w:rPr>
              <w:fldChar w:fldCharType="end"/>
            </w:r>
          </w:hyperlink>
        </w:p>
        <w:p w14:paraId="1E2F6211" w14:textId="77777777" w:rsidR="004E4614" w:rsidRDefault="004E4614">
          <w:pPr>
            <w:pStyle w:val="TOC2"/>
            <w:tabs>
              <w:tab w:val="right" w:leader="dot" w:pos="9016"/>
            </w:tabs>
            <w:rPr>
              <w:rFonts w:eastAsiaTheme="minorEastAsia" w:cstheme="minorBidi"/>
              <w:b w:val="0"/>
              <w:bCs w:val="0"/>
              <w:noProof/>
              <w:lang w:val="en-GB"/>
            </w:rPr>
          </w:pPr>
          <w:hyperlink w:anchor="_Toc140567033" w:history="1">
            <w:r w:rsidRPr="00C8125F">
              <w:rPr>
                <w:rStyle w:val="Hyperlink"/>
                <w:rFonts w:ascii="Calibri" w:hAnsi="Calibri" w:cs="Calibri"/>
                <w:noProof/>
              </w:rPr>
              <w:t>SWOT analiza</w:t>
            </w:r>
            <w:r>
              <w:rPr>
                <w:noProof/>
                <w:webHidden/>
              </w:rPr>
              <w:tab/>
            </w:r>
            <w:r>
              <w:rPr>
                <w:noProof/>
                <w:webHidden/>
              </w:rPr>
              <w:fldChar w:fldCharType="begin"/>
            </w:r>
            <w:r>
              <w:rPr>
                <w:noProof/>
                <w:webHidden/>
              </w:rPr>
              <w:instrText xml:space="preserve"> PAGEREF _Toc140567033 \h </w:instrText>
            </w:r>
            <w:r>
              <w:rPr>
                <w:noProof/>
                <w:webHidden/>
              </w:rPr>
            </w:r>
            <w:r>
              <w:rPr>
                <w:noProof/>
                <w:webHidden/>
              </w:rPr>
              <w:fldChar w:fldCharType="separate"/>
            </w:r>
            <w:r>
              <w:rPr>
                <w:noProof/>
                <w:webHidden/>
              </w:rPr>
              <w:t>21</w:t>
            </w:r>
            <w:r>
              <w:rPr>
                <w:noProof/>
                <w:webHidden/>
              </w:rPr>
              <w:fldChar w:fldCharType="end"/>
            </w:r>
          </w:hyperlink>
        </w:p>
        <w:p w14:paraId="1AD1E2CC" w14:textId="77777777" w:rsidR="004E4614" w:rsidRDefault="004E4614">
          <w:pPr>
            <w:pStyle w:val="TOC2"/>
            <w:tabs>
              <w:tab w:val="right" w:leader="dot" w:pos="9016"/>
            </w:tabs>
            <w:rPr>
              <w:rFonts w:eastAsiaTheme="minorEastAsia" w:cstheme="minorBidi"/>
              <w:b w:val="0"/>
              <w:bCs w:val="0"/>
              <w:noProof/>
              <w:lang w:val="en-GB"/>
            </w:rPr>
          </w:pPr>
          <w:hyperlink w:anchor="_Toc140567034" w:history="1">
            <w:r w:rsidRPr="00C8125F">
              <w:rPr>
                <w:rStyle w:val="Hyperlink"/>
                <w:noProof/>
              </w:rPr>
              <w:t>DRVO PROBLEMA</w:t>
            </w:r>
            <w:r>
              <w:rPr>
                <w:noProof/>
                <w:webHidden/>
              </w:rPr>
              <w:tab/>
            </w:r>
            <w:r>
              <w:rPr>
                <w:noProof/>
                <w:webHidden/>
              </w:rPr>
              <w:fldChar w:fldCharType="begin"/>
            </w:r>
            <w:r>
              <w:rPr>
                <w:noProof/>
                <w:webHidden/>
              </w:rPr>
              <w:instrText xml:space="preserve"> PAGEREF _Toc140567034 \h </w:instrText>
            </w:r>
            <w:r>
              <w:rPr>
                <w:noProof/>
                <w:webHidden/>
              </w:rPr>
            </w:r>
            <w:r>
              <w:rPr>
                <w:noProof/>
                <w:webHidden/>
              </w:rPr>
              <w:fldChar w:fldCharType="separate"/>
            </w:r>
            <w:r>
              <w:rPr>
                <w:noProof/>
                <w:webHidden/>
              </w:rPr>
              <w:t>22</w:t>
            </w:r>
            <w:r>
              <w:rPr>
                <w:noProof/>
                <w:webHidden/>
              </w:rPr>
              <w:fldChar w:fldCharType="end"/>
            </w:r>
          </w:hyperlink>
        </w:p>
        <w:p w14:paraId="00F65D91" w14:textId="77777777" w:rsidR="004E4614" w:rsidRDefault="004E4614">
          <w:pPr>
            <w:pStyle w:val="TOC1"/>
            <w:tabs>
              <w:tab w:val="right" w:leader="dot" w:pos="9016"/>
            </w:tabs>
            <w:rPr>
              <w:rFonts w:eastAsiaTheme="minorEastAsia" w:cstheme="minorBidi"/>
              <w:b w:val="0"/>
              <w:bCs w:val="0"/>
              <w:i w:val="0"/>
              <w:iCs w:val="0"/>
              <w:noProof/>
              <w:sz w:val="22"/>
              <w:szCs w:val="22"/>
              <w:lang w:val="en-GB"/>
            </w:rPr>
          </w:pPr>
          <w:hyperlink w:anchor="_Toc140567035" w:history="1">
            <w:r w:rsidRPr="00C8125F">
              <w:rPr>
                <w:rStyle w:val="Hyperlink"/>
                <w:noProof/>
              </w:rPr>
              <w:t>Analiza ciljnih javnosti i zainteresovanih strana</w:t>
            </w:r>
            <w:r>
              <w:rPr>
                <w:noProof/>
                <w:webHidden/>
              </w:rPr>
              <w:tab/>
            </w:r>
            <w:r>
              <w:rPr>
                <w:noProof/>
                <w:webHidden/>
              </w:rPr>
              <w:fldChar w:fldCharType="begin"/>
            </w:r>
            <w:r>
              <w:rPr>
                <w:noProof/>
                <w:webHidden/>
              </w:rPr>
              <w:instrText xml:space="preserve"> PAGEREF _Toc140567035 \h </w:instrText>
            </w:r>
            <w:r>
              <w:rPr>
                <w:noProof/>
                <w:webHidden/>
              </w:rPr>
            </w:r>
            <w:r>
              <w:rPr>
                <w:noProof/>
                <w:webHidden/>
              </w:rPr>
              <w:fldChar w:fldCharType="separate"/>
            </w:r>
            <w:r>
              <w:rPr>
                <w:noProof/>
                <w:webHidden/>
              </w:rPr>
              <w:t>23</w:t>
            </w:r>
            <w:r>
              <w:rPr>
                <w:noProof/>
                <w:webHidden/>
              </w:rPr>
              <w:fldChar w:fldCharType="end"/>
            </w:r>
          </w:hyperlink>
        </w:p>
        <w:p w14:paraId="067032A9" w14:textId="77777777" w:rsidR="004E4614" w:rsidRDefault="004E4614">
          <w:pPr>
            <w:pStyle w:val="TOC2"/>
            <w:tabs>
              <w:tab w:val="right" w:leader="dot" w:pos="9016"/>
            </w:tabs>
            <w:rPr>
              <w:rFonts w:eastAsiaTheme="minorEastAsia" w:cstheme="minorBidi"/>
              <w:b w:val="0"/>
              <w:bCs w:val="0"/>
              <w:noProof/>
              <w:lang w:val="en-GB"/>
            </w:rPr>
          </w:pPr>
          <w:hyperlink w:anchor="_Toc140567036" w:history="1">
            <w:r w:rsidRPr="00C8125F">
              <w:rPr>
                <w:rStyle w:val="Hyperlink"/>
                <w:noProof/>
              </w:rPr>
              <w:t>Interne javnosti</w:t>
            </w:r>
            <w:r>
              <w:rPr>
                <w:noProof/>
                <w:webHidden/>
              </w:rPr>
              <w:tab/>
            </w:r>
            <w:r>
              <w:rPr>
                <w:noProof/>
                <w:webHidden/>
              </w:rPr>
              <w:fldChar w:fldCharType="begin"/>
            </w:r>
            <w:r>
              <w:rPr>
                <w:noProof/>
                <w:webHidden/>
              </w:rPr>
              <w:instrText xml:space="preserve"> PAGEREF _Toc140567036 \h </w:instrText>
            </w:r>
            <w:r>
              <w:rPr>
                <w:noProof/>
                <w:webHidden/>
              </w:rPr>
            </w:r>
            <w:r>
              <w:rPr>
                <w:noProof/>
                <w:webHidden/>
              </w:rPr>
              <w:fldChar w:fldCharType="separate"/>
            </w:r>
            <w:r>
              <w:rPr>
                <w:noProof/>
                <w:webHidden/>
              </w:rPr>
              <w:t>23</w:t>
            </w:r>
            <w:r>
              <w:rPr>
                <w:noProof/>
                <w:webHidden/>
              </w:rPr>
              <w:fldChar w:fldCharType="end"/>
            </w:r>
          </w:hyperlink>
        </w:p>
        <w:p w14:paraId="19542C9A" w14:textId="77777777" w:rsidR="004E4614" w:rsidRDefault="004E4614">
          <w:pPr>
            <w:pStyle w:val="TOC3"/>
            <w:tabs>
              <w:tab w:val="right" w:leader="dot" w:pos="9016"/>
            </w:tabs>
            <w:rPr>
              <w:rFonts w:eastAsiaTheme="minorEastAsia" w:cstheme="minorBidi"/>
              <w:noProof/>
              <w:sz w:val="22"/>
              <w:szCs w:val="22"/>
              <w:lang w:val="en-GB"/>
            </w:rPr>
          </w:pPr>
          <w:hyperlink w:anchor="_Toc140567037" w:history="1">
            <w:r w:rsidRPr="00C8125F">
              <w:rPr>
                <w:rStyle w:val="Hyperlink"/>
                <w:noProof/>
              </w:rPr>
              <w:t>Operativno i Konsultativno tijelo</w:t>
            </w:r>
            <w:r>
              <w:rPr>
                <w:noProof/>
                <w:webHidden/>
              </w:rPr>
              <w:tab/>
            </w:r>
            <w:r>
              <w:rPr>
                <w:noProof/>
                <w:webHidden/>
              </w:rPr>
              <w:fldChar w:fldCharType="begin"/>
            </w:r>
            <w:r>
              <w:rPr>
                <w:noProof/>
                <w:webHidden/>
              </w:rPr>
              <w:instrText xml:space="preserve"> PAGEREF _Toc140567037 \h </w:instrText>
            </w:r>
            <w:r>
              <w:rPr>
                <w:noProof/>
                <w:webHidden/>
              </w:rPr>
            </w:r>
            <w:r>
              <w:rPr>
                <w:noProof/>
                <w:webHidden/>
              </w:rPr>
              <w:fldChar w:fldCharType="separate"/>
            </w:r>
            <w:r>
              <w:rPr>
                <w:noProof/>
                <w:webHidden/>
              </w:rPr>
              <w:t>23</w:t>
            </w:r>
            <w:r>
              <w:rPr>
                <w:noProof/>
                <w:webHidden/>
              </w:rPr>
              <w:fldChar w:fldCharType="end"/>
            </w:r>
          </w:hyperlink>
        </w:p>
        <w:p w14:paraId="4D3FDF8D" w14:textId="77777777" w:rsidR="004E4614" w:rsidRDefault="004E4614">
          <w:pPr>
            <w:pStyle w:val="TOC3"/>
            <w:tabs>
              <w:tab w:val="right" w:leader="dot" w:pos="9016"/>
            </w:tabs>
            <w:rPr>
              <w:rFonts w:eastAsiaTheme="minorEastAsia" w:cstheme="minorBidi"/>
              <w:noProof/>
              <w:sz w:val="22"/>
              <w:szCs w:val="22"/>
              <w:lang w:val="en-GB"/>
            </w:rPr>
          </w:pPr>
          <w:hyperlink w:anchor="_Toc140567038" w:history="1">
            <w:r w:rsidRPr="00C8125F">
              <w:rPr>
                <w:rStyle w:val="Hyperlink"/>
                <w:noProof/>
              </w:rPr>
              <w:t>Nosioci procesa informisanja</w:t>
            </w:r>
            <w:r>
              <w:rPr>
                <w:noProof/>
                <w:webHidden/>
              </w:rPr>
              <w:tab/>
            </w:r>
            <w:r>
              <w:rPr>
                <w:noProof/>
                <w:webHidden/>
              </w:rPr>
              <w:fldChar w:fldCharType="begin"/>
            </w:r>
            <w:r>
              <w:rPr>
                <w:noProof/>
                <w:webHidden/>
              </w:rPr>
              <w:instrText xml:space="preserve"> PAGEREF _Toc140567038 \h </w:instrText>
            </w:r>
            <w:r>
              <w:rPr>
                <w:noProof/>
                <w:webHidden/>
              </w:rPr>
            </w:r>
            <w:r>
              <w:rPr>
                <w:noProof/>
                <w:webHidden/>
              </w:rPr>
              <w:fldChar w:fldCharType="separate"/>
            </w:r>
            <w:r>
              <w:rPr>
                <w:noProof/>
                <w:webHidden/>
              </w:rPr>
              <w:t>24</w:t>
            </w:r>
            <w:r>
              <w:rPr>
                <w:noProof/>
                <w:webHidden/>
              </w:rPr>
              <w:fldChar w:fldCharType="end"/>
            </w:r>
          </w:hyperlink>
        </w:p>
        <w:p w14:paraId="2670095C" w14:textId="77777777" w:rsidR="004E4614" w:rsidRDefault="004E4614">
          <w:pPr>
            <w:pStyle w:val="TOC3"/>
            <w:tabs>
              <w:tab w:val="right" w:leader="dot" w:pos="9016"/>
            </w:tabs>
            <w:rPr>
              <w:rFonts w:eastAsiaTheme="minorEastAsia" w:cstheme="minorBidi"/>
              <w:noProof/>
              <w:sz w:val="22"/>
              <w:szCs w:val="22"/>
              <w:lang w:val="en-GB"/>
            </w:rPr>
          </w:pPr>
          <w:hyperlink w:anchor="_Toc140567039" w:history="1">
            <w:r w:rsidRPr="00C8125F">
              <w:rPr>
                <w:rStyle w:val="Hyperlink"/>
                <w:noProof/>
              </w:rPr>
              <w:t>Profesionalizacija komunikatora</w:t>
            </w:r>
            <w:r>
              <w:rPr>
                <w:noProof/>
                <w:webHidden/>
              </w:rPr>
              <w:tab/>
            </w:r>
            <w:r>
              <w:rPr>
                <w:noProof/>
                <w:webHidden/>
              </w:rPr>
              <w:fldChar w:fldCharType="begin"/>
            </w:r>
            <w:r>
              <w:rPr>
                <w:noProof/>
                <w:webHidden/>
              </w:rPr>
              <w:instrText xml:space="preserve"> PAGEREF _Toc140567039 \h </w:instrText>
            </w:r>
            <w:r>
              <w:rPr>
                <w:noProof/>
                <w:webHidden/>
              </w:rPr>
            </w:r>
            <w:r>
              <w:rPr>
                <w:noProof/>
                <w:webHidden/>
              </w:rPr>
              <w:fldChar w:fldCharType="separate"/>
            </w:r>
            <w:r>
              <w:rPr>
                <w:noProof/>
                <w:webHidden/>
              </w:rPr>
              <w:t>25</w:t>
            </w:r>
            <w:r>
              <w:rPr>
                <w:noProof/>
                <w:webHidden/>
              </w:rPr>
              <w:fldChar w:fldCharType="end"/>
            </w:r>
          </w:hyperlink>
        </w:p>
        <w:p w14:paraId="3323D202" w14:textId="77777777" w:rsidR="004E4614" w:rsidRDefault="004E4614">
          <w:pPr>
            <w:pStyle w:val="TOC3"/>
            <w:tabs>
              <w:tab w:val="right" w:leader="dot" w:pos="9016"/>
            </w:tabs>
            <w:rPr>
              <w:rFonts w:eastAsiaTheme="minorEastAsia" w:cstheme="minorBidi"/>
              <w:noProof/>
              <w:sz w:val="22"/>
              <w:szCs w:val="22"/>
              <w:lang w:val="en-GB"/>
            </w:rPr>
          </w:pPr>
          <w:hyperlink w:anchor="_Toc140567040" w:history="1">
            <w:r w:rsidRPr="00C8125F">
              <w:rPr>
                <w:rStyle w:val="Hyperlink"/>
                <w:noProof/>
              </w:rPr>
              <w:t>Lokalni nivo</w:t>
            </w:r>
            <w:r>
              <w:rPr>
                <w:noProof/>
                <w:webHidden/>
              </w:rPr>
              <w:tab/>
            </w:r>
            <w:r>
              <w:rPr>
                <w:noProof/>
                <w:webHidden/>
              </w:rPr>
              <w:fldChar w:fldCharType="begin"/>
            </w:r>
            <w:r>
              <w:rPr>
                <w:noProof/>
                <w:webHidden/>
              </w:rPr>
              <w:instrText xml:space="preserve"> PAGEREF _Toc140567040 \h </w:instrText>
            </w:r>
            <w:r>
              <w:rPr>
                <w:noProof/>
                <w:webHidden/>
              </w:rPr>
            </w:r>
            <w:r>
              <w:rPr>
                <w:noProof/>
                <w:webHidden/>
              </w:rPr>
              <w:fldChar w:fldCharType="separate"/>
            </w:r>
            <w:r>
              <w:rPr>
                <w:noProof/>
                <w:webHidden/>
              </w:rPr>
              <w:t>25</w:t>
            </w:r>
            <w:r>
              <w:rPr>
                <w:noProof/>
                <w:webHidden/>
              </w:rPr>
              <w:fldChar w:fldCharType="end"/>
            </w:r>
          </w:hyperlink>
        </w:p>
        <w:p w14:paraId="003C6A6D" w14:textId="77777777" w:rsidR="004E4614" w:rsidRDefault="004E4614">
          <w:pPr>
            <w:pStyle w:val="TOC2"/>
            <w:tabs>
              <w:tab w:val="right" w:leader="dot" w:pos="9016"/>
            </w:tabs>
            <w:rPr>
              <w:rFonts w:eastAsiaTheme="minorEastAsia" w:cstheme="minorBidi"/>
              <w:b w:val="0"/>
              <w:bCs w:val="0"/>
              <w:noProof/>
              <w:lang w:val="en-GB"/>
            </w:rPr>
          </w:pPr>
          <w:hyperlink w:anchor="_Toc140567041" w:history="1">
            <w:r w:rsidRPr="00C8125F">
              <w:rPr>
                <w:rStyle w:val="Hyperlink"/>
                <w:noProof/>
              </w:rPr>
              <w:t>Domaća javnost</w:t>
            </w:r>
            <w:r>
              <w:rPr>
                <w:noProof/>
                <w:webHidden/>
              </w:rPr>
              <w:tab/>
            </w:r>
            <w:r>
              <w:rPr>
                <w:noProof/>
                <w:webHidden/>
              </w:rPr>
              <w:fldChar w:fldCharType="begin"/>
            </w:r>
            <w:r>
              <w:rPr>
                <w:noProof/>
                <w:webHidden/>
              </w:rPr>
              <w:instrText xml:space="preserve"> PAGEREF _Toc140567041 \h </w:instrText>
            </w:r>
            <w:r>
              <w:rPr>
                <w:noProof/>
                <w:webHidden/>
              </w:rPr>
            </w:r>
            <w:r>
              <w:rPr>
                <w:noProof/>
                <w:webHidden/>
              </w:rPr>
              <w:fldChar w:fldCharType="separate"/>
            </w:r>
            <w:r>
              <w:rPr>
                <w:noProof/>
                <w:webHidden/>
              </w:rPr>
              <w:t>26</w:t>
            </w:r>
            <w:r>
              <w:rPr>
                <w:noProof/>
                <w:webHidden/>
              </w:rPr>
              <w:fldChar w:fldCharType="end"/>
            </w:r>
          </w:hyperlink>
        </w:p>
        <w:p w14:paraId="28CB86F4" w14:textId="77777777" w:rsidR="004E4614" w:rsidRDefault="004E4614">
          <w:pPr>
            <w:pStyle w:val="TOC3"/>
            <w:tabs>
              <w:tab w:val="right" w:leader="dot" w:pos="9016"/>
            </w:tabs>
            <w:rPr>
              <w:rFonts w:eastAsiaTheme="minorEastAsia" w:cstheme="minorBidi"/>
              <w:noProof/>
              <w:sz w:val="22"/>
              <w:szCs w:val="22"/>
              <w:lang w:val="en-GB"/>
            </w:rPr>
          </w:pPr>
          <w:hyperlink w:anchor="_Toc140567042" w:history="1">
            <w:r w:rsidRPr="00C8125F">
              <w:rPr>
                <w:rStyle w:val="Hyperlink"/>
                <w:noProof/>
              </w:rPr>
              <w:t>Neodlučni</w:t>
            </w:r>
            <w:r>
              <w:rPr>
                <w:noProof/>
                <w:webHidden/>
              </w:rPr>
              <w:tab/>
            </w:r>
            <w:r>
              <w:rPr>
                <w:noProof/>
                <w:webHidden/>
              </w:rPr>
              <w:fldChar w:fldCharType="begin"/>
            </w:r>
            <w:r>
              <w:rPr>
                <w:noProof/>
                <w:webHidden/>
              </w:rPr>
              <w:instrText xml:space="preserve"> PAGEREF _Toc140567042 \h </w:instrText>
            </w:r>
            <w:r>
              <w:rPr>
                <w:noProof/>
                <w:webHidden/>
              </w:rPr>
            </w:r>
            <w:r>
              <w:rPr>
                <w:noProof/>
                <w:webHidden/>
              </w:rPr>
              <w:fldChar w:fldCharType="separate"/>
            </w:r>
            <w:r>
              <w:rPr>
                <w:noProof/>
                <w:webHidden/>
              </w:rPr>
              <w:t>26</w:t>
            </w:r>
            <w:r>
              <w:rPr>
                <w:noProof/>
                <w:webHidden/>
              </w:rPr>
              <w:fldChar w:fldCharType="end"/>
            </w:r>
          </w:hyperlink>
        </w:p>
        <w:p w14:paraId="230510B1" w14:textId="77777777" w:rsidR="004E4614" w:rsidRDefault="004E4614">
          <w:pPr>
            <w:pStyle w:val="TOC3"/>
            <w:tabs>
              <w:tab w:val="right" w:leader="dot" w:pos="9016"/>
            </w:tabs>
            <w:rPr>
              <w:rFonts w:eastAsiaTheme="minorEastAsia" w:cstheme="minorBidi"/>
              <w:noProof/>
              <w:sz w:val="22"/>
              <w:szCs w:val="22"/>
              <w:lang w:val="en-GB"/>
            </w:rPr>
          </w:pPr>
          <w:hyperlink w:anchor="_Toc140567043" w:history="1">
            <w:r w:rsidRPr="00C8125F">
              <w:rPr>
                <w:rStyle w:val="Hyperlink"/>
                <w:noProof/>
              </w:rPr>
              <w:t>Građani/ke koji su protiv članstva u EU</w:t>
            </w:r>
            <w:r>
              <w:rPr>
                <w:noProof/>
                <w:webHidden/>
              </w:rPr>
              <w:tab/>
            </w:r>
            <w:r>
              <w:rPr>
                <w:noProof/>
                <w:webHidden/>
              </w:rPr>
              <w:fldChar w:fldCharType="begin"/>
            </w:r>
            <w:r>
              <w:rPr>
                <w:noProof/>
                <w:webHidden/>
              </w:rPr>
              <w:instrText xml:space="preserve"> PAGEREF _Toc140567043 \h </w:instrText>
            </w:r>
            <w:r>
              <w:rPr>
                <w:noProof/>
                <w:webHidden/>
              </w:rPr>
            </w:r>
            <w:r>
              <w:rPr>
                <w:noProof/>
                <w:webHidden/>
              </w:rPr>
              <w:fldChar w:fldCharType="separate"/>
            </w:r>
            <w:r>
              <w:rPr>
                <w:noProof/>
                <w:webHidden/>
              </w:rPr>
              <w:t>26</w:t>
            </w:r>
            <w:r>
              <w:rPr>
                <w:noProof/>
                <w:webHidden/>
              </w:rPr>
              <w:fldChar w:fldCharType="end"/>
            </w:r>
          </w:hyperlink>
        </w:p>
        <w:p w14:paraId="145E1432" w14:textId="77777777" w:rsidR="004E4614" w:rsidRDefault="004E4614">
          <w:pPr>
            <w:pStyle w:val="TOC3"/>
            <w:tabs>
              <w:tab w:val="right" w:leader="dot" w:pos="9016"/>
            </w:tabs>
            <w:rPr>
              <w:rFonts w:eastAsiaTheme="minorEastAsia" w:cstheme="minorBidi"/>
              <w:noProof/>
              <w:sz w:val="22"/>
              <w:szCs w:val="22"/>
              <w:lang w:val="en-GB"/>
            </w:rPr>
          </w:pPr>
          <w:hyperlink w:anchor="_Toc140567044" w:history="1">
            <w:r w:rsidRPr="00C8125F">
              <w:rPr>
                <w:rStyle w:val="Hyperlink"/>
                <w:noProof/>
              </w:rPr>
              <w:t>Biznis zajednica i strukovna udruženja</w:t>
            </w:r>
            <w:r>
              <w:rPr>
                <w:noProof/>
                <w:webHidden/>
              </w:rPr>
              <w:tab/>
            </w:r>
            <w:r>
              <w:rPr>
                <w:noProof/>
                <w:webHidden/>
              </w:rPr>
              <w:fldChar w:fldCharType="begin"/>
            </w:r>
            <w:r>
              <w:rPr>
                <w:noProof/>
                <w:webHidden/>
              </w:rPr>
              <w:instrText xml:space="preserve"> PAGEREF _Toc140567044 \h </w:instrText>
            </w:r>
            <w:r>
              <w:rPr>
                <w:noProof/>
                <w:webHidden/>
              </w:rPr>
            </w:r>
            <w:r>
              <w:rPr>
                <w:noProof/>
                <w:webHidden/>
              </w:rPr>
              <w:fldChar w:fldCharType="separate"/>
            </w:r>
            <w:r>
              <w:rPr>
                <w:noProof/>
                <w:webHidden/>
              </w:rPr>
              <w:t>27</w:t>
            </w:r>
            <w:r>
              <w:rPr>
                <w:noProof/>
                <w:webHidden/>
              </w:rPr>
              <w:fldChar w:fldCharType="end"/>
            </w:r>
          </w:hyperlink>
        </w:p>
        <w:p w14:paraId="783976FC" w14:textId="77777777" w:rsidR="004E4614" w:rsidRDefault="004E4614">
          <w:pPr>
            <w:pStyle w:val="TOC3"/>
            <w:tabs>
              <w:tab w:val="right" w:leader="dot" w:pos="9016"/>
            </w:tabs>
            <w:rPr>
              <w:rFonts w:eastAsiaTheme="minorEastAsia" w:cstheme="minorBidi"/>
              <w:noProof/>
              <w:sz w:val="22"/>
              <w:szCs w:val="22"/>
              <w:lang w:val="en-GB"/>
            </w:rPr>
          </w:pPr>
          <w:hyperlink w:anchor="_Toc140567045" w:history="1">
            <w:r w:rsidRPr="00C8125F">
              <w:rPr>
                <w:rStyle w:val="Hyperlink"/>
                <w:noProof/>
              </w:rPr>
              <w:t>Mladi</w:t>
            </w:r>
            <w:r>
              <w:rPr>
                <w:noProof/>
                <w:webHidden/>
              </w:rPr>
              <w:tab/>
            </w:r>
            <w:r>
              <w:rPr>
                <w:noProof/>
                <w:webHidden/>
              </w:rPr>
              <w:fldChar w:fldCharType="begin"/>
            </w:r>
            <w:r>
              <w:rPr>
                <w:noProof/>
                <w:webHidden/>
              </w:rPr>
              <w:instrText xml:space="preserve"> PAGEREF _Toc140567045 \h </w:instrText>
            </w:r>
            <w:r>
              <w:rPr>
                <w:noProof/>
                <w:webHidden/>
              </w:rPr>
            </w:r>
            <w:r>
              <w:rPr>
                <w:noProof/>
                <w:webHidden/>
              </w:rPr>
              <w:fldChar w:fldCharType="separate"/>
            </w:r>
            <w:r>
              <w:rPr>
                <w:noProof/>
                <w:webHidden/>
              </w:rPr>
              <w:t>27</w:t>
            </w:r>
            <w:r>
              <w:rPr>
                <w:noProof/>
                <w:webHidden/>
              </w:rPr>
              <w:fldChar w:fldCharType="end"/>
            </w:r>
          </w:hyperlink>
        </w:p>
        <w:p w14:paraId="4F96A3EC" w14:textId="77777777" w:rsidR="004E4614" w:rsidRDefault="004E4614">
          <w:pPr>
            <w:pStyle w:val="TOC3"/>
            <w:tabs>
              <w:tab w:val="right" w:leader="dot" w:pos="9016"/>
            </w:tabs>
            <w:rPr>
              <w:rFonts w:eastAsiaTheme="minorEastAsia" w:cstheme="minorBidi"/>
              <w:noProof/>
              <w:sz w:val="22"/>
              <w:szCs w:val="22"/>
              <w:lang w:val="en-GB"/>
            </w:rPr>
          </w:pPr>
          <w:hyperlink w:anchor="_Toc140567046" w:history="1">
            <w:r w:rsidRPr="00C8125F">
              <w:rPr>
                <w:rStyle w:val="Hyperlink"/>
                <w:noProof/>
              </w:rPr>
              <w:t>Ranjive grupe</w:t>
            </w:r>
            <w:r>
              <w:rPr>
                <w:noProof/>
                <w:webHidden/>
              </w:rPr>
              <w:tab/>
            </w:r>
            <w:r>
              <w:rPr>
                <w:noProof/>
                <w:webHidden/>
              </w:rPr>
              <w:fldChar w:fldCharType="begin"/>
            </w:r>
            <w:r>
              <w:rPr>
                <w:noProof/>
                <w:webHidden/>
              </w:rPr>
              <w:instrText xml:space="preserve"> PAGEREF _Toc140567046 \h </w:instrText>
            </w:r>
            <w:r>
              <w:rPr>
                <w:noProof/>
                <w:webHidden/>
              </w:rPr>
            </w:r>
            <w:r>
              <w:rPr>
                <w:noProof/>
                <w:webHidden/>
              </w:rPr>
              <w:fldChar w:fldCharType="separate"/>
            </w:r>
            <w:r>
              <w:rPr>
                <w:noProof/>
                <w:webHidden/>
              </w:rPr>
              <w:t>28</w:t>
            </w:r>
            <w:r>
              <w:rPr>
                <w:noProof/>
                <w:webHidden/>
              </w:rPr>
              <w:fldChar w:fldCharType="end"/>
            </w:r>
          </w:hyperlink>
        </w:p>
        <w:p w14:paraId="611B70AB" w14:textId="77777777" w:rsidR="004E4614" w:rsidRDefault="004E4614">
          <w:pPr>
            <w:pStyle w:val="TOC2"/>
            <w:tabs>
              <w:tab w:val="right" w:leader="dot" w:pos="9016"/>
            </w:tabs>
            <w:rPr>
              <w:rFonts w:eastAsiaTheme="minorEastAsia" w:cstheme="minorBidi"/>
              <w:b w:val="0"/>
              <w:bCs w:val="0"/>
              <w:noProof/>
              <w:lang w:val="en-GB"/>
            </w:rPr>
          </w:pPr>
          <w:hyperlink w:anchor="_Toc140567047" w:history="1">
            <w:r w:rsidRPr="00C8125F">
              <w:rPr>
                <w:rStyle w:val="Hyperlink"/>
                <w:noProof/>
              </w:rPr>
              <w:t>Međunarodne javnosti</w:t>
            </w:r>
            <w:r>
              <w:rPr>
                <w:noProof/>
                <w:webHidden/>
              </w:rPr>
              <w:tab/>
            </w:r>
            <w:r>
              <w:rPr>
                <w:noProof/>
                <w:webHidden/>
              </w:rPr>
              <w:fldChar w:fldCharType="begin"/>
            </w:r>
            <w:r>
              <w:rPr>
                <w:noProof/>
                <w:webHidden/>
              </w:rPr>
              <w:instrText xml:space="preserve"> PAGEREF _Toc140567047 \h </w:instrText>
            </w:r>
            <w:r>
              <w:rPr>
                <w:noProof/>
                <w:webHidden/>
              </w:rPr>
            </w:r>
            <w:r>
              <w:rPr>
                <w:noProof/>
                <w:webHidden/>
              </w:rPr>
              <w:fldChar w:fldCharType="separate"/>
            </w:r>
            <w:r>
              <w:rPr>
                <w:noProof/>
                <w:webHidden/>
              </w:rPr>
              <w:t>29</w:t>
            </w:r>
            <w:r>
              <w:rPr>
                <w:noProof/>
                <w:webHidden/>
              </w:rPr>
              <w:fldChar w:fldCharType="end"/>
            </w:r>
          </w:hyperlink>
        </w:p>
        <w:p w14:paraId="74BE4B73" w14:textId="77777777" w:rsidR="004E4614" w:rsidRDefault="004E4614">
          <w:pPr>
            <w:pStyle w:val="TOC3"/>
            <w:tabs>
              <w:tab w:val="right" w:leader="dot" w:pos="9016"/>
            </w:tabs>
            <w:rPr>
              <w:rFonts w:eastAsiaTheme="minorEastAsia" w:cstheme="minorBidi"/>
              <w:noProof/>
              <w:sz w:val="22"/>
              <w:szCs w:val="22"/>
              <w:lang w:val="en-GB"/>
            </w:rPr>
          </w:pPr>
          <w:hyperlink w:anchor="_Toc140567048" w:history="1">
            <w:r w:rsidRPr="00C8125F">
              <w:rPr>
                <w:rStyle w:val="Hyperlink"/>
                <w:noProof/>
              </w:rPr>
              <w:t>Diplomatska predstavništva</w:t>
            </w:r>
            <w:r>
              <w:rPr>
                <w:noProof/>
                <w:webHidden/>
              </w:rPr>
              <w:tab/>
            </w:r>
            <w:r>
              <w:rPr>
                <w:noProof/>
                <w:webHidden/>
              </w:rPr>
              <w:fldChar w:fldCharType="begin"/>
            </w:r>
            <w:r>
              <w:rPr>
                <w:noProof/>
                <w:webHidden/>
              </w:rPr>
              <w:instrText xml:space="preserve"> PAGEREF _Toc140567048 \h </w:instrText>
            </w:r>
            <w:r>
              <w:rPr>
                <w:noProof/>
                <w:webHidden/>
              </w:rPr>
            </w:r>
            <w:r>
              <w:rPr>
                <w:noProof/>
                <w:webHidden/>
              </w:rPr>
              <w:fldChar w:fldCharType="separate"/>
            </w:r>
            <w:r>
              <w:rPr>
                <w:noProof/>
                <w:webHidden/>
              </w:rPr>
              <w:t>29</w:t>
            </w:r>
            <w:r>
              <w:rPr>
                <w:noProof/>
                <w:webHidden/>
              </w:rPr>
              <w:fldChar w:fldCharType="end"/>
            </w:r>
          </w:hyperlink>
        </w:p>
        <w:p w14:paraId="43617A3B" w14:textId="77777777" w:rsidR="004E4614" w:rsidRDefault="004E4614">
          <w:pPr>
            <w:pStyle w:val="TOC3"/>
            <w:tabs>
              <w:tab w:val="right" w:leader="dot" w:pos="9016"/>
            </w:tabs>
            <w:rPr>
              <w:rFonts w:eastAsiaTheme="minorEastAsia" w:cstheme="minorBidi"/>
              <w:noProof/>
              <w:sz w:val="22"/>
              <w:szCs w:val="22"/>
              <w:lang w:val="en-GB"/>
            </w:rPr>
          </w:pPr>
          <w:hyperlink w:anchor="_Toc140567049" w:history="1">
            <w:r w:rsidRPr="00C8125F">
              <w:rPr>
                <w:rStyle w:val="Hyperlink"/>
                <w:noProof/>
              </w:rPr>
              <w:t>Evropske institucije i zvaničnici/ce</w:t>
            </w:r>
            <w:r>
              <w:rPr>
                <w:noProof/>
                <w:webHidden/>
              </w:rPr>
              <w:tab/>
            </w:r>
            <w:r>
              <w:rPr>
                <w:noProof/>
                <w:webHidden/>
              </w:rPr>
              <w:fldChar w:fldCharType="begin"/>
            </w:r>
            <w:r>
              <w:rPr>
                <w:noProof/>
                <w:webHidden/>
              </w:rPr>
              <w:instrText xml:space="preserve"> PAGEREF _Toc140567049 \h </w:instrText>
            </w:r>
            <w:r>
              <w:rPr>
                <w:noProof/>
                <w:webHidden/>
              </w:rPr>
            </w:r>
            <w:r>
              <w:rPr>
                <w:noProof/>
                <w:webHidden/>
              </w:rPr>
              <w:fldChar w:fldCharType="separate"/>
            </w:r>
            <w:r>
              <w:rPr>
                <w:noProof/>
                <w:webHidden/>
              </w:rPr>
              <w:t>29</w:t>
            </w:r>
            <w:r>
              <w:rPr>
                <w:noProof/>
                <w:webHidden/>
              </w:rPr>
              <w:fldChar w:fldCharType="end"/>
            </w:r>
          </w:hyperlink>
        </w:p>
        <w:p w14:paraId="0D9B023A" w14:textId="77777777" w:rsidR="004E4614" w:rsidRDefault="004E4614">
          <w:pPr>
            <w:pStyle w:val="TOC3"/>
            <w:tabs>
              <w:tab w:val="right" w:leader="dot" w:pos="9016"/>
            </w:tabs>
            <w:rPr>
              <w:rFonts w:eastAsiaTheme="minorEastAsia" w:cstheme="minorBidi"/>
              <w:noProof/>
              <w:sz w:val="22"/>
              <w:szCs w:val="22"/>
              <w:lang w:val="en-GB"/>
            </w:rPr>
          </w:pPr>
          <w:hyperlink w:anchor="_Toc140567050" w:history="1">
            <w:r w:rsidRPr="00C8125F">
              <w:rPr>
                <w:rStyle w:val="Hyperlink"/>
                <w:noProof/>
              </w:rPr>
              <w:t>Mediji</w:t>
            </w:r>
            <w:r>
              <w:rPr>
                <w:noProof/>
                <w:webHidden/>
              </w:rPr>
              <w:tab/>
            </w:r>
            <w:r>
              <w:rPr>
                <w:noProof/>
                <w:webHidden/>
              </w:rPr>
              <w:fldChar w:fldCharType="begin"/>
            </w:r>
            <w:r>
              <w:rPr>
                <w:noProof/>
                <w:webHidden/>
              </w:rPr>
              <w:instrText xml:space="preserve"> PAGEREF _Toc140567050 \h </w:instrText>
            </w:r>
            <w:r>
              <w:rPr>
                <w:noProof/>
                <w:webHidden/>
              </w:rPr>
            </w:r>
            <w:r>
              <w:rPr>
                <w:noProof/>
                <w:webHidden/>
              </w:rPr>
              <w:fldChar w:fldCharType="separate"/>
            </w:r>
            <w:r>
              <w:rPr>
                <w:noProof/>
                <w:webHidden/>
              </w:rPr>
              <w:t>30</w:t>
            </w:r>
            <w:r>
              <w:rPr>
                <w:noProof/>
                <w:webHidden/>
              </w:rPr>
              <w:fldChar w:fldCharType="end"/>
            </w:r>
          </w:hyperlink>
        </w:p>
        <w:p w14:paraId="0EB127EA" w14:textId="77777777" w:rsidR="004E4614" w:rsidRDefault="004E4614">
          <w:pPr>
            <w:pStyle w:val="TOC3"/>
            <w:tabs>
              <w:tab w:val="right" w:leader="dot" w:pos="9016"/>
            </w:tabs>
            <w:rPr>
              <w:rFonts w:eastAsiaTheme="minorEastAsia" w:cstheme="minorBidi"/>
              <w:noProof/>
              <w:sz w:val="22"/>
              <w:szCs w:val="22"/>
              <w:lang w:val="en-GB"/>
            </w:rPr>
          </w:pPr>
          <w:hyperlink w:anchor="_Toc140567051" w:history="1">
            <w:r w:rsidRPr="00C8125F">
              <w:rPr>
                <w:rStyle w:val="Hyperlink"/>
                <w:noProof/>
              </w:rPr>
              <w:t>Pojačati digitalnu prisutnost</w:t>
            </w:r>
            <w:r>
              <w:rPr>
                <w:noProof/>
                <w:webHidden/>
              </w:rPr>
              <w:tab/>
            </w:r>
            <w:r>
              <w:rPr>
                <w:noProof/>
                <w:webHidden/>
              </w:rPr>
              <w:fldChar w:fldCharType="begin"/>
            </w:r>
            <w:r>
              <w:rPr>
                <w:noProof/>
                <w:webHidden/>
              </w:rPr>
              <w:instrText xml:space="preserve"> PAGEREF _Toc140567051 \h </w:instrText>
            </w:r>
            <w:r>
              <w:rPr>
                <w:noProof/>
                <w:webHidden/>
              </w:rPr>
            </w:r>
            <w:r>
              <w:rPr>
                <w:noProof/>
                <w:webHidden/>
              </w:rPr>
              <w:fldChar w:fldCharType="separate"/>
            </w:r>
            <w:r>
              <w:rPr>
                <w:noProof/>
                <w:webHidden/>
              </w:rPr>
              <w:t>30</w:t>
            </w:r>
            <w:r>
              <w:rPr>
                <w:noProof/>
                <w:webHidden/>
              </w:rPr>
              <w:fldChar w:fldCharType="end"/>
            </w:r>
          </w:hyperlink>
        </w:p>
        <w:p w14:paraId="3D55025E" w14:textId="77777777" w:rsidR="004E4614" w:rsidRDefault="004E4614">
          <w:pPr>
            <w:pStyle w:val="TOC2"/>
            <w:tabs>
              <w:tab w:val="right" w:leader="dot" w:pos="9016"/>
            </w:tabs>
            <w:rPr>
              <w:rFonts w:eastAsiaTheme="minorEastAsia" w:cstheme="minorBidi"/>
              <w:b w:val="0"/>
              <w:bCs w:val="0"/>
              <w:noProof/>
              <w:lang w:val="en-GB"/>
            </w:rPr>
          </w:pPr>
          <w:hyperlink w:anchor="_Toc140567052" w:history="1">
            <w:r w:rsidRPr="00C8125F">
              <w:rPr>
                <w:rStyle w:val="Hyperlink"/>
                <w:noProof/>
              </w:rPr>
              <w:t>Multuplikatori/ke i partneri</w:t>
            </w:r>
            <w:r>
              <w:rPr>
                <w:noProof/>
                <w:webHidden/>
              </w:rPr>
              <w:tab/>
            </w:r>
            <w:r>
              <w:rPr>
                <w:noProof/>
                <w:webHidden/>
              </w:rPr>
              <w:fldChar w:fldCharType="begin"/>
            </w:r>
            <w:r>
              <w:rPr>
                <w:noProof/>
                <w:webHidden/>
              </w:rPr>
              <w:instrText xml:space="preserve"> PAGEREF _Toc140567052 \h </w:instrText>
            </w:r>
            <w:r>
              <w:rPr>
                <w:noProof/>
                <w:webHidden/>
              </w:rPr>
            </w:r>
            <w:r>
              <w:rPr>
                <w:noProof/>
                <w:webHidden/>
              </w:rPr>
              <w:fldChar w:fldCharType="separate"/>
            </w:r>
            <w:r>
              <w:rPr>
                <w:noProof/>
                <w:webHidden/>
              </w:rPr>
              <w:t>31</w:t>
            </w:r>
            <w:r>
              <w:rPr>
                <w:noProof/>
                <w:webHidden/>
              </w:rPr>
              <w:fldChar w:fldCharType="end"/>
            </w:r>
          </w:hyperlink>
        </w:p>
        <w:p w14:paraId="01489922" w14:textId="77777777" w:rsidR="004E4614" w:rsidRDefault="004E4614">
          <w:pPr>
            <w:pStyle w:val="TOC3"/>
            <w:tabs>
              <w:tab w:val="right" w:leader="dot" w:pos="9016"/>
            </w:tabs>
            <w:rPr>
              <w:rFonts w:eastAsiaTheme="minorEastAsia" w:cstheme="minorBidi"/>
              <w:noProof/>
              <w:sz w:val="22"/>
              <w:szCs w:val="22"/>
              <w:lang w:val="en-GB"/>
            </w:rPr>
          </w:pPr>
          <w:hyperlink w:anchor="_Toc140567053" w:history="1">
            <w:r w:rsidRPr="00C8125F">
              <w:rPr>
                <w:rStyle w:val="Hyperlink"/>
                <w:noProof/>
              </w:rPr>
              <w:t>Delegacija Evropske unije u Crnoj Gori/Evropska kuća/Ambasade država članica EU</w:t>
            </w:r>
            <w:r>
              <w:rPr>
                <w:noProof/>
                <w:webHidden/>
              </w:rPr>
              <w:tab/>
            </w:r>
            <w:r>
              <w:rPr>
                <w:noProof/>
                <w:webHidden/>
              </w:rPr>
              <w:fldChar w:fldCharType="begin"/>
            </w:r>
            <w:r>
              <w:rPr>
                <w:noProof/>
                <w:webHidden/>
              </w:rPr>
              <w:instrText xml:space="preserve"> PAGEREF _Toc140567053 \h </w:instrText>
            </w:r>
            <w:r>
              <w:rPr>
                <w:noProof/>
                <w:webHidden/>
              </w:rPr>
            </w:r>
            <w:r>
              <w:rPr>
                <w:noProof/>
                <w:webHidden/>
              </w:rPr>
              <w:fldChar w:fldCharType="separate"/>
            </w:r>
            <w:r>
              <w:rPr>
                <w:noProof/>
                <w:webHidden/>
              </w:rPr>
              <w:t>31</w:t>
            </w:r>
            <w:r>
              <w:rPr>
                <w:noProof/>
                <w:webHidden/>
              </w:rPr>
              <w:fldChar w:fldCharType="end"/>
            </w:r>
          </w:hyperlink>
        </w:p>
        <w:p w14:paraId="59275DAE" w14:textId="77777777" w:rsidR="004E4614" w:rsidRDefault="004E4614">
          <w:pPr>
            <w:pStyle w:val="TOC3"/>
            <w:tabs>
              <w:tab w:val="right" w:leader="dot" w:pos="9016"/>
            </w:tabs>
            <w:rPr>
              <w:rFonts w:eastAsiaTheme="minorEastAsia" w:cstheme="minorBidi"/>
              <w:noProof/>
              <w:sz w:val="22"/>
              <w:szCs w:val="22"/>
              <w:lang w:val="en-GB"/>
            </w:rPr>
          </w:pPr>
          <w:hyperlink w:anchor="_Toc140567054" w:history="1">
            <w:r w:rsidRPr="00C8125F">
              <w:rPr>
                <w:rStyle w:val="Hyperlink"/>
                <w:noProof/>
              </w:rPr>
              <w:t>Lokalne samouprave</w:t>
            </w:r>
            <w:r>
              <w:rPr>
                <w:noProof/>
                <w:webHidden/>
              </w:rPr>
              <w:tab/>
            </w:r>
            <w:r>
              <w:rPr>
                <w:noProof/>
                <w:webHidden/>
              </w:rPr>
              <w:fldChar w:fldCharType="begin"/>
            </w:r>
            <w:r>
              <w:rPr>
                <w:noProof/>
                <w:webHidden/>
              </w:rPr>
              <w:instrText xml:space="preserve"> PAGEREF _Toc140567054 \h </w:instrText>
            </w:r>
            <w:r>
              <w:rPr>
                <w:noProof/>
                <w:webHidden/>
              </w:rPr>
            </w:r>
            <w:r>
              <w:rPr>
                <w:noProof/>
                <w:webHidden/>
              </w:rPr>
              <w:fldChar w:fldCharType="separate"/>
            </w:r>
            <w:r>
              <w:rPr>
                <w:noProof/>
                <w:webHidden/>
              </w:rPr>
              <w:t>32</w:t>
            </w:r>
            <w:r>
              <w:rPr>
                <w:noProof/>
                <w:webHidden/>
              </w:rPr>
              <w:fldChar w:fldCharType="end"/>
            </w:r>
          </w:hyperlink>
        </w:p>
        <w:p w14:paraId="5641BC1F" w14:textId="77777777" w:rsidR="004E4614" w:rsidRDefault="004E4614">
          <w:pPr>
            <w:pStyle w:val="TOC3"/>
            <w:tabs>
              <w:tab w:val="right" w:leader="dot" w:pos="9016"/>
            </w:tabs>
            <w:rPr>
              <w:rFonts w:eastAsiaTheme="minorEastAsia" w:cstheme="minorBidi"/>
              <w:noProof/>
              <w:sz w:val="22"/>
              <w:szCs w:val="22"/>
              <w:lang w:val="en-GB"/>
            </w:rPr>
          </w:pPr>
          <w:hyperlink w:anchor="_Toc140567055" w:history="1">
            <w:r w:rsidRPr="00C8125F">
              <w:rPr>
                <w:rStyle w:val="Hyperlink"/>
                <w:noProof/>
              </w:rPr>
              <w:t>Mediji</w:t>
            </w:r>
            <w:r>
              <w:rPr>
                <w:noProof/>
                <w:webHidden/>
              </w:rPr>
              <w:tab/>
            </w:r>
            <w:r>
              <w:rPr>
                <w:noProof/>
                <w:webHidden/>
              </w:rPr>
              <w:fldChar w:fldCharType="begin"/>
            </w:r>
            <w:r>
              <w:rPr>
                <w:noProof/>
                <w:webHidden/>
              </w:rPr>
              <w:instrText xml:space="preserve"> PAGEREF _Toc140567055 \h </w:instrText>
            </w:r>
            <w:r>
              <w:rPr>
                <w:noProof/>
                <w:webHidden/>
              </w:rPr>
            </w:r>
            <w:r>
              <w:rPr>
                <w:noProof/>
                <w:webHidden/>
              </w:rPr>
              <w:fldChar w:fldCharType="separate"/>
            </w:r>
            <w:r>
              <w:rPr>
                <w:noProof/>
                <w:webHidden/>
              </w:rPr>
              <w:t>32</w:t>
            </w:r>
            <w:r>
              <w:rPr>
                <w:noProof/>
                <w:webHidden/>
              </w:rPr>
              <w:fldChar w:fldCharType="end"/>
            </w:r>
          </w:hyperlink>
        </w:p>
        <w:p w14:paraId="32DAC362" w14:textId="77777777" w:rsidR="004E4614" w:rsidRDefault="004E4614">
          <w:pPr>
            <w:pStyle w:val="TOC3"/>
            <w:tabs>
              <w:tab w:val="right" w:leader="dot" w:pos="9016"/>
            </w:tabs>
            <w:rPr>
              <w:rFonts w:eastAsiaTheme="minorEastAsia" w:cstheme="minorBidi"/>
              <w:noProof/>
              <w:sz w:val="22"/>
              <w:szCs w:val="22"/>
              <w:lang w:val="en-GB"/>
            </w:rPr>
          </w:pPr>
          <w:hyperlink w:anchor="_Toc140567056" w:history="1">
            <w:r w:rsidRPr="00C8125F">
              <w:rPr>
                <w:rStyle w:val="Hyperlink"/>
                <w:noProof/>
              </w:rPr>
              <w:t>Obrazovne ustanove, naučno-istraživačke ustanove, i nastavni kadar</w:t>
            </w:r>
            <w:r>
              <w:rPr>
                <w:noProof/>
                <w:webHidden/>
              </w:rPr>
              <w:tab/>
            </w:r>
            <w:r>
              <w:rPr>
                <w:noProof/>
                <w:webHidden/>
              </w:rPr>
              <w:fldChar w:fldCharType="begin"/>
            </w:r>
            <w:r>
              <w:rPr>
                <w:noProof/>
                <w:webHidden/>
              </w:rPr>
              <w:instrText xml:space="preserve"> PAGEREF _Toc140567056 \h </w:instrText>
            </w:r>
            <w:r>
              <w:rPr>
                <w:noProof/>
                <w:webHidden/>
              </w:rPr>
            </w:r>
            <w:r>
              <w:rPr>
                <w:noProof/>
                <w:webHidden/>
              </w:rPr>
              <w:fldChar w:fldCharType="separate"/>
            </w:r>
            <w:r>
              <w:rPr>
                <w:noProof/>
                <w:webHidden/>
              </w:rPr>
              <w:t>33</w:t>
            </w:r>
            <w:r>
              <w:rPr>
                <w:noProof/>
                <w:webHidden/>
              </w:rPr>
              <w:fldChar w:fldCharType="end"/>
            </w:r>
          </w:hyperlink>
        </w:p>
        <w:p w14:paraId="0D866371" w14:textId="77777777" w:rsidR="004E4614" w:rsidRDefault="004E4614">
          <w:pPr>
            <w:pStyle w:val="TOC3"/>
            <w:tabs>
              <w:tab w:val="right" w:leader="dot" w:pos="9016"/>
            </w:tabs>
            <w:rPr>
              <w:rFonts w:eastAsiaTheme="minorEastAsia" w:cstheme="minorBidi"/>
              <w:noProof/>
              <w:sz w:val="22"/>
              <w:szCs w:val="22"/>
              <w:lang w:val="en-GB"/>
            </w:rPr>
          </w:pPr>
          <w:hyperlink w:anchor="_Toc140567057" w:history="1">
            <w:r w:rsidRPr="00C8125F">
              <w:rPr>
                <w:rStyle w:val="Hyperlink"/>
                <w:noProof/>
              </w:rPr>
              <w:t>Nevladine organizacije</w:t>
            </w:r>
            <w:r>
              <w:rPr>
                <w:noProof/>
                <w:webHidden/>
              </w:rPr>
              <w:tab/>
            </w:r>
            <w:r>
              <w:rPr>
                <w:noProof/>
                <w:webHidden/>
              </w:rPr>
              <w:fldChar w:fldCharType="begin"/>
            </w:r>
            <w:r>
              <w:rPr>
                <w:noProof/>
                <w:webHidden/>
              </w:rPr>
              <w:instrText xml:space="preserve"> PAGEREF _Toc140567057 \h </w:instrText>
            </w:r>
            <w:r>
              <w:rPr>
                <w:noProof/>
                <w:webHidden/>
              </w:rPr>
            </w:r>
            <w:r>
              <w:rPr>
                <w:noProof/>
                <w:webHidden/>
              </w:rPr>
              <w:fldChar w:fldCharType="separate"/>
            </w:r>
            <w:r>
              <w:rPr>
                <w:noProof/>
                <w:webHidden/>
              </w:rPr>
              <w:t>33</w:t>
            </w:r>
            <w:r>
              <w:rPr>
                <w:noProof/>
                <w:webHidden/>
              </w:rPr>
              <w:fldChar w:fldCharType="end"/>
            </w:r>
          </w:hyperlink>
        </w:p>
        <w:p w14:paraId="77A19B8C" w14:textId="77777777" w:rsidR="004E4614" w:rsidRDefault="004E4614">
          <w:pPr>
            <w:pStyle w:val="TOC3"/>
            <w:tabs>
              <w:tab w:val="right" w:leader="dot" w:pos="9016"/>
            </w:tabs>
            <w:rPr>
              <w:rFonts w:eastAsiaTheme="minorEastAsia" w:cstheme="minorBidi"/>
              <w:noProof/>
              <w:sz w:val="22"/>
              <w:szCs w:val="22"/>
              <w:lang w:val="en-GB"/>
            </w:rPr>
          </w:pPr>
          <w:hyperlink w:anchor="_Toc140567058" w:history="1">
            <w:r w:rsidRPr="00C8125F">
              <w:rPr>
                <w:rStyle w:val="Hyperlink"/>
                <w:noProof/>
              </w:rPr>
              <w:t>Političke partije</w:t>
            </w:r>
            <w:r>
              <w:rPr>
                <w:noProof/>
                <w:webHidden/>
              </w:rPr>
              <w:tab/>
            </w:r>
            <w:r>
              <w:rPr>
                <w:noProof/>
                <w:webHidden/>
              </w:rPr>
              <w:fldChar w:fldCharType="begin"/>
            </w:r>
            <w:r>
              <w:rPr>
                <w:noProof/>
                <w:webHidden/>
              </w:rPr>
              <w:instrText xml:space="preserve"> PAGEREF _Toc140567058 \h </w:instrText>
            </w:r>
            <w:r>
              <w:rPr>
                <w:noProof/>
                <w:webHidden/>
              </w:rPr>
            </w:r>
            <w:r>
              <w:rPr>
                <w:noProof/>
                <w:webHidden/>
              </w:rPr>
              <w:fldChar w:fldCharType="separate"/>
            </w:r>
            <w:r>
              <w:rPr>
                <w:noProof/>
                <w:webHidden/>
              </w:rPr>
              <w:t>33</w:t>
            </w:r>
            <w:r>
              <w:rPr>
                <w:noProof/>
                <w:webHidden/>
              </w:rPr>
              <w:fldChar w:fldCharType="end"/>
            </w:r>
          </w:hyperlink>
        </w:p>
        <w:p w14:paraId="0DD93E3A" w14:textId="77777777" w:rsidR="004E4614" w:rsidRDefault="004E4614">
          <w:pPr>
            <w:pStyle w:val="TOC3"/>
            <w:tabs>
              <w:tab w:val="right" w:leader="dot" w:pos="9016"/>
            </w:tabs>
            <w:rPr>
              <w:rFonts w:eastAsiaTheme="minorEastAsia" w:cstheme="minorBidi"/>
              <w:noProof/>
              <w:sz w:val="22"/>
              <w:szCs w:val="22"/>
              <w:lang w:val="en-GB"/>
            </w:rPr>
          </w:pPr>
          <w:hyperlink w:anchor="_Toc140567059" w:history="1">
            <w:r w:rsidRPr="00C8125F">
              <w:rPr>
                <w:rStyle w:val="Hyperlink"/>
                <w:noProof/>
              </w:rPr>
              <w:t>Privredna, strukovna udruženja i sindikati</w:t>
            </w:r>
            <w:r>
              <w:rPr>
                <w:noProof/>
                <w:webHidden/>
              </w:rPr>
              <w:tab/>
            </w:r>
            <w:r>
              <w:rPr>
                <w:noProof/>
                <w:webHidden/>
              </w:rPr>
              <w:fldChar w:fldCharType="begin"/>
            </w:r>
            <w:r>
              <w:rPr>
                <w:noProof/>
                <w:webHidden/>
              </w:rPr>
              <w:instrText xml:space="preserve"> PAGEREF _Toc140567059 \h </w:instrText>
            </w:r>
            <w:r>
              <w:rPr>
                <w:noProof/>
                <w:webHidden/>
              </w:rPr>
            </w:r>
            <w:r>
              <w:rPr>
                <w:noProof/>
                <w:webHidden/>
              </w:rPr>
              <w:fldChar w:fldCharType="separate"/>
            </w:r>
            <w:r>
              <w:rPr>
                <w:noProof/>
                <w:webHidden/>
              </w:rPr>
              <w:t>34</w:t>
            </w:r>
            <w:r>
              <w:rPr>
                <w:noProof/>
                <w:webHidden/>
              </w:rPr>
              <w:fldChar w:fldCharType="end"/>
            </w:r>
          </w:hyperlink>
        </w:p>
        <w:p w14:paraId="6234EDFE" w14:textId="77777777" w:rsidR="004E4614" w:rsidRDefault="004E4614">
          <w:pPr>
            <w:pStyle w:val="TOC3"/>
            <w:tabs>
              <w:tab w:val="right" w:leader="dot" w:pos="9016"/>
            </w:tabs>
            <w:rPr>
              <w:rFonts w:eastAsiaTheme="minorEastAsia" w:cstheme="minorBidi"/>
              <w:noProof/>
              <w:sz w:val="22"/>
              <w:szCs w:val="22"/>
              <w:lang w:val="en-GB"/>
            </w:rPr>
          </w:pPr>
          <w:hyperlink w:anchor="_Toc140567060" w:history="1">
            <w:r w:rsidRPr="00C8125F">
              <w:rPr>
                <w:rStyle w:val="Hyperlink"/>
                <w:noProof/>
              </w:rPr>
              <w:t>Skupština</w:t>
            </w:r>
            <w:r>
              <w:rPr>
                <w:noProof/>
                <w:webHidden/>
              </w:rPr>
              <w:tab/>
            </w:r>
            <w:r>
              <w:rPr>
                <w:noProof/>
                <w:webHidden/>
              </w:rPr>
              <w:fldChar w:fldCharType="begin"/>
            </w:r>
            <w:r>
              <w:rPr>
                <w:noProof/>
                <w:webHidden/>
              </w:rPr>
              <w:instrText xml:space="preserve"> PAGEREF _Toc140567060 \h </w:instrText>
            </w:r>
            <w:r>
              <w:rPr>
                <w:noProof/>
                <w:webHidden/>
              </w:rPr>
            </w:r>
            <w:r>
              <w:rPr>
                <w:noProof/>
                <w:webHidden/>
              </w:rPr>
              <w:fldChar w:fldCharType="separate"/>
            </w:r>
            <w:r>
              <w:rPr>
                <w:noProof/>
                <w:webHidden/>
              </w:rPr>
              <w:t>34</w:t>
            </w:r>
            <w:r>
              <w:rPr>
                <w:noProof/>
                <w:webHidden/>
              </w:rPr>
              <w:fldChar w:fldCharType="end"/>
            </w:r>
          </w:hyperlink>
        </w:p>
        <w:p w14:paraId="239B0896" w14:textId="77777777" w:rsidR="004E4614" w:rsidRDefault="004E4614">
          <w:pPr>
            <w:pStyle w:val="TOC3"/>
            <w:tabs>
              <w:tab w:val="right" w:leader="dot" w:pos="9016"/>
            </w:tabs>
            <w:rPr>
              <w:rFonts w:eastAsiaTheme="minorEastAsia" w:cstheme="minorBidi"/>
              <w:noProof/>
              <w:sz w:val="22"/>
              <w:szCs w:val="22"/>
              <w:lang w:val="en-GB"/>
            </w:rPr>
          </w:pPr>
          <w:hyperlink w:anchor="_Toc140567061" w:history="1">
            <w:r w:rsidRPr="00C8125F">
              <w:rPr>
                <w:rStyle w:val="Hyperlink"/>
                <w:noProof/>
              </w:rPr>
              <w:t>Uticajne javne ličnosti (i digitalni influenseri/ke)</w:t>
            </w:r>
            <w:r>
              <w:rPr>
                <w:noProof/>
                <w:webHidden/>
              </w:rPr>
              <w:tab/>
            </w:r>
            <w:r>
              <w:rPr>
                <w:noProof/>
                <w:webHidden/>
              </w:rPr>
              <w:fldChar w:fldCharType="begin"/>
            </w:r>
            <w:r>
              <w:rPr>
                <w:noProof/>
                <w:webHidden/>
              </w:rPr>
              <w:instrText xml:space="preserve"> PAGEREF _Toc140567061 \h </w:instrText>
            </w:r>
            <w:r>
              <w:rPr>
                <w:noProof/>
                <w:webHidden/>
              </w:rPr>
            </w:r>
            <w:r>
              <w:rPr>
                <w:noProof/>
                <w:webHidden/>
              </w:rPr>
              <w:fldChar w:fldCharType="separate"/>
            </w:r>
            <w:r>
              <w:rPr>
                <w:noProof/>
                <w:webHidden/>
              </w:rPr>
              <w:t>34</w:t>
            </w:r>
            <w:r>
              <w:rPr>
                <w:noProof/>
                <w:webHidden/>
              </w:rPr>
              <w:fldChar w:fldCharType="end"/>
            </w:r>
          </w:hyperlink>
        </w:p>
        <w:p w14:paraId="0DA517C5" w14:textId="77777777" w:rsidR="004E4614" w:rsidRDefault="004E4614">
          <w:pPr>
            <w:pStyle w:val="TOC3"/>
            <w:tabs>
              <w:tab w:val="right" w:leader="dot" w:pos="9016"/>
            </w:tabs>
            <w:rPr>
              <w:rFonts w:eastAsiaTheme="minorEastAsia" w:cstheme="minorBidi"/>
              <w:noProof/>
              <w:sz w:val="22"/>
              <w:szCs w:val="22"/>
              <w:lang w:val="en-GB"/>
            </w:rPr>
          </w:pPr>
          <w:hyperlink w:anchor="_Toc140567062" w:history="1">
            <w:r w:rsidRPr="00C8125F">
              <w:rPr>
                <w:rStyle w:val="Hyperlink"/>
                <w:noProof/>
              </w:rPr>
              <w:t>Vjerske zajednice</w:t>
            </w:r>
            <w:r>
              <w:rPr>
                <w:noProof/>
                <w:webHidden/>
              </w:rPr>
              <w:tab/>
            </w:r>
            <w:r>
              <w:rPr>
                <w:noProof/>
                <w:webHidden/>
              </w:rPr>
              <w:fldChar w:fldCharType="begin"/>
            </w:r>
            <w:r>
              <w:rPr>
                <w:noProof/>
                <w:webHidden/>
              </w:rPr>
              <w:instrText xml:space="preserve"> PAGEREF _Toc140567062 \h </w:instrText>
            </w:r>
            <w:r>
              <w:rPr>
                <w:noProof/>
                <w:webHidden/>
              </w:rPr>
            </w:r>
            <w:r>
              <w:rPr>
                <w:noProof/>
                <w:webHidden/>
              </w:rPr>
              <w:fldChar w:fldCharType="separate"/>
            </w:r>
            <w:r>
              <w:rPr>
                <w:noProof/>
                <w:webHidden/>
              </w:rPr>
              <w:t>35</w:t>
            </w:r>
            <w:r>
              <w:rPr>
                <w:noProof/>
                <w:webHidden/>
              </w:rPr>
              <w:fldChar w:fldCharType="end"/>
            </w:r>
          </w:hyperlink>
        </w:p>
        <w:p w14:paraId="118D99AA" w14:textId="77777777" w:rsidR="004E4614" w:rsidRDefault="004E4614">
          <w:pPr>
            <w:pStyle w:val="TOC3"/>
            <w:tabs>
              <w:tab w:val="right" w:leader="dot" w:pos="9016"/>
            </w:tabs>
            <w:rPr>
              <w:rFonts w:eastAsiaTheme="minorEastAsia" w:cstheme="minorBidi"/>
              <w:noProof/>
              <w:sz w:val="22"/>
              <w:szCs w:val="22"/>
              <w:lang w:val="en-GB"/>
            </w:rPr>
          </w:pPr>
          <w:hyperlink w:anchor="_Toc140567063" w:history="1">
            <w:r w:rsidRPr="00C8125F">
              <w:rPr>
                <w:rStyle w:val="Hyperlink"/>
                <w:noProof/>
              </w:rPr>
              <w:t>Umjetnici/ce i kulturne institucije</w:t>
            </w:r>
            <w:r>
              <w:rPr>
                <w:noProof/>
                <w:webHidden/>
              </w:rPr>
              <w:tab/>
            </w:r>
            <w:r>
              <w:rPr>
                <w:noProof/>
                <w:webHidden/>
              </w:rPr>
              <w:fldChar w:fldCharType="begin"/>
            </w:r>
            <w:r>
              <w:rPr>
                <w:noProof/>
                <w:webHidden/>
              </w:rPr>
              <w:instrText xml:space="preserve"> PAGEREF _Toc140567063 \h </w:instrText>
            </w:r>
            <w:r>
              <w:rPr>
                <w:noProof/>
                <w:webHidden/>
              </w:rPr>
            </w:r>
            <w:r>
              <w:rPr>
                <w:noProof/>
                <w:webHidden/>
              </w:rPr>
              <w:fldChar w:fldCharType="separate"/>
            </w:r>
            <w:r>
              <w:rPr>
                <w:noProof/>
                <w:webHidden/>
              </w:rPr>
              <w:t>35</w:t>
            </w:r>
            <w:r>
              <w:rPr>
                <w:noProof/>
                <w:webHidden/>
              </w:rPr>
              <w:fldChar w:fldCharType="end"/>
            </w:r>
          </w:hyperlink>
        </w:p>
        <w:p w14:paraId="004CD1F9" w14:textId="77777777" w:rsidR="004E4614" w:rsidRDefault="004E4614">
          <w:pPr>
            <w:pStyle w:val="TOC1"/>
            <w:tabs>
              <w:tab w:val="right" w:leader="dot" w:pos="9016"/>
            </w:tabs>
            <w:rPr>
              <w:rFonts w:eastAsiaTheme="minorEastAsia" w:cstheme="minorBidi"/>
              <w:b w:val="0"/>
              <w:bCs w:val="0"/>
              <w:i w:val="0"/>
              <w:iCs w:val="0"/>
              <w:noProof/>
              <w:sz w:val="22"/>
              <w:szCs w:val="22"/>
              <w:lang w:val="en-GB"/>
            </w:rPr>
          </w:pPr>
          <w:hyperlink w:anchor="_Toc140567064" w:history="1">
            <w:r w:rsidRPr="00C8125F">
              <w:rPr>
                <w:rStyle w:val="Hyperlink"/>
                <w:noProof/>
              </w:rPr>
              <w:t>Strategijski i operativni ciljevi</w:t>
            </w:r>
            <w:r>
              <w:rPr>
                <w:noProof/>
                <w:webHidden/>
              </w:rPr>
              <w:tab/>
            </w:r>
            <w:r>
              <w:rPr>
                <w:noProof/>
                <w:webHidden/>
              </w:rPr>
              <w:fldChar w:fldCharType="begin"/>
            </w:r>
            <w:r>
              <w:rPr>
                <w:noProof/>
                <w:webHidden/>
              </w:rPr>
              <w:instrText xml:space="preserve"> PAGEREF _Toc140567064 \h </w:instrText>
            </w:r>
            <w:r>
              <w:rPr>
                <w:noProof/>
                <w:webHidden/>
              </w:rPr>
            </w:r>
            <w:r>
              <w:rPr>
                <w:noProof/>
                <w:webHidden/>
              </w:rPr>
              <w:fldChar w:fldCharType="separate"/>
            </w:r>
            <w:r>
              <w:rPr>
                <w:noProof/>
                <w:webHidden/>
              </w:rPr>
              <w:t>35</w:t>
            </w:r>
            <w:r>
              <w:rPr>
                <w:noProof/>
                <w:webHidden/>
              </w:rPr>
              <w:fldChar w:fldCharType="end"/>
            </w:r>
          </w:hyperlink>
        </w:p>
        <w:p w14:paraId="1E1FEE50" w14:textId="77777777" w:rsidR="004E4614" w:rsidRDefault="004E4614">
          <w:pPr>
            <w:pStyle w:val="TOC1"/>
            <w:tabs>
              <w:tab w:val="right" w:leader="dot" w:pos="9016"/>
            </w:tabs>
            <w:rPr>
              <w:rFonts w:eastAsiaTheme="minorEastAsia" w:cstheme="minorBidi"/>
              <w:b w:val="0"/>
              <w:bCs w:val="0"/>
              <w:i w:val="0"/>
              <w:iCs w:val="0"/>
              <w:noProof/>
              <w:sz w:val="22"/>
              <w:szCs w:val="22"/>
              <w:lang w:val="en-GB"/>
            </w:rPr>
          </w:pPr>
          <w:hyperlink w:anchor="_Toc140567065" w:history="1">
            <w:r w:rsidRPr="00C8125F">
              <w:rPr>
                <w:rStyle w:val="Hyperlink"/>
                <w:noProof/>
              </w:rPr>
              <w:t>Ključne poruke koje komuniciramo prema javnostima</w:t>
            </w:r>
            <w:r>
              <w:rPr>
                <w:noProof/>
                <w:webHidden/>
              </w:rPr>
              <w:tab/>
            </w:r>
            <w:r>
              <w:rPr>
                <w:noProof/>
                <w:webHidden/>
              </w:rPr>
              <w:fldChar w:fldCharType="begin"/>
            </w:r>
            <w:r>
              <w:rPr>
                <w:noProof/>
                <w:webHidden/>
              </w:rPr>
              <w:instrText xml:space="preserve"> PAGEREF _Toc140567065 \h </w:instrText>
            </w:r>
            <w:r>
              <w:rPr>
                <w:noProof/>
                <w:webHidden/>
              </w:rPr>
            </w:r>
            <w:r>
              <w:rPr>
                <w:noProof/>
                <w:webHidden/>
              </w:rPr>
              <w:fldChar w:fldCharType="separate"/>
            </w:r>
            <w:r>
              <w:rPr>
                <w:noProof/>
                <w:webHidden/>
              </w:rPr>
              <w:t>37</w:t>
            </w:r>
            <w:r>
              <w:rPr>
                <w:noProof/>
                <w:webHidden/>
              </w:rPr>
              <w:fldChar w:fldCharType="end"/>
            </w:r>
          </w:hyperlink>
        </w:p>
        <w:p w14:paraId="4A063706" w14:textId="77777777" w:rsidR="004E4614" w:rsidRDefault="004E4614">
          <w:pPr>
            <w:pStyle w:val="TOC1"/>
            <w:tabs>
              <w:tab w:val="right" w:leader="dot" w:pos="9016"/>
            </w:tabs>
            <w:rPr>
              <w:rFonts w:eastAsiaTheme="minorEastAsia" w:cstheme="minorBidi"/>
              <w:b w:val="0"/>
              <w:bCs w:val="0"/>
              <w:i w:val="0"/>
              <w:iCs w:val="0"/>
              <w:noProof/>
              <w:sz w:val="22"/>
              <w:szCs w:val="22"/>
              <w:lang w:val="en-GB"/>
            </w:rPr>
          </w:pPr>
          <w:hyperlink w:anchor="_Toc140567066" w:history="1">
            <w:r w:rsidRPr="00C8125F">
              <w:rPr>
                <w:rStyle w:val="Hyperlink"/>
                <w:noProof/>
              </w:rPr>
              <w:t>Ključne aktivnosti za sprovođenje operativnih ciljeva</w:t>
            </w:r>
            <w:r>
              <w:rPr>
                <w:noProof/>
                <w:webHidden/>
              </w:rPr>
              <w:tab/>
            </w:r>
            <w:r>
              <w:rPr>
                <w:noProof/>
                <w:webHidden/>
              </w:rPr>
              <w:fldChar w:fldCharType="begin"/>
            </w:r>
            <w:r>
              <w:rPr>
                <w:noProof/>
                <w:webHidden/>
              </w:rPr>
              <w:instrText xml:space="preserve"> PAGEREF _Toc140567066 \h </w:instrText>
            </w:r>
            <w:r>
              <w:rPr>
                <w:noProof/>
                <w:webHidden/>
              </w:rPr>
            </w:r>
            <w:r>
              <w:rPr>
                <w:noProof/>
                <w:webHidden/>
              </w:rPr>
              <w:fldChar w:fldCharType="separate"/>
            </w:r>
            <w:r>
              <w:rPr>
                <w:noProof/>
                <w:webHidden/>
              </w:rPr>
              <w:t>40</w:t>
            </w:r>
            <w:r>
              <w:rPr>
                <w:noProof/>
                <w:webHidden/>
              </w:rPr>
              <w:fldChar w:fldCharType="end"/>
            </w:r>
          </w:hyperlink>
        </w:p>
        <w:p w14:paraId="6B79BFBD" w14:textId="77777777" w:rsidR="004E4614" w:rsidRDefault="004E4614">
          <w:pPr>
            <w:pStyle w:val="TOC2"/>
            <w:tabs>
              <w:tab w:val="right" w:leader="dot" w:pos="9016"/>
            </w:tabs>
            <w:rPr>
              <w:rFonts w:eastAsiaTheme="minorEastAsia" w:cstheme="minorBidi"/>
              <w:b w:val="0"/>
              <w:bCs w:val="0"/>
              <w:noProof/>
              <w:lang w:val="en-GB"/>
            </w:rPr>
          </w:pPr>
          <w:hyperlink w:anchor="_Toc140567067" w:history="1">
            <w:r w:rsidRPr="00C8125F">
              <w:rPr>
                <w:rStyle w:val="Hyperlink"/>
                <w:noProof/>
              </w:rPr>
              <w:t>Komunikacioni kanali, metode i tehnike</w:t>
            </w:r>
            <w:r>
              <w:rPr>
                <w:noProof/>
                <w:webHidden/>
              </w:rPr>
              <w:tab/>
            </w:r>
            <w:r>
              <w:rPr>
                <w:noProof/>
                <w:webHidden/>
              </w:rPr>
              <w:fldChar w:fldCharType="begin"/>
            </w:r>
            <w:r>
              <w:rPr>
                <w:noProof/>
                <w:webHidden/>
              </w:rPr>
              <w:instrText xml:space="preserve"> PAGEREF _Toc140567067 \h </w:instrText>
            </w:r>
            <w:r>
              <w:rPr>
                <w:noProof/>
                <w:webHidden/>
              </w:rPr>
            </w:r>
            <w:r>
              <w:rPr>
                <w:noProof/>
                <w:webHidden/>
              </w:rPr>
              <w:fldChar w:fldCharType="separate"/>
            </w:r>
            <w:r>
              <w:rPr>
                <w:noProof/>
                <w:webHidden/>
              </w:rPr>
              <w:t>42</w:t>
            </w:r>
            <w:r>
              <w:rPr>
                <w:noProof/>
                <w:webHidden/>
              </w:rPr>
              <w:fldChar w:fldCharType="end"/>
            </w:r>
          </w:hyperlink>
        </w:p>
        <w:p w14:paraId="38BD9857" w14:textId="77777777" w:rsidR="004E4614" w:rsidRDefault="004E4614">
          <w:pPr>
            <w:pStyle w:val="TOC3"/>
            <w:tabs>
              <w:tab w:val="right" w:leader="dot" w:pos="9016"/>
            </w:tabs>
            <w:rPr>
              <w:rFonts w:eastAsiaTheme="minorEastAsia" w:cstheme="minorBidi"/>
              <w:noProof/>
              <w:sz w:val="22"/>
              <w:szCs w:val="22"/>
              <w:lang w:val="en-GB"/>
            </w:rPr>
          </w:pPr>
          <w:hyperlink w:anchor="_Toc140567068" w:history="1">
            <w:r w:rsidRPr="00C8125F">
              <w:rPr>
                <w:rStyle w:val="Hyperlink"/>
                <w:noProof/>
              </w:rPr>
              <w:t>Mediji</w:t>
            </w:r>
            <w:r>
              <w:rPr>
                <w:noProof/>
                <w:webHidden/>
              </w:rPr>
              <w:tab/>
            </w:r>
            <w:r>
              <w:rPr>
                <w:noProof/>
                <w:webHidden/>
              </w:rPr>
              <w:fldChar w:fldCharType="begin"/>
            </w:r>
            <w:r>
              <w:rPr>
                <w:noProof/>
                <w:webHidden/>
              </w:rPr>
              <w:instrText xml:space="preserve"> PAGEREF _Toc140567068 \h </w:instrText>
            </w:r>
            <w:r>
              <w:rPr>
                <w:noProof/>
                <w:webHidden/>
              </w:rPr>
            </w:r>
            <w:r>
              <w:rPr>
                <w:noProof/>
                <w:webHidden/>
              </w:rPr>
              <w:fldChar w:fldCharType="separate"/>
            </w:r>
            <w:r>
              <w:rPr>
                <w:noProof/>
                <w:webHidden/>
              </w:rPr>
              <w:t>42</w:t>
            </w:r>
            <w:r>
              <w:rPr>
                <w:noProof/>
                <w:webHidden/>
              </w:rPr>
              <w:fldChar w:fldCharType="end"/>
            </w:r>
          </w:hyperlink>
        </w:p>
        <w:p w14:paraId="5C8A23FC" w14:textId="77777777" w:rsidR="004E4614" w:rsidRDefault="004E4614">
          <w:pPr>
            <w:pStyle w:val="TOC3"/>
            <w:tabs>
              <w:tab w:val="right" w:leader="dot" w:pos="9016"/>
            </w:tabs>
            <w:rPr>
              <w:rFonts w:eastAsiaTheme="minorEastAsia" w:cstheme="minorBidi"/>
              <w:noProof/>
              <w:sz w:val="22"/>
              <w:szCs w:val="22"/>
              <w:lang w:val="en-GB"/>
            </w:rPr>
          </w:pPr>
          <w:hyperlink w:anchor="_Toc140567069" w:history="1">
            <w:r w:rsidRPr="00C8125F">
              <w:rPr>
                <w:rStyle w:val="Hyperlink"/>
                <w:noProof/>
              </w:rPr>
              <w:t>Internet i društvene mreže</w:t>
            </w:r>
            <w:r>
              <w:rPr>
                <w:noProof/>
                <w:webHidden/>
              </w:rPr>
              <w:tab/>
            </w:r>
            <w:r>
              <w:rPr>
                <w:noProof/>
                <w:webHidden/>
              </w:rPr>
              <w:fldChar w:fldCharType="begin"/>
            </w:r>
            <w:r>
              <w:rPr>
                <w:noProof/>
                <w:webHidden/>
              </w:rPr>
              <w:instrText xml:space="preserve"> PAGEREF _Toc140567069 \h </w:instrText>
            </w:r>
            <w:r>
              <w:rPr>
                <w:noProof/>
                <w:webHidden/>
              </w:rPr>
            </w:r>
            <w:r>
              <w:rPr>
                <w:noProof/>
                <w:webHidden/>
              </w:rPr>
              <w:fldChar w:fldCharType="separate"/>
            </w:r>
            <w:r>
              <w:rPr>
                <w:noProof/>
                <w:webHidden/>
              </w:rPr>
              <w:t>43</w:t>
            </w:r>
            <w:r>
              <w:rPr>
                <w:noProof/>
                <w:webHidden/>
              </w:rPr>
              <w:fldChar w:fldCharType="end"/>
            </w:r>
          </w:hyperlink>
        </w:p>
        <w:p w14:paraId="3A936758" w14:textId="77777777" w:rsidR="004E4614" w:rsidRDefault="004E4614">
          <w:pPr>
            <w:pStyle w:val="TOC3"/>
            <w:tabs>
              <w:tab w:val="right" w:leader="dot" w:pos="9016"/>
            </w:tabs>
            <w:rPr>
              <w:rFonts w:eastAsiaTheme="minorEastAsia" w:cstheme="minorBidi"/>
              <w:noProof/>
              <w:sz w:val="22"/>
              <w:szCs w:val="22"/>
              <w:lang w:val="en-GB"/>
            </w:rPr>
          </w:pPr>
          <w:hyperlink w:anchor="_Toc140567070" w:history="1">
            <w:r w:rsidRPr="00C8125F">
              <w:rPr>
                <w:rStyle w:val="Hyperlink"/>
                <w:noProof/>
              </w:rPr>
              <w:t>Sadržaj - forma i stil</w:t>
            </w:r>
            <w:r>
              <w:rPr>
                <w:noProof/>
                <w:webHidden/>
              </w:rPr>
              <w:tab/>
            </w:r>
            <w:r>
              <w:rPr>
                <w:noProof/>
                <w:webHidden/>
              </w:rPr>
              <w:fldChar w:fldCharType="begin"/>
            </w:r>
            <w:r>
              <w:rPr>
                <w:noProof/>
                <w:webHidden/>
              </w:rPr>
              <w:instrText xml:space="preserve"> PAGEREF _Toc140567070 \h </w:instrText>
            </w:r>
            <w:r>
              <w:rPr>
                <w:noProof/>
                <w:webHidden/>
              </w:rPr>
            </w:r>
            <w:r>
              <w:rPr>
                <w:noProof/>
                <w:webHidden/>
              </w:rPr>
              <w:fldChar w:fldCharType="separate"/>
            </w:r>
            <w:r>
              <w:rPr>
                <w:noProof/>
                <w:webHidden/>
              </w:rPr>
              <w:t>44</w:t>
            </w:r>
            <w:r>
              <w:rPr>
                <w:noProof/>
                <w:webHidden/>
              </w:rPr>
              <w:fldChar w:fldCharType="end"/>
            </w:r>
          </w:hyperlink>
        </w:p>
        <w:p w14:paraId="43F06AEB" w14:textId="77777777" w:rsidR="004E4614" w:rsidRDefault="004E4614">
          <w:pPr>
            <w:pStyle w:val="TOC1"/>
            <w:tabs>
              <w:tab w:val="right" w:leader="dot" w:pos="9016"/>
            </w:tabs>
            <w:rPr>
              <w:rFonts w:eastAsiaTheme="minorEastAsia" w:cstheme="minorBidi"/>
              <w:b w:val="0"/>
              <w:bCs w:val="0"/>
              <w:i w:val="0"/>
              <w:iCs w:val="0"/>
              <w:noProof/>
              <w:sz w:val="22"/>
              <w:szCs w:val="22"/>
              <w:lang w:val="en-GB"/>
            </w:rPr>
          </w:pPr>
          <w:hyperlink w:anchor="_Toc140567071" w:history="1">
            <w:r w:rsidRPr="00C8125F">
              <w:rPr>
                <w:rStyle w:val="Hyperlink"/>
                <w:noProof/>
              </w:rPr>
              <w:t>Monitoring i evaluacija sa indikatorima uspjeha</w:t>
            </w:r>
            <w:r>
              <w:rPr>
                <w:noProof/>
                <w:webHidden/>
              </w:rPr>
              <w:tab/>
            </w:r>
            <w:r>
              <w:rPr>
                <w:noProof/>
                <w:webHidden/>
              </w:rPr>
              <w:fldChar w:fldCharType="begin"/>
            </w:r>
            <w:r>
              <w:rPr>
                <w:noProof/>
                <w:webHidden/>
              </w:rPr>
              <w:instrText xml:space="preserve"> PAGEREF _Toc140567071 \h </w:instrText>
            </w:r>
            <w:r>
              <w:rPr>
                <w:noProof/>
                <w:webHidden/>
              </w:rPr>
            </w:r>
            <w:r>
              <w:rPr>
                <w:noProof/>
                <w:webHidden/>
              </w:rPr>
              <w:fldChar w:fldCharType="separate"/>
            </w:r>
            <w:r>
              <w:rPr>
                <w:noProof/>
                <w:webHidden/>
              </w:rPr>
              <w:t>46</w:t>
            </w:r>
            <w:r>
              <w:rPr>
                <w:noProof/>
                <w:webHidden/>
              </w:rPr>
              <w:fldChar w:fldCharType="end"/>
            </w:r>
          </w:hyperlink>
        </w:p>
        <w:p w14:paraId="79428BF0" w14:textId="77777777" w:rsidR="004E4614" w:rsidRDefault="004E4614">
          <w:pPr>
            <w:pStyle w:val="TOC2"/>
            <w:tabs>
              <w:tab w:val="right" w:leader="dot" w:pos="9016"/>
            </w:tabs>
            <w:rPr>
              <w:rFonts w:eastAsiaTheme="minorEastAsia" w:cstheme="minorBidi"/>
              <w:b w:val="0"/>
              <w:bCs w:val="0"/>
              <w:noProof/>
              <w:lang w:val="en-GB"/>
            </w:rPr>
          </w:pPr>
          <w:hyperlink w:anchor="_Toc140567072" w:history="1">
            <w:r w:rsidRPr="00C8125F">
              <w:rPr>
                <w:rStyle w:val="Hyperlink"/>
                <w:noProof/>
                <w:lang w:val="bs-Latn-BA"/>
              </w:rPr>
              <w:t>TABELA: STRATEGIJSKI I OPERATIVNI CILJEVI SA INDIKATORIMA:</w:t>
            </w:r>
            <w:r>
              <w:rPr>
                <w:noProof/>
                <w:webHidden/>
              </w:rPr>
              <w:tab/>
            </w:r>
            <w:r>
              <w:rPr>
                <w:noProof/>
                <w:webHidden/>
              </w:rPr>
              <w:fldChar w:fldCharType="begin"/>
            </w:r>
            <w:r>
              <w:rPr>
                <w:noProof/>
                <w:webHidden/>
              </w:rPr>
              <w:instrText xml:space="preserve"> PAGEREF _Toc140567072 \h </w:instrText>
            </w:r>
            <w:r>
              <w:rPr>
                <w:noProof/>
                <w:webHidden/>
              </w:rPr>
            </w:r>
            <w:r>
              <w:rPr>
                <w:noProof/>
                <w:webHidden/>
              </w:rPr>
              <w:fldChar w:fldCharType="separate"/>
            </w:r>
            <w:r>
              <w:rPr>
                <w:noProof/>
                <w:webHidden/>
              </w:rPr>
              <w:t>47</w:t>
            </w:r>
            <w:r>
              <w:rPr>
                <w:noProof/>
                <w:webHidden/>
              </w:rPr>
              <w:fldChar w:fldCharType="end"/>
            </w:r>
          </w:hyperlink>
        </w:p>
        <w:p w14:paraId="08FF7CD6" w14:textId="77777777" w:rsidR="004E4614" w:rsidRDefault="004E4614">
          <w:pPr>
            <w:pStyle w:val="TOC1"/>
            <w:tabs>
              <w:tab w:val="right" w:leader="dot" w:pos="9016"/>
            </w:tabs>
            <w:rPr>
              <w:rFonts w:eastAsiaTheme="minorEastAsia" w:cstheme="minorBidi"/>
              <w:b w:val="0"/>
              <w:bCs w:val="0"/>
              <w:i w:val="0"/>
              <w:iCs w:val="0"/>
              <w:noProof/>
              <w:sz w:val="22"/>
              <w:szCs w:val="22"/>
              <w:lang w:val="en-GB"/>
            </w:rPr>
          </w:pPr>
          <w:hyperlink w:anchor="_Toc140567073" w:history="1">
            <w:r w:rsidRPr="00C8125F">
              <w:rPr>
                <w:rStyle w:val="Hyperlink"/>
                <w:noProof/>
              </w:rPr>
              <w:t>Literatura:</w:t>
            </w:r>
            <w:r>
              <w:rPr>
                <w:noProof/>
                <w:webHidden/>
              </w:rPr>
              <w:tab/>
            </w:r>
            <w:r>
              <w:rPr>
                <w:noProof/>
                <w:webHidden/>
              </w:rPr>
              <w:fldChar w:fldCharType="begin"/>
            </w:r>
            <w:r>
              <w:rPr>
                <w:noProof/>
                <w:webHidden/>
              </w:rPr>
              <w:instrText xml:space="preserve"> PAGEREF _Toc140567073 \h </w:instrText>
            </w:r>
            <w:r>
              <w:rPr>
                <w:noProof/>
                <w:webHidden/>
              </w:rPr>
            </w:r>
            <w:r>
              <w:rPr>
                <w:noProof/>
                <w:webHidden/>
              </w:rPr>
              <w:fldChar w:fldCharType="separate"/>
            </w:r>
            <w:r>
              <w:rPr>
                <w:noProof/>
                <w:webHidden/>
              </w:rPr>
              <w:t>50</w:t>
            </w:r>
            <w:r>
              <w:rPr>
                <w:noProof/>
                <w:webHidden/>
              </w:rPr>
              <w:fldChar w:fldCharType="end"/>
            </w:r>
          </w:hyperlink>
        </w:p>
        <w:p w14:paraId="4C64E0F4" w14:textId="77777777" w:rsidR="004E4614" w:rsidRDefault="004E4614">
          <w:pPr>
            <w:pStyle w:val="TOC1"/>
            <w:tabs>
              <w:tab w:val="right" w:leader="dot" w:pos="9016"/>
            </w:tabs>
            <w:rPr>
              <w:rFonts w:eastAsiaTheme="minorEastAsia" w:cstheme="minorBidi"/>
              <w:b w:val="0"/>
              <w:bCs w:val="0"/>
              <w:i w:val="0"/>
              <w:iCs w:val="0"/>
              <w:noProof/>
              <w:sz w:val="22"/>
              <w:szCs w:val="22"/>
              <w:lang w:val="en-GB"/>
            </w:rPr>
          </w:pPr>
          <w:hyperlink w:anchor="_Toc140567074" w:history="1">
            <w:r w:rsidRPr="00C8125F">
              <w:rPr>
                <w:rStyle w:val="Hyperlink"/>
                <w:noProof/>
              </w:rPr>
              <w:t>Radni tim za izradu Strategije informisanja javnosti o pristupanju Crne Gore Evropskoj uniji 2023 – 2026. godina:</w:t>
            </w:r>
            <w:r>
              <w:rPr>
                <w:noProof/>
                <w:webHidden/>
              </w:rPr>
              <w:tab/>
            </w:r>
            <w:r>
              <w:rPr>
                <w:noProof/>
                <w:webHidden/>
              </w:rPr>
              <w:fldChar w:fldCharType="begin"/>
            </w:r>
            <w:r>
              <w:rPr>
                <w:noProof/>
                <w:webHidden/>
              </w:rPr>
              <w:instrText xml:space="preserve"> PAGEREF _Toc140567074 \h </w:instrText>
            </w:r>
            <w:r>
              <w:rPr>
                <w:noProof/>
                <w:webHidden/>
              </w:rPr>
            </w:r>
            <w:r>
              <w:rPr>
                <w:noProof/>
                <w:webHidden/>
              </w:rPr>
              <w:fldChar w:fldCharType="separate"/>
            </w:r>
            <w:r>
              <w:rPr>
                <w:noProof/>
                <w:webHidden/>
              </w:rPr>
              <w:t>51</w:t>
            </w:r>
            <w:r>
              <w:rPr>
                <w:noProof/>
                <w:webHidden/>
              </w:rPr>
              <w:fldChar w:fldCharType="end"/>
            </w:r>
          </w:hyperlink>
        </w:p>
        <w:p w14:paraId="1A6F5D24" w14:textId="5516C7DB" w:rsidR="004E4614" w:rsidRDefault="004E4614">
          <w:r>
            <w:rPr>
              <w:b/>
              <w:bCs/>
              <w:noProof/>
            </w:rPr>
            <w:fldChar w:fldCharType="end"/>
          </w:r>
        </w:p>
      </w:sdtContent>
    </w:sdt>
    <w:p w14:paraId="0000002A" w14:textId="77777777" w:rsidR="007A6527" w:rsidRDefault="007A6527"/>
    <w:p w14:paraId="0000002B" w14:textId="77777777" w:rsidR="007A6527" w:rsidRDefault="007A6527"/>
    <w:p w14:paraId="0000002C" w14:textId="77777777" w:rsidR="007A6527" w:rsidRDefault="007A6527"/>
    <w:p w14:paraId="0000002D" w14:textId="3BDA43A2" w:rsidR="007A6527" w:rsidRDefault="008A787C">
      <w:pPr>
        <w:rPr>
          <w:color w:val="2F5496"/>
          <w:sz w:val="32"/>
          <w:szCs w:val="32"/>
        </w:rPr>
      </w:pPr>
      <w:r>
        <w:br w:type="page"/>
      </w:r>
    </w:p>
    <w:p w14:paraId="0000002E" w14:textId="77777777" w:rsidR="007A6527" w:rsidRPr="000A5977" w:rsidRDefault="008A787C">
      <w:pPr>
        <w:pStyle w:val="Heading1"/>
        <w:rPr>
          <w:b/>
        </w:rPr>
      </w:pPr>
      <w:bookmarkStart w:id="0" w:name="_Toc140567021"/>
      <w:r w:rsidRPr="000A5977">
        <w:rPr>
          <w:b/>
        </w:rPr>
        <w:lastRenderedPageBreak/>
        <w:t>Uvod</w:t>
      </w:r>
      <w:bookmarkEnd w:id="0"/>
    </w:p>
    <w:p w14:paraId="0000002F" w14:textId="77777777" w:rsidR="007A6527" w:rsidRPr="007D6D89" w:rsidRDefault="008A787C">
      <w:pPr>
        <w:spacing w:before="240"/>
      </w:pPr>
      <w:r>
        <w:rPr>
          <w:i/>
        </w:rPr>
        <w:t xml:space="preserve">Strategija informisanja javnosti o pristupanju Crne Gore Evropskoj uniji </w:t>
      </w:r>
      <w:r>
        <w:t>za period 2023-2026. godine</w:t>
      </w:r>
      <w:r>
        <w:rPr>
          <w:i/>
        </w:rPr>
        <w:t xml:space="preserve"> </w:t>
      </w:r>
      <w:r>
        <w:t xml:space="preserve">(u daljem tekstu Strategija) je strateški dokument Vlade koji postavlja okvir i definiše smjernice za efikasno komuniciranje evropske integracije Crne Gore. Kontinuirano i kvalitetno informisanje javnosti kroz jasno komuniciranje integracionog procesa veoma je važan preduslov za kvalitetno pristupanje i za uspostavljanje i održanje visoke podrške građana i </w:t>
      </w:r>
      <w:r w:rsidRPr="007D6D89">
        <w:t xml:space="preserve">građanki ovom procesu. </w:t>
      </w:r>
    </w:p>
    <w:p w14:paraId="2D55105D" w14:textId="79AD6443" w:rsidR="0069416A" w:rsidRPr="00225DBE" w:rsidRDefault="0069416A" w:rsidP="002E6BB9">
      <w:pPr>
        <w:autoSpaceDE w:val="0"/>
        <w:autoSpaceDN w:val="0"/>
        <w:adjustRightInd w:val="0"/>
        <w:rPr>
          <w:rFonts w:cs="BryantPro-Regular"/>
          <w:lang w:val="sr-Latn-ME"/>
        </w:rPr>
      </w:pPr>
      <w:r w:rsidRPr="00225DBE">
        <w:rPr>
          <w:rFonts w:cs="BryantPro-RegularItalic"/>
          <w:iCs/>
          <w:lang w:val="sr-Latn-ME"/>
        </w:rPr>
        <w:t>Donošenje Strategije proističe iz prioriteta definisanih</w:t>
      </w:r>
      <w:r w:rsidRPr="00225DBE">
        <w:rPr>
          <w:rFonts w:cs="BryantPro-Regular"/>
          <w:lang w:val="sr-Latn-ME"/>
        </w:rPr>
        <w:t xml:space="preserve"> Srednjoročnim programom</w:t>
      </w:r>
    </w:p>
    <w:p w14:paraId="454385FB" w14:textId="2011C39A" w:rsidR="002E6BB9" w:rsidRDefault="0069416A" w:rsidP="002E6BB9">
      <w:pPr>
        <w:autoSpaceDE w:val="0"/>
        <w:autoSpaceDN w:val="0"/>
        <w:adjustRightInd w:val="0"/>
        <w:rPr>
          <w:rFonts w:cs="BryantPro-RegularItalic"/>
          <w:iCs/>
          <w:lang w:val="sr-Latn-ME"/>
        </w:rPr>
      </w:pPr>
      <w:r w:rsidRPr="00225DBE">
        <w:rPr>
          <w:rFonts w:cs="BryantPro-Regular"/>
          <w:lang w:val="sr-Latn-ME"/>
        </w:rPr>
        <w:t>rada Vlade</w:t>
      </w:r>
      <w:r w:rsidR="002E6BB9" w:rsidRPr="00225DBE">
        <w:rPr>
          <w:rFonts w:cs="BryantPro-Regular"/>
          <w:lang w:val="sr-Latn-ME"/>
        </w:rPr>
        <w:t xml:space="preserve"> 2022- 2024</w:t>
      </w:r>
      <w:r w:rsidRPr="00225DBE">
        <w:rPr>
          <w:rFonts w:cs="BryantPro-Regular"/>
          <w:lang w:val="sr-Latn-ME"/>
        </w:rPr>
        <w:t xml:space="preserve">, </w:t>
      </w:r>
      <w:r w:rsidR="00383A8B" w:rsidRPr="00225DBE">
        <w:rPr>
          <w:rFonts w:cs="BryantPro-Regular"/>
          <w:lang w:val="sr-Latn-ME"/>
        </w:rPr>
        <w:t xml:space="preserve">konkretno </w:t>
      </w:r>
      <w:r w:rsidRPr="00225DBE">
        <w:rPr>
          <w:rFonts w:cs="BryantPro-RegularItalic"/>
          <w:iCs/>
          <w:lang w:val="sr-Latn-ME"/>
        </w:rPr>
        <w:t xml:space="preserve">Prioritetom 6: Crna Gora </w:t>
      </w:r>
      <w:r w:rsidR="002E6BB9" w:rsidRPr="00225DBE">
        <w:rPr>
          <w:rFonts w:cs="BryantPro-RegularItalic"/>
          <w:iCs/>
          <w:lang w:val="sr-Latn-ME"/>
        </w:rPr>
        <w:t>–</w:t>
      </w:r>
      <w:r w:rsidRPr="00225DBE">
        <w:rPr>
          <w:rFonts w:cs="BryantPro-RegularItalic"/>
          <w:iCs/>
          <w:lang w:val="sr-Latn-ME"/>
        </w:rPr>
        <w:t xml:space="preserve"> </w:t>
      </w:r>
      <w:r w:rsidR="002E6BB9" w:rsidRPr="00225DBE">
        <w:rPr>
          <w:rFonts w:cs="BryantPro-RegularItalic"/>
          <w:iCs/>
          <w:lang w:val="sr-Latn-ME"/>
        </w:rPr>
        <w:t>buduća članica Evropske unije, Cilj 1.1. Unapređenje informisanja javnosti o pristupanju Crne Gore EU</w:t>
      </w:r>
      <w:r w:rsidR="00383A8B" w:rsidRPr="00225DBE">
        <w:rPr>
          <w:rFonts w:cs="BryantPro-RegularItalic"/>
          <w:iCs/>
          <w:lang w:val="sr-Latn-ME"/>
        </w:rPr>
        <w:t>.</w:t>
      </w:r>
    </w:p>
    <w:p w14:paraId="5EA2FA45" w14:textId="77777777" w:rsidR="00E25AA7" w:rsidRPr="00E25AA7" w:rsidRDefault="00E25AA7" w:rsidP="00E25AA7">
      <w:pPr>
        <w:autoSpaceDE w:val="0"/>
        <w:autoSpaceDN w:val="0"/>
        <w:adjustRightInd w:val="0"/>
        <w:rPr>
          <w:rFonts w:cs="BryantPro-RegularItalic"/>
          <w:iCs/>
          <w:lang w:val="sr-Latn-ME"/>
        </w:rPr>
      </w:pPr>
      <w:r w:rsidRPr="00E25AA7">
        <w:rPr>
          <w:rFonts w:cs="BryantPro-RegularItalic"/>
          <w:iCs/>
          <w:lang w:val="sr-Latn-ME"/>
        </w:rPr>
        <w:t xml:space="preserve">Rezultati istraživanja javnog mnjenja u 2022. godini su pokazali da 52%, odnosno 51,7% građana smatraju sebe veoma dobro i dobro informisanih o procesu pristupanja Crne Gore Evropskoj uniji čime je dostignuta planirana vrijednost za tu godinu koja je podrazumijevala najmanje 50% veoma dobro i dobro informisanih o procesu pristupanja Crne Gore Evropskoj uniji. </w:t>
      </w:r>
    </w:p>
    <w:p w14:paraId="2D6819C3" w14:textId="6A2DB7FF" w:rsidR="00E25AA7" w:rsidRPr="00E25AA7" w:rsidRDefault="00E25AA7" w:rsidP="00E25AA7">
      <w:pPr>
        <w:autoSpaceDE w:val="0"/>
        <w:autoSpaceDN w:val="0"/>
        <w:adjustRightInd w:val="0"/>
        <w:rPr>
          <w:rFonts w:cs="BryantPro-RegularItalic"/>
          <w:iCs/>
          <w:lang w:val="sr-Latn-ME"/>
        </w:rPr>
      </w:pPr>
      <w:r w:rsidRPr="00E25AA7">
        <w:rPr>
          <w:rFonts w:cs="BryantPro-RegularItalic"/>
          <w:iCs/>
          <w:lang w:val="sr-Latn-ME"/>
        </w:rPr>
        <w:t xml:space="preserve">Osim na polju unapređenja informisanosti, </w:t>
      </w:r>
      <w:r w:rsidR="00826AA0">
        <w:rPr>
          <w:rFonts w:cs="BryantPro-RegularItalic"/>
          <w:iCs/>
          <w:lang w:val="sr-Latn-ME"/>
        </w:rPr>
        <w:t>rezultati istraživanja u 2022. g</w:t>
      </w:r>
      <w:r w:rsidRPr="00E25AA7">
        <w:rPr>
          <w:rFonts w:cs="BryantPro-RegularItalic"/>
          <w:iCs/>
          <w:lang w:val="sr-Latn-ME"/>
        </w:rPr>
        <w:t xml:space="preserve">odini su pokazali i blagi rast podrške građanki i građana članstvu Crne Gore u EU, sa 74,3 na 77,8%, što je u direktnoj korelaciji i rezultat je kvalitetnog i efikasnog informisanja javnosti na temu pristupanja Crne Gore EU. </w:t>
      </w:r>
    </w:p>
    <w:p w14:paraId="0433564D" w14:textId="23A7897C" w:rsidR="00E25AA7" w:rsidRPr="002E6BB9" w:rsidRDefault="00E25AA7" w:rsidP="00E25AA7">
      <w:pPr>
        <w:autoSpaceDE w:val="0"/>
        <w:autoSpaceDN w:val="0"/>
        <w:adjustRightInd w:val="0"/>
        <w:rPr>
          <w:rFonts w:cs="BryantPro-RegularItalic"/>
          <w:iCs/>
          <w:lang w:val="sr-Latn-ME"/>
        </w:rPr>
      </w:pPr>
      <w:r w:rsidRPr="00E25AA7">
        <w:rPr>
          <w:rFonts w:cs="BryantPro-RegularItalic"/>
          <w:iCs/>
          <w:lang w:val="sr-Latn-ME"/>
        </w:rPr>
        <w:t>Imajući u vidu važnost kvalitetnog i kontinuiranog informisanja javnosti za održanje stabilne podrške pristupanju Crne Gore EU, Srednjoročnim programom rada Vlade je predviđeno da Generalni sekretarijat Vlade, u saradnji sa partnerima, pripremi novi strateški dokument za period 2023 – 2026. godina s ciljem daljeg unapređenja informisanja domaće i inostrane javnosti o pristupanju Cr</w:t>
      </w:r>
      <w:r w:rsidR="0028044B">
        <w:rPr>
          <w:rFonts w:cs="BryantPro-RegularItalic"/>
          <w:iCs/>
          <w:lang w:val="sr-Latn-ME"/>
        </w:rPr>
        <w:t>ne</w:t>
      </w:r>
      <w:r w:rsidRPr="00E25AA7">
        <w:rPr>
          <w:rFonts w:cs="BryantPro-RegularItalic"/>
          <w:iCs/>
          <w:lang w:val="sr-Latn-ME"/>
        </w:rPr>
        <w:t xml:space="preserve"> Gore EU.</w:t>
      </w:r>
    </w:p>
    <w:p w14:paraId="00000030" w14:textId="02B2C491" w:rsidR="007A6527" w:rsidRDefault="008A787C">
      <w:pPr>
        <w:spacing w:before="240"/>
      </w:pPr>
      <w:r>
        <w:t xml:space="preserve">Crna Gora je otpočela pregovarački proces za pristupanje Evropskoj uniji 2012. godine i od tada otvorila 33 i privremeno zatvorila 3 pregovaračka poglavlja. Nakon što je promijenjena metodologija pristupanja, Crna Gora je prihvatila promjene i nastavila da iskazuje čvrstu političku volju i opredjeljenje za </w:t>
      </w:r>
      <w:r w:rsidR="00895D08">
        <w:t>pristupanjem EU</w:t>
      </w:r>
      <w:r w:rsidR="00FF3A68">
        <w:t>.</w:t>
      </w:r>
      <w:r>
        <w:t xml:space="preserve"> Uprkos brojnim izazovima tokom prethodnih godina, kao i tome da je posljednji Izvještaj  Evropske komisije o Crnoj Gori</w:t>
      </w:r>
      <w:r w:rsidR="00FF3A68">
        <w:t xml:space="preserve"> u 2022. godini</w:t>
      </w:r>
      <w:r>
        <w:t xml:space="preserve"> kritički ocijenio tempo promjena u određenim oblastima, podrška pristupanju kako od strane političkih elita, tako i od strane građana</w:t>
      </w:r>
      <w:r w:rsidR="00383A8B">
        <w:t>/ki</w:t>
      </w:r>
      <w:r>
        <w:t xml:space="preserve"> ostala je snažna i stabilna. </w:t>
      </w:r>
    </w:p>
    <w:p w14:paraId="00000031" w14:textId="7444F843" w:rsidR="007A6527" w:rsidRDefault="008A787C">
      <w:pPr>
        <w:spacing w:before="240"/>
      </w:pPr>
      <w:r>
        <w:t xml:space="preserve">Evropska integracija ostaje najvažniji vanjskopolitički prioritet Crne Gore, koji prožima sve aspekte života, od bezbjednosti, zaštite ljudskih prava do kvaliteta života i ekonomskog standarda, a Crna Gora je nastavila da usklađuje svoju </w:t>
      </w:r>
      <w:r w:rsidR="00B21111">
        <w:t xml:space="preserve">vanjsku </w:t>
      </w:r>
      <w:r>
        <w:t xml:space="preserve">politiku sa </w:t>
      </w:r>
      <w:r w:rsidR="00B21111">
        <w:t xml:space="preserve">vanjskom </w:t>
      </w:r>
      <w:r>
        <w:t xml:space="preserve">politikom Evropske unije. </w:t>
      </w:r>
    </w:p>
    <w:p w14:paraId="00000034" w14:textId="30002A45" w:rsidR="007A6527" w:rsidRDefault="008A787C">
      <w:pPr>
        <w:spacing w:before="240"/>
      </w:pPr>
      <w:r>
        <w:t xml:space="preserve">Strategija je izrađena u skladu s principom </w:t>
      </w:r>
      <w:r>
        <w:rPr>
          <w:i/>
        </w:rPr>
        <w:t>kontinuiteta</w:t>
      </w:r>
      <w:r>
        <w:t xml:space="preserve"> koji propisuje Uredba o načinu i postupku izrade, usklađivanja i praćenja sprovođenja </w:t>
      </w:r>
      <w:r w:rsidR="00B65DD5">
        <w:t xml:space="preserve">strateških </w:t>
      </w:r>
      <w:r>
        <w:t xml:space="preserve">dokumenata i naslanja se na iskustvo sprovođenja prethodne četiri komunikacione strategije o procesu pristupanja EU. Tokom proteklih godina napravljen je institucionalni okvir za komuniciranje, definisane su ključne poruke i uspostavljeni ključni komunikacioni kanali, kao i postignuti rezultati. Naime, podrška procesu pristupanja ostala je na veoma visokom nivou društvenog konsenzusa. </w:t>
      </w:r>
    </w:p>
    <w:p w14:paraId="00000035" w14:textId="77777777" w:rsidR="007A6527" w:rsidRDefault="008A787C">
      <w:pPr>
        <w:spacing w:before="240"/>
      </w:pPr>
      <w:r>
        <w:t>U skladu sa svim gore navedenim ova Strategija prati prioritete uspostavljene procesom evropske integracije i ključnim politikama EU, kako na nacionalnom, tako i na nivou EU. Izvedena je na osnovu analize prednosti i slabosti komunikacije iz proteklog perioda, kao i niza kvalitativnih i kvantitativnih istraživanja koji su tokom izrade dokumenta pretočeni u ključne poruke, kanale, metode i tehnike komuniciranja.</w:t>
      </w:r>
    </w:p>
    <w:p w14:paraId="4F9D322D" w14:textId="25C881B1" w:rsidR="003B24C9" w:rsidRDefault="003B24C9">
      <w:pPr>
        <w:spacing w:before="240"/>
      </w:pPr>
      <w:r w:rsidRPr="003B24C9">
        <w:t>U pogledu obaveza predviđenih Zakonom o rodnoj ravnopravnosti, kao i Nacionalnom strategijom rodne ravnopravnosti, prilikom izrade ovog dokumenta se vodilo računa o orodnjenosti dokumenta, kako u pogledu formiranja rodno izbalansiranog radnog tima, tako i u dijelu navođenja rodno disagregiranih podataka u analizi stanja, definisanju odgovarajućih aktivnosti kojima će se adresirati identifikovane rodne nejednakosti, do uvođenja rodno odgovornog budžetiranja, gdje god je to bilo moguće.</w:t>
      </w:r>
    </w:p>
    <w:p w14:paraId="5B654A86" w14:textId="6D520F2B" w:rsidR="001915A0" w:rsidRDefault="001915A0">
      <w:pPr>
        <w:spacing w:before="240"/>
      </w:pPr>
      <w:r>
        <w:t xml:space="preserve">Radnu grupu za izradu Strategije </w:t>
      </w:r>
      <w:r w:rsidRPr="001915A0">
        <w:t xml:space="preserve">informisanja javnosti o pristupanju Crne Gore Evropskoj uniji za period 2023-2026. </w:t>
      </w:r>
      <w:r>
        <w:t>g</w:t>
      </w:r>
      <w:r w:rsidRPr="001915A0">
        <w:t>odine</w:t>
      </w:r>
      <w:r>
        <w:t xml:space="preserve"> činilo je šest predstavnika i predstavnica Vlade Crne Gore, Odbora za evropske integracije Skupštine Crne Gore i Zajednice opština Crne Gore, od čega je pet predstavnica ženskog i jed</w:t>
      </w:r>
      <w:r w:rsidR="00B052C9">
        <w:t>a</w:t>
      </w:r>
      <w:r>
        <w:t>n predstavnik muškog pola.</w:t>
      </w:r>
    </w:p>
    <w:p w14:paraId="00000036" w14:textId="77777777" w:rsidR="007A6527" w:rsidRDefault="007A6527"/>
    <w:p w14:paraId="1F5C39DC" w14:textId="001CDC83" w:rsidR="003B24C9" w:rsidRDefault="003B24C9" w:rsidP="003B24C9">
      <w:r>
        <w:t xml:space="preserve">Na javni poziv za javnu raspravu odazvalo se 14 učesnika/ca (dva m. i dvanaest </w:t>
      </w:r>
      <w:r w:rsidR="00B052C9">
        <w:t>ž</w:t>
      </w:r>
      <w:r>
        <w:t xml:space="preserve">.), i to: osam predstavnika/ca lokalnih samouprava, jedna predstavnica nevladine organizacije i pet predstavnika/ca medija.  Od 13 predloga dobijenih putem javne rasprave, 7 se odnosilo na orodnjenost strateškog dokumenta. </w:t>
      </w:r>
    </w:p>
    <w:p w14:paraId="3DD106A2" w14:textId="495913AE" w:rsidR="00D22DB9" w:rsidRDefault="003B24C9">
      <w:r>
        <w:t>Kako bi se doprinijelo realizaciji ciljeva i mjera definisanih Nacionalnom strategijom rodne ravnopravnosti, i ostvarila kompatibilnost s navedenim dokumentom, u Strategiji informisanja javnosti o pristupanju Crne Gore EU 2023 -2026. godina, konkretno Akcionim planom za 2023. godinu, predviđene su odgovarajuće aktivnosti usmjerene na podsticanje rodne ravnopravnosti u komuniciranju procesa evropske integracije.</w:t>
      </w:r>
    </w:p>
    <w:p w14:paraId="6A6D46BC" w14:textId="7954D399" w:rsidR="001915A0" w:rsidRDefault="00C34189">
      <w:r w:rsidRPr="00C34189">
        <w:t>Kada je riječ o procjeni uticaja strateškog dokumenta na životnu sredinu, analizom predmetne javne politike je utvrđeno da ne postoji potencijalni uticaj na navedenu oblast.</w:t>
      </w:r>
    </w:p>
    <w:p w14:paraId="0800A140" w14:textId="77777777" w:rsidR="001915A0" w:rsidRDefault="001915A0"/>
    <w:p w14:paraId="5DF6CEA4" w14:textId="77777777" w:rsidR="00900DEF" w:rsidRDefault="00900DEF">
      <w:r>
        <w:t xml:space="preserve">Takođe, Strategija informisanja javnosti o pristupanju Crne Gore EU 2023 – 2026. godina  je kompatibilna dokumentu </w:t>
      </w:r>
      <w:r w:rsidRPr="00900DEF">
        <w:t>CLIP - Country Level Implementation</w:t>
      </w:r>
      <w:r>
        <w:t xml:space="preserve"> koji predstavlja instrument koordinisanog političkog dijaloga sa svim </w:t>
      </w:r>
      <w:r w:rsidRPr="00900DEF">
        <w:t>zainteresovanim akterima u zemlji</w:t>
      </w:r>
      <w:r>
        <w:t xml:space="preserve"> i</w:t>
      </w:r>
      <w:r w:rsidRPr="00900DEF">
        <w:t xml:space="preserve"> kojim se operacionalizuje dalja implementacija Akcionog plana za rodnu ravnopravnost </w:t>
      </w:r>
      <w:r>
        <w:t xml:space="preserve">s ciljem </w:t>
      </w:r>
      <w:r w:rsidRPr="00900DEF">
        <w:t xml:space="preserve"> ostvarivanja rodne ravnopravnosti u okviru IPA Ill finansijskog paketa. </w:t>
      </w:r>
    </w:p>
    <w:p w14:paraId="3A7552DF" w14:textId="77777777" w:rsidR="00900DEF" w:rsidRDefault="00900DEF"/>
    <w:p w14:paraId="0AA493E8" w14:textId="77777777" w:rsidR="00900DEF" w:rsidRDefault="00900DEF"/>
    <w:p w14:paraId="260B0271" w14:textId="3306465D" w:rsidR="00EA204E" w:rsidRPr="000A5977" w:rsidRDefault="00EA204E" w:rsidP="00EE597D">
      <w:pPr>
        <w:pStyle w:val="Heading2"/>
        <w:rPr>
          <w:b/>
        </w:rPr>
      </w:pPr>
      <w:bookmarkStart w:id="1" w:name="_Toc140567022"/>
      <w:r w:rsidRPr="000A5977">
        <w:rPr>
          <w:b/>
        </w:rPr>
        <w:t>Budžet</w:t>
      </w:r>
      <w:bookmarkEnd w:id="1"/>
    </w:p>
    <w:p w14:paraId="6AF779BD" w14:textId="77777777" w:rsidR="00EA204E" w:rsidRDefault="00EA204E"/>
    <w:p w14:paraId="2C2E1D1C" w14:textId="1999DB56" w:rsidR="00EA204E" w:rsidRDefault="00EA204E" w:rsidP="00EA204E">
      <w:r>
        <w:t xml:space="preserve">Za sprovođenje svih aktivnosti predviđenih Akcionim planom za prvu godinu realizacije Strategije,  planiran je budžet od  </w:t>
      </w:r>
      <w:r w:rsidR="00C3243A" w:rsidRPr="00C3243A">
        <w:rPr>
          <w:b/>
        </w:rPr>
        <w:t>976.089 EUR</w:t>
      </w:r>
      <w:r w:rsidRPr="00C3243A">
        <w:rPr>
          <w:b/>
        </w:rPr>
        <w:t>,</w:t>
      </w:r>
      <w:r>
        <w:t xml:space="preserve"> od čega j</w:t>
      </w:r>
      <w:r w:rsidR="00B93154">
        <w:t>e planirano da Vlada izdvoji 215</w:t>
      </w:r>
      <w:r w:rsidR="00202196">
        <w:t>.2</w:t>
      </w:r>
      <w:r>
        <w:t xml:space="preserve">00 EUR, Zajednica opština Crne Gore 409.500 EUR, dok će se iz EU programa i projekata, kao i projekata bilateralne podrške izdvojiti </w:t>
      </w:r>
      <w:r w:rsidR="00C3243A">
        <w:t xml:space="preserve">283.506 </w:t>
      </w:r>
      <w:r>
        <w:t>EUR.</w:t>
      </w:r>
    </w:p>
    <w:p w14:paraId="12C63D9F" w14:textId="496CA6A3" w:rsidR="00EA204E" w:rsidRDefault="00EA204E" w:rsidP="00EA204E">
      <w:r>
        <w:t xml:space="preserve">Na osnovu ovih podataka možemo projektovati da će za četvorogodišnje sprovođenje Strategije informisanja javnosti o pristupanju Crne Gore Evropskoj uniji 2023- 2026, </w:t>
      </w:r>
      <w:r w:rsidR="00B052C9">
        <w:t>biti</w:t>
      </w:r>
      <w:r>
        <w:t xml:space="preserve"> potrebno ukupno izdvojiti </w:t>
      </w:r>
      <w:r w:rsidRPr="000A5977">
        <w:rPr>
          <w:b/>
        </w:rPr>
        <w:t>oko 4 miliona EUR, od čega 1,3 miliona EUR</w:t>
      </w:r>
      <w:r>
        <w:t xml:space="preserve"> iz državnog budžeta.</w:t>
      </w:r>
    </w:p>
    <w:p w14:paraId="0F696093" w14:textId="77777777" w:rsidR="00EA204E" w:rsidRDefault="00EA204E"/>
    <w:p w14:paraId="1451CC28" w14:textId="77777777" w:rsidR="00CA35B1" w:rsidRDefault="00CA35B1" w:rsidP="00EE597D">
      <w:pPr>
        <w:pStyle w:val="Heading2"/>
        <w:rPr>
          <w:b/>
        </w:rPr>
      </w:pPr>
      <w:bookmarkStart w:id="2" w:name="_Toc140567023"/>
    </w:p>
    <w:p w14:paraId="00000037" w14:textId="77777777" w:rsidR="007A6527" w:rsidRPr="000A5977" w:rsidRDefault="008A787C" w:rsidP="00EE597D">
      <w:pPr>
        <w:pStyle w:val="Heading2"/>
        <w:rPr>
          <w:b/>
        </w:rPr>
      </w:pPr>
      <w:r w:rsidRPr="000A5977">
        <w:rPr>
          <w:b/>
        </w:rPr>
        <w:t>Principi Strategije informisanja</w:t>
      </w:r>
      <w:bookmarkEnd w:id="2"/>
    </w:p>
    <w:p w14:paraId="00000038" w14:textId="77777777" w:rsidR="007A6527" w:rsidRDefault="007A6527"/>
    <w:p w14:paraId="00000039" w14:textId="45D674DE" w:rsidR="007A6527" w:rsidRDefault="008A787C">
      <w:pPr>
        <w:spacing w:after="240"/>
      </w:pPr>
      <w:r>
        <w:t>Komuniciranje bez plana je samo buka, koje može proizvesti kratkoročne efekte, ali po pravilu vodi do preplitanja, neefikasnosti i ne donosi  dugoročne rezultate, niti ispunjava zacrtane ciljeve. Strateško komuniciranje, sa druge strane, je skup akcija i vještina, koje podržavaju kreatore</w:t>
      </w:r>
      <w:r w:rsidR="00383A8B">
        <w:t>/ke</w:t>
      </w:r>
      <w:r>
        <w:t xml:space="preserve"> politika u prenošenju složenosti, neizvjesnosti i izazova savremenog svijeta prema građanima i građankama. Ono donosi koherentnost komunikaci</w:t>
      </w:r>
      <w:r w:rsidR="00B21111">
        <w:t xml:space="preserve">onoj </w:t>
      </w:r>
      <w:r>
        <w:t>aktivnosti, postavlja pravac, stavlja razumijevanje publike u srce dizajna politike i usluga.</w:t>
      </w:r>
    </w:p>
    <w:p w14:paraId="0000003A" w14:textId="07B6ED47" w:rsidR="007A6527" w:rsidRDefault="008A787C">
      <w:r>
        <w:t xml:space="preserve">Crnogorska izvršna vlast je </w:t>
      </w:r>
      <w:r w:rsidR="00E0396C">
        <w:t xml:space="preserve">u najranijoj fazi pregovora shvatila </w:t>
      </w:r>
      <w:r>
        <w:t>značaj strateškog pristupa u komunciranju procesa evropske integracije i radila na utvrđivanju komunikacionih principa i modaliteta. Proces evropske integracije je tako postao jedan od rijetkih procesa u zemlji koji se već gotovo 20 godina strateški komunicira, tj. još od 2004. godine postoje komunikacione strategije</w:t>
      </w:r>
      <w:r>
        <w:rPr>
          <w:vertAlign w:val="superscript"/>
        </w:rPr>
        <w:footnoteReference w:id="1"/>
      </w:r>
      <w:r>
        <w:t xml:space="preserve"> koje ga usmjeravaju i definišu. Rezultat toga je, između ostalog, i čvrsta i stabilna podrška evropskoj integraciji među građanima i građankama. </w:t>
      </w:r>
    </w:p>
    <w:p w14:paraId="0000003B" w14:textId="77777777" w:rsidR="007A6527" w:rsidRDefault="008A787C">
      <w:r>
        <w:t xml:space="preserve"> </w:t>
      </w:r>
    </w:p>
    <w:p w14:paraId="0000003C" w14:textId="015C3E33" w:rsidR="007A6527" w:rsidRDefault="008A787C">
      <w:r>
        <w:t>Istovremeno, proces komuniciranja se događa u sve složenijoj globalnoj komunikaci</w:t>
      </w:r>
      <w:r w:rsidR="00895D08">
        <w:t>onoj</w:t>
      </w:r>
      <w:r>
        <w:t xml:space="preserve"> sredini, u kojoj svakodnevno nastaju novi kanali komunikacije, stari bivaju prevaziđeni, krize diktiraju nova pravila, a od brzine prilagođavanja često zavisi uspjeh. Jasno je da se izradi bilo kakve komunikacione strategije mora prići obazrivo, temeljno i precizno, i da konstantno treba redefinisati stare principe i uvoditi nove. Zbog toga je ova Strategija informisanja javnosti o pristupanju Crne Gore Evropskoj uniji:</w:t>
      </w:r>
    </w:p>
    <w:p w14:paraId="0000003D" w14:textId="77777777" w:rsidR="007A6527" w:rsidRDefault="008A787C">
      <w:r>
        <w:rPr>
          <w:rFonts w:ascii="Calibri" w:hAnsi="Calibri"/>
        </w:rPr>
        <w:t xml:space="preserve"> </w:t>
      </w:r>
    </w:p>
    <w:p w14:paraId="0000003E" w14:textId="77777777" w:rsidR="007A6527" w:rsidRDefault="008A787C">
      <w:pPr>
        <w:numPr>
          <w:ilvl w:val="0"/>
          <w:numId w:val="11"/>
        </w:numPr>
        <w:pBdr>
          <w:top w:val="nil"/>
          <w:left w:val="nil"/>
          <w:bottom w:val="nil"/>
          <w:right w:val="nil"/>
          <w:between w:val="nil"/>
        </w:pBdr>
        <w:rPr>
          <w:color w:val="000000"/>
        </w:rPr>
      </w:pPr>
      <w:r>
        <w:rPr>
          <w:color w:val="000000"/>
        </w:rPr>
        <w:t>Bazirana na kontinuitetu,</w:t>
      </w:r>
    </w:p>
    <w:p w14:paraId="0000003F" w14:textId="77777777" w:rsidR="007A6527" w:rsidRDefault="008A787C">
      <w:pPr>
        <w:numPr>
          <w:ilvl w:val="0"/>
          <w:numId w:val="11"/>
        </w:numPr>
        <w:pBdr>
          <w:top w:val="nil"/>
          <w:left w:val="nil"/>
          <w:bottom w:val="nil"/>
          <w:right w:val="nil"/>
          <w:between w:val="nil"/>
        </w:pBdr>
        <w:rPr>
          <w:color w:val="000000"/>
        </w:rPr>
      </w:pPr>
      <w:r>
        <w:rPr>
          <w:color w:val="000000"/>
        </w:rPr>
        <w:t>Zasnovana na mjerljivim empirijskim podacima,</w:t>
      </w:r>
    </w:p>
    <w:p w14:paraId="00000040" w14:textId="77777777" w:rsidR="007A6527" w:rsidRDefault="008A787C">
      <w:pPr>
        <w:numPr>
          <w:ilvl w:val="0"/>
          <w:numId w:val="11"/>
        </w:numPr>
        <w:pBdr>
          <w:top w:val="nil"/>
          <w:left w:val="nil"/>
          <w:bottom w:val="nil"/>
          <w:right w:val="nil"/>
          <w:between w:val="nil"/>
        </w:pBdr>
        <w:rPr>
          <w:color w:val="000000"/>
        </w:rPr>
      </w:pPr>
      <w:r>
        <w:rPr>
          <w:color w:val="000000"/>
        </w:rPr>
        <w:t>Transparentna,</w:t>
      </w:r>
    </w:p>
    <w:p w14:paraId="00000041" w14:textId="77777777" w:rsidR="007A6527" w:rsidRDefault="008A787C">
      <w:pPr>
        <w:numPr>
          <w:ilvl w:val="0"/>
          <w:numId w:val="11"/>
        </w:numPr>
        <w:pBdr>
          <w:top w:val="nil"/>
          <w:left w:val="nil"/>
          <w:bottom w:val="nil"/>
          <w:right w:val="nil"/>
          <w:between w:val="nil"/>
        </w:pBdr>
        <w:rPr>
          <w:color w:val="000000"/>
        </w:rPr>
      </w:pPr>
      <w:r>
        <w:rPr>
          <w:color w:val="000000"/>
        </w:rPr>
        <w:t>Postavlja mjerljive indikatore uspjeha.</w:t>
      </w:r>
    </w:p>
    <w:p w14:paraId="00000042" w14:textId="77777777" w:rsidR="007A6527" w:rsidRDefault="008A787C">
      <w:r>
        <w:rPr>
          <w:rFonts w:ascii="Calibri" w:hAnsi="Calibri"/>
        </w:rPr>
        <w:t xml:space="preserve"> </w:t>
      </w:r>
    </w:p>
    <w:p w14:paraId="00000043" w14:textId="77777777" w:rsidR="007A6527" w:rsidRDefault="008A787C">
      <w:pPr>
        <w:pStyle w:val="Heading4"/>
      </w:pPr>
      <w:r>
        <w:rPr>
          <w:rFonts w:ascii="Calibri" w:eastAsia="Calibri" w:hAnsi="Calibri" w:cs="Calibri"/>
          <w:color w:val="2F5496"/>
        </w:rPr>
        <w:t>Kontinuitet</w:t>
      </w:r>
    </w:p>
    <w:p w14:paraId="00000044" w14:textId="4F4E4928" w:rsidR="007A6527" w:rsidRDefault="008A787C">
      <w:r>
        <w:t>Gotovo dvadeset godina strateškog komuniciranja i nekoliko višegodišnjih komunikacionih strategija su nemjerljivo značajan resurs za svakog komunikatora</w:t>
      </w:r>
      <w:r w:rsidR="00383A8B">
        <w:t>/ku</w:t>
      </w:r>
      <w:r>
        <w:t>. On omogućava pažljivo i analitičko praćenje koliko su se institucije vodil</w:t>
      </w:r>
      <w:r w:rsidR="00B65DD5">
        <w:t>e</w:t>
      </w:r>
      <w:r>
        <w:t xml:space="preserve"> strateškim dokumentima u komuniciranju, ali i kolika je bila učinkovitost različitih komunikacionih modela. Ova Strategija će preuzeti sve principe, modalitete i poruke koji su ostvarivali rezultate i koji nisu prevaziđeni nečim što se dogodilo u proteklim godinama u komunikacionoj teoriji i praksi. </w:t>
      </w:r>
    </w:p>
    <w:p w14:paraId="00000045" w14:textId="77777777" w:rsidR="007A6527" w:rsidRDefault="007A6527"/>
    <w:p w14:paraId="00000046" w14:textId="77777777" w:rsidR="007A6527" w:rsidRDefault="008A787C">
      <w:pPr>
        <w:pStyle w:val="Heading4"/>
      </w:pPr>
      <w:r>
        <w:rPr>
          <w:rFonts w:ascii="Calibri" w:eastAsia="Calibri" w:hAnsi="Calibri" w:cs="Calibri"/>
          <w:color w:val="2F5496"/>
        </w:rPr>
        <w:t>Mjerljivi podaci kao osnov planiranja i indikatora uspjeha</w:t>
      </w:r>
    </w:p>
    <w:p w14:paraId="00000047" w14:textId="09595B93" w:rsidR="007A6527" w:rsidRDefault="008A787C">
      <w:r>
        <w:t xml:space="preserve">Empirijska provjerljivost ostaje srž strateškog komuniciranja procesa evropske integracije. Svi djelovi Strategije informisanja, od analize stanja i naučenih lekcija, preko formulisanja ciljeva i poruka, do određivanja ciljnih grupa i aktivnosti, </w:t>
      </w:r>
      <w:r>
        <w:rPr>
          <w:b/>
        </w:rPr>
        <w:t>zasnovani su na provjerljivim empirijskim podacima.</w:t>
      </w:r>
      <w:r>
        <w:t xml:space="preserve"> U domenu kvantitativnih analiza, radi se o istraživanjima javnog mnjenja koja se u kontinuitetu sprovode od 2007. godine što omogućava identifikaciju trendova, relativno brzu provjeru efikasnosti komunikacije i mogućnost da se gotovo u hodu Strategija adaptira. U domenu kvalititativnih metoda, radi se o konsultativnim sastancima i intervjuima sa ključnim akterima</w:t>
      </w:r>
      <w:r w:rsidR="00383A8B">
        <w:t>/kama</w:t>
      </w:r>
      <w:r>
        <w:t xml:space="preserve"> procesa, fokus grupama i analizi medija. Svi ovi podaci predstavljaju precizan i provjerljiv input za pisanje strategije i formulisanje njenih metoda i ciljeva. </w:t>
      </w:r>
    </w:p>
    <w:p w14:paraId="00000048" w14:textId="77777777" w:rsidR="007A6527" w:rsidRDefault="008A787C">
      <w:r>
        <w:rPr>
          <w:rFonts w:ascii="Calibri" w:hAnsi="Calibri"/>
        </w:rPr>
        <w:t xml:space="preserve"> </w:t>
      </w:r>
    </w:p>
    <w:p w14:paraId="00000049" w14:textId="77777777" w:rsidR="007A6527" w:rsidRDefault="008A787C">
      <w:pPr>
        <w:pStyle w:val="Heading4"/>
      </w:pPr>
      <w:r>
        <w:rPr>
          <w:rFonts w:ascii="Calibri" w:eastAsia="Calibri" w:hAnsi="Calibri" w:cs="Calibri"/>
          <w:color w:val="2F5496"/>
        </w:rPr>
        <w:t>Transparentnost</w:t>
      </w:r>
    </w:p>
    <w:p w14:paraId="0000004A" w14:textId="55351216" w:rsidR="007A6527" w:rsidRDefault="008A787C">
      <w:r>
        <w:t>Evropska integracija Crne Gore je najširi društveni proces koji utiče na živote svih građana</w:t>
      </w:r>
      <w:r w:rsidR="00383A8B">
        <w:t>/ki</w:t>
      </w:r>
      <w:r>
        <w:t>, tako da bi svi građani</w:t>
      </w:r>
      <w:r w:rsidR="00383A8B">
        <w:t>/ke</w:t>
      </w:r>
      <w:r>
        <w:t xml:space="preserve"> treba</w:t>
      </w:r>
      <w:r w:rsidR="00B65DD5">
        <w:t>l</w:t>
      </w:r>
      <w:r w:rsidR="006F12C6">
        <w:t>o</w:t>
      </w:r>
      <w:r>
        <w:t xml:space="preserve"> da imaju mogućnost da utiču na kreiranje važnih dokumenata iz ovog procesa. Stoga će ova </w:t>
      </w:r>
      <w:r>
        <w:rPr>
          <w:b/>
        </w:rPr>
        <w:t>Strategija informisanja biti otvorena, inkluzivna i bazirana na iskrenim namjerama da poboljša komunikaciju i unaprijedi informisanost</w:t>
      </w:r>
      <w:r>
        <w:t xml:space="preserve"> o ovom važnom procesu. U svim fazama kreiranja Strategije informisanja biće uključena najšira javnost, civilni sektor i sve druge zainteresovane strane, kako bi svi zajednički doprinijeli tome da ovaj dokument bude bolji, efikasniji i svrsishodniji. Plan monitoringa i evaluacije sprovođenja ove Strategije informisanja zasnovani su na istom principu. </w:t>
      </w:r>
    </w:p>
    <w:p w14:paraId="0000004B" w14:textId="77777777" w:rsidR="007A6527" w:rsidRDefault="008A787C">
      <w:r>
        <w:rPr>
          <w:rFonts w:ascii="Calibri" w:hAnsi="Calibri"/>
        </w:rPr>
        <w:t xml:space="preserve"> </w:t>
      </w:r>
    </w:p>
    <w:p w14:paraId="0000004C" w14:textId="77777777" w:rsidR="007A6527" w:rsidRDefault="008A787C">
      <w:pPr>
        <w:pStyle w:val="Heading4"/>
      </w:pPr>
      <w:r>
        <w:rPr>
          <w:rFonts w:ascii="Calibri" w:eastAsia="Calibri" w:hAnsi="Calibri" w:cs="Calibri"/>
          <w:color w:val="2F5496"/>
        </w:rPr>
        <w:t>Mjerljivi indikatori uspjeha</w:t>
      </w:r>
    </w:p>
    <w:p w14:paraId="0000004D" w14:textId="62634D2A" w:rsidR="007A6527" w:rsidRDefault="008A787C">
      <w:r>
        <w:t xml:space="preserve">Strateško komuniciranje ne postoji bez mjerljivih indikatora uspjeha i povratne sprege rezultata. Tako će rezultati i efekti komuniciranja ove Strategije biti provjerljivi i to ne samo u smislu evaluacije realizovanih aktivnosti, već mjerenja efekata koje su te aktivnosti proizvele.  Ova Strategija informisanja postavlja svoje operativne ciljeve i indikatore uspjeha u skladu sa </w:t>
      </w:r>
      <w:r>
        <w:rPr>
          <w:i/>
        </w:rPr>
        <w:t>SMART</w:t>
      </w:r>
      <w:r>
        <w:t xml:space="preserve"> sistemom (Specific, Measurable, Attainable, Relevant and Timely). </w:t>
      </w:r>
      <w:r>
        <w:rPr>
          <w:b/>
        </w:rPr>
        <w:t xml:space="preserve">To znači da će svi postavljeni operativni ciljevi biti specifični, mjerljivi, ostvarivi, relevantni i vremenski definisani. </w:t>
      </w:r>
      <w:r>
        <w:t xml:space="preserve">Provjera indikatora uspjeha će biti bazirana </w:t>
      </w:r>
      <w:r w:rsidR="00C92929">
        <w:t xml:space="preserve">na </w:t>
      </w:r>
      <w:r>
        <w:t xml:space="preserve">predefinisanim preciznim empirijskim kvalitativnim i kvantitativnim metodama. </w:t>
      </w:r>
    </w:p>
    <w:p w14:paraId="0000004E" w14:textId="77777777" w:rsidR="007A6527" w:rsidRDefault="008A787C">
      <w:r>
        <w:rPr>
          <w:rFonts w:ascii="Calibri" w:hAnsi="Calibri"/>
        </w:rPr>
        <w:t xml:space="preserve"> </w:t>
      </w:r>
    </w:p>
    <w:p w14:paraId="0000004F" w14:textId="77777777" w:rsidR="007A6527" w:rsidRDefault="008A787C">
      <w:pPr>
        <w:pBdr>
          <w:top w:val="single" w:sz="4" w:space="1" w:color="4472C4"/>
          <w:left w:val="single" w:sz="4" w:space="4" w:color="4472C4"/>
          <w:bottom w:val="single" w:sz="4" w:space="1" w:color="4472C4"/>
          <w:right w:val="single" w:sz="4" w:space="4" w:color="4472C4"/>
        </w:pBdr>
      </w:pPr>
      <w:r>
        <w:rPr>
          <w:rFonts w:ascii="Calibri" w:hAnsi="Calibri"/>
          <w:b/>
          <w:i/>
          <w:color w:val="000000"/>
        </w:rPr>
        <w:t xml:space="preserve">SALT   </w:t>
      </w:r>
    </w:p>
    <w:p w14:paraId="00000050" w14:textId="71A4E446" w:rsidR="007A6527" w:rsidRDefault="008A787C">
      <w:pPr>
        <w:pBdr>
          <w:top w:val="single" w:sz="4" w:space="1" w:color="4472C4"/>
          <w:left w:val="single" w:sz="4" w:space="4" w:color="4472C4"/>
          <w:bottom w:val="single" w:sz="4" w:space="1" w:color="4472C4"/>
          <w:right w:val="single" w:sz="4" w:space="4" w:color="4472C4"/>
        </w:pBdr>
      </w:pPr>
      <w:r>
        <w:t>U skladu sa najnovim standardima u strateškoj komunikaciji, ova Strategija će koristiti pristup razvijen od strane britanskih eksperata tokom pandemije.</w:t>
      </w:r>
      <w:r>
        <w:rPr>
          <w:vertAlign w:val="superscript"/>
        </w:rPr>
        <w:footnoteReference w:id="2"/>
      </w:r>
      <w:r>
        <w:t xml:space="preserve"> Bihevijoralni psiholozi</w:t>
      </w:r>
      <w:r w:rsidR="00383A8B">
        <w:t>/škinje</w:t>
      </w:r>
      <w:r>
        <w:t>, strateški komunikatori</w:t>
      </w:r>
      <w:r w:rsidR="00383A8B">
        <w:t>/ke</w:t>
      </w:r>
      <w:r>
        <w:t xml:space="preserve"> i marketing stručnjaci</w:t>
      </w:r>
      <w:r w:rsidR="00383A8B">
        <w:t>/kinje</w:t>
      </w:r>
      <w:r>
        <w:t xml:space="preserve"> su razvili SALT okvir koji ima četiri komponente: pojednostavi, pojačaj, lokalizuj i targetiraj (simplify, amplify, localise and target). </w:t>
      </w:r>
    </w:p>
    <w:p w14:paraId="00000051" w14:textId="77777777" w:rsidR="007A6527" w:rsidRDefault="008A787C">
      <w:pPr>
        <w:pBdr>
          <w:top w:val="single" w:sz="4" w:space="1" w:color="4472C4"/>
          <w:left w:val="single" w:sz="4" w:space="4" w:color="4472C4"/>
          <w:bottom w:val="single" w:sz="4" w:space="1" w:color="4472C4"/>
          <w:right w:val="single" w:sz="4" w:space="4" w:color="4472C4"/>
        </w:pBdr>
      </w:pPr>
      <w:r>
        <w:rPr>
          <w:b/>
        </w:rPr>
        <w:t xml:space="preserve">Pojednostavi </w:t>
      </w:r>
      <w:r>
        <w:t xml:space="preserve">– Jedan od osnovih problema u komuniciranju procesa evropske integracije je to što je on u svojoj svojoj prirodi birokratizovan i kompleksan, što je godinama umanjivalo efikasnost njegovog komuniciranja. Poruke moraju biti jasne, precizne, pamtljive, jer se u suprotnosti stvara komunikacioni šum i značajno gubi na efikasnosti komunikacije. </w:t>
      </w:r>
    </w:p>
    <w:p w14:paraId="00000052" w14:textId="7D635AEE" w:rsidR="007A6527" w:rsidRDefault="008A787C">
      <w:pPr>
        <w:pBdr>
          <w:top w:val="single" w:sz="4" w:space="1" w:color="4472C4"/>
          <w:left w:val="single" w:sz="4" w:space="4" w:color="4472C4"/>
          <w:bottom w:val="single" w:sz="4" w:space="1" w:color="4472C4"/>
          <w:right w:val="single" w:sz="4" w:space="4" w:color="4472C4"/>
        </w:pBdr>
      </w:pPr>
      <w:r>
        <w:rPr>
          <w:b/>
        </w:rPr>
        <w:t xml:space="preserve">Pojačaj </w:t>
      </w:r>
      <w:r>
        <w:t>– Puno segmentiranih poruka na pojedinačnim kanalima ne stvara željeni efekat. Multiplikatori moraju biti uključeni u svako uspješno komuniciranje, bilo da se radi o medijima, uticajnim novinarima</w:t>
      </w:r>
      <w:r w:rsidR="00383A8B">
        <w:t>/kama</w:t>
      </w:r>
      <w:r>
        <w:t>, predstavnicima biznis i lokalne zajednice ili internet influenserima</w:t>
      </w:r>
      <w:r w:rsidR="00383A8B">
        <w:t>/kama</w:t>
      </w:r>
      <w:r>
        <w:t xml:space="preserve">. Izdvojena i segmentirana komuniciranja treba napustiti u korist integrisanih komunikacionih kampanja.  </w:t>
      </w:r>
    </w:p>
    <w:p w14:paraId="00000053" w14:textId="67A46A39" w:rsidR="007A6527" w:rsidRDefault="008A787C">
      <w:pPr>
        <w:pBdr>
          <w:top w:val="single" w:sz="4" w:space="1" w:color="4472C4"/>
          <w:left w:val="single" w:sz="4" w:space="4" w:color="4472C4"/>
          <w:bottom w:val="single" w:sz="4" w:space="1" w:color="4472C4"/>
          <w:right w:val="single" w:sz="4" w:space="4" w:color="4472C4"/>
        </w:pBdr>
      </w:pPr>
      <w:r>
        <w:rPr>
          <w:b/>
        </w:rPr>
        <w:t>Lokalizuj</w:t>
      </w:r>
      <w:r>
        <w:t xml:space="preserve">  – COVID-19 pandemija nam je pokazala da će ljudi puno prije vjerovati svom lokalnom doktoru nego nacionalnoj kampanji sa autoritetima iz polja zdravstva. Crnogorsko društvo, iako malo, takođe zahtijeva lokalizovan pristup u komunikaciji, pa treba raditi na identifikaciji i saradnji sa što više lokalno prepoznatih autoriteta koji će djelovati kao multiplikatori. Na primjer, poljoprivrednik</w:t>
      </w:r>
      <w:r w:rsidR="00383A8B">
        <w:t>/ca</w:t>
      </w:r>
      <w:r>
        <w:t xml:space="preserve"> koji je dobio IPARD projekat je puno bolji komunikacioni resurs za svoje selo od ministra poljoprivrede. </w:t>
      </w:r>
    </w:p>
    <w:p w14:paraId="00000054" w14:textId="1DC192E7" w:rsidR="007A6527" w:rsidRDefault="008A787C">
      <w:pPr>
        <w:pBdr>
          <w:top w:val="single" w:sz="4" w:space="1" w:color="4472C4"/>
          <w:left w:val="single" w:sz="4" w:space="4" w:color="4472C4"/>
          <w:bottom w:val="single" w:sz="4" w:space="1" w:color="4472C4"/>
          <w:right w:val="single" w:sz="4" w:space="4" w:color="4472C4"/>
        </w:pBdr>
      </w:pPr>
      <w:r>
        <w:rPr>
          <w:b/>
        </w:rPr>
        <w:t>Targetiraj</w:t>
      </w:r>
      <w:r>
        <w:t xml:space="preserve"> – Iako je komuniciranje procesa evropske integracije namijenjeno čitavom društvu treba izbjegavati široko targetiranje i uniformno obraćanje velikim i raznorodnim grupama. Različite poruke, pristupi i komunikacioni kanali imaju različit efekat na razne </w:t>
      </w:r>
      <w:r w:rsidR="00B21111">
        <w:t xml:space="preserve">ciljne </w:t>
      </w:r>
      <w:r>
        <w:t xml:space="preserve">grupe i ova Strategija će se truditi da što bolje i preciznije definiše grupe sa kojima se komunicira i modalitete te aktivnosti. </w:t>
      </w:r>
    </w:p>
    <w:p w14:paraId="00000055" w14:textId="77777777" w:rsidR="007A6527" w:rsidRDefault="008A787C">
      <w:r>
        <w:rPr>
          <w:rFonts w:ascii="Calibri" w:hAnsi="Calibri"/>
        </w:rPr>
        <w:t xml:space="preserve"> </w:t>
      </w:r>
    </w:p>
    <w:p w14:paraId="00000066" w14:textId="77777777" w:rsidR="007A6527" w:rsidRPr="00C5599F" w:rsidRDefault="007A6527">
      <w:pPr>
        <w:rPr>
          <w:rFonts w:ascii="Calibri" w:hAnsi="Calibri"/>
          <w:b/>
        </w:rPr>
      </w:pPr>
    </w:p>
    <w:bookmarkStart w:id="3" w:name="_Toc140567024"/>
    <w:p w14:paraId="00000067" w14:textId="77777777" w:rsidR="007A6527" w:rsidRPr="000A5977" w:rsidRDefault="00000000">
      <w:pPr>
        <w:pStyle w:val="Heading2"/>
        <w:rPr>
          <w:b/>
        </w:rPr>
      </w:pPr>
      <w:sdt>
        <w:sdtPr>
          <w:rPr>
            <w:b/>
          </w:rPr>
          <w:tag w:val="goog_rdk_0"/>
          <w:id w:val="-1434045387"/>
        </w:sdtPr>
        <w:sdtContent/>
      </w:sdt>
      <w:sdt>
        <w:sdtPr>
          <w:rPr>
            <w:b/>
          </w:rPr>
          <w:tag w:val="goog_rdk_1"/>
          <w:id w:val="796339436"/>
        </w:sdtPr>
        <w:sdtContent/>
      </w:sdt>
      <w:r w:rsidR="008A787C" w:rsidRPr="000A5977">
        <w:rPr>
          <w:b/>
        </w:rPr>
        <w:t>Struktura dokumenta</w:t>
      </w:r>
      <w:bookmarkEnd w:id="3"/>
    </w:p>
    <w:p w14:paraId="0365639C" w14:textId="77777777" w:rsidR="00C5599F" w:rsidRPr="00C5599F" w:rsidRDefault="00C5599F" w:rsidP="00C5599F"/>
    <w:p w14:paraId="00000068" w14:textId="77777777" w:rsidR="007A6527" w:rsidRDefault="008A787C">
      <w:r>
        <w:t xml:space="preserve">Strategija informisanja u skladu sa principom kontinuiteta nastavlja djelovanje u tri osnovna pravca: </w:t>
      </w:r>
    </w:p>
    <w:p w14:paraId="00000069" w14:textId="77777777" w:rsidR="007A6527" w:rsidRDefault="007A6527"/>
    <w:p w14:paraId="0000006A" w14:textId="77777777" w:rsidR="007A6527" w:rsidRDefault="008A787C">
      <w:pPr>
        <w:numPr>
          <w:ilvl w:val="0"/>
          <w:numId w:val="2"/>
        </w:numPr>
        <w:pBdr>
          <w:top w:val="nil"/>
          <w:left w:val="nil"/>
          <w:bottom w:val="nil"/>
          <w:right w:val="nil"/>
          <w:between w:val="nil"/>
        </w:pBdr>
      </w:pPr>
      <w:r>
        <w:rPr>
          <w:rFonts w:ascii="Calibri" w:hAnsi="Calibri"/>
          <w:color w:val="000000"/>
        </w:rPr>
        <w:t>P</w:t>
      </w:r>
      <w:r>
        <w:rPr>
          <w:color w:val="000000"/>
        </w:rPr>
        <w:t>rema internoj javnosti,</w:t>
      </w:r>
    </w:p>
    <w:p w14:paraId="0000006B" w14:textId="77777777" w:rsidR="007A6527" w:rsidRDefault="008A787C">
      <w:pPr>
        <w:numPr>
          <w:ilvl w:val="0"/>
          <w:numId w:val="2"/>
        </w:numPr>
        <w:pBdr>
          <w:top w:val="nil"/>
          <w:left w:val="nil"/>
          <w:bottom w:val="nil"/>
          <w:right w:val="nil"/>
          <w:between w:val="nil"/>
        </w:pBdr>
      </w:pPr>
      <w:r>
        <w:rPr>
          <w:color w:val="000000"/>
        </w:rPr>
        <w:t>Prema eksternim javnostima:</w:t>
      </w:r>
    </w:p>
    <w:p w14:paraId="0000006C" w14:textId="77777777" w:rsidR="007A6527" w:rsidRDefault="008A787C">
      <w:pPr>
        <w:numPr>
          <w:ilvl w:val="1"/>
          <w:numId w:val="2"/>
        </w:numPr>
        <w:pBdr>
          <w:top w:val="nil"/>
          <w:left w:val="nil"/>
          <w:bottom w:val="nil"/>
          <w:right w:val="nil"/>
          <w:between w:val="nil"/>
        </w:pBdr>
      </w:pPr>
      <w:r>
        <w:rPr>
          <w:color w:val="000000"/>
        </w:rPr>
        <w:t>Prema domaćoj javnosti,</w:t>
      </w:r>
    </w:p>
    <w:p w14:paraId="0000006D" w14:textId="77777777" w:rsidR="007A6527" w:rsidRDefault="008A787C">
      <w:pPr>
        <w:numPr>
          <w:ilvl w:val="1"/>
          <w:numId w:val="2"/>
        </w:numPr>
        <w:pBdr>
          <w:top w:val="nil"/>
          <w:left w:val="nil"/>
          <w:bottom w:val="nil"/>
          <w:right w:val="nil"/>
          <w:between w:val="nil"/>
        </w:pBdr>
      </w:pPr>
      <w:r>
        <w:rPr>
          <w:color w:val="000000"/>
        </w:rPr>
        <w:t>Prema međunarodnoj javnosti,</w:t>
      </w:r>
    </w:p>
    <w:p w14:paraId="0000006E" w14:textId="77777777" w:rsidR="007A6527" w:rsidRDefault="008A787C">
      <w:pPr>
        <w:numPr>
          <w:ilvl w:val="0"/>
          <w:numId w:val="2"/>
        </w:numPr>
        <w:pBdr>
          <w:top w:val="nil"/>
          <w:left w:val="nil"/>
          <w:bottom w:val="nil"/>
          <w:right w:val="nil"/>
          <w:between w:val="nil"/>
        </w:pBdr>
      </w:pPr>
      <w:r>
        <w:rPr>
          <w:color w:val="000000"/>
        </w:rPr>
        <w:t>Prema partnerima i multiplikatorima.</w:t>
      </w:r>
    </w:p>
    <w:p w14:paraId="0000006F" w14:textId="77777777" w:rsidR="007A6527" w:rsidRDefault="007A6527"/>
    <w:p w14:paraId="00000070" w14:textId="21443427" w:rsidR="007A6527" w:rsidRDefault="008A787C">
      <w:r>
        <w:t>Interni pravci djelovanja odnose se na zaposlene u javnoj upravi i druga lica i kompanije  angažovane od strane državnih organa na implementaciji Strategije. Kvalitetno interno komuniciranje često je od presudnog značaja za uspjeh komunikacione strategije, posebno u kompleksnim sistemima kao što je državna uprava, gdje se prepliću razni nivoi nadležnosti. Interno komuniciranje obezbjeđuje da se komunicira na koherentan način kako bi se izbjegl</w:t>
      </w:r>
      <w:r w:rsidR="00744B46">
        <w:t>o</w:t>
      </w:r>
      <w:r>
        <w:t xml:space="preserve"> preklapanje poruka, suvišnost i neuj</w:t>
      </w:r>
      <w:r w:rsidR="008D632C">
        <w:t>e</w:t>
      </w:r>
      <w:r>
        <w:t>dnačenost stavova. Za to je potrebna dobro organizovana struktura, jasna podjela rada, efikasna i redovna razmjena informacija, dvosmjerna komunikacija između donosioca odluka i komunikatora i puno drugih preduslova koji će maksimizirati iskorištenost ljudskih i fina</w:t>
      </w:r>
      <w:r w:rsidR="008D632C">
        <w:t>n</w:t>
      </w:r>
      <w:r>
        <w:t xml:space="preserve">sijskih resursa i obezbijediti najbolje </w:t>
      </w:r>
      <w:sdt>
        <w:sdtPr>
          <w:tag w:val="goog_rdk_2"/>
          <w:id w:val="1517040586"/>
        </w:sdtPr>
        <w:sdtContent/>
      </w:sdt>
      <w:sdt>
        <w:sdtPr>
          <w:tag w:val="goog_rdk_3"/>
          <w:id w:val="658121315"/>
        </w:sdtPr>
        <w:sdtContent/>
      </w:sdt>
      <w:r>
        <w:t>rezultate.  Imajući u vidu da je Crna Gora ušla u period heterogenih koalicionih vlada i da se takvi politički aranžmani mogu očekivati u budućnosti, to predstavlja novi izazov u objedinjavanju rada institucija i ujednačavanju poruka.</w:t>
      </w:r>
    </w:p>
    <w:p w14:paraId="00000071" w14:textId="77777777" w:rsidR="007A6527" w:rsidRDefault="007A6527"/>
    <w:p w14:paraId="00000072" w14:textId="50918765" w:rsidR="007A6527" w:rsidRDefault="008A787C">
      <w:r>
        <w:t>Eksterni pravci se u prvoj liniji odnose na domaću javnost u Crnoj Gori, čije je informisanje ključni cilj ove Strategije. Ka</w:t>
      </w:r>
      <w:r w:rsidR="007C3ED0">
        <w:t>k</w:t>
      </w:r>
      <w:r>
        <w:t>o se radi o sveobuhvatnom društvenom procesu, a uzevši u obzir veličinu Crne Gore i specifičnosti medijske scene, značajan dio komu</w:t>
      </w:r>
      <w:r w:rsidR="008D632C">
        <w:t>ni</w:t>
      </w:r>
      <w:r>
        <w:t>ciranja biće usmjeren na najširu javnost. To je dio komunikacije koji se najčešće odvija kroz mas-medije i u kojem će se težiti što većom dosegu i vidljivosti poruka. Široka ciljna grupa ne isključuje brižljivu pripremu sadržaja, forme i komunikacionih kanala prilagođenu aktuelnom trenutku i ciljevima komuniciranja.  Sa druge strane, Strategij</w:t>
      </w:r>
      <w:r w:rsidR="008D632C">
        <w:t>a</w:t>
      </w:r>
      <w:r>
        <w:t xml:space="preserve"> će takođe definisati specifične ciljne javnosti, uže grupe koje želi da targetira informisanje, njima odgovarajuće kanale, poruke i tehnike komuniciranja. </w:t>
      </w:r>
    </w:p>
    <w:p w14:paraId="00000073" w14:textId="77777777" w:rsidR="007A6527" w:rsidRDefault="007A6527"/>
    <w:p w14:paraId="00000074" w14:textId="080A40BF" w:rsidR="007A6527" w:rsidRDefault="008A787C">
      <w:r>
        <w:t>Kako se Crna Gora približava članstvu, značaj podrške Međunarodne javnosti, prevashodno misleći na javna mnjenja u državama članicama Evropske unije, raste. Ovo je takođe jako kompleksan i težak zadatak budući da čak ni puno veće i bogatije državne administracije teško mogu komunicirati sa preko 400 miliona stanovnika</w:t>
      </w:r>
      <w:r w:rsidR="00F60F0D">
        <w:t>/ca</w:t>
      </w:r>
      <w:r>
        <w:t xml:space="preserve"> EU. Strategija preporučuje pažljivo biranje kanala i partnera i korištenje njihovog uticaja i komunikacionionog dosega za multiplikaciju poruka. Diplomatska predstavništva Crne Gore, institucije Evropske unije, posebno Evropska služba za vanjske poslove (EEAS) i </w:t>
      </w:r>
      <w:r w:rsidR="000E5C44">
        <w:t xml:space="preserve">Generalni direktorat EK za susjedstvo i pregovore o proširenju </w:t>
      </w:r>
      <w:r>
        <w:t xml:space="preserve">(DG NEAR) kao i strani mediji, su ključni partneri u ovom dijelu. </w:t>
      </w:r>
    </w:p>
    <w:p w14:paraId="00000075" w14:textId="77777777" w:rsidR="007A6527" w:rsidRDefault="007A6527"/>
    <w:p w14:paraId="00000076" w14:textId="4D6D39A7" w:rsidR="007A6527" w:rsidRDefault="008A787C">
      <w:r>
        <w:t>Vlada Crne Gore nikada nije bila sama u ovom procesu, već su od samog početka komuniciranja procesa evropske integracije u njega bili uključeni brojni partneri i multiplikatori. Institucije poput Delegacije EU, ambasade zemalja članica, UNDP, civilni sektor, imaju kompatibilne programe i ciljeve i već su zajedno sa državnom administracijom radili na informisanju o Evropskoj uniji. Ipak, njihovi resursi i ekspertiza nisu uvijek korišteni na pravi način i nije uvijek dolazilo do sinerg</w:t>
      </w:r>
      <w:r w:rsidR="000E5C44">
        <w:t>ijskog</w:t>
      </w:r>
      <w:r>
        <w:t xml:space="preserve"> efekta. Bolja saradnja i koordinacija su neophodni kako bi se izbjegla segmentiranost poruka i maksimizovali efekti komunikacije.  </w:t>
      </w:r>
    </w:p>
    <w:p w14:paraId="00000077" w14:textId="77777777" w:rsidR="007A6527" w:rsidRDefault="007A6527"/>
    <w:p w14:paraId="00000078" w14:textId="77777777" w:rsidR="007A6527" w:rsidRPr="00C5599F" w:rsidRDefault="008A787C">
      <w:pPr>
        <w:pStyle w:val="Heading1"/>
        <w:rPr>
          <w:b/>
        </w:rPr>
      </w:pPr>
      <w:bookmarkStart w:id="4" w:name="_Toc140567025"/>
      <w:r w:rsidRPr="00C5599F">
        <w:rPr>
          <w:b/>
        </w:rPr>
        <w:t>Analiza stanja</w:t>
      </w:r>
      <w:bookmarkEnd w:id="4"/>
    </w:p>
    <w:p w14:paraId="2C0592ED" w14:textId="77777777" w:rsidR="00852EAC" w:rsidRDefault="00852EAC"/>
    <w:p w14:paraId="70207721" w14:textId="2B305328" w:rsidR="00852EAC" w:rsidRDefault="00114D47" w:rsidP="00852EAC">
      <w:r>
        <w:t>O</w:t>
      </w:r>
      <w:r w:rsidR="00852EAC">
        <w:t xml:space="preserve">pšti cilj Strategije informisanja javnosti o pristupanju Crne Gore EU 2019-2022. godina </w:t>
      </w:r>
      <w:r>
        <w:t xml:space="preserve">je bio </w:t>
      </w:r>
      <w:r w:rsidR="00852EAC">
        <w:t xml:space="preserve">da unaprijedi informisanost građana/ki o procesu evropske integracije i obezbijedi podršku procesu pristupanja Crne Gore EU, kroz uspostavljanje novih alata i tematskih aktivnosti, ciljne javnosti su bile kontinuirano informisane o različitim segmentima procesa pristupanja. </w:t>
      </w:r>
    </w:p>
    <w:p w14:paraId="28872493" w14:textId="77F2EAFD" w:rsidR="00852EAC" w:rsidRDefault="00852EAC" w:rsidP="00852EAC">
      <w:r>
        <w:t>Strategijski pristup</w:t>
      </w:r>
      <w:r w:rsidR="00114D47">
        <w:t xml:space="preserve"> u komuniciranju procesa evropske integracije</w:t>
      </w:r>
      <w:r>
        <w:t xml:space="preserve"> je osnažio saradnju Vlade sa Skupštinom, lokalnim samoupravama, civilnim društvom, akademskom i poslovnom zajednicom i medijima na ovom polju. Ta saradnja je iznjedrila značajne partnerske projekte i zajedničke aktivnosti koje su naišle na pozitivan prijem kod građana/ki i doprinijele unapređenju informisanja, ali i interesovanju građana/ki za proces evropske integracije.</w:t>
      </w:r>
    </w:p>
    <w:p w14:paraId="6392F158" w14:textId="77777777" w:rsidR="00852EAC" w:rsidRDefault="00852EAC" w:rsidP="00852EAC"/>
    <w:p w14:paraId="737BE9DA" w14:textId="120A3AFA" w:rsidR="00852EAC" w:rsidRDefault="00852EAC" w:rsidP="00852EAC">
      <w:r>
        <w:t xml:space="preserve">Tokom četiri godine sprovođenja </w:t>
      </w:r>
      <w:r w:rsidR="00114D47">
        <w:t xml:space="preserve">prethodne </w:t>
      </w:r>
      <w:r>
        <w:t xml:space="preserve">Strategije, realizovano je ukupno 638 aktivnosti usmjerenih na blagovremeno i tačno informisanje građana/ki o procesu pristupanja Crne Gore. </w:t>
      </w:r>
      <w:r w:rsidR="00114D47">
        <w:t>R</w:t>
      </w:r>
      <w:r>
        <w:t>ealizacijom Akcio</w:t>
      </w:r>
      <w:r w:rsidR="00114D47">
        <w:t xml:space="preserve">nih planova su </w:t>
      </w:r>
      <w:r>
        <w:t xml:space="preserve">dostignute vrijednosti usmjerene na ostvarenje strategijskih i operativnih ciljeva definisanih dokumentom. </w:t>
      </w:r>
      <w:r w:rsidR="00C1209A">
        <w:t>Takođe, s</w:t>
      </w:r>
      <w:r w:rsidR="00C1209A" w:rsidRPr="00C1209A">
        <w:t>vi godišnji akcioni planovi usmjereni na sprovođenje Strategije informisanja bilježe visok procenat realizacije.</w:t>
      </w:r>
    </w:p>
    <w:p w14:paraId="73C73AF7" w14:textId="77777777" w:rsidR="00852EAC" w:rsidRDefault="00852EAC" w:rsidP="00852EAC"/>
    <w:p w14:paraId="3D2E0FCA" w14:textId="77777777" w:rsidR="00852EAC" w:rsidRDefault="00852EAC" w:rsidP="00852EAC">
      <w:r>
        <w:t>Obezbijeđeno je funkcionisanje je Operativnog i Konsultativnog tijela, unaprijeđena interna razmjena informacija uspostavljanjem stalnih komunikacionih kanala o procesu pristupanja EU. Takođe, nastavljena je kontinuirana edukacija i usavršavanje službenika/ca zaduženih za odnose sa javnošću u okviru lokalne uprave, uključujući informisanje o programima Evropske unije koji su im dostupni.</w:t>
      </w:r>
    </w:p>
    <w:p w14:paraId="2B208E2D" w14:textId="77777777" w:rsidR="00852EAC" w:rsidRDefault="00852EAC" w:rsidP="00852EAC">
      <w:r>
        <w:t>Obezbijeđene su jasne, sveobuhvatne i pravovremene informacije o prednostima i obavezama koje proizilaze iz članstva kroz razumljive, atraktivne i prilagođene poruke. Rezultati istraživanja javnog mnjenja pokazuju da je povećan procent građana/ki koje zanimaju informacije o pristupanju Crne Gore Evropskoj uniji i da je smanjen procent građana/ki koji ocjenjuju da nemaju nikavih informacija o procesu integracija. Takođe, povećan je prosječan doseg objava na društvenim mrežama, povećan broj  ljudskih priča o evropskoj integraciji objavljenih na internet stranici www.eu.me; i unaprijeđena vidljivost EU programa podrške. Sa druge strane, rezultati istraživanja pokazuju da pad procenat mladih koji je čuo i tvrdi da zna šta je Erasmus+, i ukazuju na potrebu unapređenja i intenziviranja aktivnosti usmjerenih na komuniciranje programa i projekata finansiranih iz EU sredstava.</w:t>
      </w:r>
    </w:p>
    <w:p w14:paraId="31081A88" w14:textId="21CEE9C7" w:rsidR="00852EAC" w:rsidRDefault="00852EAC" w:rsidP="00852EAC">
      <w:r>
        <w:t xml:space="preserve">Tokom četvorogodišnjeg perioda sprovođenja strategije, obezbijeđena je prepoznatljivost procesa pristupanja Crne Gore Evropskoj uniji na međunarodnom nivou kroz informisanje međunarodne javnosti o aktivnostima, reformama i uspjesima iz tog procesa. Nastavljeno je sa organizacijom javnih događaja (konferencija, okruglih stolova, debata i dr. ) kojima su prisustvovali predstavnici/ce diplomatskog kora i unaprijeđena dostupnost informacija na engleskom jeziku. U narednom periodu je potrebno pojačati prisutnost na društvenim mrežama na engleskom jeziku, kao i intenzivirati saradnju sa inostranim medijima.  </w:t>
      </w:r>
    </w:p>
    <w:p w14:paraId="1EEEB3C4" w14:textId="77777777" w:rsidR="00852EAC" w:rsidRDefault="00852EAC" w:rsidP="00852EAC">
      <w:r>
        <w:t>Kada je riječ o stvaranju multiplikatorskog efekta i maksimiziranju dosega komunikacije kroz kreiranje pažljivo prilagođenih poruka, alata i kanala komuniciranja za sve multiplikatore i partnere u procesu, nastavljena je kvalitetna saradnja sa svim subjektima koji su uključeni u proces integracija. Organizovan je veliki broj zajedničkih aktivnosti s ciljem informisanja javnosti o procesu evropske integracije Crne Gore.</w:t>
      </w:r>
    </w:p>
    <w:p w14:paraId="0F0446F0" w14:textId="77777777" w:rsidR="00852EAC" w:rsidRDefault="00852EAC"/>
    <w:p w14:paraId="00000079" w14:textId="2CE22E62" w:rsidR="007A6527" w:rsidRDefault="008A787C" w:rsidP="00C1209A">
      <w:pPr>
        <w:ind w:firstLine="360"/>
      </w:pPr>
      <w:r>
        <w:t xml:space="preserve">Kako bi se adekvatno postavili ciljevi </w:t>
      </w:r>
      <w:r w:rsidR="00526B7A">
        <w:t>nove komunikacine strategije</w:t>
      </w:r>
      <w:r>
        <w:t>, neophodno je precizno analizirati postojeće stanje, uočiti probleme i slabe tačke, te pripremiti osnovu za postavljanje realističnih planova. Ova analiza stanja zasnovana je na različitim izvorima podataka, od longitudinalnih istraživanja javnog mnjenja, preko konsultacije sa relevantnim javnostima do izvještaja o realizaciji akcionih planova Strategije informisanja javnosti o pristupanju Crne Gore 2019-2022.</w:t>
      </w:r>
      <w:r>
        <w:rPr>
          <w:vertAlign w:val="superscript"/>
        </w:rPr>
        <w:footnoteReference w:id="3"/>
      </w:r>
      <w:r>
        <w:t xml:space="preserve"> Bazirana je na </w:t>
      </w:r>
      <w:r>
        <w:rPr>
          <w:i/>
        </w:rPr>
        <w:t xml:space="preserve">Metodologiji razvijanja politika, izrade i praćenja sprovođenja strateških dokumenata </w:t>
      </w:r>
      <w:r>
        <w:t xml:space="preserve">i na </w:t>
      </w:r>
      <w:r>
        <w:rPr>
          <w:i/>
        </w:rPr>
        <w:t xml:space="preserve">Smjernicama za pripremu strateških dokumenata </w:t>
      </w:r>
      <w:r>
        <w:t>koje je pripremio Generalni sekretarijat Vlade Crne Gore.</w:t>
      </w:r>
      <w:r>
        <w:rPr>
          <w:vertAlign w:val="superscript"/>
        </w:rPr>
        <w:footnoteReference w:id="4"/>
      </w:r>
      <w:r>
        <w:t xml:space="preserve"> Cilj analize je da se identifikuju problemi ostvarivanja komunikacionih ciljeva informisanja javnosti o evropskoj integraciji, utvrde njihovi uzroci i predvide izazovi koji se mogu pojaviti prilikom sprovođenja strateškog dokumenta. Analizu zasnivamo na dostupnim i mjerljivim podacima, statistikama i trendovima. Primarni izvori podataka su sljedeći: </w:t>
      </w:r>
    </w:p>
    <w:p w14:paraId="0000007A" w14:textId="77777777" w:rsidR="007A6527" w:rsidRDefault="007A6527"/>
    <w:p w14:paraId="0000007B" w14:textId="77777777" w:rsidR="007A6527" w:rsidRDefault="008A787C">
      <w:pPr>
        <w:numPr>
          <w:ilvl w:val="0"/>
          <w:numId w:val="12"/>
        </w:numPr>
        <w:pBdr>
          <w:top w:val="nil"/>
          <w:left w:val="nil"/>
          <w:bottom w:val="nil"/>
          <w:right w:val="nil"/>
          <w:between w:val="nil"/>
        </w:pBdr>
      </w:pPr>
      <w:r>
        <w:rPr>
          <w:color w:val="000000"/>
        </w:rPr>
        <w:t>Istraživanje javnog mnjenja o percepciji evropske integracije Crne Gore iz 2013, 2015, 2016, 2017, 2018, 2019, 2020, 2021. i 2022. godine</w:t>
      </w:r>
      <w:r>
        <w:rPr>
          <w:color w:val="000000"/>
          <w:vertAlign w:val="superscript"/>
        </w:rPr>
        <w:footnoteReference w:id="5"/>
      </w:r>
    </w:p>
    <w:p w14:paraId="0000007C" w14:textId="689EF6AC" w:rsidR="007A6527" w:rsidRDefault="008A787C">
      <w:pPr>
        <w:numPr>
          <w:ilvl w:val="0"/>
          <w:numId w:val="12"/>
        </w:numPr>
        <w:pBdr>
          <w:top w:val="nil"/>
          <w:left w:val="nil"/>
          <w:bottom w:val="nil"/>
          <w:right w:val="nil"/>
          <w:between w:val="nil"/>
        </w:pBdr>
      </w:pPr>
      <w:r>
        <w:rPr>
          <w:color w:val="000000"/>
        </w:rPr>
        <w:t xml:space="preserve">Istraživanje političkog javnog mnjenja Centra za demokratiju i ljudska prava (CEDEM) od 2012. do 2022. godine </w:t>
      </w:r>
    </w:p>
    <w:p w14:paraId="0000007D" w14:textId="77777777" w:rsidR="007A6527" w:rsidRDefault="008A787C">
      <w:pPr>
        <w:numPr>
          <w:ilvl w:val="0"/>
          <w:numId w:val="12"/>
        </w:numPr>
        <w:pBdr>
          <w:top w:val="nil"/>
          <w:left w:val="nil"/>
          <w:bottom w:val="nil"/>
          <w:right w:val="nil"/>
          <w:between w:val="nil"/>
        </w:pBdr>
      </w:pPr>
      <w:r>
        <w:rPr>
          <w:color w:val="000000"/>
        </w:rPr>
        <w:t>Izvještaji o realizaciji akcionog plana za 2019, 2020. i 2021. godinu za sprovođenje Strategije informisanja javnosti o pristupanju Crne Gore EU 2019-2022. godine</w:t>
      </w:r>
    </w:p>
    <w:p w14:paraId="0000007E" w14:textId="38C6001F" w:rsidR="007A6527" w:rsidRDefault="008A787C">
      <w:pPr>
        <w:numPr>
          <w:ilvl w:val="0"/>
          <w:numId w:val="12"/>
        </w:numPr>
        <w:pBdr>
          <w:top w:val="nil"/>
          <w:left w:val="nil"/>
          <w:bottom w:val="nil"/>
          <w:right w:val="nil"/>
          <w:between w:val="nil"/>
        </w:pBdr>
      </w:pPr>
      <w:r>
        <w:rPr>
          <w:color w:val="000000"/>
        </w:rPr>
        <w:t xml:space="preserve">Konsultacije sa stručnom i zainteresovanom javnosti </w:t>
      </w:r>
      <w:sdt>
        <w:sdtPr>
          <w:tag w:val="goog_rdk_4"/>
          <w:id w:val="2118016420"/>
        </w:sdtPr>
        <w:sdtContent/>
      </w:sdt>
      <w:r>
        <w:rPr>
          <w:color w:val="000000"/>
        </w:rPr>
        <w:t xml:space="preserve">i to: </w:t>
      </w:r>
      <w:r w:rsidR="00B504B7">
        <w:rPr>
          <w:color w:val="000000"/>
        </w:rPr>
        <w:t>15.juna– 15. jula 2023. godine</w:t>
      </w:r>
    </w:p>
    <w:p w14:paraId="0000007F" w14:textId="77777777" w:rsidR="007A6527" w:rsidRPr="00B72B27" w:rsidRDefault="008A787C">
      <w:pPr>
        <w:numPr>
          <w:ilvl w:val="0"/>
          <w:numId w:val="12"/>
        </w:numPr>
        <w:pBdr>
          <w:top w:val="nil"/>
          <w:left w:val="nil"/>
          <w:bottom w:val="nil"/>
          <w:right w:val="nil"/>
          <w:between w:val="nil"/>
        </w:pBdr>
        <w:rPr>
          <w:color w:val="000000"/>
        </w:rPr>
      </w:pPr>
      <w:r w:rsidRPr="00B72B27">
        <w:rPr>
          <w:color w:val="000000"/>
        </w:rPr>
        <w:t xml:space="preserve">Analiza prednosti, slabosti, mogućnosti i prijetnji – SWOT analiza </w:t>
      </w:r>
    </w:p>
    <w:p w14:paraId="00000081" w14:textId="77777777" w:rsidR="007A6527" w:rsidRDefault="008A787C">
      <w:pPr>
        <w:numPr>
          <w:ilvl w:val="0"/>
          <w:numId w:val="12"/>
        </w:numPr>
        <w:pBdr>
          <w:top w:val="nil"/>
          <w:left w:val="nil"/>
          <w:bottom w:val="nil"/>
          <w:right w:val="nil"/>
          <w:between w:val="nil"/>
        </w:pBdr>
        <w:rPr>
          <w:color w:val="000000"/>
        </w:rPr>
      </w:pPr>
      <w:r>
        <w:rPr>
          <w:color w:val="000000"/>
        </w:rPr>
        <w:t xml:space="preserve">Izvještaj istraživanja sa nosiocima procesa pregovora u Crnoj Gori, UNDP, Kancelarija za evropske integracije i Generalni sekretarijat Vlade Crne Gore, 25. mart - 1. april 2022. godine </w:t>
      </w:r>
    </w:p>
    <w:p w14:paraId="00000082" w14:textId="77777777" w:rsidR="007A6527" w:rsidRDefault="007A6527">
      <w:pPr>
        <w:pBdr>
          <w:top w:val="nil"/>
          <w:left w:val="nil"/>
          <w:bottom w:val="nil"/>
          <w:right w:val="nil"/>
          <w:between w:val="nil"/>
        </w:pBdr>
        <w:ind w:left="720"/>
        <w:rPr>
          <w:color w:val="000000"/>
        </w:rPr>
      </w:pPr>
    </w:p>
    <w:p w14:paraId="00000083" w14:textId="77777777" w:rsidR="007A6527" w:rsidRDefault="008A787C">
      <w:pPr>
        <w:pStyle w:val="Heading2"/>
        <w:rPr>
          <w:b/>
        </w:rPr>
      </w:pPr>
      <w:bookmarkStart w:id="5" w:name="_Toc140567026"/>
      <w:r w:rsidRPr="00C5599F">
        <w:rPr>
          <w:b/>
        </w:rPr>
        <w:t>Podrška javnosti pristupanju Evropskoj uniji</w:t>
      </w:r>
      <w:bookmarkEnd w:id="5"/>
      <w:r w:rsidRPr="00C5599F">
        <w:rPr>
          <w:b/>
        </w:rPr>
        <w:t xml:space="preserve"> </w:t>
      </w:r>
    </w:p>
    <w:p w14:paraId="03E4F009" w14:textId="77777777" w:rsidR="00C5599F" w:rsidRPr="00C5599F" w:rsidRDefault="00C5599F" w:rsidP="00C5599F"/>
    <w:p w14:paraId="00000084" w14:textId="48171A32" w:rsidR="007A6527" w:rsidRDefault="008A787C">
      <w:r>
        <w:t>Prateći podatke iz dva izvora, longitudinalna istraživanja koja sprovodi De Facto Consultancy i Centar za demokratiju i ljudska prava CEDEM, možemo uočiti da je trend podrške visok, kontinuiran i relativno stabilan.</w:t>
      </w:r>
      <w:r>
        <w:rPr>
          <w:vertAlign w:val="superscript"/>
        </w:rPr>
        <w:footnoteReference w:id="6"/>
      </w:r>
      <w:r>
        <w:t xml:space="preserve"> CEDEM je registrovao pad podrške pristupanju 2020. godine, koji se, međutim 2021. godine vratio na 70.7%, što je četvrta najviša izmjerena vrijednost otkako ova organizacija vrši mjerenja (2007. godina). I u 2022. godini CEDEM mjeri visoku podršku od </w:t>
      </w:r>
      <w:r w:rsidR="004F313D">
        <w:t>75</w:t>
      </w:r>
      <w:r>
        <w:t>%. De Facto mjeri stabilniju podršku u posljednjih par godina od 66.4% 2019. godine do 7</w:t>
      </w:r>
      <w:r w:rsidR="004F313D">
        <w:t>7</w:t>
      </w:r>
      <w:r>
        <w:t>.</w:t>
      </w:r>
      <w:r w:rsidR="004F313D">
        <w:t>8</w:t>
      </w:r>
      <w:r>
        <w:t xml:space="preserve">% 2022. godine. </w:t>
      </w:r>
    </w:p>
    <w:p w14:paraId="00000085" w14:textId="77777777" w:rsidR="007A6527" w:rsidRDefault="008A787C">
      <w:r>
        <w:t xml:space="preserve">Podaci De Facto-a, pak, ukazuju na određene promjene u posljednjih godinu dana unutar strukture podržavalaca pristupanja. Naime, po prvi put od 2013. godine procenat onih koji uglavnom podržavaju pristupanje EU je viši od onih koji apsolutno podržavaju pristupanje. S obzirom na to da su razlike male, i da je ukupan zbir podržavalaca visok, ovi brojevi ne daju povod za zabrinutost, ali su interesantni sa komunikološkog stanovišta. </w:t>
      </w:r>
      <w:r>
        <w:rPr>
          <w:b/>
        </w:rPr>
        <w:t>Naime, iako je podrška visoka, kontinuirana i relativno stabilna, podaci ukazuju na to da među podržavaocima postoji određena dinamika prelaska iz čvrstih u mekše stavove kojom treba upravljati.</w:t>
      </w:r>
      <w:r>
        <w:t xml:space="preserve"> </w:t>
      </w:r>
    </w:p>
    <w:p w14:paraId="00000086" w14:textId="77777777" w:rsidR="007A6527" w:rsidRDefault="008A787C">
      <w:pPr>
        <w:tabs>
          <w:tab w:val="left" w:pos="6900"/>
        </w:tabs>
      </w:pPr>
      <w:r>
        <w:tab/>
      </w:r>
    </w:p>
    <w:p w14:paraId="00000087" w14:textId="77777777" w:rsidR="007A6527" w:rsidRDefault="008A787C">
      <w:r>
        <w:rPr>
          <w:noProof/>
          <w:lang w:val="sr-Latn-ME" w:eastAsia="sr-Latn-ME"/>
        </w:rPr>
        <w:drawing>
          <wp:inline distT="0" distB="0" distL="0" distR="0" wp14:anchorId="69D08CD4" wp14:editId="00B7A2B8">
            <wp:extent cx="5731510" cy="1991995"/>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0000088" w14:textId="77777777" w:rsidR="007A6527" w:rsidRDefault="008A787C">
      <w:pPr>
        <w:rPr>
          <w:i/>
          <w:color w:val="4472C4"/>
          <w:sz w:val="18"/>
          <w:szCs w:val="18"/>
        </w:rPr>
      </w:pPr>
      <w:r>
        <w:rPr>
          <w:i/>
          <w:color w:val="4472C4"/>
          <w:sz w:val="18"/>
          <w:szCs w:val="18"/>
        </w:rPr>
        <w:t>Grafik 1: Podrška pristupanju Crne Gore Evropskoj uniji kroz vrijeme u odnosu na intenzitet podrške, Istraživanje javnog mnjenja o percepciji evropske integracije Crne Gore 2013-2022. godine</w:t>
      </w:r>
    </w:p>
    <w:p w14:paraId="0000008A" w14:textId="358F93BD" w:rsidR="007A6527" w:rsidRDefault="007A6527">
      <w:pPr>
        <w:keepNext/>
      </w:pPr>
    </w:p>
    <w:p w14:paraId="42835F0D" w14:textId="44E246B8" w:rsidR="00493177" w:rsidRDefault="00493177">
      <w:pPr>
        <w:pBdr>
          <w:top w:val="nil"/>
          <w:left w:val="nil"/>
          <w:bottom w:val="nil"/>
          <w:right w:val="nil"/>
          <w:between w:val="nil"/>
        </w:pBdr>
        <w:spacing w:after="200"/>
        <w:rPr>
          <w:rFonts w:ascii="Calibri" w:hAnsi="Calibri"/>
          <w:i/>
          <w:color w:val="44546A"/>
          <w:sz w:val="18"/>
          <w:szCs w:val="18"/>
        </w:rPr>
      </w:pPr>
      <w:r>
        <w:rPr>
          <w:noProof/>
          <w:lang w:val="sr-Latn-ME" w:eastAsia="sr-Latn-ME"/>
        </w:rPr>
        <w:drawing>
          <wp:inline distT="0" distB="0" distL="0" distR="0" wp14:anchorId="37BFE83F" wp14:editId="20D13B16">
            <wp:extent cx="5731510" cy="2478577"/>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2478577"/>
                    </a:xfrm>
                    <a:prstGeom prst="rect">
                      <a:avLst/>
                    </a:prstGeom>
                    <a:noFill/>
                  </pic:spPr>
                </pic:pic>
              </a:graphicData>
            </a:graphic>
          </wp:inline>
        </w:drawing>
      </w:r>
    </w:p>
    <w:p w14:paraId="0000008B" w14:textId="77777777" w:rsidR="007A6527" w:rsidRDefault="008A787C">
      <w:pPr>
        <w:pBdr>
          <w:top w:val="nil"/>
          <w:left w:val="nil"/>
          <w:bottom w:val="nil"/>
          <w:right w:val="nil"/>
          <w:between w:val="nil"/>
        </w:pBdr>
        <w:spacing w:after="200"/>
        <w:rPr>
          <w:rFonts w:ascii="Calibri" w:hAnsi="Calibri"/>
          <w:i/>
          <w:color w:val="44546A"/>
          <w:sz w:val="18"/>
          <w:szCs w:val="18"/>
        </w:rPr>
      </w:pPr>
      <w:r>
        <w:rPr>
          <w:rFonts w:ascii="Calibri" w:hAnsi="Calibri"/>
          <w:i/>
          <w:color w:val="44546A"/>
          <w:sz w:val="18"/>
          <w:szCs w:val="18"/>
        </w:rPr>
        <w:t>Grafik 2: Podrška članstvu u Evropskoj uniji, političko javno mnjenje Centar za demokratiju i ljudska prava (CEDEM), 2012–2018. godine</w:t>
      </w:r>
      <w:r>
        <w:rPr>
          <w:rFonts w:ascii="Calibri" w:hAnsi="Calibri"/>
          <w:i/>
          <w:color w:val="44546A"/>
          <w:sz w:val="18"/>
          <w:szCs w:val="18"/>
          <w:vertAlign w:val="superscript"/>
        </w:rPr>
        <w:footnoteReference w:id="7"/>
      </w:r>
    </w:p>
    <w:p w14:paraId="0000008C" w14:textId="09D24803" w:rsidR="007A6527" w:rsidRDefault="008A787C">
      <w:r>
        <w:t xml:space="preserve">Gledano generacijski (grafik 3), podrška pristupanju je u prosjeku viša među mlađom  populacijom, što govori o tome da je trend dobar i da </w:t>
      </w:r>
      <w:r>
        <w:rPr>
          <w:b/>
        </w:rPr>
        <w:t xml:space="preserve">u budućnosti </w:t>
      </w:r>
      <w:r>
        <w:rPr>
          <w:b/>
          <w:i/>
        </w:rPr>
        <w:t xml:space="preserve">ceteris paribus </w:t>
      </w:r>
      <w:r>
        <w:rPr>
          <w:b/>
        </w:rPr>
        <w:t xml:space="preserve">ne očekujemo talas euroskepticizma. </w:t>
      </w:r>
      <w:r>
        <w:t>Ovi podaci posredno govore i o tome da je u prethodnom periodu komunikacija prema mladima bila adekvatna, tj. da su njeni r</w:t>
      </w:r>
      <w:r w:rsidR="00AF09E2">
        <w:t>e</w:t>
      </w:r>
      <w:r>
        <w:t xml:space="preserve">zultati pozitivni u smislu stavova.  </w:t>
      </w:r>
    </w:p>
    <w:p w14:paraId="0000008D" w14:textId="47EE250F" w:rsidR="007A6527" w:rsidRDefault="007A6527"/>
    <w:p w14:paraId="666AB9C9" w14:textId="1630C024" w:rsidR="00493177" w:rsidRDefault="00493177">
      <w:pPr>
        <w:pBdr>
          <w:top w:val="nil"/>
          <w:left w:val="nil"/>
          <w:bottom w:val="nil"/>
          <w:right w:val="nil"/>
          <w:between w:val="nil"/>
        </w:pBdr>
        <w:spacing w:after="200"/>
        <w:rPr>
          <w:rFonts w:ascii="Calibri" w:hAnsi="Calibri"/>
          <w:i/>
          <w:color w:val="44546A"/>
          <w:sz w:val="18"/>
          <w:szCs w:val="18"/>
        </w:rPr>
      </w:pPr>
      <w:r>
        <w:rPr>
          <w:noProof/>
          <w:lang w:val="sr-Latn-ME" w:eastAsia="sr-Latn-ME"/>
        </w:rPr>
        <w:drawing>
          <wp:inline distT="0" distB="0" distL="0" distR="0" wp14:anchorId="6747D687" wp14:editId="6735AD00">
            <wp:extent cx="4914900" cy="284079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12723" cy="2839539"/>
                    </a:xfrm>
                    <a:prstGeom prst="rect">
                      <a:avLst/>
                    </a:prstGeom>
                    <a:noFill/>
                  </pic:spPr>
                </pic:pic>
              </a:graphicData>
            </a:graphic>
          </wp:inline>
        </w:drawing>
      </w:r>
    </w:p>
    <w:p w14:paraId="27662F49" w14:textId="77777777" w:rsidR="00493177" w:rsidRDefault="00493177">
      <w:pPr>
        <w:pBdr>
          <w:top w:val="nil"/>
          <w:left w:val="nil"/>
          <w:bottom w:val="nil"/>
          <w:right w:val="nil"/>
          <w:between w:val="nil"/>
        </w:pBdr>
        <w:spacing w:after="200"/>
        <w:rPr>
          <w:rFonts w:ascii="Calibri" w:hAnsi="Calibri"/>
          <w:i/>
          <w:color w:val="44546A"/>
          <w:sz w:val="18"/>
          <w:szCs w:val="18"/>
        </w:rPr>
      </w:pPr>
    </w:p>
    <w:p w14:paraId="0000008E" w14:textId="77777777" w:rsidR="007A6527" w:rsidRDefault="008A787C">
      <w:pPr>
        <w:pBdr>
          <w:top w:val="nil"/>
          <w:left w:val="nil"/>
          <w:bottom w:val="nil"/>
          <w:right w:val="nil"/>
          <w:between w:val="nil"/>
        </w:pBdr>
        <w:spacing w:after="200"/>
        <w:rPr>
          <w:rFonts w:ascii="Calibri" w:hAnsi="Calibri"/>
          <w:i/>
          <w:color w:val="44546A"/>
          <w:sz w:val="18"/>
          <w:szCs w:val="18"/>
        </w:rPr>
      </w:pPr>
      <w:r>
        <w:rPr>
          <w:rFonts w:ascii="Calibri" w:hAnsi="Calibri"/>
          <w:i/>
          <w:color w:val="44546A"/>
          <w:sz w:val="18"/>
          <w:szCs w:val="18"/>
        </w:rPr>
        <w:t>Grafik 3: Podrška pristupanju u odnosu na godine ispitanika, De Facto, 2022. godine (ukrštanje je statistički značajno na nivou p&lt;0.01)</w:t>
      </w:r>
    </w:p>
    <w:p w14:paraId="0000008F" w14:textId="5F95F6C0" w:rsidR="007A6527" w:rsidRDefault="008A787C">
      <w:r>
        <w:t>Pozitivan stav prema Evropskoj uniji dodatno potvrđuju odgovori ispitanika</w:t>
      </w:r>
      <w:r w:rsidR="00623CB6">
        <w:t>/ca</w:t>
      </w:r>
      <w:r>
        <w:t xml:space="preserve"> na pitanje sa kim bi Crna Gora trebalo u budućnosti da ima najjače političke, ekonomske i tržiš</w:t>
      </w:r>
      <w:r w:rsidR="00AF09E2">
        <w:t>n</w:t>
      </w:r>
      <w:r>
        <w:t xml:space="preserve">e veze. Ovo pitanje je postavljeno u tzv. otvorenoj formi što znači da mogući odgovori nisu bili predloženi ispitanicima. Da Crna Gora </w:t>
      </w:r>
      <w:r>
        <w:rPr>
          <w:b/>
        </w:rPr>
        <w:t>treba da ima najjače političke, ekonomske i tržišne veze sa Evropskom unijom odgovorilo je čak 3</w:t>
      </w:r>
      <w:r w:rsidR="00BD29AA">
        <w:rPr>
          <w:b/>
        </w:rPr>
        <w:t>8</w:t>
      </w:r>
      <w:r>
        <w:rPr>
          <w:b/>
        </w:rPr>
        <w:t>.</w:t>
      </w:r>
      <w:r w:rsidR="00BD29AA">
        <w:rPr>
          <w:b/>
        </w:rPr>
        <w:t>9</w:t>
      </w:r>
      <w:r>
        <w:rPr>
          <w:b/>
        </w:rPr>
        <w:t>% ispitanika.</w:t>
      </w:r>
      <w:r>
        <w:t xml:space="preserve"> Nakon toga 2</w:t>
      </w:r>
      <w:r w:rsidR="00BD29AA">
        <w:t>4</w:t>
      </w:r>
      <w:r>
        <w:t xml:space="preserve">.8% ispitanika kaže da bi takve veze trebalo imati sa Srbijom, a 6.6% sa </w:t>
      </w:r>
      <w:r w:rsidR="005E0302">
        <w:t>Sjed</w:t>
      </w:r>
      <w:r w:rsidR="00BD29AA">
        <w:t>injenim Američkim državama</w:t>
      </w:r>
      <w:r>
        <w:t>.</w:t>
      </w:r>
    </w:p>
    <w:p w14:paraId="00000090" w14:textId="1CE017BA" w:rsidR="007A6527" w:rsidRDefault="008A787C">
      <w:r>
        <w:t xml:space="preserve">Asocijacije koje ispitanici imaju na Evropsku uniju su dominantno pozitivne. Od onih koji su odgovorili na ovo pitanje, svega </w:t>
      </w:r>
      <w:r w:rsidR="005E0302">
        <w:t>8</w:t>
      </w:r>
      <w:r>
        <w:t>.6% ispitanika je imalo negativnu asocijaciju („ništa dobro“, „ništa“, „propast“, „gubitak suvereniteta“). Najčešće</w:t>
      </w:r>
      <w:r w:rsidR="00ED3664">
        <w:t>,</w:t>
      </w:r>
      <w:r>
        <w:t xml:space="preserve"> ispitanike</w:t>
      </w:r>
      <w:r w:rsidR="00623CB6">
        <w:t>/ce</w:t>
      </w:r>
      <w:r>
        <w:t xml:space="preserve"> Evropska unija asocira na bolju </w:t>
      </w:r>
      <w:r>
        <w:rPr>
          <w:b/>
        </w:rPr>
        <w:t>budućnost ili bolji standard života</w:t>
      </w:r>
      <w:r>
        <w:t xml:space="preserve"> (19.5%), na </w:t>
      </w:r>
      <w:r>
        <w:rPr>
          <w:b/>
        </w:rPr>
        <w:t>putovanja i otvorene granice</w:t>
      </w:r>
      <w:r>
        <w:t xml:space="preserve"> („14.2%), na mogućnost </w:t>
      </w:r>
      <w:r>
        <w:rPr>
          <w:b/>
        </w:rPr>
        <w:t>zapošljavanja</w:t>
      </w:r>
      <w:r>
        <w:t xml:space="preserve"> (</w:t>
      </w:r>
      <w:r w:rsidR="005E0302">
        <w:t>16.8</w:t>
      </w:r>
      <w:r>
        <w:t xml:space="preserve">%) i </w:t>
      </w:r>
      <w:r>
        <w:rPr>
          <w:b/>
        </w:rPr>
        <w:t>demokratiju i vladavinu prava</w:t>
      </w:r>
      <w:r>
        <w:t xml:space="preserve"> (</w:t>
      </w:r>
      <w:r w:rsidR="005E0302">
        <w:t>11</w:t>
      </w:r>
      <w:r>
        <w:t xml:space="preserve">%). Ovi pojmovi treba da budu eksploatisani kao ključni u komuniciranju jer predstavljaju „most“ ka pozitivnim asocijacijama na Evropsku uniju. </w:t>
      </w:r>
    </w:p>
    <w:p w14:paraId="00000091" w14:textId="77777777" w:rsidR="007A6527" w:rsidRDefault="007A6527"/>
    <w:p w14:paraId="00000092" w14:textId="77777777" w:rsidR="007A6527" w:rsidRDefault="008A787C">
      <w:r>
        <w:rPr>
          <w:noProof/>
          <w:lang w:val="sr-Latn-ME" w:eastAsia="sr-Latn-ME"/>
        </w:rPr>
        <w:drawing>
          <wp:inline distT="0" distB="0" distL="0" distR="0" wp14:anchorId="75087E20" wp14:editId="75CDF013">
            <wp:extent cx="5400675" cy="1619250"/>
            <wp:effectExtent l="0" t="0" r="0" b="0"/>
            <wp:docPr id="31" name="image2.png" descr="A picture containing 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picture containing diagram&#10;&#10;Description automatically generated"/>
                    <pic:cNvPicPr preferRelativeResize="0"/>
                  </pic:nvPicPr>
                  <pic:blipFill>
                    <a:blip r:embed="rId12"/>
                    <a:srcRect/>
                    <a:stretch>
                      <a:fillRect/>
                    </a:stretch>
                  </pic:blipFill>
                  <pic:spPr>
                    <a:xfrm>
                      <a:off x="0" y="0"/>
                      <a:ext cx="5399016" cy="1618753"/>
                    </a:xfrm>
                    <a:prstGeom prst="rect">
                      <a:avLst/>
                    </a:prstGeom>
                    <a:ln/>
                  </pic:spPr>
                </pic:pic>
              </a:graphicData>
            </a:graphic>
          </wp:inline>
        </w:drawing>
      </w:r>
    </w:p>
    <w:p w14:paraId="00000093" w14:textId="77777777" w:rsidR="007A6527" w:rsidRDefault="008A787C">
      <w:pPr>
        <w:pBdr>
          <w:top w:val="nil"/>
          <w:left w:val="nil"/>
          <w:bottom w:val="nil"/>
          <w:right w:val="nil"/>
          <w:between w:val="nil"/>
        </w:pBdr>
        <w:spacing w:after="200"/>
        <w:rPr>
          <w:rFonts w:ascii="Calibri" w:hAnsi="Calibri"/>
          <w:i/>
          <w:color w:val="44546A"/>
          <w:sz w:val="18"/>
          <w:szCs w:val="18"/>
        </w:rPr>
      </w:pPr>
      <w:r>
        <w:rPr>
          <w:rFonts w:ascii="Calibri" w:hAnsi="Calibri"/>
          <w:i/>
          <w:color w:val="44546A"/>
          <w:sz w:val="18"/>
          <w:szCs w:val="18"/>
        </w:rPr>
        <w:t>Grafik 4: Najčešće asocijacije na pojam Evropska unija u odnosu na broj ponavljanja, De Facto, 2022. godine</w:t>
      </w:r>
    </w:p>
    <w:p w14:paraId="00000094" w14:textId="6B4C30F4" w:rsidR="007A6527" w:rsidRDefault="008A787C">
      <w:r>
        <w:t>U vezi sa pristupanjem Evropskoj uniji se često pominje pitanje tzv. zamora. Naime, s obzirom na to da proces traje već deset godina, pretpostavka o kojoj se često govori i ja</w:t>
      </w:r>
      <w:r w:rsidR="00ED3664">
        <w:t>s</w:t>
      </w:r>
      <w:r>
        <w:t xml:space="preserve">no je da će se građani i građanke zamoriti. Podaci iz istraživanja, pak, </w:t>
      </w:r>
      <w:r>
        <w:rPr>
          <w:b/>
        </w:rPr>
        <w:t xml:space="preserve">ne ukazuju na to da takav zamor još uvijek postoji, </w:t>
      </w:r>
      <w:r>
        <w:t xml:space="preserve">što ne znači da se on u budućnosti neće pojaviti ukoliko proces potraje. </w:t>
      </w:r>
    </w:p>
    <w:p w14:paraId="00000095" w14:textId="515CD28E" w:rsidR="007A6527" w:rsidRDefault="008A787C">
      <w:r>
        <w:t xml:space="preserve">Na pitanje kad očekuju da Crna Gora postane članicom Evropske unije, </w:t>
      </w:r>
      <w:r w:rsidR="00C32808">
        <w:t>21</w:t>
      </w:r>
      <w:r>
        <w:t>% ispitanika</w:t>
      </w:r>
      <w:r w:rsidR="00623CB6">
        <w:t>/ca</w:t>
      </w:r>
      <w:r>
        <w:t xml:space="preserve"> (uglavnom onih koji su protiv pristupanja) tvrdi da se to nikad neće desiti. Njih </w:t>
      </w:r>
      <w:r w:rsidR="00C32808">
        <w:t>53.5</w:t>
      </w:r>
      <w:r>
        <w:t xml:space="preserve">% očekuje da će se to desiti između 2025. i 2030. godine. Ovi podaci, pak, ukazuju na potrebu upravljanja očekivanjima u situaciji ako se scenario pristupanja u tom periodu ne ostvari. </w:t>
      </w:r>
    </w:p>
    <w:p w14:paraId="41B5F160" w14:textId="77777777" w:rsidR="00493177" w:rsidRDefault="00493177"/>
    <w:p w14:paraId="7BF9B734" w14:textId="4378DDA3" w:rsidR="00493177" w:rsidRDefault="00493177">
      <w:r>
        <w:rPr>
          <w:noProof/>
          <w:lang w:val="sr-Latn-ME" w:eastAsia="sr-Latn-ME"/>
        </w:rPr>
        <w:drawing>
          <wp:inline distT="0" distB="0" distL="0" distR="0" wp14:anchorId="0EDBA1F7" wp14:editId="5EDA1C52">
            <wp:extent cx="5019675" cy="2760098"/>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17653" cy="2758986"/>
                    </a:xfrm>
                    <a:prstGeom prst="rect">
                      <a:avLst/>
                    </a:prstGeom>
                    <a:noFill/>
                  </pic:spPr>
                </pic:pic>
              </a:graphicData>
            </a:graphic>
          </wp:inline>
        </w:drawing>
      </w:r>
    </w:p>
    <w:p w14:paraId="35F64319" w14:textId="77777777" w:rsidR="00493177" w:rsidRDefault="00493177"/>
    <w:p w14:paraId="00000097" w14:textId="77777777" w:rsidR="007A6527" w:rsidRDefault="008A787C">
      <w:pPr>
        <w:pBdr>
          <w:top w:val="nil"/>
          <w:left w:val="nil"/>
          <w:bottom w:val="nil"/>
          <w:right w:val="nil"/>
          <w:between w:val="nil"/>
        </w:pBdr>
        <w:spacing w:after="200"/>
        <w:rPr>
          <w:rFonts w:ascii="Calibri" w:hAnsi="Calibri"/>
          <w:i/>
          <w:color w:val="44546A"/>
          <w:sz w:val="18"/>
          <w:szCs w:val="18"/>
        </w:rPr>
      </w:pPr>
      <w:r>
        <w:rPr>
          <w:rFonts w:ascii="Calibri" w:hAnsi="Calibri"/>
          <w:i/>
          <w:color w:val="44546A"/>
          <w:sz w:val="18"/>
          <w:szCs w:val="18"/>
        </w:rPr>
        <w:t>Grafik 4: Koje godine očekujete da Crna Gora postane članica Evropske unije, De Facto, 2022. godine</w:t>
      </w:r>
    </w:p>
    <w:p w14:paraId="00000098" w14:textId="77777777" w:rsidR="007A6527" w:rsidRDefault="007A6527"/>
    <w:p w14:paraId="00000099" w14:textId="77777777" w:rsidR="007A6527" w:rsidRDefault="008A787C">
      <w:pPr>
        <w:pStyle w:val="Heading2"/>
        <w:rPr>
          <w:b/>
        </w:rPr>
      </w:pPr>
      <w:bookmarkStart w:id="6" w:name="_Toc140567027"/>
      <w:r w:rsidRPr="00C5599F">
        <w:rPr>
          <w:b/>
        </w:rPr>
        <w:t>Informisanje i razumijevanje</w:t>
      </w:r>
      <w:bookmarkEnd w:id="6"/>
    </w:p>
    <w:p w14:paraId="52A9DC9B" w14:textId="77777777" w:rsidR="00C5599F" w:rsidRPr="00C5599F" w:rsidRDefault="00C5599F" w:rsidP="00C5599F"/>
    <w:p w14:paraId="0000009A" w14:textId="48FFB09A" w:rsidR="007A6527" w:rsidRDefault="008A787C">
      <w:r>
        <w:t>Pored upravljanja stavovima i percepcijama građana</w:t>
      </w:r>
      <w:r w:rsidR="00623CB6">
        <w:t>/ki</w:t>
      </w:r>
      <w:r>
        <w:t>, cilj kvalitetnog komuniciranja je i povećanje informisanosti i razumijevanja građana</w:t>
      </w:r>
      <w:r w:rsidR="00623CB6">
        <w:t>/ki</w:t>
      </w:r>
      <w:r>
        <w:t xml:space="preserve"> kad je funkcionisanje Evropske unije, proces pristupanja i efekti na Crnu Goru u pitanju. </w:t>
      </w:r>
    </w:p>
    <w:p w14:paraId="0000009B" w14:textId="205C4EDD" w:rsidR="007A6527" w:rsidRDefault="008A787C">
      <w:r>
        <w:t>Istraživanjima javnog mnjenja se ne može u potpunosti testirati da li građani</w:t>
      </w:r>
      <w:r w:rsidR="00623CB6">
        <w:t>/ke</w:t>
      </w:r>
      <w:r>
        <w:t xml:space="preserve"> imaju dovoljno informacija o Evropskoj uniji i</w:t>
      </w:r>
      <w:r w:rsidR="00623CB6">
        <w:t xml:space="preserve"> </w:t>
      </w:r>
      <w:r w:rsidR="00ED3664">
        <w:t>integracionom procesu</w:t>
      </w:r>
      <w:r>
        <w:t>, ali se može izmjeriti kako oni sami vide nivo svoje informisanosti. U posljednjih pola godine, građani</w:t>
      </w:r>
      <w:r w:rsidR="00623CB6">
        <w:t>/ke</w:t>
      </w:r>
      <w:r>
        <w:t xml:space="preserve"> ocjenjuju svoju opštu informisanost slabije nego u prethodnom periodu. Tako se, u </w:t>
      </w:r>
      <w:r w:rsidR="00C32808">
        <w:t xml:space="preserve">novembru </w:t>
      </w:r>
      <w:r>
        <w:t xml:space="preserve">2022. godine </w:t>
      </w:r>
      <w:r w:rsidR="00C32808">
        <w:t>52</w:t>
      </w:r>
      <w:r>
        <w:t>% ispitanika smatra veoma ili dobro informisanim, za razliku od npr. 2020. godine kada je isto smatralo preko 60% ispitanika</w:t>
      </w:r>
      <w:r w:rsidR="00623CB6">
        <w:t>/ca</w:t>
      </w:r>
      <w:r>
        <w:t xml:space="preserve">. </w:t>
      </w:r>
    </w:p>
    <w:p w14:paraId="2DEA7899" w14:textId="77777777" w:rsidR="00493177" w:rsidRDefault="00493177">
      <w:pPr>
        <w:pBdr>
          <w:top w:val="nil"/>
          <w:left w:val="nil"/>
          <w:bottom w:val="nil"/>
          <w:right w:val="nil"/>
          <w:between w:val="nil"/>
        </w:pBdr>
        <w:spacing w:after="200"/>
        <w:rPr>
          <w:rFonts w:ascii="Calibri" w:hAnsi="Calibri"/>
          <w:i/>
          <w:color w:val="44546A"/>
          <w:sz w:val="18"/>
          <w:szCs w:val="18"/>
        </w:rPr>
      </w:pPr>
    </w:p>
    <w:p w14:paraId="1721638C" w14:textId="47C9B3DD" w:rsidR="00493177" w:rsidRDefault="00493177">
      <w:pPr>
        <w:pBdr>
          <w:top w:val="nil"/>
          <w:left w:val="nil"/>
          <w:bottom w:val="nil"/>
          <w:right w:val="nil"/>
          <w:between w:val="nil"/>
        </w:pBdr>
        <w:spacing w:after="200"/>
        <w:rPr>
          <w:rFonts w:ascii="Calibri" w:hAnsi="Calibri"/>
          <w:i/>
          <w:color w:val="44546A"/>
          <w:sz w:val="18"/>
          <w:szCs w:val="18"/>
        </w:rPr>
      </w:pPr>
      <w:r>
        <w:rPr>
          <w:noProof/>
          <w:lang w:val="sr-Latn-ME" w:eastAsia="sr-Latn-ME"/>
        </w:rPr>
        <w:drawing>
          <wp:inline distT="0" distB="0" distL="0" distR="0" wp14:anchorId="2005EF2B" wp14:editId="439BFBD5">
            <wp:extent cx="4600575" cy="3045982"/>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05199" cy="3049044"/>
                    </a:xfrm>
                    <a:prstGeom prst="rect">
                      <a:avLst/>
                    </a:prstGeom>
                    <a:noFill/>
                  </pic:spPr>
                </pic:pic>
              </a:graphicData>
            </a:graphic>
          </wp:inline>
        </w:drawing>
      </w:r>
    </w:p>
    <w:p w14:paraId="76F49CCA" w14:textId="77777777" w:rsidR="00493177" w:rsidRDefault="00493177">
      <w:pPr>
        <w:pBdr>
          <w:top w:val="nil"/>
          <w:left w:val="nil"/>
          <w:bottom w:val="nil"/>
          <w:right w:val="nil"/>
          <w:between w:val="nil"/>
        </w:pBdr>
        <w:spacing w:after="200"/>
        <w:rPr>
          <w:rFonts w:ascii="Calibri" w:hAnsi="Calibri"/>
          <w:i/>
          <w:color w:val="44546A"/>
          <w:sz w:val="18"/>
          <w:szCs w:val="18"/>
        </w:rPr>
      </w:pPr>
    </w:p>
    <w:p w14:paraId="0000009D" w14:textId="77777777" w:rsidR="007A6527" w:rsidRDefault="008A787C">
      <w:pPr>
        <w:pBdr>
          <w:top w:val="nil"/>
          <w:left w:val="nil"/>
          <w:bottom w:val="nil"/>
          <w:right w:val="nil"/>
          <w:between w:val="nil"/>
        </w:pBdr>
        <w:spacing w:after="200"/>
        <w:rPr>
          <w:rFonts w:ascii="Calibri" w:hAnsi="Calibri"/>
          <w:i/>
          <w:color w:val="44546A"/>
          <w:sz w:val="18"/>
          <w:szCs w:val="18"/>
        </w:rPr>
      </w:pPr>
      <w:r>
        <w:rPr>
          <w:rFonts w:ascii="Calibri" w:hAnsi="Calibri"/>
          <w:i/>
          <w:color w:val="44546A"/>
          <w:sz w:val="18"/>
          <w:szCs w:val="18"/>
        </w:rPr>
        <w:t>Grafik 5: Odgovor na pitanje u kojoj mjeri se smatraju informisanim o Evropskoj uniji, njenim politikama i institucijama, De Facto, 2022. godine</w:t>
      </w:r>
    </w:p>
    <w:p w14:paraId="0000009E" w14:textId="0B09114E" w:rsidR="007A6527" w:rsidRDefault="008A787C">
      <w:r>
        <w:t>Slični podaci postoje i kada je u pitanju samoevaluacija informisanosti o procesu evropskih integracija. Naime, procenat onih koji sebe smatraju veoma ili dobro informisanim je pao sa 58.3% 2020. godine na 4</w:t>
      </w:r>
      <w:r w:rsidR="00C32808">
        <w:t>6.8</w:t>
      </w:r>
      <w:r>
        <w:t xml:space="preserve">% u </w:t>
      </w:r>
      <w:r w:rsidR="00C32808">
        <w:t xml:space="preserve">novembru </w:t>
      </w:r>
      <w:r>
        <w:t xml:space="preserve">2022. godine. </w:t>
      </w:r>
    </w:p>
    <w:p w14:paraId="2017DF70" w14:textId="77777777" w:rsidR="00493177" w:rsidRDefault="00493177"/>
    <w:p w14:paraId="4EE39963" w14:textId="0C8052AB" w:rsidR="00493177" w:rsidRDefault="00493177">
      <w:r>
        <w:rPr>
          <w:noProof/>
          <w:lang w:val="sr-Latn-ME" w:eastAsia="sr-Latn-ME"/>
        </w:rPr>
        <w:drawing>
          <wp:inline distT="0" distB="0" distL="0" distR="0" wp14:anchorId="31F02C95" wp14:editId="65EB2E63">
            <wp:extent cx="5715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00000A0" w14:textId="59798305" w:rsidR="007A6527" w:rsidRDefault="007A6527"/>
    <w:p w14:paraId="000000A1" w14:textId="77777777" w:rsidR="007A6527" w:rsidRDefault="008A787C">
      <w:pPr>
        <w:pBdr>
          <w:top w:val="nil"/>
          <w:left w:val="nil"/>
          <w:bottom w:val="nil"/>
          <w:right w:val="nil"/>
          <w:between w:val="nil"/>
        </w:pBdr>
        <w:spacing w:after="200"/>
        <w:rPr>
          <w:rFonts w:ascii="Calibri" w:hAnsi="Calibri"/>
          <w:i/>
          <w:color w:val="44546A"/>
          <w:sz w:val="18"/>
          <w:szCs w:val="18"/>
        </w:rPr>
      </w:pPr>
      <w:r>
        <w:rPr>
          <w:rFonts w:ascii="Calibri" w:hAnsi="Calibri"/>
          <w:i/>
          <w:color w:val="44546A"/>
          <w:sz w:val="18"/>
          <w:szCs w:val="18"/>
        </w:rPr>
        <w:t>Grafik 5: Odgovor na pitanje u kojoj mjeri se smatraju informisanim o procesu pristupanja EU, De Facto, 2022. godine</w:t>
      </w:r>
    </w:p>
    <w:p w14:paraId="000000A2" w14:textId="77777777" w:rsidR="007A6527" w:rsidRDefault="008A787C">
      <w:r>
        <w:t xml:space="preserve">Razloge pada ocjene sopstvene informisanosti vjerovatno možemo tražiti u kontekstu dešavanja u prethodnih godinu dana tokom kojih su javnošću dominirale teme promjene Vlade i ruske agresije na Ukrajinu. Bez obzira na razloge, </w:t>
      </w:r>
      <w:r>
        <w:rPr>
          <w:b/>
        </w:rPr>
        <w:t>podaci ukazuju na to da postoji prostor za intenziviranje komuniciranja.</w:t>
      </w:r>
      <w:r>
        <w:t xml:space="preserve">  </w:t>
      </w:r>
    </w:p>
    <w:p w14:paraId="000000A3" w14:textId="75E98D5D" w:rsidR="007A6527" w:rsidRDefault="008A787C">
      <w:r>
        <w:t>Kao glavne razloge zbog kojih nisu informisani</w:t>
      </w:r>
      <w:r w:rsidR="00AF09E2">
        <w:t>,</w:t>
      </w:r>
      <w:r>
        <w:t xml:space="preserve"> ispitanici</w:t>
      </w:r>
      <w:r w:rsidR="00623CB6">
        <w:t>/ce</w:t>
      </w:r>
      <w:r>
        <w:t xml:space="preserve"> navode da su dostupne informacije previše generalne i da nedostaje razgovor o temama koj</w:t>
      </w:r>
      <w:r w:rsidR="00AF09E2">
        <w:t>e</w:t>
      </w:r>
      <w:r>
        <w:t xml:space="preserve"> njih lično interesuju (</w:t>
      </w:r>
      <w:r w:rsidR="00C32808">
        <w:t>60.1</w:t>
      </w:r>
      <w:r>
        <w:t xml:space="preserve">%), da generalno nema dovoljno informacija o ovoj temi u medijima (45.9%), te da se previše priča o korupciji i organizovanom kriminalu, a manje o ostalim temama (45.1%). </w:t>
      </w:r>
      <w:r>
        <w:rPr>
          <w:b/>
        </w:rPr>
        <w:t>Zaključak bi mogao biti da ispitanicima fale interesantne, „personalizovane“ informacije o Evropskoj uniji i pristupanju kroz koje će prepoznati svoja interesovanja.</w:t>
      </w:r>
      <w:r>
        <w:t xml:space="preserve"> </w:t>
      </w:r>
    </w:p>
    <w:p w14:paraId="000000A4" w14:textId="24A9C938" w:rsidR="007A6527" w:rsidRDefault="008A787C">
      <w:r>
        <w:t xml:space="preserve">Pitanja koja „testiraju“ znanje kao što je pitanje o tome ko je najveći donator u Crnoj Gori ukazuju na to da </w:t>
      </w:r>
      <w:r>
        <w:rPr>
          <w:b/>
        </w:rPr>
        <w:t>znanje postoji</w:t>
      </w:r>
      <w:r>
        <w:t xml:space="preserve">. Na primjer, </w:t>
      </w:r>
      <w:r w:rsidR="00C32808">
        <w:t>54.7</w:t>
      </w:r>
      <w:r>
        <w:t>% ispitanika je identifikovalo EU kao najvećeg donatora. Interesantno je da su istraživanja iz 2020. i 2021. godine pokazala vidljivost i prepoznatljivost pomoći koju je Evropska unija uputila Crnoj Gori za borbu protiv pandemije koronavirusa. Na pitanje koji regionalni ili internacionalni subjekat smatrate da je pokazao najviše solidarnosti prema Crnoj Gori u borbi protiv COVID-19 pandemije, 2020. godine 48.6% ispitanika</w:t>
      </w:r>
      <w:r w:rsidR="00623CB6">
        <w:t>/ca</w:t>
      </w:r>
      <w:r>
        <w:t xml:space="preserve"> je identifikovalo Evropsku uniju, a 2021. godine njih 40.4%. I ovo pitanje je bilo otvorenog karaktera, dakle, ispitanicima</w:t>
      </w:r>
      <w:r w:rsidR="00623CB6">
        <w:t>/cama</w:t>
      </w:r>
      <w:r>
        <w:t xml:space="preserve"> nisu nuđeni odgovori. Ovaj podatak ukazuje na to da se konkretne akcije koje dolaze iz EU vide i prepoznaju, ali i adekvatno komuniciraju. </w:t>
      </w:r>
    </w:p>
    <w:p w14:paraId="000000A5" w14:textId="6BC2BAB9" w:rsidR="007A6527" w:rsidRDefault="008A787C">
      <w:r>
        <w:t>Kada su u pitanju kanali putem kojih se ispitanici</w:t>
      </w:r>
      <w:r w:rsidR="00623CB6">
        <w:t>/ce</w:t>
      </w:r>
      <w:r>
        <w:t xml:space="preserve"> informišu, to se najčešće dešava preko televizije, zatim internet informativnih portala, a zatim slijede društvene mreže Facebook i Instagram. Interesantno je da </w:t>
      </w:r>
      <w:r w:rsidR="009C18A4">
        <w:t xml:space="preserve">se </w:t>
      </w:r>
      <w:r>
        <w:t xml:space="preserve">Twitter skoro </w:t>
      </w:r>
      <w:r w:rsidR="003209A0">
        <w:t xml:space="preserve">izjednačava sa </w:t>
      </w:r>
      <w:r>
        <w:t>štampan</w:t>
      </w:r>
      <w:r w:rsidR="003209A0">
        <w:t>im</w:t>
      </w:r>
      <w:r>
        <w:t xml:space="preserve"> dnevn</w:t>
      </w:r>
      <w:r w:rsidR="003209A0">
        <w:t>im</w:t>
      </w:r>
      <w:r>
        <w:t xml:space="preserve"> novin</w:t>
      </w:r>
      <w:r w:rsidR="003209A0">
        <w:t>ama</w:t>
      </w:r>
      <w:r>
        <w:t xml:space="preserve">. </w:t>
      </w:r>
    </w:p>
    <w:p w14:paraId="5C900A88" w14:textId="77777777" w:rsidR="00493177" w:rsidRDefault="00493177"/>
    <w:p w14:paraId="1CF0DA07" w14:textId="5EE8F11E" w:rsidR="00493177" w:rsidRDefault="00493177">
      <w:r>
        <w:rPr>
          <w:noProof/>
          <w:lang w:val="sr-Latn-ME" w:eastAsia="sr-Latn-ME"/>
        </w:rPr>
        <w:drawing>
          <wp:inline distT="0" distB="0" distL="0" distR="0" wp14:anchorId="2976FD0B" wp14:editId="5B09692C">
            <wp:extent cx="5200650" cy="304974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98686" cy="3048597"/>
                    </a:xfrm>
                    <a:prstGeom prst="rect">
                      <a:avLst/>
                    </a:prstGeom>
                    <a:noFill/>
                  </pic:spPr>
                </pic:pic>
              </a:graphicData>
            </a:graphic>
          </wp:inline>
        </w:drawing>
      </w:r>
    </w:p>
    <w:p w14:paraId="000000A6" w14:textId="3EF0C857" w:rsidR="007A6527" w:rsidRDefault="007A6527"/>
    <w:p w14:paraId="000000A7" w14:textId="77777777" w:rsidR="007A6527" w:rsidRDefault="008A787C">
      <w:pPr>
        <w:pBdr>
          <w:top w:val="nil"/>
          <w:left w:val="nil"/>
          <w:bottom w:val="nil"/>
          <w:right w:val="nil"/>
          <w:between w:val="nil"/>
        </w:pBdr>
        <w:spacing w:after="200"/>
        <w:rPr>
          <w:rFonts w:ascii="Calibri" w:hAnsi="Calibri"/>
          <w:i/>
          <w:color w:val="44546A"/>
          <w:sz w:val="18"/>
          <w:szCs w:val="18"/>
        </w:rPr>
      </w:pPr>
      <w:r>
        <w:rPr>
          <w:rFonts w:ascii="Calibri" w:hAnsi="Calibri"/>
          <w:i/>
          <w:color w:val="44546A"/>
          <w:sz w:val="18"/>
          <w:szCs w:val="18"/>
        </w:rPr>
        <w:t>Grafik 6: Koliko često se informišete putem sljedećih kanala informisanja, De Facto, 2022. godine</w:t>
      </w:r>
    </w:p>
    <w:p w14:paraId="000000A8" w14:textId="20992656" w:rsidR="007A6527" w:rsidRDefault="008A787C">
      <w:r>
        <w:t xml:space="preserve">Kada su u pitanju trendovi u vezi sa informisanjem, podaci ukazuju na pad aktivnog traženja informacija o stipendijama u inostranstvu od strane mladih ljudi. Procenat mladih ljudi koji traže ovakve informacije se </w:t>
      </w:r>
      <w:r w:rsidR="00151B99">
        <w:t xml:space="preserve">značajno </w:t>
      </w:r>
      <w:r>
        <w:t xml:space="preserve">smanjio u odnosu na 2020. godinu. </w:t>
      </w:r>
    </w:p>
    <w:p w14:paraId="3EE5CAB3" w14:textId="77777777" w:rsidR="00493177" w:rsidRDefault="00493177"/>
    <w:p w14:paraId="109E1AB5" w14:textId="1C7357E4" w:rsidR="00493177" w:rsidRDefault="00493177">
      <w:r w:rsidRPr="009F7E08">
        <w:rPr>
          <w:noProof/>
          <w:lang w:val="sr-Latn-ME" w:eastAsia="sr-Latn-ME"/>
        </w:rPr>
        <w:drawing>
          <wp:inline distT="0" distB="0" distL="0" distR="0" wp14:anchorId="0FFF79E8" wp14:editId="32614FCC">
            <wp:extent cx="4391025" cy="266917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411483" cy="2681608"/>
                    </a:xfrm>
                    <a:prstGeom prst="rect">
                      <a:avLst/>
                    </a:prstGeom>
                  </pic:spPr>
                </pic:pic>
              </a:graphicData>
            </a:graphic>
          </wp:inline>
        </w:drawing>
      </w:r>
    </w:p>
    <w:p w14:paraId="000000A9" w14:textId="70615D10" w:rsidR="007A6527" w:rsidRDefault="007A6527"/>
    <w:p w14:paraId="000000AA" w14:textId="592D5B36" w:rsidR="007A6527" w:rsidRDefault="008A787C">
      <w:pPr>
        <w:pBdr>
          <w:top w:val="nil"/>
          <w:left w:val="nil"/>
          <w:bottom w:val="nil"/>
          <w:right w:val="nil"/>
          <w:between w:val="nil"/>
        </w:pBdr>
        <w:spacing w:after="200"/>
        <w:rPr>
          <w:rFonts w:ascii="Calibri" w:hAnsi="Calibri"/>
          <w:i/>
          <w:color w:val="44546A"/>
          <w:sz w:val="18"/>
          <w:szCs w:val="18"/>
        </w:rPr>
      </w:pPr>
      <w:r>
        <w:rPr>
          <w:rFonts w:ascii="Calibri" w:hAnsi="Calibri"/>
          <w:i/>
          <w:color w:val="44546A"/>
          <w:sz w:val="18"/>
          <w:szCs w:val="18"/>
        </w:rPr>
        <w:t xml:space="preserve">Grafik 7: Da li ste ikad pokušali sami da dođete do informacija o stipendijama u inostranstvu, mladi od 18 do 34 godine, De Facto, 2022. </w:t>
      </w:r>
      <w:sdt>
        <w:sdtPr>
          <w:tag w:val="goog_rdk_5"/>
          <w:id w:val="-384961222"/>
        </w:sdtPr>
        <w:sdtContent/>
      </w:sdt>
      <w:sdt>
        <w:sdtPr>
          <w:tag w:val="goog_rdk_6"/>
          <w:id w:val="297188387"/>
        </w:sdtPr>
        <w:sdtContent/>
      </w:sdt>
      <w:r w:rsidR="00B064A8">
        <w:rPr>
          <w:rFonts w:ascii="Calibri" w:hAnsi="Calibri"/>
          <w:i/>
          <w:color w:val="44546A"/>
          <w:sz w:val="18"/>
          <w:szCs w:val="18"/>
        </w:rPr>
        <w:t>G</w:t>
      </w:r>
      <w:r>
        <w:rPr>
          <w:rFonts w:ascii="Calibri" w:hAnsi="Calibri"/>
          <w:i/>
          <w:color w:val="44546A"/>
          <w:sz w:val="18"/>
          <w:szCs w:val="18"/>
        </w:rPr>
        <w:t>odine</w:t>
      </w:r>
    </w:p>
    <w:p w14:paraId="574D4CBF" w14:textId="172BACE3" w:rsidR="007E0C19" w:rsidRPr="00AF1FAC" w:rsidRDefault="007E0C19">
      <w:pPr>
        <w:pBdr>
          <w:top w:val="nil"/>
          <w:left w:val="nil"/>
          <w:bottom w:val="nil"/>
          <w:right w:val="nil"/>
          <w:between w:val="nil"/>
        </w:pBdr>
        <w:spacing w:after="200"/>
      </w:pPr>
      <w:r w:rsidRPr="00AF1FAC">
        <w:t xml:space="preserve">S ciljem unapređenja stepena informisanosti i poboljšanja razumijevanja, neophodno je, prilikom komuniciranja EU tema voditi računa o lokalnom kontekstu koji je od značaja prilikom odabira  tema i komunikacionih kanala i kreiranja adekvatnih poruka. </w:t>
      </w:r>
    </w:p>
    <w:p w14:paraId="37BA6ED7" w14:textId="77777777" w:rsidR="007E0C19" w:rsidRDefault="007E0C19">
      <w:pPr>
        <w:pBdr>
          <w:top w:val="nil"/>
          <w:left w:val="nil"/>
          <w:bottom w:val="nil"/>
          <w:right w:val="nil"/>
          <w:between w:val="nil"/>
        </w:pBdr>
        <w:spacing w:after="200"/>
        <w:rPr>
          <w:rFonts w:ascii="Calibri" w:hAnsi="Calibri"/>
          <w:i/>
          <w:color w:val="44546A"/>
          <w:sz w:val="18"/>
          <w:szCs w:val="18"/>
        </w:rPr>
      </w:pPr>
    </w:p>
    <w:bookmarkStart w:id="7" w:name="_Toc140567028"/>
    <w:p w14:paraId="000000AB" w14:textId="77777777" w:rsidR="007A6527" w:rsidRDefault="00000000">
      <w:pPr>
        <w:pStyle w:val="Heading2"/>
        <w:rPr>
          <w:b/>
        </w:rPr>
      </w:pPr>
      <w:sdt>
        <w:sdtPr>
          <w:tag w:val="goog_rdk_7"/>
          <w:id w:val="688647407"/>
        </w:sdtPr>
        <w:sdtContent/>
      </w:sdt>
      <w:r w:rsidR="008A787C" w:rsidRPr="00C5599F">
        <w:rPr>
          <w:b/>
        </w:rPr>
        <w:t>Pregovaračka struktura i koordinacija procesa pregovora</w:t>
      </w:r>
      <w:bookmarkEnd w:id="7"/>
      <w:r w:rsidR="008A787C" w:rsidRPr="00C5599F">
        <w:rPr>
          <w:b/>
        </w:rPr>
        <w:t xml:space="preserve"> </w:t>
      </w:r>
    </w:p>
    <w:p w14:paraId="6D30AC0D" w14:textId="77777777" w:rsidR="00C5599F" w:rsidRPr="00C5599F" w:rsidRDefault="00C5599F" w:rsidP="00C5599F"/>
    <w:p w14:paraId="000000AC" w14:textId="28824AD0" w:rsidR="007A6527" w:rsidRDefault="008A787C">
      <w:bookmarkStart w:id="8" w:name="_heading=h.1t3h5sf" w:colFirst="0" w:colLast="0"/>
      <w:bookmarkEnd w:id="8"/>
      <w:r>
        <w:t>U okviru projekta „Jačanje kapaciteta za ubrzanje procesa pristupanja Crne Gore Evropskoj uniji“ koji je finansiralo Ministarstvo vanjskih poslova Norveške, a sproveo UNDP u saradnji sa Kancelarijom za evropske integracije i Generalnim sekretarijatom Vlade, prikupljeni su podaci o tome na koji način članovi</w:t>
      </w:r>
      <w:r w:rsidR="00623CB6">
        <w:t>/ce</w:t>
      </w:r>
      <w:r>
        <w:t xml:space="preserve"> pregovaračke strukture vide proces pregovora. Na upitnik je odgovorilo 237 članova i članica pregovaračke strukture. Odgovori koji su dati, pružaju nam uvid u to kakva je percepcija procesa bila „iznutra.“</w:t>
      </w:r>
    </w:p>
    <w:p w14:paraId="000000AD" w14:textId="77777777" w:rsidR="007A6527" w:rsidRDefault="008A787C">
      <w:r>
        <w:t xml:space="preserve">Prije svega, treba naglasiti da trećina članova i članica pregovaračke strukture smatra sebe djelimično ili nedovoljno upoznatima sa svojom ulogom, pravima i obavezama u procesu pregovora. Iako se većina smatra veoma upoznatima (71.7%) interna komunikacija očigledno treba da ostane jedan od prioriteta narednog perioda. </w:t>
      </w:r>
    </w:p>
    <w:p w14:paraId="080DFD80" w14:textId="77777777" w:rsidR="00493177" w:rsidRDefault="00493177"/>
    <w:p w14:paraId="1BC2D10C" w14:textId="1BDA8005" w:rsidR="00493177" w:rsidRDefault="00493177">
      <w:r>
        <w:rPr>
          <w:noProof/>
          <w:lang w:val="sr-Latn-ME" w:eastAsia="sr-Latn-ME"/>
        </w:rPr>
        <w:drawing>
          <wp:inline distT="0" distB="0" distL="0" distR="0" wp14:anchorId="286DFE4F" wp14:editId="0483B0B0">
            <wp:extent cx="5731510" cy="2202590"/>
            <wp:effectExtent l="0" t="0" r="2540" b="7620"/>
            <wp:docPr id="9" name="image3.png" descr="Ch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Chart&#10;&#10;Description automatically generated"/>
                    <pic:cNvPicPr preferRelativeResize="0"/>
                  </pic:nvPicPr>
                  <pic:blipFill>
                    <a:blip r:embed="rId18"/>
                    <a:srcRect t="19205"/>
                    <a:stretch>
                      <a:fillRect/>
                    </a:stretch>
                  </pic:blipFill>
                  <pic:spPr>
                    <a:xfrm>
                      <a:off x="0" y="0"/>
                      <a:ext cx="5731510" cy="2202590"/>
                    </a:xfrm>
                    <a:prstGeom prst="rect">
                      <a:avLst/>
                    </a:prstGeom>
                    <a:ln/>
                  </pic:spPr>
                </pic:pic>
              </a:graphicData>
            </a:graphic>
          </wp:inline>
        </w:drawing>
      </w:r>
    </w:p>
    <w:p w14:paraId="000000AF" w14:textId="14985A2D" w:rsidR="007A6527" w:rsidRDefault="007A6527">
      <w:pPr>
        <w:rPr>
          <w:color w:val="000000"/>
          <w:highlight w:val="white"/>
        </w:rPr>
      </w:pPr>
    </w:p>
    <w:p w14:paraId="000000B0" w14:textId="77777777" w:rsidR="007A6527" w:rsidRDefault="008A787C">
      <w:pPr>
        <w:pBdr>
          <w:top w:val="nil"/>
          <w:left w:val="nil"/>
          <w:bottom w:val="nil"/>
          <w:right w:val="nil"/>
          <w:between w:val="nil"/>
        </w:pBdr>
        <w:spacing w:after="200"/>
        <w:rPr>
          <w:rFonts w:ascii="Calibri" w:hAnsi="Calibri"/>
          <w:i/>
          <w:color w:val="44546A"/>
          <w:sz w:val="18"/>
          <w:szCs w:val="18"/>
        </w:rPr>
      </w:pPr>
      <w:r>
        <w:rPr>
          <w:rFonts w:ascii="Calibri" w:hAnsi="Calibri"/>
          <w:i/>
          <w:color w:val="44546A"/>
          <w:sz w:val="18"/>
          <w:szCs w:val="18"/>
        </w:rPr>
        <w:t>Grafik 8: Odgovori na pitanje da li su članovi i članice pregovaračke strukture upoznati sa svojom ulogom, pravima i obavezama u procesu pregovora</w:t>
      </w:r>
    </w:p>
    <w:p w14:paraId="000000B1" w14:textId="77777777" w:rsidR="007A6527" w:rsidRDefault="007A6527">
      <w:pPr>
        <w:rPr>
          <w:color w:val="000000"/>
          <w:highlight w:val="white"/>
        </w:rPr>
      </w:pPr>
    </w:p>
    <w:p w14:paraId="000000B2" w14:textId="10B4300F" w:rsidR="007A6527" w:rsidRDefault="008A787C">
      <w:pPr>
        <w:rPr>
          <w:color w:val="000000"/>
          <w:highlight w:val="white"/>
        </w:rPr>
      </w:pPr>
      <w:r>
        <w:rPr>
          <w:color w:val="000000"/>
          <w:highlight w:val="white"/>
        </w:rPr>
        <w:t>Takođe, svaki peti član/ica daje niske ocjene na pitanje u kojoj mjeri su zadovoljni količinom, strukturom i obimom informacija koje su im stajale na raspolaganju u toku pregovora. Preko polovin</w:t>
      </w:r>
      <w:r w:rsidR="00ED3664">
        <w:rPr>
          <w:color w:val="000000"/>
          <w:highlight w:val="white"/>
        </w:rPr>
        <w:t>e</w:t>
      </w:r>
      <w:r>
        <w:rPr>
          <w:color w:val="000000"/>
          <w:highlight w:val="white"/>
        </w:rPr>
        <w:t xml:space="preserve"> smatra da bi sastanke radnih grupa trebalo češće organizovati (ocjene 4 i 5 na skali od 1 do 5), 68.8% smatra da bi bila neophodna redovna i blagovremena komunikacija o svim relevantnim pitanjima uz dijeljenje informacija o napretku u svim oblastima pregovora, a 71.3% smatra da treba jasnija podjela zadataka unutar radne grupe. Isti procent član/ica smatra da znanja i vještine članova i članica radne grupe treba unaprjeđivati. Njih 69.2% smatra da portal MESPH treba unaprijediti, a njih 66.6% da je neophodna brža i efikasnija komunikacija sa Evropskom komisijom. </w:t>
      </w:r>
    </w:p>
    <w:p w14:paraId="536DDADA" w14:textId="3871C6EB" w:rsidR="00493177" w:rsidRDefault="00493177">
      <w:pPr>
        <w:rPr>
          <w:color w:val="000000"/>
          <w:highlight w:val="white"/>
        </w:rPr>
      </w:pPr>
      <w:r>
        <w:rPr>
          <w:noProof/>
          <w:lang w:val="sr-Latn-ME" w:eastAsia="sr-Latn-ME"/>
        </w:rPr>
        <w:drawing>
          <wp:inline distT="0" distB="0" distL="0" distR="0" wp14:anchorId="7FE90A85" wp14:editId="47CDA912">
            <wp:extent cx="5731510" cy="2178709"/>
            <wp:effectExtent l="0" t="0" r="2540" b="0"/>
            <wp:docPr id="10" name="image1.png" descr="Chart, bar ch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Chart, bar chart&#10;&#10;Description automatically generated"/>
                    <pic:cNvPicPr preferRelativeResize="0"/>
                  </pic:nvPicPr>
                  <pic:blipFill>
                    <a:blip r:embed="rId19"/>
                    <a:srcRect t="25220"/>
                    <a:stretch>
                      <a:fillRect/>
                    </a:stretch>
                  </pic:blipFill>
                  <pic:spPr>
                    <a:xfrm>
                      <a:off x="0" y="0"/>
                      <a:ext cx="5731510" cy="2178709"/>
                    </a:xfrm>
                    <a:prstGeom prst="rect">
                      <a:avLst/>
                    </a:prstGeom>
                    <a:ln/>
                  </pic:spPr>
                </pic:pic>
              </a:graphicData>
            </a:graphic>
          </wp:inline>
        </w:drawing>
      </w:r>
    </w:p>
    <w:p w14:paraId="000000B4" w14:textId="77777777" w:rsidR="007A6527" w:rsidRDefault="008A787C">
      <w:pPr>
        <w:pBdr>
          <w:top w:val="nil"/>
          <w:left w:val="nil"/>
          <w:bottom w:val="nil"/>
          <w:right w:val="nil"/>
          <w:between w:val="nil"/>
        </w:pBdr>
        <w:spacing w:after="200"/>
        <w:rPr>
          <w:rFonts w:ascii="Calibri" w:hAnsi="Calibri"/>
          <w:i/>
          <w:color w:val="44546A"/>
          <w:sz w:val="18"/>
          <w:szCs w:val="18"/>
        </w:rPr>
      </w:pPr>
      <w:r>
        <w:rPr>
          <w:rFonts w:ascii="Calibri" w:hAnsi="Calibri"/>
          <w:i/>
          <w:color w:val="44546A"/>
          <w:sz w:val="18"/>
          <w:szCs w:val="18"/>
        </w:rPr>
        <w:t xml:space="preserve">Grafik 9: Odgovori na pitanje u kojoj mjeri  su članovi i članice pregovaračke strukture zadovoljni strukturom i obimom informacija koje im stoje na raspolaganju kako bi uspješno obavljali svoju ulogu u procesu pregovora </w:t>
      </w:r>
    </w:p>
    <w:p w14:paraId="000000B5" w14:textId="77777777" w:rsidR="007A6527" w:rsidRDefault="007A6527"/>
    <w:p w14:paraId="6FF57B69" w14:textId="77777777" w:rsidR="007D6D89" w:rsidRDefault="007D6D89" w:rsidP="007D6D89">
      <w:pPr>
        <w:pStyle w:val="Heading2"/>
        <w:rPr>
          <w:b/>
        </w:rPr>
      </w:pPr>
      <w:bookmarkStart w:id="9" w:name="_Toc140567029"/>
      <w:r w:rsidRPr="00C5599F">
        <w:rPr>
          <w:b/>
        </w:rPr>
        <w:t>Promjene u komunikacionom okruženju</w:t>
      </w:r>
      <w:bookmarkEnd w:id="9"/>
      <w:r w:rsidRPr="00C5599F">
        <w:rPr>
          <w:b/>
        </w:rPr>
        <w:t xml:space="preserve"> </w:t>
      </w:r>
    </w:p>
    <w:p w14:paraId="449522B8" w14:textId="77777777" w:rsidR="00EE597D" w:rsidRPr="00EE597D" w:rsidRDefault="00EE597D" w:rsidP="00EE597D"/>
    <w:p w14:paraId="378C576B" w14:textId="77777777" w:rsidR="007D6D89" w:rsidRDefault="007D6D89" w:rsidP="007D6D89">
      <w:r>
        <w:t xml:space="preserve">Komunikacija se ne dešava u vakuumu, već u kompleksnom prostoru gdje jedni na druge djeluju mnogobrojni politički, ekonomski i tehnološki faktori, sa nacionalnog i međunarodnog nivoa, koji su u krajnjem nepredvidivi. Iako se tokom protekle decenije, od kada je Crna Gora počela pregovore, na nivou procesa evropske integracije nije previše promijenilo, pa su osnovni ciljevi i poruke gotovo istovjetni, na globalnom planu su se u proteklih par godina desili veliki potresi koji su ostavili snažan trag na proces komunikacije. </w:t>
      </w:r>
    </w:p>
    <w:p w14:paraId="1E02697B" w14:textId="77777777" w:rsidR="007D6D89" w:rsidRDefault="007D6D89" w:rsidP="007D6D89"/>
    <w:p w14:paraId="5D9563B5" w14:textId="77777777" w:rsidR="007D6D89" w:rsidRDefault="007D6D89" w:rsidP="007D6D89">
      <w:r>
        <w:t xml:space="preserve">Radi se u prvom redu o pandemiji virusa Covid-19 i ruskoj agresiji na Ukrajinu. Ta dva događaja, uz čitav domino efekat posljedica koji ih je pratio, značajno su izmijenila komunikaciono okruženje i natjerala eksperte da im se brzo prilagođavaju i traže nove načine i modele efikasne komunikacije. Ova Strategija će iskoristiti prve lekcije koje su naučene tokom ovog turbulentnog perioda i primijeniti ih, kako u definisanju strateških ciljeva, poruka i kanala, tako i konkretnim prijedlozima za implementaciju komunikacionih aktivnosti. To sve dolazi povrh sve bržeg tempa tehnoloških i socijalnih promjena u komunikacijama. Nikada više nego danas nije potrebno iznova i konstantno reevaluirati sve postulate, kontinuiranim monitoringom i analizom preispitivati svaki aspekat strateškog komuniciranja i prilagođavati se gdje je to moguće izvesti. </w:t>
      </w:r>
    </w:p>
    <w:p w14:paraId="471EF04B" w14:textId="77777777" w:rsidR="007D6D89" w:rsidRDefault="007D6D89" w:rsidP="007D6D89">
      <w:r>
        <w:rPr>
          <w:rFonts w:ascii="Calibri" w:hAnsi="Calibri"/>
        </w:rPr>
        <w:t xml:space="preserve"> </w:t>
      </w:r>
    </w:p>
    <w:p w14:paraId="08F54969" w14:textId="77777777" w:rsidR="007D6D89" w:rsidRDefault="007D6D89" w:rsidP="007D6D89">
      <w:r>
        <w:t>Neki od novih aspekata koji su se definisali kao nezaobilazni u proteklom periodu su:</w:t>
      </w:r>
    </w:p>
    <w:p w14:paraId="450E04A8" w14:textId="77777777" w:rsidR="007D6D89" w:rsidRDefault="007D6D89" w:rsidP="007D6D89">
      <w:r>
        <w:t xml:space="preserve"> </w:t>
      </w:r>
    </w:p>
    <w:p w14:paraId="45D56DC2" w14:textId="77777777" w:rsidR="007D6D89" w:rsidRDefault="007D6D89" w:rsidP="007D6D89">
      <w:pPr>
        <w:numPr>
          <w:ilvl w:val="0"/>
          <w:numId w:val="10"/>
        </w:numPr>
        <w:pBdr>
          <w:top w:val="nil"/>
          <w:left w:val="nil"/>
          <w:bottom w:val="nil"/>
          <w:right w:val="nil"/>
          <w:between w:val="nil"/>
        </w:pBdr>
        <w:rPr>
          <w:color w:val="000000"/>
        </w:rPr>
      </w:pPr>
      <w:r>
        <w:rPr>
          <w:color w:val="000000"/>
        </w:rPr>
        <w:t xml:space="preserve">Dezinformacije i </w:t>
      </w:r>
      <w:r>
        <w:t>manipulacije</w:t>
      </w:r>
      <w:r>
        <w:rPr>
          <w:color w:val="000000"/>
        </w:rPr>
        <w:t xml:space="preserve"> informacijama (FIMI</w:t>
      </w:r>
      <w:r>
        <w:t>)</w:t>
      </w:r>
      <w:r>
        <w:rPr>
          <w:vertAlign w:val="superscript"/>
        </w:rPr>
        <w:footnoteReference w:id="8"/>
      </w:r>
      <w:r>
        <w:rPr>
          <w:color w:val="000000"/>
        </w:rPr>
        <w:t>,</w:t>
      </w:r>
    </w:p>
    <w:p w14:paraId="27E08551" w14:textId="77777777" w:rsidR="007D6D89" w:rsidRDefault="007D6D89" w:rsidP="007D6D89">
      <w:pPr>
        <w:numPr>
          <w:ilvl w:val="0"/>
          <w:numId w:val="10"/>
        </w:numPr>
        <w:pBdr>
          <w:top w:val="nil"/>
          <w:left w:val="nil"/>
          <w:bottom w:val="nil"/>
          <w:right w:val="nil"/>
          <w:between w:val="nil"/>
        </w:pBdr>
        <w:rPr>
          <w:color w:val="000000"/>
        </w:rPr>
      </w:pPr>
      <w:r>
        <w:rPr>
          <w:color w:val="000000"/>
        </w:rPr>
        <w:t>Potreba za kriznom komunikacijom, i</w:t>
      </w:r>
    </w:p>
    <w:p w14:paraId="6B674618" w14:textId="77777777" w:rsidR="007D6D89" w:rsidRDefault="007D6D89" w:rsidP="007D6D89">
      <w:pPr>
        <w:numPr>
          <w:ilvl w:val="0"/>
          <w:numId w:val="10"/>
        </w:numPr>
        <w:pBdr>
          <w:top w:val="nil"/>
          <w:left w:val="nil"/>
          <w:bottom w:val="nil"/>
          <w:right w:val="nil"/>
          <w:between w:val="nil"/>
        </w:pBdr>
        <w:rPr>
          <w:color w:val="000000"/>
        </w:rPr>
      </w:pPr>
      <w:r>
        <w:rPr>
          <w:color w:val="000000"/>
        </w:rPr>
        <w:t>Spremnost za potpuni prelaz na digitalnu komunikaciju.</w:t>
      </w:r>
    </w:p>
    <w:p w14:paraId="73F90678" w14:textId="77777777" w:rsidR="007D6D89" w:rsidRDefault="007D6D89" w:rsidP="007D6D89">
      <w:r>
        <w:rPr>
          <w:rFonts w:ascii="Calibri" w:hAnsi="Calibri"/>
        </w:rPr>
        <w:t xml:space="preserve"> </w:t>
      </w:r>
    </w:p>
    <w:p w14:paraId="337A1E42" w14:textId="77777777" w:rsidR="007D6D89" w:rsidRDefault="007D6D89" w:rsidP="007D6D89">
      <w:r>
        <w:rPr>
          <w:b/>
        </w:rPr>
        <w:t>Dezinformacije</w:t>
      </w:r>
      <w:r>
        <w:t xml:space="preserve"> i kolokvijalno nazvane „lažne vijesti“ nijesu novi fenomen, ali su tek u proteklih par godina dostigli toliku mjeru da je borba protiv njih postala dio politika gotovo svih međunarodnih institucija i zemalja. Miješanje u izbore od strane trećih zemalja, manipulacija informacijama vezanim za zdravlje i hibridni napadi su samo najekstremniji primjeri koji su pokazali da naše demokratije, ali i naši životi mogu biti ugroženi ovim fenomenom. Zbog toga je Evropska unija pokrenula niz mjera, što kroz nove politike, što u saradnji sa partnerima da se suzbije i spriječi štetni i opasni uticaj dezinformacionih narativa i manipulacije informacijama. Ova Strategija ne pretenduje da se bavi borbom protiv dezinformacija, za to su zadužene neke druge javne institucije i drugi strateški dokumenti. Ipak, svjesni činjenice potencijalnog štetnog uticaja dezinformacija na proces komuniciranja evropske integracije, što se već pokazalo u nekim drugim zemljama, treba imati u vidu značaj ove dodatne perspektive u kreiranju i implementaciji komunikacionih aktivnosti. Javni komunikatori/ke moraju biti svjesni opasnosti i posjedovati osnovni set vještina i alata kako bi smanjili ranjivost svoje komunikacije od dezinformacionih narativa.</w:t>
      </w:r>
    </w:p>
    <w:p w14:paraId="6EE79CC5" w14:textId="77777777" w:rsidR="007D6D89" w:rsidRDefault="007D6D89" w:rsidP="007D6D89">
      <w:r>
        <w:t xml:space="preserve"> </w:t>
      </w:r>
    </w:p>
    <w:p w14:paraId="467626C1" w14:textId="77777777" w:rsidR="007D6D89" w:rsidRDefault="007D6D89" w:rsidP="007D6D89">
      <w:r>
        <w:t xml:space="preserve">Do prije samo par godina za komuniciranje procesa evropske integracije nisu nužno bile potrebne </w:t>
      </w:r>
      <w:r>
        <w:rPr>
          <w:b/>
        </w:rPr>
        <w:t>vještine krizne komunikacije</w:t>
      </w:r>
      <w:r>
        <w:t xml:space="preserve">. Radilo se o stabilnom, birokratskom i opsežnom procesu u kojem su se krize, bar one koje traže krizno komuniciranje, rijetko događale. Međutim protekle dvije godine obilježile su globalne krize koje su se snažno reflektovale na integracioni proces i koje su mogle značajno izmijeniti percepciju građana o Evropskoj uniji, podršku procesu pristupanja i drugom. Diplomatija vakcinama i maskama, sankcije, energetska i kriza hrane, predstavljaju snažan izazov za komunikaciju i stavili su na test komunikatore u čitavoj Evropi. Jasno je da se aktuelnom geopolitičkom trenutku zahtijeva da komunikatori/ke koriste metode i prakse krizne komunikacije ukoliko žele da pravovremeno i efikasno djeluju na izazove. To zahtijeva određenu promjenu pristupa strateškom komuniciranju kao i pripreme komunikatora/ki da se suoče sa ovim izazovom. </w:t>
      </w:r>
    </w:p>
    <w:p w14:paraId="3DB99740" w14:textId="77777777" w:rsidR="007D6D89" w:rsidRDefault="007D6D89" w:rsidP="007D6D89">
      <w:r>
        <w:t xml:space="preserve"> </w:t>
      </w:r>
    </w:p>
    <w:p w14:paraId="13EC43A0" w14:textId="77777777" w:rsidR="007D6D89" w:rsidRDefault="007D6D89" w:rsidP="007D6D89">
      <w:r>
        <w:t xml:space="preserve">Kada je </w:t>
      </w:r>
      <w:r>
        <w:rPr>
          <w:b/>
        </w:rPr>
        <w:t>pandemija</w:t>
      </w:r>
      <w:r>
        <w:t xml:space="preserve"> naglo promijenila naše živote i potpuno ih preselila u </w:t>
      </w:r>
      <w:r w:rsidRPr="000E5C44">
        <w:t xml:space="preserve">online </w:t>
      </w:r>
      <w:r>
        <w:t>svijet, bilo je očigledno da nisu svi bili jednako spremni za to. Komunikatorima je oduzela događaje uživo, prednosti neposredne komunikacije, sve vidove stvarnih, opipljivih interakcija. Već u početku je bilo jasno da neki modaliteti neće preživjeti test krize. Sva na brzinu napravljena rješenja, pukim transferom iz fizičkog u digitalni svijet, vrlo brzo su doživjela neuspjeh i nisu se mogla izboriti za nikad traženiju pažnju primalaca poruke. Pandemija je takođe pokazala da je vrijeme kada su podjele u timovima bile moguće i kada su komunikatori/ke mogli priuštiti da ne budu potpuno digitalno osposobljeni prošlo i da se neće vratiti. Kao i svaka kriza, i ova je donijela nova rješenja, nove kanale i načine komunikacije. Pažljivo osmišljeni novi modeli i načini komuniciranja, interaktivne aplikacije koje zauzimaju pažnju i traže uključenost, pokazali su da postoje načini na koji se može uspješno osvojiti najvažniji resurs moderne komunikacije – ljudska pažnja i interakcija. Nedovršeni proizvodi nemaju šanse u modernom komuniciranju –digitalni alat će biti onoliko uspješan koliko je vremena i truda uloženo u njegovo dizajniranje i izradu.</w:t>
      </w:r>
    </w:p>
    <w:p w14:paraId="0CAFDF24" w14:textId="77777777" w:rsidR="00C1209A" w:rsidRPr="00C5599F" w:rsidRDefault="00C1209A" w:rsidP="00C1209A">
      <w:pPr>
        <w:rPr>
          <w:b/>
        </w:rPr>
      </w:pPr>
    </w:p>
    <w:p w14:paraId="52103122" w14:textId="448838D2" w:rsidR="00C1209A" w:rsidRPr="00C5599F" w:rsidRDefault="00C1209A" w:rsidP="00C1209A">
      <w:pPr>
        <w:pStyle w:val="Heading2"/>
        <w:rPr>
          <w:b/>
        </w:rPr>
      </w:pPr>
      <w:bookmarkStart w:id="10" w:name="_Toc140567030"/>
      <w:r w:rsidRPr="00C5599F">
        <w:rPr>
          <w:b/>
        </w:rPr>
        <w:t xml:space="preserve">Evaluacija postignutog </w:t>
      </w:r>
      <w:r w:rsidR="00526B7A" w:rsidRPr="00C5599F">
        <w:rPr>
          <w:b/>
        </w:rPr>
        <w:t>po indikatorima aktivnosti i indikatorima ishoda</w:t>
      </w:r>
      <w:bookmarkEnd w:id="10"/>
    </w:p>
    <w:p w14:paraId="4D15B74D" w14:textId="77777777" w:rsidR="00753A10" w:rsidRPr="00566DCB" w:rsidRDefault="00753A10" w:rsidP="00753A10">
      <w:pPr>
        <w:rPr>
          <w:lang w:val="bs-Latn-BA"/>
        </w:rPr>
      </w:pPr>
    </w:p>
    <w:p w14:paraId="5525D1B3" w14:textId="77777777" w:rsidR="00753A10" w:rsidRPr="00566DCB" w:rsidRDefault="00753A10" w:rsidP="00753A10">
      <w:pPr>
        <w:rPr>
          <w:lang w:val="bs-Latn-BA"/>
        </w:rPr>
      </w:pPr>
      <w:r w:rsidRPr="00566DCB">
        <w:rPr>
          <w:lang w:val="bs-Latn-BA"/>
        </w:rPr>
        <w:t xml:space="preserve">Evaluacija Strategije informisanja javnosti o pristupanju Crne Gore Evropskoj uniji 2019-2022 je pokazala da je proces planiranja Strategije bio je inkluzivan, transparentan i efikasan. Oslonio se na kreiranje politike zasnovane na dokazima i osmišljen je u skladu sa Metodologijom za razvoj politike, izradu i praćenje implementacije strateških dokumenata Vlade Crne Gore. Sveukupno gledano, implementacija Strategije bila je veoma uspješna, što su pokazala i najnovija istraživanja javnog mnjenja koja pokazuju rekordnu podršku javnosti EU integracijama, kao i široki javni konsenzus u pogledu EU integracija, što je osnova za izgradnju budućneg konsenzusa. </w:t>
      </w:r>
    </w:p>
    <w:p w14:paraId="26EA99DE" w14:textId="77777777" w:rsidR="00753A10" w:rsidRPr="00566DCB" w:rsidRDefault="00753A10" w:rsidP="00753A10">
      <w:pPr>
        <w:rPr>
          <w:lang w:val="bs-Latn-BA"/>
        </w:rPr>
      </w:pPr>
      <w:r w:rsidRPr="00566DCB">
        <w:rPr>
          <w:lang w:val="bs-Latn-BA"/>
        </w:rPr>
        <w:t>Komunikacija i saradnja među zainteresovanim stranama na centralnom i lokalnom nivou tokom planiranja i implementacije je veoma visoko ocijenjena, uglavnom kao rezultat efikasne koordinacije od strane Sektora za informisanje javnosti o pristupanju Crne Gore EU, Generalnog sekretarijata Vlade. Sektor je takođe pokazao kapacitet upravljanja na visokom nivou u kriznim vremenima (pandemija koronavirusa, fluktuacija osoblja zbog institucionalnih promjena u Vladi, sajber napadi itd.), tako da implementacija nije imala značajna kašnjenja. Dobra koordinacija i upravljanje su pozitivno uticali na jačanje horizontalne saradnje između institucija, kao i sa civilnim društvom.</w:t>
      </w:r>
    </w:p>
    <w:p w14:paraId="111DAB53" w14:textId="77777777" w:rsidR="00753A10" w:rsidRDefault="00753A10" w:rsidP="00753A10">
      <w:pPr>
        <w:rPr>
          <w:lang w:val="bs-Latn-BA"/>
        </w:rPr>
      </w:pPr>
      <w:r w:rsidRPr="00566DCB">
        <w:rPr>
          <w:lang w:val="bs-Latn-BA"/>
        </w:rPr>
        <w:t>Sprovođenje Strategije karakterisalo je i snažno angažovanje organa vlasti na lokalnom nivou koji su unaprijedili svoje tehničke kapacitete za informisanje javnosti o pristupanju Crne Gore EU i generisali rezultate koji su doprinijeli opštem cilju Strategije. Na lokalnom nivou, obučeno je osoblje, imenovane osobe zadužene za komunikaciju o EU integracijama, izrađeni su i usvojeni lokalni akcioni planovi.</w:t>
      </w:r>
    </w:p>
    <w:p w14:paraId="63215FF2" w14:textId="77777777" w:rsidR="00225DBE" w:rsidRDefault="00225DBE" w:rsidP="00753A10">
      <w:pPr>
        <w:rPr>
          <w:lang w:val="bs-Latn-BA"/>
        </w:rPr>
      </w:pPr>
    </w:p>
    <w:p w14:paraId="719DFB3E" w14:textId="3AADB20B" w:rsidR="00526B7A" w:rsidRDefault="00526B7A" w:rsidP="00753A10">
      <w:pPr>
        <w:rPr>
          <w:lang w:val="bs-Latn-BA"/>
        </w:rPr>
      </w:pPr>
      <w:r>
        <w:rPr>
          <w:lang w:val="bs-Latn-BA"/>
        </w:rPr>
        <w:t xml:space="preserve">Matricom za </w:t>
      </w:r>
      <w:r w:rsidRPr="00526B7A">
        <w:rPr>
          <w:lang w:val="bs-Latn-BA"/>
        </w:rPr>
        <w:t>proc</w:t>
      </w:r>
      <w:r>
        <w:rPr>
          <w:lang w:val="bs-Latn-BA"/>
        </w:rPr>
        <w:t>j</w:t>
      </w:r>
      <w:r w:rsidRPr="00526B7A">
        <w:rPr>
          <w:lang w:val="bs-Latn-BA"/>
        </w:rPr>
        <w:t>enu učinka</w:t>
      </w:r>
      <w:r>
        <w:rPr>
          <w:lang w:val="bs-Latn-BA"/>
        </w:rPr>
        <w:t xml:space="preserve"> identifikovano je da je Strategija</w:t>
      </w:r>
      <w:r w:rsidRPr="00526B7A">
        <w:rPr>
          <w:lang w:val="bs-Latn-BA"/>
        </w:rPr>
        <w:t xml:space="preserve"> usp</w:t>
      </w:r>
      <w:r>
        <w:rPr>
          <w:lang w:val="bs-Latn-BA"/>
        </w:rPr>
        <w:t>j</w:t>
      </w:r>
      <w:r w:rsidRPr="00526B7A">
        <w:rPr>
          <w:lang w:val="bs-Latn-BA"/>
        </w:rPr>
        <w:t xml:space="preserve">ela da postigne većinu svojih ciljeva i premaši nekoliko njih. </w:t>
      </w:r>
      <w:r>
        <w:rPr>
          <w:lang w:val="bs-Latn-BA"/>
        </w:rPr>
        <w:t>Od 22, 7 ciljeva je bilo premašeno</w:t>
      </w:r>
      <w:r w:rsidRPr="00526B7A">
        <w:rPr>
          <w:lang w:val="bs-Latn-BA"/>
        </w:rPr>
        <w:t>, a samo 3 cilja su bila neostvarena, ili neznatno nedovoljno ostvarena.</w:t>
      </w:r>
    </w:p>
    <w:p w14:paraId="532ADDB3" w14:textId="77777777" w:rsidR="00C06CA9" w:rsidRDefault="00C06CA9" w:rsidP="00753A10">
      <w:pPr>
        <w:rPr>
          <w:lang w:val="bs-Latn-BA"/>
        </w:rPr>
      </w:pPr>
    </w:p>
    <w:p w14:paraId="30B699E8" w14:textId="126AC459" w:rsidR="00C06CA9" w:rsidRPr="00566DCB" w:rsidRDefault="00C06CA9" w:rsidP="00753A10">
      <w:pPr>
        <w:rPr>
          <w:lang w:val="bs-Latn-BA"/>
        </w:rPr>
      </w:pPr>
      <w:r>
        <w:rPr>
          <w:lang w:val="bs-Latn-BA"/>
        </w:rPr>
        <w:t>U</w:t>
      </w:r>
      <w:r w:rsidRPr="00C06CA9">
        <w:rPr>
          <w:lang w:val="bs-Latn-BA"/>
        </w:rPr>
        <w:t xml:space="preserve"> odnosu na kriterijume evaluacije koji se odnose na učinak, relevantnost, efekt</w:t>
      </w:r>
      <w:r>
        <w:rPr>
          <w:lang w:val="bs-Latn-BA"/>
        </w:rPr>
        <w:t>ivnost i efikasnost Strategije, ukupni ishod</w:t>
      </w:r>
      <w:r w:rsidRPr="00C06CA9">
        <w:rPr>
          <w:lang w:val="bs-Latn-BA"/>
        </w:rPr>
        <w:t xml:space="preserve"> je oc</w:t>
      </w:r>
      <w:r w:rsidR="00225DBE">
        <w:rPr>
          <w:lang w:val="bs-Latn-BA"/>
        </w:rPr>
        <w:t>ij</w:t>
      </w:r>
      <w:r w:rsidRPr="00C06CA9">
        <w:rPr>
          <w:lang w:val="bs-Latn-BA"/>
        </w:rPr>
        <w:t xml:space="preserve">enjen kao </w:t>
      </w:r>
      <w:r>
        <w:rPr>
          <w:lang w:val="bs-Latn-BA"/>
        </w:rPr>
        <w:t>zadovoljavajući, pri čemu su relevantnost i efikasnost ocijenjeni kao veoma zadovoljavajući.</w:t>
      </w:r>
      <w:r w:rsidR="00E27A53">
        <w:rPr>
          <w:lang w:val="bs-Latn-BA"/>
        </w:rPr>
        <w:t xml:space="preserve"> </w:t>
      </w:r>
    </w:p>
    <w:p w14:paraId="31FEF4F6" w14:textId="47FD54A9" w:rsidR="00526B7A" w:rsidRPr="00225DBE" w:rsidRDefault="00C06CA9" w:rsidP="00753A10">
      <w:pPr>
        <w:rPr>
          <w:lang w:val="bs-Latn-BA"/>
        </w:rPr>
      </w:pPr>
      <w:r w:rsidRPr="00225DBE">
        <w:rPr>
          <w:lang w:val="bs-Latn-BA"/>
        </w:rPr>
        <w:t>U pogledu finansijske, institucionalne i društveno-političke vjerovatnosti, Strategija je ocijenjena kao umjereno vjerovatna.</w:t>
      </w:r>
    </w:p>
    <w:p w14:paraId="6C11C216" w14:textId="77777777" w:rsidR="00C06CA9" w:rsidRPr="00E3490E" w:rsidRDefault="00C06CA9" w:rsidP="00753A10">
      <w:pPr>
        <w:rPr>
          <w:b/>
          <w:lang w:val="bs-Latn-BA"/>
        </w:rPr>
      </w:pPr>
    </w:p>
    <w:p w14:paraId="1AF1ACF0" w14:textId="77777777" w:rsidR="00753A10" w:rsidRPr="000A5977" w:rsidRDefault="00753A10" w:rsidP="00753A10">
      <w:pPr>
        <w:rPr>
          <w:b/>
          <w:color w:val="4472C4" w:themeColor="accent1"/>
          <w:lang w:val="bs-Latn-BA"/>
        </w:rPr>
      </w:pPr>
      <w:r w:rsidRPr="000A5977">
        <w:rPr>
          <w:b/>
          <w:color w:val="4472C4" w:themeColor="accent1"/>
          <w:lang w:val="bs-Latn-BA"/>
        </w:rPr>
        <w:t>Na osnovu evaluacije, date su preporuke za sljedeću Strategiju informisanja:</w:t>
      </w:r>
    </w:p>
    <w:p w14:paraId="24FB405B" w14:textId="77777777" w:rsidR="00225DBE" w:rsidRPr="00E3490E" w:rsidRDefault="00225DBE" w:rsidP="00753A10">
      <w:pPr>
        <w:rPr>
          <w:b/>
          <w:lang w:val="bs-Latn-BA"/>
        </w:rPr>
      </w:pPr>
    </w:p>
    <w:p w14:paraId="44843EF1" w14:textId="25F2A116" w:rsidR="00753A10" w:rsidRPr="00566DCB" w:rsidRDefault="00753A10" w:rsidP="00753A10">
      <w:pPr>
        <w:rPr>
          <w:lang w:val="bs-Latn-BA"/>
        </w:rPr>
      </w:pPr>
      <w:r w:rsidRPr="00566DCB">
        <w:rPr>
          <w:lang w:val="bs-Latn-BA"/>
        </w:rPr>
        <w:t>1.</w:t>
      </w:r>
      <w:r w:rsidR="00E3490E">
        <w:rPr>
          <w:lang w:val="bs-Latn-BA"/>
        </w:rPr>
        <w:t xml:space="preserve"> </w:t>
      </w:r>
      <w:r w:rsidRPr="00566DCB">
        <w:rPr>
          <w:lang w:val="bs-Latn-BA"/>
        </w:rPr>
        <w:t xml:space="preserve">Intenzivnije sprovođenje promotivnih aktivnosti usmjerenih prema mladima, u dijelu promocije EU vrijednosti i programa podrške mladima, uz inovativniji pristup i korišćenje savremenih komunikacionih kanala, kao i dopiranje do ranjivih grupa i društvenih kategorija. </w:t>
      </w:r>
    </w:p>
    <w:p w14:paraId="206F6F88" w14:textId="77777777" w:rsidR="00753A10" w:rsidRPr="00566DCB" w:rsidRDefault="00753A10" w:rsidP="00753A10">
      <w:pPr>
        <w:rPr>
          <w:lang w:val="bs-Latn-BA"/>
        </w:rPr>
      </w:pPr>
      <w:r w:rsidRPr="00566DCB">
        <w:rPr>
          <w:lang w:val="bs-Latn-BA"/>
        </w:rPr>
        <w:t>2. Dodatni komunikacioni napori kako bi se poboljšala percepcija javnosti o EU kao ključnom globalnom igraču, ktoz sprovođenje inovativnih komunikacionih kampanja i saradnju sa predstavnicima EU u Crnoj Gori i inostranstvu.</w:t>
      </w:r>
    </w:p>
    <w:p w14:paraId="6E166EEC" w14:textId="77777777" w:rsidR="00753A10" w:rsidRPr="00566DCB" w:rsidRDefault="00753A10" w:rsidP="00753A10">
      <w:pPr>
        <w:rPr>
          <w:lang w:val="bs-Latn-BA"/>
        </w:rPr>
      </w:pPr>
      <w:r w:rsidRPr="00566DCB">
        <w:rPr>
          <w:lang w:val="bs-Latn-BA"/>
        </w:rPr>
        <w:t xml:space="preserve">3. Postojanje jedinstvene baze podataka o relevantnim aktivnostima i projektima koju bi svaka zainteresovana strana trebalo ažurirati jednom mjesečno, čime će se olakšati praćenje i izvještavanje o realizaciji Strategije, i proces koordinacije učiniti održivijim, a istovremeno će omogućiti i potencijal za sinergijske aktivnosti. Postojanje ove baze podataka će takođe spriječiti gubitak institucionalne memorije uzrokovan fluktuacijom osoblja. </w:t>
      </w:r>
    </w:p>
    <w:p w14:paraId="6DAA4E9D" w14:textId="77777777" w:rsidR="00753A10" w:rsidRPr="00566DCB" w:rsidRDefault="00753A10" w:rsidP="00753A10">
      <w:pPr>
        <w:rPr>
          <w:lang w:val="bs-Latn-BA"/>
        </w:rPr>
      </w:pPr>
      <w:r w:rsidRPr="00566DCB">
        <w:rPr>
          <w:lang w:val="bs-Latn-BA"/>
        </w:rPr>
        <w:t xml:space="preserve">4. Snaženje uloge Konsultativnog tijela kroz jasno definisanje  mandata ovog tijela u strateškom dokumentu, procesom odabira njegovih članova, te uključivanjem civilnog društva u većoj mjeri, kao i predstavnika institucija koji imaju moć odlučivanja. </w:t>
      </w:r>
    </w:p>
    <w:p w14:paraId="3996D90B" w14:textId="77777777" w:rsidR="00753A10" w:rsidRPr="00566DCB" w:rsidRDefault="00753A10" w:rsidP="00753A10">
      <w:pPr>
        <w:rPr>
          <w:lang w:val="bs-Latn-BA"/>
        </w:rPr>
      </w:pPr>
      <w:r w:rsidRPr="00566DCB">
        <w:rPr>
          <w:lang w:val="bs-Latn-BA"/>
        </w:rPr>
        <w:t>5. Organizacija godišnjih koordinacionih sastanaka na kojima će Izvještaji o realizaciji Akcionog plana biti predstavljeni lokalnim zainteresovanim stranama, predstavnicima Delegacije Evropske unije u Crnoj Gori, ambasadama i široj javnosti, što će doprinijeti i boljoj promociji same Strategije.</w:t>
      </w:r>
    </w:p>
    <w:p w14:paraId="6B114626" w14:textId="77777777" w:rsidR="00753A10" w:rsidRPr="00566DCB" w:rsidRDefault="00753A10" w:rsidP="00753A10">
      <w:pPr>
        <w:rPr>
          <w:lang w:val="bs-Latn-BA"/>
        </w:rPr>
      </w:pPr>
      <w:r w:rsidRPr="00566DCB">
        <w:rPr>
          <w:lang w:val="bs-Latn-BA"/>
        </w:rPr>
        <w:t>6. Jačanje veza sa akademskim i poslovnim sektorom u fazi implementacije, uspostavljanjem saradnje sa univerzitetima, kao i srednjim i osnovnim školama, te organizacijama za podršku poslovanju.</w:t>
      </w:r>
    </w:p>
    <w:p w14:paraId="10BD00C4" w14:textId="77777777" w:rsidR="00753A10" w:rsidRPr="00225DBE" w:rsidRDefault="00753A10" w:rsidP="00753A10">
      <w:pPr>
        <w:rPr>
          <w:lang w:val="bs-Latn-BA"/>
        </w:rPr>
      </w:pPr>
      <w:r w:rsidRPr="00566DCB">
        <w:rPr>
          <w:lang w:val="bs-Latn-BA"/>
        </w:rPr>
        <w:t xml:space="preserve">7. Upotreba jednostavnog i jasnog jezika u svim promotivnim aktivnostima i opštoj komunikaciju sa javnošću, uz prilagođavanje komunikacije i komunikacionih kanala različitim ciljnim grupama. Korišćenje fokusiranijih i inovativnijih promotivnih kampanja koje promovišu </w:t>
      </w:r>
      <w:r w:rsidRPr="00225DBE">
        <w:rPr>
          <w:lang w:val="bs-Latn-BA"/>
        </w:rPr>
        <w:t xml:space="preserve">ne samo mogućnosti, već i vrijednosti EU. </w:t>
      </w:r>
    </w:p>
    <w:p w14:paraId="3DD31454" w14:textId="5BFD2061" w:rsidR="00753A10" w:rsidRPr="00566DCB" w:rsidRDefault="00753A10" w:rsidP="00753A10">
      <w:pPr>
        <w:rPr>
          <w:lang w:val="bs-Latn-BA"/>
        </w:rPr>
      </w:pPr>
      <w:r w:rsidRPr="00225DBE">
        <w:rPr>
          <w:lang w:val="bs-Latn-BA"/>
        </w:rPr>
        <w:t>Takođe, izazov u narednom periodu biće održavanje nivoa podrške širim evropskim integracijama i povećanje podrške mladih, za šta bi naredna Strategija mogla predvidjeti portparola kome narod vjeruje i koji će redovno obav</w:t>
      </w:r>
      <w:r w:rsidR="00225DBE">
        <w:rPr>
          <w:lang w:val="bs-Latn-BA"/>
        </w:rPr>
        <w:t>j</w:t>
      </w:r>
      <w:r w:rsidRPr="00225DBE">
        <w:rPr>
          <w:lang w:val="bs-Latn-BA"/>
        </w:rPr>
        <w:t>eštavati javnost o vrijednostima i koristima koje proističu iz pristupanja EU.</w:t>
      </w:r>
    </w:p>
    <w:p w14:paraId="65BFAC09" w14:textId="0DF71C16" w:rsidR="00753A10" w:rsidRPr="00566DCB" w:rsidRDefault="00753A10" w:rsidP="00753A10">
      <w:pPr>
        <w:rPr>
          <w:lang w:val="bs-Latn-BA"/>
        </w:rPr>
      </w:pPr>
      <w:r w:rsidRPr="00566DCB">
        <w:rPr>
          <w:lang w:val="bs-Latn-BA"/>
        </w:rPr>
        <w:t>8. Upogledu borbe usmjerene na suzbijanje dezinformacije, potrebno je da naredna Strategija bude usklađena sa Medijskom strategijom</w:t>
      </w:r>
      <w:r w:rsidR="00225DBE">
        <w:rPr>
          <w:lang w:val="bs-Latn-BA"/>
        </w:rPr>
        <w:t xml:space="preserve">. </w:t>
      </w:r>
      <w:r w:rsidRPr="00225DBE">
        <w:rPr>
          <w:lang w:val="bs-Latn-BA"/>
        </w:rPr>
        <w:t>Potrebno je insistirati na jednostavnom jeziku kako građani ne bi bili dovedeni u zabludu, koristite web stranicu eu.me u tu svrhu čineći je jednostavnijom za sve društvene kategorije. Ključno je imati portparola koji uživa povjerenje javnosti i koristiti inovacije za privlačenje mlađe populacije.</w:t>
      </w:r>
    </w:p>
    <w:p w14:paraId="53F0D010" w14:textId="77777777" w:rsidR="00753A10" w:rsidRDefault="00753A10"/>
    <w:p w14:paraId="00000232" w14:textId="0210F209" w:rsidR="007A6527" w:rsidRDefault="00000000">
      <w:pPr>
        <w:pStyle w:val="Heading1"/>
      </w:pPr>
      <w:sdt>
        <w:sdtPr>
          <w:tag w:val="goog_rdk_9"/>
          <w:id w:val="1280528756"/>
          <w:showingPlcHdr/>
        </w:sdtPr>
        <w:sdtContent>
          <w:r w:rsidR="00B25BC7">
            <w:t xml:space="preserve">    </w:t>
          </w:r>
          <w:bookmarkStart w:id="11" w:name="_Toc140567031"/>
          <w:r w:rsidR="00B25BC7">
            <w:t xml:space="preserve"> </w:t>
          </w:r>
        </w:sdtContent>
      </w:sdt>
      <w:r w:rsidR="008A787C" w:rsidRPr="00C5599F">
        <w:rPr>
          <w:b/>
        </w:rPr>
        <w:t>Lekcije koje smo naučili</w:t>
      </w:r>
      <w:bookmarkEnd w:id="11"/>
    </w:p>
    <w:p w14:paraId="7533383F" w14:textId="34EDE9D1" w:rsidR="006B4C69" w:rsidRPr="006B4C69" w:rsidRDefault="006B4C69" w:rsidP="004F46EA">
      <w:r>
        <w:t>Na temelju naučenih lekcija,  u naredom periodu potrebno je:</w:t>
      </w:r>
    </w:p>
    <w:p w14:paraId="00000233" w14:textId="7E0D95FB" w:rsidR="007A6527" w:rsidRDefault="006B4C69">
      <w:pPr>
        <w:numPr>
          <w:ilvl w:val="0"/>
          <w:numId w:val="9"/>
        </w:numPr>
        <w:pBdr>
          <w:top w:val="nil"/>
          <w:left w:val="nil"/>
          <w:bottom w:val="nil"/>
          <w:right w:val="nil"/>
          <w:between w:val="nil"/>
        </w:pBdr>
        <w:rPr>
          <w:rFonts w:ascii="Calibri" w:hAnsi="Calibri"/>
          <w:color w:val="000000"/>
        </w:rPr>
      </w:pPr>
      <w:r>
        <w:rPr>
          <w:rFonts w:ascii="Calibri" w:hAnsi="Calibri"/>
          <w:color w:val="000000"/>
        </w:rPr>
        <w:t>Obezbijediti bolju koordinaciju pregovaračke strukture.</w:t>
      </w:r>
    </w:p>
    <w:p w14:paraId="12CA1ACA" w14:textId="0A860687" w:rsidR="004F46EA" w:rsidRPr="004F46EA" w:rsidRDefault="006B4C69">
      <w:pPr>
        <w:numPr>
          <w:ilvl w:val="0"/>
          <w:numId w:val="9"/>
        </w:numPr>
        <w:pBdr>
          <w:top w:val="nil"/>
          <w:left w:val="nil"/>
          <w:bottom w:val="nil"/>
          <w:right w:val="nil"/>
          <w:between w:val="nil"/>
        </w:pBdr>
        <w:rPr>
          <w:rFonts w:ascii="Calibri" w:hAnsi="Calibri"/>
          <w:color w:val="000000"/>
        </w:rPr>
      </w:pPr>
      <w:r>
        <w:rPr>
          <w:rFonts w:ascii="Calibri" w:hAnsi="Calibri"/>
          <w:color w:val="000000"/>
        </w:rPr>
        <w:t>Unaprijediti razmjenu informacija me</w:t>
      </w:r>
      <w:r>
        <w:rPr>
          <w:rFonts w:ascii="Calibri" w:hAnsi="Calibri"/>
          <w:color w:val="000000"/>
          <w:lang w:val="sr-Latn-ME"/>
        </w:rPr>
        <w:t>đu članovima i članicama pregovaračk</w:t>
      </w:r>
      <w:r w:rsidR="004F46EA">
        <w:rPr>
          <w:rFonts w:ascii="Calibri" w:hAnsi="Calibri"/>
          <w:color w:val="000000"/>
          <w:lang w:val="sr-Latn-ME"/>
        </w:rPr>
        <w:t>e</w:t>
      </w:r>
      <w:r>
        <w:rPr>
          <w:rFonts w:ascii="Calibri" w:hAnsi="Calibri"/>
          <w:color w:val="000000"/>
          <w:lang w:val="sr-Latn-ME"/>
        </w:rPr>
        <w:t xml:space="preserve"> struktur</w:t>
      </w:r>
      <w:r w:rsidR="0045456D">
        <w:rPr>
          <w:rFonts w:ascii="Calibri" w:hAnsi="Calibri"/>
          <w:color w:val="000000"/>
          <w:lang w:val="sr-Latn-ME"/>
        </w:rPr>
        <w:t>e</w:t>
      </w:r>
      <w:r>
        <w:rPr>
          <w:rFonts w:ascii="Calibri" w:hAnsi="Calibri"/>
          <w:color w:val="000000"/>
          <w:lang w:val="sr-Latn-ME"/>
        </w:rPr>
        <w:t>.</w:t>
      </w:r>
    </w:p>
    <w:p w14:paraId="00000235" w14:textId="52B51F97" w:rsidR="007A6527" w:rsidRDefault="006B4C69">
      <w:pPr>
        <w:numPr>
          <w:ilvl w:val="0"/>
          <w:numId w:val="9"/>
        </w:numPr>
        <w:pBdr>
          <w:top w:val="nil"/>
          <w:left w:val="nil"/>
          <w:bottom w:val="nil"/>
          <w:right w:val="nil"/>
          <w:between w:val="nil"/>
        </w:pBdr>
        <w:rPr>
          <w:rFonts w:ascii="Calibri" w:hAnsi="Calibri"/>
          <w:color w:val="000000"/>
        </w:rPr>
      </w:pPr>
      <w:r>
        <w:rPr>
          <w:rFonts w:ascii="Calibri" w:hAnsi="Calibri"/>
          <w:color w:val="000000"/>
        </w:rPr>
        <w:t>Povećati prisustvo usko specijalizovanog kadra u određenim oblastima.</w:t>
      </w:r>
      <w:r w:rsidR="008A787C">
        <w:rPr>
          <w:rFonts w:ascii="Calibri" w:hAnsi="Calibri"/>
          <w:color w:val="000000"/>
        </w:rPr>
        <w:t xml:space="preserve"> </w:t>
      </w:r>
    </w:p>
    <w:p w14:paraId="0BBA3FF5" w14:textId="77777777" w:rsidR="004F46EA" w:rsidRDefault="006B4C69">
      <w:pPr>
        <w:numPr>
          <w:ilvl w:val="0"/>
          <w:numId w:val="9"/>
        </w:numPr>
        <w:pBdr>
          <w:top w:val="nil"/>
          <w:left w:val="nil"/>
          <w:bottom w:val="nil"/>
          <w:right w:val="nil"/>
          <w:between w:val="nil"/>
        </w:pBdr>
        <w:rPr>
          <w:rFonts w:ascii="Calibri" w:hAnsi="Calibri"/>
          <w:color w:val="000000"/>
        </w:rPr>
      </w:pPr>
      <w:r>
        <w:rPr>
          <w:rFonts w:ascii="Calibri" w:hAnsi="Calibri"/>
          <w:color w:val="000000"/>
        </w:rPr>
        <w:t>Ojačati kompete</w:t>
      </w:r>
      <w:r w:rsidR="004F46EA">
        <w:rPr>
          <w:rFonts w:ascii="Calibri" w:hAnsi="Calibri"/>
          <w:color w:val="000000"/>
        </w:rPr>
        <w:t>n</w:t>
      </w:r>
      <w:r>
        <w:rPr>
          <w:rFonts w:ascii="Calibri" w:hAnsi="Calibri"/>
          <w:color w:val="000000"/>
        </w:rPr>
        <w:t xml:space="preserve">ce članova i članica </w:t>
      </w:r>
      <w:r w:rsidR="004F46EA">
        <w:rPr>
          <w:rFonts w:ascii="Calibri" w:hAnsi="Calibri"/>
          <w:color w:val="000000"/>
        </w:rPr>
        <w:t>radnih grupa za pregovore</w:t>
      </w:r>
      <w:r>
        <w:rPr>
          <w:rFonts w:ascii="Calibri" w:hAnsi="Calibri"/>
          <w:color w:val="000000"/>
        </w:rPr>
        <w:t xml:space="preserve"> kroz obuke i treninge. </w:t>
      </w:r>
    </w:p>
    <w:p w14:paraId="0DB541CA" w14:textId="77777777" w:rsidR="004F46EA" w:rsidRDefault="006B4C69">
      <w:pPr>
        <w:numPr>
          <w:ilvl w:val="0"/>
          <w:numId w:val="9"/>
        </w:numPr>
        <w:pBdr>
          <w:top w:val="nil"/>
          <w:left w:val="nil"/>
          <w:bottom w:val="nil"/>
          <w:right w:val="nil"/>
          <w:between w:val="nil"/>
        </w:pBdr>
        <w:rPr>
          <w:rFonts w:ascii="Calibri" w:hAnsi="Calibri"/>
          <w:color w:val="000000"/>
        </w:rPr>
      </w:pPr>
      <w:r>
        <w:rPr>
          <w:rFonts w:ascii="Calibri" w:hAnsi="Calibri"/>
          <w:color w:val="000000"/>
        </w:rPr>
        <w:t>Osigurati nezavisnost kontiuiteta rada od institucijalnih i kadrovskih promjena.</w:t>
      </w:r>
    </w:p>
    <w:p w14:paraId="00000238" w14:textId="059817D2" w:rsidR="007A6527" w:rsidRDefault="004F46EA" w:rsidP="004F46EA">
      <w:pPr>
        <w:numPr>
          <w:ilvl w:val="0"/>
          <w:numId w:val="9"/>
        </w:numPr>
        <w:pBdr>
          <w:top w:val="nil"/>
          <w:left w:val="nil"/>
          <w:bottom w:val="nil"/>
          <w:right w:val="nil"/>
          <w:between w:val="nil"/>
        </w:pBdr>
        <w:rPr>
          <w:rFonts w:ascii="Calibri" w:hAnsi="Calibri"/>
          <w:color w:val="000000"/>
        </w:rPr>
      </w:pPr>
      <w:r w:rsidRPr="004F46EA">
        <w:rPr>
          <w:rFonts w:ascii="Calibri" w:hAnsi="Calibri"/>
          <w:color w:val="000000"/>
        </w:rPr>
        <w:t>Osigurati veće učešće članova i članica radnih grupa u proces</w:t>
      </w:r>
      <w:r w:rsidR="0045456D">
        <w:rPr>
          <w:rFonts w:ascii="Calibri" w:hAnsi="Calibri"/>
          <w:color w:val="000000"/>
        </w:rPr>
        <w:t>u</w:t>
      </w:r>
      <w:r w:rsidRPr="004F46EA">
        <w:rPr>
          <w:rFonts w:ascii="Calibri" w:hAnsi="Calibri"/>
          <w:color w:val="000000"/>
        </w:rPr>
        <w:t xml:space="preserve"> komuniciranj</w:t>
      </w:r>
      <w:r w:rsidR="0045456D">
        <w:rPr>
          <w:rFonts w:ascii="Calibri" w:hAnsi="Calibri"/>
          <w:color w:val="000000"/>
        </w:rPr>
        <w:t>a</w:t>
      </w:r>
      <w:r>
        <w:rPr>
          <w:rFonts w:ascii="Calibri" w:hAnsi="Calibri"/>
          <w:color w:val="000000"/>
        </w:rPr>
        <w:t xml:space="preserve"> pregov</w:t>
      </w:r>
      <w:r w:rsidR="0045456D">
        <w:rPr>
          <w:rFonts w:ascii="Calibri" w:hAnsi="Calibri"/>
          <w:color w:val="000000"/>
        </w:rPr>
        <w:t>ora</w:t>
      </w:r>
      <w:r>
        <w:rPr>
          <w:rFonts w:ascii="Calibri" w:hAnsi="Calibri"/>
          <w:color w:val="000000"/>
        </w:rPr>
        <w:t>.</w:t>
      </w:r>
    </w:p>
    <w:p w14:paraId="00000239" w14:textId="20AEDF1D" w:rsidR="007A6527" w:rsidRDefault="006B4C69">
      <w:pPr>
        <w:numPr>
          <w:ilvl w:val="0"/>
          <w:numId w:val="9"/>
        </w:numPr>
        <w:pBdr>
          <w:top w:val="nil"/>
          <w:left w:val="nil"/>
          <w:bottom w:val="nil"/>
          <w:right w:val="nil"/>
          <w:between w:val="nil"/>
        </w:pBdr>
      </w:pPr>
      <w:r>
        <w:rPr>
          <w:rFonts w:ascii="Calibri" w:hAnsi="Calibri"/>
          <w:color w:val="000000"/>
        </w:rPr>
        <w:t>N</w:t>
      </w:r>
      <w:r w:rsidR="00EB38D8">
        <w:rPr>
          <w:rFonts w:ascii="Calibri" w:hAnsi="Calibri"/>
          <w:color w:val="000000"/>
        </w:rPr>
        <w:t>astaviti sa unapređivanjem informisanosti građana, kroz povećanje broja debata o temama koje građane</w:t>
      </w:r>
      <w:r w:rsidR="00C1507A">
        <w:rPr>
          <w:rFonts w:ascii="Calibri" w:hAnsi="Calibri"/>
          <w:color w:val="000000"/>
        </w:rPr>
        <w:t>/ke</w:t>
      </w:r>
      <w:r w:rsidR="00EB38D8">
        <w:rPr>
          <w:rFonts w:ascii="Calibri" w:hAnsi="Calibri"/>
          <w:color w:val="000000"/>
        </w:rPr>
        <w:t xml:space="preserve"> zanimaju i informacija u medijima koje građani</w:t>
      </w:r>
      <w:r w:rsidR="00C1507A">
        <w:rPr>
          <w:rFonts w:ascii="Calibri" w:hAnsi="Calibri"/>
          <w:color w:val="000000"/>
        </w:rPr>
        <w:t>/ke</w:t>
      </w:r>
      <w:r w:rsidR="00EB38D8">
        <w:rPr>
          <w:rFonts w:ascii="Calibri" w:hAnsi="Calibri"/>
          <w:color w:val="000000"/>
        </w:rPr>
        <w:t xml:space="preserve"> prate</w:t>
      </w:r>
    </w:p>
    <w:p w14:paraId="0000023A" w14:textId="1B706324" w:rsidR="007A6527" w:rsidRDefault="006B4C69">
      <w:pPr>
        <w:numPr>
          <w:ilvl w:val="0"/>
          <w:numId w:val="9"/>
        </w:numPr>
        <w:pBdr>
          <w:top w:val="nil"/>
          <w:left w:val="nil"/>
          <w:bottom w:val="nil"/>
          <w:right w:val="nil"/>
          <w:between w:val="nil"/>
        </w:pBdr>
      </w:pPr>
      <w:r>
        <w:rPr>
          <w:rFonts w:ascii="Calibri" w:hAnsi="Calibri"/>
          <w:color w:val="000000"/>
        </w:rPr>
        <w:t>R</w:t>
      </w:r>
      <w:r w:rsidR="008A787C">
        <w:rPr>
          <w:rFonts w:ascii="Calibri" w:hAnsi="Calibri"/>
          <w:color w:val="000000"/>
        </w:rPr>
        <w:t xml:space="preserve">aditi na daljem unapređenju informisanja javnosti o </w:t>
      </w:r>
      <w:r>
        <w:rPr>
          <w:rFonts w:ascii="Calibri" w:hAnsi="Calibri"/>
          <w:color w:val="000000"/>
        </w:rPr>
        <w:t xml:space="preserve">programima podrške EU koji su na raspolaganju Crnoj Gori </w:t>
      </w:r>
      <w:r w:rsidR="008A787C">
        <w:rPr>
          <w:rFonts w:ascii="Calibri" w:hAnsi="Calibri"/>
          <w:color w:val="000000"/>
        </w:rPr>
        <w:t>istim, posebno o I</w:t>
      </w:r>
      <w:r>
        <w:rPr>
          <w:rFonts w:ascii="Calibri" w:hAnsi="Calibri"/>
          <w:color w:val="000000"/>
        </w:rPr>
        <w:t>PA</w:t>
      </w:r>
      <w:r w:rsidR="008A787C">
        <w:rPr>
          <w:rFonts w:ascii="Calibri" w:hAnsi="Calibri"/>
          <w:color w:val="000000"/>
        </w:rPr>
        <w:t xml:space="preserve"> i programima namijenjenim mladima, poput ERASMUS-a</w:t>
      </w:r>
      <w:r w:rsidR="00EB38D8">
        <w:rPr>
          <w:rFonts w:ascii="Calibri" w:hAnsi="Calibri"/>
          <w:color w:val="000000"/>
        </w:rPr>
        <w:t xml:space="preserve">. </w:t>
      </w:r>
    </w:p>
    <w:p w14:paraId="00BCDC9D" w14:textId="6FB21D18" w:rsidR="006B4C69" w:rsidRPr="004F46EA" w:rsidRDefault="006B4C69">
      <w:pPr>
        <w:numPr>
          <w:ilvl w:val="0"/>
          <w:numId w:val="9"/>
        </w:numPr>
        <w:pBdr>
          <w:top w:val="nil"/>
          <w:left w:val="nil"/>
          <w:bottom w:val="nil"/>
          <w:right w:val="nil"/>
          <w:between w:val="nil"/>
        </w:pBdr>
      </w:pPr>
      <w:r>
        <w:rPr>
          <w:rFonts w:ascii="Calibri" w:hAnsi="Calibri"/>
          <w:color w:val="000000"/>
        </w:rPr>
        <w:t>N</w:t>
      </w:r>
      <w:r w:rsidR="008A787C">
        <w:rPr>
          <w:rFonts w:ascii="Calibri" w:hAnsi="Calibri"/>
          <w:color w:val="000000"/>
        </w:rPr>
        <w:t>astaviti sa edukacijom službenika</w:t>
      </w:r>
      <w:r w:rsidR="00C1507A">
        <w:rPr>
          <w:rFonts w:ascii="Calibri" w:hAnsi="Calibri"/>
          <w:color w:val="000000"/>
        </w:rPr>
        <w:t>/ca</w:t>
      </w:r>
      <w:r w:rsidR="008A787C">
        <w:rPr>
          <w:rFonts w:ascii="Calibri" w:hAnsi="Calibri"/>
          <w:color w:val="000000"/>
        </w:rPr>
        <w:t xml:space="preserve"> zaduženih za odnose s javnošću, posebno o komuniciranju programa podrške EU u Crnoj Gori. </w:t>
      </w:r>
    </w:p>
    <w:p w14:paraId="0000023B" w14:textId="40D0CF86" w:rsidR="007A6527" w:rsidRDefault="00676483">
      <w:pPr>
        <w:numPr>
          <w:ilvl w:val="0"/>
          <w:numId w:val="9"/>
        </w:numPr>
        <w:pBdr>
          <w:top w:val="nil"/>
          <w:left w:val="nil"/>
          <w:bottom w:val="nil"/>
          <w:right w:val="nil"/>
          <w:between w:val="nil"/>
        </w:pBdr>
      </w:pPr>
      <w:r>
        <w:rPr>
          <w:rFonts w:ascii="Calibri" w:hAnsi="Calibri"/>
          <w:color w:val="000000"/>
        </w:rPr>
        <w:t>N</w:t>
      </w:r>
      <w:r w:rsidR="008A787C">
        <w:rPr>
          <w:rFonts w:ascii="Calibri" w:hAnsi="Calibri"/>
          <w:color w:val="000000"/>
        </w:rPr>
        <w:t>astaviti sa umrežavanjem institucija i organizacija na nacionalnom i lokalnom nivou prilikom organizacije kampanja i aktivnosti.</w:t>
      </w:r>
    </w:p>
    <w:p w14:paraId="0000023C" w14:textId="365DFB73" w:rsidR="007A6527" w:rsidRDefault="00676483">
      <w:pPr>
        <w:numPr>
          <w:ilvl w:val="0"/>
          <w:numId w:val="9"/>
        </w:numPr>
        <w:pBdr>
          <w:top w:val="nil"/>
          <w:left w:val="nil"/>
          <w:bottom w:val="nil"/>
          <w:right w:val="nil"/>
          <w:between w:val="nil"/>
        </w:pBdr>
        <w:rPr>
          <w:rFonts w:ascii="Calibri" w:hAnsi="Calibri"/>
          <w:color w:val="000000"/>
        </w:rPr>
      </w:pPr>
      <w:r>
        <w:rPr>
          <w:rFonts w:ascii="Calibri" w:hAnsi="Calibri"/>
          <w:color w:val="000000"/>
        </w:rPr>
        <w:t>U</w:t>
      </w:r>
      <w:r w:rsidR="008A787C">
        <w:rPr>
          <w:rFonts w:ascii="Calibri" w:hAnsi="Calibri"/>
          <w:color w:val="000000"/>
        </w:rPr>
        <w:t xml:space="preserve">spostaviti efikasniji sistem prikupljanja i obrade podataka za obračun vrijednosti na indikatorima. </w:t>
      </w:r>
    </w:p>
    <w:p w14:paraId="16AD37CF" w14:textId="77777777" w:rsidR="00356998" w:rsidRDefault="00356998" w:rsidP="00225DBE">
      <w:pPr>
        <w:pBdr>
          <w:top w:val="nil"/>
          <w:left w:val="nil"/>
          <w:bottom w:val="nil"/>
          <w:right w:val="nil"/>
          <w:between w:val="nil"/>
        </w:pBdr>
        <w:ind w:left="720"/>
        <w:rPr>
          <w:rFonts w:ascii="Calibri" w:hAnsi="Calibri"/>
          <w:color w:val="000000"/>
        </w:rPr>
      </w:pPr>
    </w:p>
    <w:p w14:paraId="6127A5A7" w14:textId="77777777" w:rsidR="007E0EBF" w:rsidRPr="00225DBE" w:rsidRDefault="007E0EBF" w:rsidP="00225DBE">
      <w:pPr>
        <w:pBdr>
          <w:top w:val="nil"/>
          <w:left w:val="nil"/>
          <w:bottom w:val="nil"/>
          <w:right w:val="nil"/>
          <w:between w:val="nil"/>
        </w:pBdr>
        <w:ind w:left="720"/>
        <w:rPr>
          <w:rFonts w:ascii="Calibri" w:hAnsi="Calibri"/>
          <w:b/>
          <w:color w:val="000000"/>
        </w:rPr>
      </w:pPr>
    </w:p>
    <w:p w14:paraId="490AD64D" w14:textId="760DD549" w:rsidR="007E0EBF" w:rsidRPr="000A5977" w:rsidRDefault="007E0EBF" w:rsidP="00EE597D">
      <w:pPr>
        <w:pStyle w:val="Heading2"/>
        <w:rPr>
          <w:b/>
        </w:rPr>
      </w:pPr>
      <w:bookmarkStart w:id="12" w:name="_Toc140567032"/>
      <w:r w:rsidRPr="000A5977">
        <w:rPr>
          <w:b/>
        </w:rPr>
        <w:t>PEST</w:t>
      </w:r>
      <w:r w:rsidR="00225DBE" w:rsidRPr="000A5977">
        <w:rPr>
          <w:b/>
        </w:rPr>
        <w:t>LE</w:t>
      </w:r>
      <w:r w:rsidRPr="000A5977">
        <w:rPr>
          <w:b/>
        </w:rPr>
        <w:t xml:space="preserve"> ANALIZA</w:t>
      </w:r>
      <w:bookmarkEnd w:id="12"/>
    </w:p>
    <w:p w14:paraId="0E42C8CF" w14:textId="77777777" w:rsidR="00356998" w:rsidRDefault="00356998" w:rsidP="00225DBE">
      <w:pPr>
        <w:pBdr>
          <w:top w:val="nil"/>
          <w:left w:val="nil"/>
          <w:bottom w:val="nil"/>
          <w:right w:val="nil"/>
          <w:between w:val="nil"/>
        </w:pBdr>
        <w:rPr>
          <w:rFonts w:ascii="Calibri" w:hAnsi="Calibri"/>
          <w:color w:val="000000"/>
        </w:rPr>
      </w:pPr>
    </w:p>
    <w:tbl>
      <w:tblPr>
        <w:tblStyle w:val="TableGrid"/>
        <w:tblW w:w="0" w:type="auto"/>
        <w:tblLook w:val="04A0" w:firstRow="1" w:lastRow="0" w:firstColumn="1" w:lastColumn="0" w:noHBand="0" w:noVBand="1"/>
      </w:tblPr>
      <w:tblGrid>
        <w:gridCol w:w="4511"/>
        <w:gridCol w:w="4505"/>
      </w:tblGrid>
      <w:tr w:rsidR="00356998" w14:paraId="349EA9F1" w14:textId="77777777" w:rsidTr="00225DBE">
        <w:tc>
          <w:tcPr>
            <w:tcW w:w="4622" w:type="dxa"/>
          </w:tcPr>
          <w:p w14:paraId="2F7DFDE0" w14:textId="6C35BAF0" w:rsidR="00356998" w:rsidRPr="00274BE4" w:rsidRDefault="00356998" w:rsidP="00D7716D">
            <w:pPr>
              <w:rPr>
                <w:rFonts w:asciiTheme="minorHAnsi" w:hAnsiTheme="minorHAnsi" w:cstheme="minorHAnsi"/>
                <w:b/>
                <w:color w:val="0070C0"/>
                <w:sz w:val="20"/>
                <w:szCs w:val="20"/>
              </w:rPr>
            </w:pPr>
            <w:r w:rsidRPr="00274BE4">
              <w:rPr>
                <w:rFonts w:asciiTheme="minorHAnsi" w:hAnsiTheme="minorHAnsi" w:cstheme="minorHAnsi"/>
                <w:b/>
                <w:color w:val="0070C0"/>
                <w:sz w:val="20"/>
                <w:szCs w:val="20"/>
              </w:rPr>
              <w:t>POLITIČKO –PRAVNI FAKTORI</w:t>
            </w:r>
          </w:p>
          <w:p w14:paraId="0885006A" w14:textId="77777777" w:rsidR="00356998" w:rsidRPr="00AF1FAC" w:rsidRDefault="00356998" w:rsidP="00356998">
            <w:pPr>
              <w:pStyle w:val="ListParagraph"/>
              <w:numPr>
                <w:ilvl w:val="0"/>
                <w:numId w:val="15"/>
              </w:numPr>
              <w:jc w:val="left"/>
              <w:rPr>
                <w:rFonts w:asciiTheme="minorHAnsi" w:hAnsiTheme="minorHAnsi" w:cstheme="minorHAnsi"/>
                <w:sz w:val="20"/>
                <w:szCs w:val="20"/>
                <w:lang w:val="fr-FR"/>
              </w:rPr>
            </w:pPr>
            <w:r w:rsidRPr="00AF1FAC">
              <w:rPr>
                <w:rFonts w:asciiTheme="minorHAnsi" w:hAnsiTheme="minorHAnsi" w:cstheme="minorHAnsi"/>
                <w:sz w:val="20"/>
                <w:szCs w:val="20"/>
                <w:lang w:val="fr-FR"/>
              </w:rPr>
              <w:t>Visoka podrška javnosti pristupanju Crne Gore EU</w:t>
            </w:r>
          </w:p>
          <w:p w14:paraId="75AFF5D8" w14:textId="32A30640" w:rsidR="003C6466" w:rsidRPr="00AF1FAC" w:rsidRDefault="003C6466" w:rsidP="00356998">
            <w:pPr>
              <w:pStyle w:val="ListParagraph"/>
              <w:numPr>
                <w:ilvl w:val="0"/>
                <w:numId w:val="15"/>
              </w:numPr>
              <w:jc w:val="left"/>
              <w:rPr>
                <w:rFonts w:asciiTheme="minorHAnsi" w:hAnsiTheme="minorHAnsi" w:cstheme="minorHAnsi"/>
                <w:sz w:val="20"/>
                <w:szCs w:val="20"/>
                <w:lang w:val="fr-FR"/>
              </w:rPr>
            </w:pPr>
            <w:r w:rsidRPr="00AF1FAC">
              <w:rPr>
                <w:rFonts w:asciiTheme="minorHAnsi" w:hAnsiTheme="minorHAnsi" w:cstheme="minorHAnsi"/>
                <w:sz w:val="20"/>
                <w:szCs w:val="20"/>
                <w:lang w:val="fr-FR"/>
              </w:rPr>
              <w:t>Pristupanje EU – prioritet Vlade Crne Gore</w:t>
            </w:r>
          </w:p>
          <w:p w14:paraId="33338504" w14:textId="63417EFB" w:rsidR="003C6466" w:rsidRPr="00AF1FAC" w:rsidRDefault="003C6466" w:rsidP="00356998">
            <w:pPr>
              <w:pStyle w:val="ListParagraph"/>
              <w:numPr>
                <w:ilvl w:val="0"/>
                <w:numId w:val="15"/>
              </w:numPr>
              <w:jc w:val="left"/>
              <w:rPr>
                <w:rFonts w:asciiTheme="minorHAnsi" w:hAnsiTheme="minorHAnsi" w:cstheme="minorHAnsi"/>
                <w:sz w:val="20"/>
                <w:szCs w:val="20"/>
                <w:lang w:val="fr-FR"/>
              </w:rPr>
            </w:pPr>
            <w:r w:rsidRPr="00AF1FAC">
              <w:rPr>
                <w:rFonts w:asciiTheme="minorHAnsi" w:hAnsiTheme="minorHAnsi" w:cstheme="minorHAnsi"/>
                <w:sz w:val="20"/>
                <w:szCs w:val="20"/>
                <w:lang w:val="fr-FR"/>
              </w:rPr>
              <w:t>Podrška parlamentarnih partija pristupanju CG EU</w:t>
            </w:r>
          </w:p>
          <w:p w14:paraId="407539C3" w14:textId="77777777" w:rsidR="00883D64" w:rsidRPr="00AF1FAC" w:rsidRDefault="00883D64" w:rsidP="00356998">
            <w:pPr>
              <w:pStyle w:val="ListParagraph"/>
              <w:numPr>
                <w:ilvl w:val="0"/>
                <w:numId w:val="15"/>
              </w:numPr>
              <w:jc w:val="left"/>
              <w:rPr>
                <w:rFonts w:asciiTheme="minorHAnsi" w:hAnsiTheme="minorHAnsi" w:cstheme="minorHAnsi"/>
                <w:sz w:val="20"/>
                <w:szCs w:val="20"/>
                <w:lang w:val="fr-FR"/>
              </w:rPr>
            </w:pPr>
            <w:r w:rsidRPr="00AF1FAC">
              <w:rPr>
                <w:rFonts w:asciiTheme="minorHAnsi" w:hAnsiTheme="minorHAnsi" w:cstheme="minorHAnsi"/>
                <w:sz w:val="20"/>
                <w:szCs w:val="20"/>
                <w:lang w:val="fr-FR"/>
              </w:rPr>
              <w:t xml:space="preserve">Politička nestabilnost koja se reflektuje na stavove građan/građanki </w:t>
            </w:r>
          </w:p>
          <w:p w14:paraId="5A4B0BC8" w14:textId="77777777" w:rsidR="00356998" w:rsidRPr="00AF1FAC" w:rsidRDefault="00356998" w:rsidP="00356998">
            <w:pPr>
              <w:pStyle w:val="ListParagraph"/>
              <w:numPr>
                <w:ilvl w:val="0"/>
                <w:numId w:val="15"/>
              </w:numPr>
              <w:jc w:val="left"/>
              <w:rPr>
                <w:rFonts w:asciiTheme="minorHAnsi" w:hAnsiTheme="minorHAnsi" w:cstheme="minorHAnsi"/>
                <w:sz w:val="20"/>
                <w:szCs w:val="20"/>
                <w:lang w:val="fr-FR"/>
              </w:rPr>
            </w:pPr>
            <w:r w:rsidRPr="00AF1FAC">
              <w:rPr>
                <w:rFonts w:asciiTheme="minorHAnsi" w:hAnsiTheme="minorHAnsi" w:cstheme="minorHAnsi"/>
                <w:sz w:val="20"/>
                <w:szCs w:val="20"/>
                <w:lang w:val="fr-FR"/>
              </w:rPr>
              <w:t>Promjenljiva struktura državnog aparata (česte promjene u pregovaračkoj strukturi koje uzrokuju gubljenje „institucionalne memorije“)</w:t>
            </w:r>
          </w:p>
          <w:p w14:paraId="1B3852F3" w14:textId="6811A8C8" w:rsidR="00356998" w:rsidRPr="00AF1FAC" w:rsidRDefault="00356998" w:rsidP="00356998">
            <w:pPr>
              <w:pStyle w:val="ListParagraph"/>
              <w:numPr>
                <w:ilvl w:val="0"/>
                <w:numId w:val="15"/>
              </w:numPr>
              <w:jc w:val="left"/>
              <w:rPr>
                <w:rFonts w:asciiTheme="minorHAnsi" w:hAnsiTheme="minorHAnsi" w:cstheme="minorHAnsi"/>
                <w:sz w:val="20"/>
                <w:szCs w:val="20"/>
                <w:lang w:val="fr-FR"/>
              </w:rPr>
            </w:pPr>
            <w:r w:rsidRPr="00AF1FAC">
              <w:rPr>
                <w:rFonts w:asciiTheme="minorHAnsi" w:hAnsiTheme="minorHAnsi" w:cstheme="minorHAnsi"/>
                <w:sz w:val="20"/>
                <w:szCs w:val="20"/>
                <w:lang w:val="fr-FR"/>
              </w:rPr>
              <w:t>Nedostatak specijalizovanog kadra u određenim oblastima</w:t>
            </w:r>
          </w:p>
          <w:p w14:paraId="0C0FCFB3" w14:textId="72B7490F" w:rsidR="00356998" w:rsidRPr="00AF1FAC" w:rsidRDefault="00883D64" w:rsidP="00356998">
            <w:pPr>
              <w:pStyle w:val="ListParagraph"/>
              <w:numPr>
                <w:ilvl w:val="0"/>
                <w:numId w:val="15"/>
              </w:numPr>
              <w:jc w:val="left"/>
              <w:rPr>
                <w:rFonts w:asciiTheme="minorHAnsi" w:hAnsiTheme="minorHAnsi" w:cstheme="minorHAnsi"/>
                <w:sz w:val="20"/>
                <w:szCs w:val="20"/>
                <w:lang w:val="fr-FR"/>
              </w:rPr>
            </w:pPr>
            <w:r w:rsidRPr="00AF1FAC">
              <w:rPr>
                <w:rFonts w:asciiTheme="minorHAnsi" w:hAnsiTheme="minorHAnsi" w:cstheme="minorHAnsi"/>
                <w:sz w:val="20"/>
                <w:szCs w:val="20"/>
                <w:lang w:val="fr-FR"/>
              </w:rPr>
              <w:t>Uticaj g</w:t>
            </w:r>
            <w:r w:rsidR="00356998" w:rsidRPr="00AF1FAC">
              <w:rPr>
                <w:rFonts w:asciiTheme="minorHAnsi" w:hAnsiTheme="minorHAnsi" w:cstheme="minorHAnsi"/>
                <w:sz w:val="20"/>
                <w:szCs w:val="20"/>
                <w:lang w:val="fr-FR"/>
              </w:rPr>
              <w:t>lobaln</w:t>
            </w:r>
            <w:r w:rsidRPr="00AF1FAC">
              <w:rPr>
                <w:rFonts w:asciiTheme="minorHAnsi" w:hAnsiTheme="minorHAnsi" w:cstheme="minorHAnsi"/>
                <w:sz w:val="20"/>
                <w:szCs w:val="20"/>
                <w:lang w:val="fr-FR"/>
              </w:rPr>
              <w:t>ih kriza na politiku proširenja EU</w:t>
            </w:r>
          </w:p>
          <w:p w14:paraId="559FC9E9" w14:textId="77777777" w:rsidR="00356998" w:rsidRPr="00AF1FAC" w:rsidRDefault="00356998" w:rsidP="00D7716D">
            <w:pPr>
              <w:rPr>
                <w:rFonts w:asciiTheme="minorHAnsi" w:hAnsiTheme="minorHAnsi" w:cstheme="minorHAnsi"/>
                <w:sz w:val="20"/>
                <w:szCs w:val="20"/>
                <w:lang w:val="fr-FR"/>
              </w:rPr>
            </w:pPr>
          </w:p>
        </w:tc>
        <w:tc>
          <w:tcPr>
            <w:tcW w:w="4620" w:type="dxa"/>
          </w:tcPr>
          <w:p w14:paraId="6E11DF36" w14:textId="77777777" w:rsidR="00356998" w:rsidRPr="00274BE4" w:rsidRDefault="00356998" w:rsidP="00D7716D">
            <w:pPr>
              <w:rPr>
                <w:rFonts w:asciiTheme="minorHAnsi" w:hAnsiTheme="minorHAnsi" w:cstheme="minorHAnsi"/>
                <w:b/>
                <w:color w:val="0070C0"/>
                <w:sz w:val="20"/>
                <w:szCs w:val="20"/>
              </w:rPr>
            </w:pPr>
            <w:r w:rsidRPr="00274BE4">
              <w:rPr>
                <w:rFonts w:asciiTheme="minorHAnsi" w:hAnsiTheme="minorHAnsi" w:cstheme="minorHAnsi"/>
                <w:b/>
                <w:color w:val="0070C0"/>
                <w:sz w:val="20"/>
                <w:szCs w:val="20"/>
              </w:rPr>
              <w:t>EKONOMSKI FAKTORI</w:t>
            </w:r>
          </w:p>
          <w:p w14:paraId="3EAD0637" w14:textId="1F131F73" w:rsidR="00356998" w:rsidRPr="00274BE4" w:rsidRDefault="00883D64" w:rsidP="00356998">
            <w:pPr>
              <w:pStyle w:val="ListParagraph"/>
              <w:numPr>
                <w:ilvl w:val="0"/>
                <w:numId w:val="15"/>
              </w:numPr>
              <w:jc w:val="left"/>
              <w:rPr>
                <w:rFonts w:asciiTheme="minorHAnsi" w:hAnsiTheme="minorHAnsi" w:cstheme="minorHAnsi"/>
                <w:sz w:val="20"/>
                <w:szCs w:val="20"/>
              </w:rPr>
            </w:pPr>
            <w:r w:rsidRPr="00274BE4">
              <w:rPr>
                <w:rFonts w:asciiTheme="minorHAnsi" w:hAnsiTheme="minorHAnsi" w:cstheme="minorHAnsi"/>
                <w:sz w:val="20"/>
                <w:szCs w:val="20"/>
              </w:rPr>
              <w:t>Uticaj globalnih kriza na stavove građana</w:t>
            </w:r>
            <w:r w:rsidR="00C1507A">
              <w:rPr>
                <w:rFonts w:asciiTheme="minorHAnsi" w:hAnsiTheme="minorHAnsi" w:cstheme="minorHAnsi"/>
                <w:sz w:val="20"/>
                <w:szCs w:val="20"/>
              </w:rPr>
              <w:t>/ki</w:t>
            </w:r>
            <w:r w:rsidRPr="00274BE4">
              <w:rPr>
                <w:rFonts w:asciiTheme="minorHAnsi" w:hAnsiTheme="minorHAnsi" w:cstheme="minorHAnsi"/>
                <w:sz w:val="20"/>
                <w:szCs w:val="20"/>
              </w:rPr>
              <w:t xml:space="preserve"> (energetska i kriza hrane)</w:t>
            </w:r>
          </w:p>
          <w:p w14:paraId="010C7631" w14:textId="43BDB81E" w:rsidR="005F41D2" w:rsidRPr="00274BE4" w:rsidRDefault="005F41D2" w:rsidP="008B12BA">
            <w:pPr>
              <w:pStyle w:val="ListParagraph"/>
              <w:numPr>
                <w:ilvl w:val="0"/>
                <w:numId w:val="15"/>
              </w:numPr>
              <w:rPr>
                <w:rFonts w:asciiTheme="minorHAnsi" w:hAnsiTheme="minorHAnsi" w:cstheme="minorHAnsi"/>
                <w:sz w:val="20"/>
                <w:szCs w:val="20"/>
              </w:rPr>
            </w:pPr>
            <w:r w:rsidRPr="00274BE4">
              <w:rPr>
                <w:rFonts w:asciiTheme="minorHAnsi" w:hAnsiTheme="minorHAnsi" w:cstheme="minorHAnsi"/>
                <w:sz w:val="20"/>
                <w:szCs w:val="20"/>
              </w:rPr>
              <w:t xml:space="preserve">Finansijska podrška EU </w:t>
            </w:r>
          </w:p>
          <w:p w14:paraId="4ACCC687" w14:textId="77777777" w:rsidR="005F41D2" w:rsidRPr="00274BE4" w:rsidRDefault="005F41D2" w:rsidP="008B12BA">
            <w:pPr>
              <w:pStyle w:val="ListParagraph"/>
              <w:numPr>
                <w:ilvl w:val="0"/>
                <w:numId w:val="15"/>
              </w:numPr>
              <w:rPr>
                <w:rFonts w:asciiTheme="minorHAnsi" w:hAnsiTheme="minorHAnsi" w:cstheme="minorHAnsi"/>
                <w:sz w:val="20"/>
                <w:szCs w:val="20"/>
              </w:rPr>
            </w:pPr>
            <w:r w:rsidRPr="00274BE4">
              <w:rPr>
                <w:rFonts w:asciiTheme="minorHAnsi" w:hAnsiTheme="minorHAnsi" w:cstheme="minorHAnsi"/>
                <w:sz w:val="20"/>
                <w:szCs w:val="20"/>
              </w:rPr>
              <w:t xml:space="preserve">Stabilnost javnih finansija </w:t>
            </w:r>
          </w:p>
          <w:p w14:paraId="6793FCB5" w14:textId="77777777" w:rsidR="008B12BA" w:rsidRPr="00274BE4" w:rsidRDefault="008B12BA" w:rsidP="008B12BA">
            <w:pPr>
              <w:pStyle w:val="ListParagraph"/>
              <w:numPr>
                <w:ilvl w:val="0"/>
                <w:numId w:val="15"/>
              </w:numPr>
              <w:rPr>
                <w:rFonts w:asciiTheme="minorHAnsi" w:hAnsiTheme="minorHAnsi" w:cstheme="minorHAnsi"/>
                <w:sz w:val="20"/>
                <w:szCs w:val="20"/>
              </w:rPr>
            </w:pPr>
            <w:r w:rsidRPr="00274BE4">
              <w:rPr>
                <w:rFonts w:asciiTheme="minorHAnsi" w:hAnsiTheme="minorHAnsi" w:cstheme="minorHAnsi"/>
                <w:sz w:val="20"/>
                <w:szCs w:val="20"/>
              </w:rPr>
              <w:t>Ne postoji posebna budžetska stavka za sprovođenje Komunikacione strategije.</w:t>
            </w:r>
          </w:p>
          <w:p w14:paraId="7C7ACC37" w14:textId="77777777" w:rsidR="00883D64" w:rsidRPr="00274BE4" w:rsidRDefault="00883D64" w:rsidP="00225DBE">
            <w:pPr>
              <w:pStyle w:val="ListParagraph"/>
              <w:rPr>
                <w:rFonts w:asciiTheme="minorHAnsi" w:hAnsiTheme="minorHAnsi" w:cstheme="minorHAnsi"/>
                <w:sz w:val="20"/>
                <w:szCs w:val="20"/>
                <w:lang w:val="hr-HR"/>
              </w:rPr>
            </w:pPr>
          </w:p>
          <w:p w14:paraId="4B6ED360" w14:textId="77777777" w:rsidR="00356998" w:rsidRPr="00274BE4" w:rsidRDefault="00356998" w:rsidP="00225DBE">
            <w:pPr>
              <w:ind w:left="720"/>
              <w:jc w:val="left"/>
              <w:rPr>
                <w:rFonts w:asciiTheme="minorHAnsi" w:hAnsiTheme="minorHAnsi" w:cstheme="minorHAnsi"/>
                <w:sz w:val="20"/>
                <w:szCs w:val="20"/>
                <w:lang w:val="hr-HR"/>
              </w:rPr>
            </w:pPr>
          </w:p>
          <w:p w14:paraId="7F95E5D2" w14:textId="77777777" w:rsidR="003C6466" w:rsidRPr="00274BE4" w:rsidRDefault="003C6466" w:rsidP="00225DBE">
            <w:pPr>
              <w:jc w:val="left"/>
              <w:rPr>
                <w:rFonts w:asciiTheme="minorHAnsi" w:hAnsiTheme="minorHAnsi" w:cstheme="minorHAnsi"/>
                <w:sz w:val="20"/>
                <w:szCs w:val="20"/>
                <w:lang w:val="hr-HR"/>
              </w:rPr>
            </w:pPr>
          </w:p>
        </w:tc>
      </w:tr>
      <w:tr w:rsidR="00356998" w14:paraId="5F9771E5" w14:textId="77777777" w:rsidTr="00225DBE">
        <w:tc>
          <w:tcPr>
            <w:tcW w:w="4622" w:type="dxa"/>
          </w:tcPr>
          <w:p w14:paraId="45EA57BF" w14:textId="033137E3" w:rsidR="00356998" w:rsidRPr="00274BE4" w:rsidRDefault="00356998" w:rsidP="00D7716D">
            <w:pPr>
              <w:rPr>
                <w:rFonts w:asciiTheme="minorHAnsi" w:hAnsiTheme="minorHAnsi" w:cstheme="minorHAnsi"/>
                <w:b/>
                <w:color w:val="0070C0"/>
                <w:sz w:val="20"/>
                <w:szCs w:val="20"/>
              </w:rPr>
            </w:pPr>
            <w:r w:rsidRPr="00274BE4">
              <w:rPr>
                <w:rFonts w:asciiTheme="minorHAnsi" w:hAnsiTheme="minorHAnsi" w:cstheme="minorHAnsi"/>
                <w:b/>
                <w:color w:val="0070C0"/>
                <w:sz w:val="20"/>
                <w:szCs w:val="20"/>
              </w:rPr>
              <w:t>SOCIJALNI FAKTORI</w:t>
            </w:r>
          </w:p>
          <w:p w14:paraId="0DB8BCD7" w14:textId="696F210C" w:rsidR="00356998" w:rsidRPr="00AF1FAC" w:rsidRDefault="00B3343E" w:rsidP="00B3343E">
            <w:pPr>
              <w:pStyle w:val="ListParagraph"/>
              <w:numPr>
                <w:ilvl w:val="0"/>
                <w:numId w:val="15"/>
              </w:numPr>
              <w:jc w:val="left"/>
              <w:rPr>
                <w:rFonts w:asciiTheme="minorHAnsi" w:hAnsiTheme="minorHAnsi" w:cstheme="minorHAnsi"/>
                <w:sz w:val="20"/>
                <w:szCs w:val="20"/>
                <w:lang w:val="fr-FR"/>
              </w:rPr>
            </w:pPr>
            <w:r w:rsidRPr="00AF1FAC">
              <w:rPr>
                <w:rFonts w:asciiTheme="minorHAnsi" w:hAnsiTheme="minorHAnsi" w:cstheme="minorHAnsi"/>
                <w:sz w:val="20"/>
                <w:szCs w:val="20"/>
                <w:lang w:val="fr-FR"/>
              </w:rPr>
              <w:t>C</w:t>
            </w:r>
            <w:r w:rsidR="00C1507A" w:rsidRPr="00AF1FAC">
              <w:rPr>
                <w:rFonts w:asciiTheme="minorHAnsi" w:hAnsiTheme="minorHAnsi" w:cstheme="minorHAnsi"/>
                <w:sz w:val="20"/>
                <w:szCs w:val="20"/>
                <w:lang w:val="fr-FR"/>
              </w:rPr>
              <w:t xml:space="preserve">rna Gora je </w:t>
            </w:r>
            <w:r w:rsidRPr="00AF1FAC">
              <w:rPr>
                <w:rFonts w:asciiTheme="minorHAnsi" w:hAnsiTheme="minorHAnsi" w:cstheme="minorHAnsi"/>
                <w:sz w:val="20"/>
                <w:szCs w:val="20"/>
                <w:lang w:val="fr-FR"/>
              </w:rPr>
              <w:t xml:space="preserve">je sociološki </w:t>
            </w:r>
            <w:r w:rsidR="00C1507A" w:rsidRPr="00AF1FAC">
              <w:rPr>
                <w:rFonts w:asciiTheme="minorHAnsi" w:hAnsiTheme="minorHAnsi" w:cstheme="minorHAnsi"/>
                <w:sz w:val="20"/>
                <w:szCs w:val="20"/>
                <w:lang w:val="fr-FR"/>
              </w:rPr>
              <w:t>i</w:t>
            </w:r>
            <w:r w:rsidRPr="00AF1FAC">
              <w:rPr>
                <w:rFonts w:asciiTheme="minorHAnsi" w:hAnsiTheme="minorHAnsi" w:cstheme="minorHAnsi"/>
                <w:sz w:val="20"/>
                <w:szCs w:val="20"/>
                <w:lang w:val="fr-FR"/>
              </w:rPr>
              <w:t xml:space="preserve"> kulturološki okrenuta ka EU</w:t>
            </w:r>
          </w:p>
          <w:p w14:paraId="0361CF77" w14:textId="6753B5EE" w:rsidR="00B3343E" w:rsidRPr="00AF1FAC" w:rsidRDefault="00B3343E" w:rsidP="00C1507A">
            <w:pPr>
              <w:pStyle w:val="ListParagraph"/>
              <w:numPr>
                <w:ilvl w:val="0"/>
                <w:numId w:val="15"/>
              </w:numPr>
              <w:jc w:val="left"/>
              <w:rPr>
                <w:rFonts w:asciiTheme="minorHAnsi" w:hAnsiTheme="minorHAnsi" w:cstheme="minorHAnsi"/>
                <w:sz w:val="20"/>
                <w:szCs w:val="20"/>
                <w:lang w:val="fr-FR"/>
              </w:rPr>
            </w:pPr>
            <w:r w:rsidRPr="00AF1FAC">
              <w:rPr>
                <w:rFonts w:asciiTheme="minorHAnsi" w:hAnsiTheme="minorHAnsi" w:cstheme="minorHAnsi"/>
                <w:sz w:val="20"/>
                <w:szCs w:val="20"/>
                <w:lang w:val="fr-FR"/>
              </w:rPr>
              <w:t>C</w:t>
            </w:r>
            <w:r w:rsidR="00C1507A" w:rsidRPr="00AF1FAC">
              <w:rPr>
                <w:rFonts w:asciiTheme="minorHAnsi" w:hAnsiTheme="minorHAnsi" w:cstheme="minorHAnsi"/>
                <w:sz w:val="20"/>
                <w:szCs w:val="20"/>
                <w:lang w:val="fr-FR"/>
              </w:rPr>
              <w:t xml:space="preserve">rnogorski građani/ke studiraju, putuju I rade u zemljama EU </w:t>
            </w:r>
          </w:p>
        </w:tc>
        <w:tc>
          <w:tcPr>
            <w:tcW w:w="4620" w:type="dxa"/>
          </w:tcPr>
          <w:p w14:paraId="5A60B962" w14:textId="77777777" w:rsidR="00356998" w:rsidRPr="00274BE4" w:rsidRDefault="00356998" w:rsidP="00D7716D">
            <w:pPr>
              <w:rPr>
                <w:rFonts w:asciiTheme="minorHAnsi" w:hAnsiTheme="minorHAnsi" w:cstheme="minorHAnsi"/>
                <w:b/>
                <w:color w:val="0070C0"/>
                <w:sz w:val="20"/>
                <w:szCs w:val="20"/>
              </w:rPr>
            </w:pPr>
            <w:r w:rsidRPr="00274BE4">
              <w:rPr>
                <w:rFonts w:asciiTheme="minorHAnsi" w:hAnsiTheme="minorHAnsi" w:cstheme="minorHAnsi"/>
                <w:b/>
                <w:color w:val="0070C0"/>
                <w:sz w:val="20"/>
                <w:szCs w:val="20"/>
              </w:rPr>
              <w:t>TEHNOLOŠKI FAKTORI</w:t>
            </w:r>
          </w:p>
          <w:p w14:paraId="4BB4C46F" w14:textId="77777777" w:rsidR="00356998" w:rsidRPr="00274BE4" w:rsidRDefault="00356998" w:rsidP="00356998">
            <w:pPr>
              <w:pStyle w:val="ListParagraph"/>
              <w:numPr>
                <w:ilvl w:val="0"/>
                <w:numId w:val="15"/>
              </w:numPr>
              <w:jc w:val="left"/>
              <w:rPr>
                <w:rFonts w:asciiTheme="minorHAnsi" w:hAnsiTheme="minorHAnsi" w:cstheme="minorHAnsi"/>
                <w:sz w:val="20"/>
                <w:szCs w:val="20"/>
              </w:rPr>
            </w:pPr>
            <w:r w:rsidRPr="00274BE4">
              <w:rPr>
                <w:rFonts w:asciiTheme="minorHAnsi" w:hAnsiTheme="minorHAnsi" w:cstheme="minorHAnsi"/>
                <w:sz w:val="20"/>
                <w:szCs w:val="20"/>
              </w:rPr>
              <w:t>Brži tempo tehnoloških promjena</w:t>
            </w:r>
          </w:p>
          <w:p w14:paraId="70E0BC60" w14:textId="77777777" w:rsidR="00356998" w:rsidRPr="00274BE4" w:rsidRDefault="00356998" w:rsidP="00356998">
            <w:pPr>
              <w:pStyle w:val="ListParagraph"/>
              <w:numPr>
                <w:ilvl w:val="0"/>
                <w:numId w:val="15"/>
              </w:numPr>
              <w:jc w:val="left"/>
              <w:rPr>
                <w:rFonts w:asciiTheme="minorHAnsi" w:hAnsiTheme="minorHAnsi" w:cstheme="minorHAnsi"/>
                <w:sz w:val="20"/>
                <w:szCs w:val="20"/>
              </w:rPr>
            </w:pPr>
            <w:r w:rsidRPr="00274BE4">
              <w:rPr>
                <w:rFonts w:asciiTheme="minorHAnsi" w:hAnsiTheme="minorHAnsi" w:cstheme="minorHAnsi"/>
                <w:sz w:val="20"/>
                <w:szCs w:val="20"/>
              </w:rPr>
              <w:t>Prelaz na digitalnu komunikaciju</w:t>
            </w:r>
          </w:p>
          <w:p w14:paraId="78A797D9" w14:textId="291ECEFB" w:rsidR="00356998" w:rsidRPr="00274BE4" w:rsidRDefault="00356998" w:rsidP="00356998">
            <w:pPr>
              <w:pStyle w:val="ListParagraph"/>
              <w:numPr>
                <w:ilvl w:val="0"/>
                <w:numId w:val="15"/>
              </w:numPr>
              <w:jc w:val="left"/>
              <w:rPr>
                <w:rFonts w:asciiTheme="minorHAnsi" w:hAnsiTheme="minorHAnsi" w:cstheme="minorHAnsi"/>
                <w:sz w:val="20"/>
                <w:szCs w:val="20"/>
              </w:rPr>
            </w:pPr>
            <w:r w:rsidRPr="00274BE4">
              <w:rPr>
                <w:rFonts w:asciiTheme="minorHAnsi" w:hAnsiTheme="minorHAnsi" w:cstheme="minorHAnsi"/>
                <w:sz w:val="20"/>
                <w:szCs w:val="20"/>
              </w:rPr>
              <w:t>Novi modeli i načini komuniciranja</w:t>
            </w:r>
          </w:p>
          <w:p w14:paraId="50794C1A" w14:textId="77777777" w:rsidR="00356998" w:rsidRPr="00AF1FAC" w:rsidRDefault="00356998" w:rsidP="00356998">
            <w:pPr>
              <w:pStyle w:val="ListParagraph"/>
              <w:numPr>
                <w:ilvl w:val="0"/>
                <w:numId w:val="15"/>
              </w:numPr>
              <w:jc w:val="left"/>
              <w:rPr>
                <w:rFonts w:asciiTheme="minorHAnsi" w:hAnsiTheme="minorHAnsi" w:cstheme="minorHAnsi"/>
                <w:sz w:val="20"/>
                <w:szCs w:val="20"/>
                <w:lang w:val="fr-FR"/>
              </w:rPr>
            </w:pPr>
            <w:r w:rsidRPr="00AF1FAC">
              <w:rPr>
                <w:rFonts w:asciiTheme="minorHAnsi" w:hAnsiTheme="minorHAnsi" w:cstheme="minorHAnsi"/>
                <w:sz w:val="20"/>
                <w:szCs w:val="20"/>
                <w:lang w:val="fr-FR"/>
              </w:rPr>
              <w:t>Digitalni alati -  važan resurs moderne komunikacije</w:t>
            </w:r>
          </w:p>
          <w:p w14:paraId="58696D6A" w14:textId="77777777" w:rsidR="00356998" w:rsidRPr="00AF1FAC" w:rsidRDefault="00356998" w:rsidP="00D7716D">
            <w:pPr>
              <w:rPr>
                <w:rFonts w:asciiTheme="minorHAnsi" w:hAnsiTheme="minorHAnsi" w:cstheme="minorHAnsi"/>
                <w:sz w:val="20"/>
                <w:szCs w:val="20"/>
                <w:lang w:val="fr-FR"/>
              </w:rPr>
            </w:pPr>
          </w:p>
        </w:tc>
      </w:tr>
      <w:tr w:rsidR="00225DBE" w14:paraId="1B1AA506" w14:textId="77777777" w:rsidTr="00225DBE">
        <w:tc>
          <w:tcPr>
            <w:tcW w:w="9242" w:type="dxa"/>
            <w:gridSpan w:val="2"/>
          </w:tcPr>
          <w:p w14:paraId="64945A0D" w14:textId="2A4F88FA" w:rsidR="00225DBE" w:rsidRPr="00274BE4" w:rsidRDefault="00225DBE" w:rsidP="00D7716D">
            <w:pPr>
              <w:rPr>
                <w:rFonts w:asciiTheme="minorHAnsi" w:hAnsiTheme="minorHAnsi" w:cstheme="minorHAnsi"/>
                <w:b/>
                <w:color w:val="0070C0"/>
                <w:sz w:val="20"/>
                <w:szCs w:val="20"/>
              </w:rPr>
            </w:pPr>
            <w:r w:rsidRPr="00274BE4">
              <w:rPr>
                <w:rFonts w:asciiTheme="minorHAnsi" w:hAnsiTheme="minorHAnsi" w:cstheme="minorHAnsi"/>
                <w:b/>
                <w:color w:val="0070C0"/>
                <w:sz w:val="20"/>
                <w:szCs w:val="20"/>
              </w:rPr>
              <w:t>EKOLOŠKI FAKTORI</w:t>
            </w:r>
          </w:p>
          <w:p w14:paraId="2C85910F" w14:textId="3AF505B9" w:rsidR="00225DBE" w:rsidRPr="004D406F" w:rsidRDefault="00225DBE" w:rsidP="00225DBE">
            <w:pPr>
              <w:pStyle w:val="ListParagraph"/>
              <w:numPr>
                <w:ilvl w:val="0"/>
                <w:numId w:val="15"/>
              </w:numPr>
              <w:rPr>
                <w:rFonts w:asciiTheme="minorHAnsi" w:hAnsiTheme="minorHAnsi" w:cstheme="minorHAnsi"/>
                <w:color w:val="0070C0"/>
                <w:sz w:val="20"/>
                <w:szCs w:val="20"/>
                <w:lang w:val="fr-FR"/>
              </w:rPr>
            </w:pPr>
            <w:r w:rsidRPr="004D406F">
              <w:rPr>
                <w:rFonts w:asciiTheme="minorHAnsi" w:hAnsiTheme="minorHAnsi" w:cstheme="minorHAnsi"/>
                <w:sz w:val="20"/>
                <w:szCs w:val="20"/>
                <w:lang w:val="fr-FR"/>
              </w:rPr>
              <w:t xml:space="preserve">Promocija zaštite životne sredine </w:t>
            </w:r>
            <w:r w:rsidR="00C1507A" w:rsidRPr="004D406F">
              <w:rPr>
                <w:rFonts w:asciiTheme="minorHAnsi" w:hAnsiTheme="minorHAnsi" w:cstheme="minorHAnsi"/>
                <w:sz w:val="20"/>
                <w:szCs w:val="20"/>
                <w:lang w:val="fr-FR"/>
              </w:rPr>
              <w:t>i</w:t>
            </w:r>
            <w:r w:rsidRPr="004D406F">
              <w:rPr>
                <w:rFonts w:asciiTheme="minorHAnsi" w:hAnsiTheme="minorHAnsi" w:cstheme="minorHAnsi"/>
                <w:sz w:val="20"/>
                <w:szCs w:val="20"/>
                <w:lang w:val="fr-FR"/>
              </w:rPr>
              <w:t xml:space="preserve"> EU standarda iz te oblasti</w:t>
            </w:r>
          </w:p>
        </w:tc>
      </w:tr>
    </w:tbl>
    <w:p w14:paraId="331E610D" w14:textId="77777777" w:rsidR="00356998" w:rsidRDefault="00356998" w:rsidP="00356998">
      <w:pPr>
        <w:pBdr>
          <w:top w:val="nil"/>
          <w:left w:val="nil"/>
          <w:bottom w:val="nil"/>
          <w:right w:val="nil"/>
          <w:between w:val="nil"/>
        </w:pBdr>
        <w:rPr>
          <w:rFonts w:ascii="Calibri" w:hAnsi="Calibri"/>
          <w:color w:val="000000"/>
        </w:rPr>
      </w:pPr>
    </w:p>
    <w:p w14:paraId="730DDE01" w14:textId="77777777" w:rsidR="00B3343E" w:rsidRDefault="00B3343E"/>
    <w:p w14:paraId="7CC1714A" w14:textId="5BBDCB97" w:rsidR="00B25BC7" w:rsidRPr="000A5977" w:rsidRDefault="00B25BC7">
      <w:pPr>
        <w:rPr>
          <w:b/>
        </w:rPr>
      </w:pPr>
    </w:p>
    <w:p w14:paraId="00000241" w14:textId="77777777" w:rsidR="007A6527" w:rsidRPr="000A5977" w:rsidRDefault="008A787C">
      <w:pPr>
        <w:pStyle w:val="Heading2"/>
        <w:rPr>
          <w:rFonts w:ascii="Calibri" w:eastAsia="Calibri" w:hAnsi="Calibri" w:cs="Calibri"/>
          <w:b/>
          <w:color w:val="2F5496"/>
        </w:rPr>
      </w:pPr>
      <w:bookmarkStart w:id="13" w:name="_Toc140567033"/>
      <w:r w:rsidRPr="000A5977">
        <w:rPr>
          <w:rFonts w:ascii="Calibri" w:eastAsia="Calibri" w:hAnsi="Calibri" w:cs="Calibri"/>
          <w:b/>
          <w:color w:val="2F5496"/>
        </w:rPr>
        <w:t>SWOT analiza</w:t>
      </w:r>
      <w:bookmarkEnd w:id="13"/>
    </w:p>
    <w:p w14:paraId="718D5436" w14:textId="77777777" w:rsidR="00EE597D" w:rsidRPr="00EE597D" w:rsidRDefault="00EE597D" w:rsidP="00EE597D"/>
    <w:tbl>
      <w:tblPr>
        <w:tblStyle w:val="af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7A6527" w14:paraId="7E8E0F07" w14:textId="77777777">
        <w:tc>
          <w:tcPr>
            <w:tcW w:w="4508" w:type="dxa"/>
            <w:tcBorders>
              <w:top w:val="single" w:sz="8" w:space="0" w:color="BFBFBF"/>
              <w:left w:val="single" w:sz="8" w:space="0" w:color="BFBFBF"/>
              <w:bottom w:val="single" w:sz="8" w:space="0" w:color="BFBFBF"/>
              <w:right w:val="single" w:sz="8" w:space="0" w:color="BFBFBF"/>
            </w:tcBorders>
          </w:tcPr>
          <w:p w14:paraId="00000242" w14:textId="77777777" w:rsidR="007A6527" w:rsidRDefault="008A787C">
            <w:r>
              <w:rPr>
                <w:rFonts w:ascii="Calibri" w:hAnsi="Calibri"/>
                <w:color w:val="2F5496"/>
                <w:sz w:val="24"/>
                <w:szCs w:val="24"/>
              </w:rPr>
              <w:t>S – SNAGE/PREDNOSTI</w:t>
            </w:r>
          </w:p>
          <w:p w14:paraId="00000243" w14:textId="77777777" w:rsidR="007A6527" w:rsidRDefault="008A787C">
            <w:pPr>
              <w:numPr>
                <w:ilvl w:val="0"/>
                <w:numId w:val="7"/>
              </w:numPr>
              <w:pBdr>
                <w:top w:val="nil"/>
                <w:left w:val="nil"/>
                <w:bottom w:val="nil"/>
                <w:right w:val="nil"/>
                <w:between w:val="nil"/>
              </w:pBdr>
              <w:rPr>
                <w:rFonts w:ascii="Calibri" w:hAnsi="Calibri"/>
                <w:color w:val="000000"/>
                <w:sz w:val="21"/>
                <w:szCs w:val="21"/>
              </w:rPr>
            </w:pPr>
            <w:r>
              <w:rPr>
                <w:rFonts w:ascii="Calibri" w:hAnsi="Calibri"/>
                <w:color w:val="000000"/>
                <w:sz w:val="21"/>
                <w:szCs w:val="21"/>
              </w:rPr>
              <w:t>Dosadašnji efekti komunikacije su dobri i stabilni:</w:t>
            </w:r>
          </w:p>
          <w:p w14:paraId="00000244" w14:textId="5C2CC2FD" w:rsidR="007A6527" w:rsidRDefault="008A787C">
            <w:pPr>
              <w:numPr>
                <w:ilvl w:val="0"/>
                <w:numId w:val="6"/>
              </w:numPr>
              <w:pBdr>
                <w:top w:val="nil"/>
                <w:left w:val="nil"/>
                <w:bottom w:val="nil"/>
                <w:right w:val="nil"/>
                <w:between w:val="nil"/>
              </w:pBdr>
              <w:rPr>
                <w:rFonts w:ascii="Calibri" w:hAnsi="Calibri"/>
                <w:color w:val="000000"/>
                <w:sz w:val="20"/>
                <w:szCs w:val="20"/>
              </w:rPr>
            </w:pPr>
            <w:r>
              <w:rPr>
                <w:rFonts w:ascii="Calibri" w:hAnsi="Calibri"/>
                <w:color w:val="000000"/>
                <w:sz w:val="20"/>
                <w:szCs w:val="20"/>
              </w:rPr>
              <w:t>Podrška građana</w:t>
            </w:r>
            <w:r w:rsidR="00C1507A">
              <w:rPr>
                <w:rFonts w:ascii="Calibri" w:hAnsi="Calibri"/>
                <w:color w:val="000000"/>
                <w:sz w:val="20"/>
                <w:szCs w:val="20"/>
              </w:rPr>
              <w:t>/ki</w:t>
            </w:r>
            <w:r>
              <w:rPr>
                <w:rFonts w:ascii="Calibri" w:hAnsi="Calibri"/>
                <w:color w:val="000000"/>
                <w:sz w:val="20"/>
                <w:szCs w:val="20"/>
              </w:rPr>
              <w:t xml:space="preserve"> pristupanju Crne Gore EU je relativno visoka </w:t>
            </w:r>
          </w:p>
          <w:p w14:paraId="00000245" w14:textId="3C41508F" w:rsidR="007A6527" w:rsidRDefault="008A787C">
            <w:pPr>
              <w:numPr>
                <w:ilvl w:val="0"/>
                <w:numId w:val="6"/>
              </w:numPr>
              <w:pBdr>
                <w:top w:val="nil"/>
                <w:left w:val="nil"/>
                <w:bottom w:val="nil"/>
                <w:right w:val="nil"/>
                <w:between w:val="nil"/>
              </w:pBdr>
              <w:rPr>
                <w:rFonts w:ascii="Calibri" w:hAnsi="Calibri"/>
                <w:color w:val="000000"/>
                <w:sz w:val="20"/>
                <w:szCs w:val="20"/>
              </w:rPr>
            </w:pPr>
            <w:r>
              <w:rPr>
                <w:rFonts w:ascii="Calibri" w:hAnsi="Calibri"/>
                <w:color w:val="000000"/>
                <w:sz w:val="20"/>
                <w:szCs w:val="20"/>
              </w:rPr>
              <w:t>Većina građana</w:t>
            </w:r>
            <w:r w:rsidR="00C1507A">
              <w:rPr>
                <w:rFonts w:ascii="Calibri" w:hAnsi="Calibri"/>
                <w:color w:val="000000"/>
                <w:sz w:val="20"/>
                <w:szCs w:val="20"/>
              </w:rPr>
              <w:t>/ki</w:t>
            </w:r>
            <w:r>
              <w:rPr>
                <w:rFonts w:ascii="Calibri" w:hAnsi="Calibri"/>
                <w:color w:val="000000"/>
                <w:sz w:val="20"/>
                <w:szCs w:val="20"/>
              </w:rPr>
              <w:t xml:space="preserve"> Crne Gore tvrdi da je djelimično ili potpuno informisano o procesu evropske integracije.</w:t>
            </w:r>
          </w:p>
          <w:p w14:paraId="00000246" w14:textId="77777777" w:rsidR="007A6527" w:rsidRDefault="008A787C">
            <w:pPr>
              <w:numPr>
                <w:ilvl w:val="0"/>
                <w:numId w:val="6"/>
              </w:numPr>
              <w:pBdr>
                <w:top w:val="nil"/>
                <w:left w:val="nil"/>
                <w:bottom w:val="nil"/>
                <w:right w:val="nil"/>
                <w:between w:val="nil"/>
              </w:pBdr>
              <w:rPr>
                <w:rFonts w:ascii="Calibri" w:hAnsi="Calibri"/>
                <w:color w:val="000000"/>
                <w:sz w:val="20"/>
                <w:szCs w:val="20"/>
              </w:rPr>
            </w:pPr>
            <w:r>
              <w:rPr>
                <w:rFonts w:ascii="Calibri" w:hAnsi="Calibri"/>
                <w:color w:val="000000"/>
                <w:sz w:val="20"/>
                <w:szCs w:val="20"/>
              </w:rPr>
              <w:t>EU je prepoznata i kao najveći strani donor i kao međunarodni subjekt sa kojim Crna Gora u budućnosti treba da ima najjače veze.</w:t>
            </w:r>
          </w:p>
          <w:p w14:paraId="00000247" w14:textId="77777777" w:rsidR="007A6527" w:rsidRDefault="008A787C">
            <w:pPr>
              <w:numPr>
                <w:ilvl w:val="0"/>
                <w:numId w:val="7"/>
              </w:numPr>
              <w:pBdr>
                <w:top w:val="nil"/>
                <w:left w:val="nil"/>
                <w:bottom w:val="nil"/>
                <w:right w:val="nil"/>
                <w:between w:val="nil"/>
              </w:pBdr>
              <w:rPr>
                <w:rFonts w:ascii="Calibri" w:hAnsi="Calibri"/>
                <w:color w:val="000000"/>
                <w:sz w:val="21"/>
                <w:szCs w:val="21"/>
              </w:rPr>
            </w:pPr>
            <w:r>
              <w:rPr>
                <w:rFonts w:ascii="Calibri" w:hAnsi="Calibri"/>
                <w:color w:val="000000"/>
                <w:sz w:val="21"/>
                <w:szCs w:val="21"/>
              </w:rPr>
              <w:t>Ubrzanje evropskih integracija je glavni prioritet aktuelne Vlade</w:t>
            </w:r>
          </w:p>
          <w:p w14:paraId="00000248" w14:textId="77777777" w:rsidR="007A6527" w:rsidRDefault="008A787C">
            <w:pPr>
              <w:numPr>
                <w:ilvl w:val="0"/>
                <w:numId w:val="7"/>
              </w:numPr>
              <w:pBdr>
                <w:top w:val="nil"/>
                <w:left w:val="nil"/>
                <w:bottom w:val="nil"/>
                <w:right w:val="nil"/>
                <w:between w:val="nil"/>
              </w:pBdr>
              <w:rPr>
                <w:sz w:val="21"/>
                <w:szCs w:val="21"/>
              </w:rPr>
            </w:pPr>
            <w:r>
              <w:rPr>
                <w:sz w:val="21"/>
                <w:szCs w:val="21"/>
              </w:rPr>
              <w:t>Formirano je Ministarstvo evropskih poslova</w:t>
            </w:r>
          </w:p>
          <w:p w14:paraId="00000249" w14:textId="77777777" w:rsidR="007A6527" w:rsidRDefault="008A787C">
            <w:pPr>
              <w:numPr>
                <w:ilvl w:val="0"/>
                <w:numId w:val="7"/>
              </w:numPr>
              <w:pBdr>
                <w:top w:val="nil"/>
                <w:left w:val="nil"/>
                <w:bottom w:val="nil"/>
                <w:right w:val="nil"/>
                <w:between w:val="nil"/>
              </w:pBdr>
              <w:rPr>
                <w:rFonts w:ascii="Calibri" w:hAnsi="Calibri"/>
                <w:color w:val="000000"/>
                <w:sz w:val="21"/>
                <w:szCs w:val="21"/>
              </w:rPr>
            </w:pPr>
            <w:r>
              <w:rPr>
                <w:rFonts w:ascii="Calibri" w:hAnsi="Calibri"/>
                <w:color w:val="000000"/>
                <w:sz w:val="21"/>
                <w:szCs w:val="21"/>
              </w:rPr>
              <w:t xml:space="preserve">Postoji već definisana i razrađena saradnja sa Delegacijom EU, koja finansijski i ekspertski pomaže Vladu Crne Gore u komuniciranju integracije. </w:t>
            </w:r>
          </w:p>
          <w:p w14:paraId="0000024A" w14:textId="77777777" w:rsidR="007A6527" w:rsidRDefault="008A787C">
            <w:pPr>
              <w:numPr>
                <w:ilvl w:val="0"/>
                <w:numId w:val="7"/>
              </w:numPr>
              <w:pBdr>
                <w:top w:val="nil"/>
                <w:left w:val="nil"/>
                <w:bottom w:val="nil"/>
                <w:right w:val="nil"/>
                <w:between w:val="nil"/>
              </w:pBdr>
              <w:rPr>
                <w:rFonts w:ascii="Calibri" w:hAnsi="Calibri"/>
                <w:color w:val="000000"/>
                <w:sz w:val="21"/>
                <w:szCs w:val="21"/>
              </w:rPr>
            </w:pPr>
            <w:r>
              <w:rPr>
                <w:rFonts w:ascii="Calibri" w:hAnsi="Calibri"/>
                <w:color w:val="000000"/>
                <w:sz w:val="21"/>
                <w:szCs w:val="21"/>
              </w:rPr>
              <w:t>Postoji razvijena saradnja sa grupom ključnih nevladinih i drugih domaćih organizacija i udruženja, koji se bave komuniciranjem evropske integracije Crne Gore.</w:t>
            </w:r>
          </w:p>
          <w:p w14:paraId="0000024B" w14:textId="77777777" w:rsidR="007A6527" w:rsidRDefault="008A787C">
            <w:pPr>
              <w:numPr>
                <w:ilvl w:val="0"/>
                <w:numId w:val="7"/>
              </w:numPr>
              <w:pBdr>
                <w:top w:val="nil"/>
                <w:left w:val="nil"/>
                <w:bottom w:val="nil"/>
                <w:right w:val="nil"/>
                <w:between w:val="nil"/>
              </w:pBdr>
              <w:rPr>
                <w:rFonts w:ascii="Calibri" w:hAnsi="Calibri"/>
                <w:color w:val="000000"/>
                <w:sz w:val="21"/>
                <w:szCs w:val="21"/>
              </w:rPr>
            </w:pPr>
            <w:r>
              <w:rPr>
                <w:rFonts w:ascii="Calibri" w:hAnsi="Calibri"/>
                <w:color w:val="000000"/>
                <w:sz w:val="21"/>
                <w:szCs w:val="21"/>
              </w:rPr>
              <w:t xml:space="preserve">Proces evropske integracije ima prepoznatljiv brend. </w:t>
            </w:r>
          </w:p>
          <w:p w14:paraId="0000024C" w14:textId="77777777" w:rsidR="007A6527" w:rsidRDefault="008A787C">
            <w:pPr>
              <w:numPr>
                <w:ilvl w:val="0"/>
                <w:numId w:val="7"/>
              </w:numPr>
              <w:pBdr>
                <w:top w:val="nil"/>
                <w:left w:val="nil"/>
                <w:bottom w:val="nil"/>
                <w:right w:val="nil"/>
                <w:between w:val="nil"/>
              </w:pBdr>
              <w:rPr>
                <w:rFonts w:ascii="Calibri" w:hAnsi="Calibri"/>
                <w:color w:val="000000"/>
                <w:sz w:val="21"/>
                <w:szCs w:val="21"/>
              </w:rPr>
            </w:pPr>
            <w:r>
              <w:rPr>
                <w:rFonts w:ascii="Calibri" w:hAnsi="Calibri"/>
                <w:color w:val="000000"/>
                <w:sz w:val="21"/>
                <w:szCs w:val="21"/>
              </w:rPr>
              <w:t>Vlada ima dvodecenijsko iskustvo u komuniciranju evropske integracije</w:t>
            </w:r>
          </w:p>
          <w:p w14:paraId="0000024D" w14:textId="77777777" w:rsidR="007A6527" w:rsidRDefault="008A787C">
            <w:pPr>
              <w:numPr>
                <w:ilvl w:val="0"/>
                <w:numId w:val="7"/>
              </w:numPr>
              <w:pBdr>
                <w:top w:val="nil"/>
                <w:left w:val="nil"/>
                <w:bottom w:val="nil"/>
                <w:right w:val="nil"/>
                <w:between w:val="nil"/>
              </w:pBdr>
              <w:rPr>
                <w:rFonts w:ascii="Calibri" w:hAnsi="Calibri"/>
                <w:color w:val="000000"/>
                <w:sz w:val="21"/>
                <w:szCs w:val="21"/>
              </w:rPr>
            </w:pPr>
            <w:r>
              <w:rPr>
                <w:rFonts w:ascii="Calibri" w:hAnsi="Calibri"/>
                <w:color w:val="000000"/>
                <w:sz w:val="21"/>
                <w:szCs w:val="21"/>
              </w:rPr>
              <w:t>Redovn</w:t>
            </w:r>
            <w:r>
              <w:rPr>
                <w:sz w:val="21"/>
                <w:szCs w:val="21"/>
              </w:rPr>
              <w:t>a</w:t>
            </w:r>
            <w:r>
              <w:rPr>
                <w:rFonts w:ascii="Calibri" w:hAnsi="Calibri"/>
                <w:color w:val="000000"/>
                <w:sz w:val="21"/>
                <w:szCs w:val="21"/>
              </w:rPr>
              <w:t xml:space="preserve"> istraživanja javnog mnjenja pomažu praćenje i evaluiranja efekata komunikacije </w:t>
            </w:r>
          </w:p>
          <w:p w14:paraId="0000024E" w14:textId="77777777" w:rsidR="007A6527" w:rsidRDefault="007A6527">
            <w:pPr>
              <w:pBdr>
                <w:top w:val="nil"/>
                <w:left w:val="nil"/>
                <w:bottom w:val="nil"/>
                <w:right w:val="nil"/>
                <w:between w:val="nil"/>
              </w:pBdr>
              <w:ind w:left="720"/>
              <w:rPr>
                <w:sz w:val="21"/>
                <w:szCs w:val="21"/>
              </w:rPr>
            </w:pPr>
          </w:p>
          <w:p w14:paraId="0000024F" w14:textId="77777777" w:rsidR="007A6527" w:rsidRDefault="007A6527">
            <w:pPr>
              <w:pBdr>
                <w:top w:val="nil"/>
                <w:left w:val="nil"/>
                <w:bottom w:val="nil"/>
                <w:right w:val="nil"/>
                <w:between w:val="nil"/>
              </w:pBdr>
              <w:ind w:left="720"/>
              <w:rPr>
                <w:sz w:val="21"/>
                <w:szCs w:val="21"/>
              </w:rPr>
            </w:pPr>
          </w:p>
          <w:p w14:paraId="00000250" w14:textId="77777777" w:rsidR="007A6527" w:rsidRDefault="008A787C">
            <w:r>
              <w:rPr>
                <w:rFonts w:ascii="Calibri" w:hAnsi="Calibri"/>
              </w:rPr>
              <w:t xml:space="preserve"> </w:t>
            </w:r>
          </w:p>
        </w:tc>
        <w:tc>
          <w:tcPr>
            <w:tcW w:w="4508" w:type="dxa"/>
            <w:tcBorders>
              <w:top w:val="single" w:sz="8" w:space="0" w:color="BFBFBF"/>
              <w:left w:val="single" w:sz="8" w:space="0" w:color="BFBFBF"/>
              <w:bottom w:val="single" w:sz="8" w:space="0" w:color="BFBFBF"/>
              <w:right w:val="single" w:sz="8" w:space="0" w:color="BFBFBF"/>
            </w:tcBorders>
          </w:tcPr>
          <w:p w14:paraId="00000251" w14:textId="77777777" w:rsidR="007A6527" w:rsidRDefault="008A787C">
            <w:r>
              <w:rPr>
                <w:rFonts w:ascii="Calibri" w:hAnsi="Calibri"/>
                <w:color w:val="C55911"/>
                <w:sz w:val="24"/>
                <w:szCs w:val="24"/>
              </w:rPr>
              <w:t>W – SLABOSTI</w:t>
            </w:r>
          </w:p>
          <w:p w14:paraId="00000252" w14:textId="77777777" w:rsidR="007A6527" w:rsidRDefault="008A787C">
            <w:pPr>
              <w:numPr>
                <w:ilvl w:val="0"/>
                <w:numId w:val="1"/>
              </w:numPr>
              <w:pBdr>
                <w:top w:val="nil"/>
                <w:left w:val="nil"/>
                <w:bottom w:val="nil"/>
                <w:right w:val="nil"/>
                <w:between w:val="nil"/>
              </w:pBdr>
              <w:rPr>
                <w:rFonts w:ascii="Calibri" w:hAnsi="Calibri"/>
                <w:color w:val="000000"/>
                <w:sz w:val="21"/>
                <w:szCs w:val="21"/>
              </w:rPr>
            </w:pPr>
            <w:r>
              <w:rPr>
                <w:rFonts w:ascii="Calibri" w:hAnsi="Calibri"/>
                <w:color w:val="000000"/>
                <w:sz w:val="21"/>
                <w:szCs w:val="21"/>
              </w:rPr>
              <w:t>Ne postoji posebna budžetska stavka za sprovođenje Komunikacione strategije.</w:t>
            </w:r>
          </w:p>
          <w:p w14:paraId="00000253" w14:textId="77777777" w:rsidR="007A6527" w:rsidRDefault="008A787C">
            <w:pPr>
              <w:numPr>
                <w:ilvl w:val="0"/>
                <w:numId w:val="1"/>
              </w:numPr>
              <w:pBdr>
                <w:top w:val="nil"/>
                <w:left w:val="nil"/>
                <w:bottom w:val="nil"/>
                <w:right w:val="nil"/>
                <w:between w:val="nil"/>
              </w:pBdr>
              <w:rPr>
                <w:rFonts w:ascii="Calibri" w:hAnsi="Calibri"/>
                <w:color w:val="000000"/>
                <w:sz w:val="21"/>
                <w:szCs w:val="21"/>
              </w:rPr>
            </w:pPr>
            <w:r>
              <w:rPr>
                <w:rFonts w:ascii="Calibri" w:hAnsi="Calibri"/>
                <w:color w:val="000000"/>
                <w:sz w:val="21"/>
                <w:szCs w:val="21"/>
              </w:rPr>
              <w:t>Interni komunikacioni kanali na nivou nosilaca procesa nisu dovoljno efikasni.</w:t>
            </w:r>
          </w:p>
          <w:p w14:paraId="00000254" w14:textId="77777777" w:rsidR="007A6527" w:rsidRDefault="008A787C">
            <w:pPr>
              <w:numPr>
                <w:ilvl w:val="0"/>
                <w:numId w:val="1"/>
              </w:numPr>
              <w:pBdr>
                <w:top w:val="nil"/>
                <w:left w:val="nil"/>
                <w:bottom w:val="nil"/>
                <w:right w:val="nil"/>
                <w:between w:val="nil"/>
              </w:pBdr>
              <w:rPr>
                <w:rFonts w:ascii="Calibri" w:hAnsi="Calibri"/>
                <w:color w:val="000000"/>
                <w:sz w:val="21"/>
                <w:szCs w:val="21"/>
              </w:rPr>
            </w:pPr>
            <w:r>
              <w:rPr>
                <w:rFonts w:ascii="Calibri" w:hAnsi="Calibri"/>
                <w:color w:val="000000"/>
                <w:sz w:val="21"/>
                <w:szCs w:val="21"/>
              </w:rPr>
              <w:t>Kapaciteti za komuniciranje evropske integracije na nivou lokalnih samouprava nisu dovoljno razvijeni.</w:t>
            </w:r>
          </w:p>
          <w:p w14:paraId="00000255" w14:textId="77777777" w:rsidR="007A6527" w:rsidRDefault="008A787C">
            <w:pPr>
              <w:numPr>
                <w:ilvl w:val="0"/>
                <w:numId w:val="1"/>
              </w:numPr>
              <w:pBdr>
                <w:top w:val="nil"/>
                <w:left w:val="nil"/>
                <w:bottom w:val="nil"/>
                <w:right w:val="nil"/>
                <w:between w:val="nil"/>
              </w:pBdr>
              <w:rPr>
                <w:rFonts w:ascii="Calibri" w:hAnsi="Calibri"/>
                <w:color w:val="000000"/>
                <w:sz w:val="21"/>
                <w:szCs w:val="21"/>
              </w:rPr>
            </w:pPr>
            <w:r>
              <w:rPr>
                <w:rFonts w:ascii="Calibri" w:hAnsi="Calibri"/>
                <w:color w:val="000000"/>
                <w:sz w:val="21"/>
                <w:szCs w:val="21"/>
              </w:rPr>
              <w:t>Komunikacija je i dalje opterećena formalnim birokratskim tonom i porukama.</w:t>
            </w:r>
          </w:p>
          <w:p w14:paraId="00000256" w14:textId="5F8C9868" w:rsidR="007A6527" w:rsidRDefault="008A787C">
            <w:pPr>
              <w:numPr>
                <w:ilvl w:val="0"/>
                <w:numId w:val="1"/>
              </w:numPr>
              <w:pBdr>
                <w:top w:val="nil"/>
                <w:left w:val="nil"/>
                <w:bottom w:val="nil"/>
                <w:right w:val="nil"/>
                <w:between w:val="nil"/>
              </w:pBdr>
              <w:rPr>
                <w:rFonts w:ascii="Calibri" w:hAnsi="Calibri"/>
                <w:color w:val="000000"/>
                <w:sz w:val="21"/>
                <w:szCs w:val="21"/>
              </w:rPr>
            </w:pPr>
            <w:r>
              <w:rPr>
                <w:rFonts w:ascii="Calibri" w:hAnsi="Calibri"/>
                <w:color w:val="000000"/>
                <w:sz w:val="21"/>
                <w:szCs w:val="21"/>
              </w:rPr>
              <w:t>Komunikacija je često segmentir</w:t>
            </w:r>
            <w:r w:rsidR="002743B3">
              <w:rPr>
                <w:rFonts w:ascii="Calibri" w:hAnsi="Calibri"/>
                <w:color w:val="000000"/>
                <w:sz w:val="21"/>
                <w:szCs w:val="21"/>
              </w:rPr>
              <w:t>a</w:t>
            </w:r>
            <w:r>
              <w:rPr>
                <w:rFonts w:ascii="Calibri" w:hAnsi="Calibri"/>
                <w:color w:val="000000"/>
                <w:sz w:val="21"/>
                <w:szCs w:val="21"/>
              </w:rPr>
              <w:t>na, bez strateškog plana i sinergijskog efekta</w:t>
            </w:r>
          </w:p>
          <w:p w14:paraId="00000257" w14:textId="77777777" w:rsidR="007A6527" w:rsidRDefault="008A787C">
            <w:pPr>
              <w:numPr>
                <w:ilvl w:val="0"/>
                <w:numId w:val="1"/>
              </w:numPr>
              <w:pBdr>
                <w:top w:val="nil"/>
                <w:left w:val="nil"/>
                <w:bottom w:val="nil"/>
                <w:right w:val="nil"/>
                <w:between w:val="nil"/>
              </w:pBdr>
              <w:rPr>
                <w:rFonts w:ascii="Calibri" w:hAnsi="Calibri"/>
                <w:color w:val="000000"/>
                <w:sz w:val="21"/>
                <w:szCs w:val="21"/>
              </w:rPr>
            </w:pPr>
            <w:r>
              <w:rPr>
                <w:rFonts w:ascii="Calibri" w:hAnsi="Calibri"/>
                <w:color w:val="000000"/>
                <w:sz w:val="21"/>
                <w:szCs w:val="21"/>
              </w:rPr>
              <w:t xml:space="preserve">Česte strukturne i kadrovske promjene dijela nosilaca komunikacije pregovaračkog procesa ugrožavaju institucionalnu memoriju </w:t>
            </w:r>
          </w:p>
          <w:p w14:paraId="00000258" w14:textId="77777777" w:rsidR="007A6527" w:rsidRDefault="008A787C">
            <w:pPr>
              <w:numPr>
                <w:ilvl w:val="0"/>
                <w:numId w:val="1"/>
              </w:numPr>
              <w:pBdr>
                <w:top w:val="nil"/>
                <w:left w:val="nil"/>
                <w:bottom w:val="nil"/>
                <w:right w:val="nil"/>
                <w:between w:val="nil"/>
              </w:pBdr>
              <w:rPr>
                <w:rFonts w:ascii="Calibri" w:hAnsi="Calibri"/>
                <w:color w:val="000000"/>
                <w:sz w:val="21"/>
                <w:szCs w:val="21"/>
              </w:rPr>
            </w:pPr>
            <w:r>
              <w:rPr>
                <w:rFonts w:ascii="Calibri" w:hAnsi="Calibri"/>
                <w:color w:val="000000"/>
                <w:sz w:val="21"/>
                <w:szCs w:val="21"/>
              </w:rPr>
              <w:t>Operativno i Konsultativno tijelo ne funkcionišu dovoljno efikasno.</w:t>
            </w:r>
          </w:p>
          <w:p w14:paraId="00000259" w14:textId="77777777" w:rsidR="007A6527" w:rsidRDefault="008A787C">
            <w:pPr>
              <w:numPr>
                <w:ilvl w:val="0"/>
                <w:numId w:val="1"/>
              </w:numPr>
              <w:pBdr>
                <w:top w:val="nil"/>
                <w:left w:val="nil"/>
                <w:bottom w:val="nil"/>
                <w:right w:val="nil"/>
                <w:between w:val="nil"/>
              </w:pBdr>
              <w:rPr>
                <w:rFonts w:ascii="Calibri" w:hAnsi="Calibri"/>
                <w:color w:val="000000"/>
                <w:sz w:val="21"/>
                <w:szCs w:val="21"/>
              </w:rPr>
            </w:pPr>
            <w:r>
              <w:rPr>
                <w:rFonts w:ascii="Calibri" w:hAnsi="Calibri"/>
                <w:color w:val="000000"/>
                <w:sz w:val="21"/>
                <w:szCs w:val="21"/>
              </w:rPr>
              <w:t xml:space="preserve">Neiskorišteni komunikacioni potencijali drugih javnih institucija u okviru administracije, posebno obrazovnog sistema. </w:t>
            </w:r>
          </w:p>
          <w:p w14:paraId="0000025A" w14:textId="77777777" w:rsidR="007A6527" w:rsidRDefault="008A787C">
            <w:pPr>
              <w:numPr>
                <w:ilvl w:val="0"/>
                <w:numId w:val="1"/>
              </w:numPr>
              <w:pBdr>
                <w:top w:val="nil"/>
                <w:left w:val="nil"/>
                <w:bottom w:val="nil"/>
                <w:right w:val="nil"/>
                <w:between w:val="nil"/>
              </w:pBdr>
              <w:rPr>
                <w:rFonts w:ascii="Calibri" w:hAnsi="Calibri"/>
                <w:color w:val="000000"/>
                <w:sz w:val="21"/>
                <w:szCs w:val="21"/>
              </w:rPr>
            </w:pPr>
            <w:r>
              <w:rPr>
                <w:rFonts w:ascii="Calibri" w:hAnsi="Calibri"/>
                <w:color w:val="000000"/>
                <w:sz w:val="21"/>
                <w:szCs w:val="21"/>
              </w:rPr>
              <w:t xml:space="preserve">Slab doseg i uticaj u javnim mnjenjima zemalja članica EU </w:t>
            </w:r>
          </w:p>
        </w:tc>
      </w:tr>
      <w:tr w:rsidR="007A6527" w14:paraId="2AE38DC2" w14:textId="77777777">
        <w:tc>
          <w:tcPr>
            <w:tcW w:w="4508" w:type="dxa"/>
            <w:tcBorders>
              <w:top w:val="single" w:sz="8" w:space="0" w:color="BFBFBF"/>
              <w:left w:val="single" w:sz="8" w:space="0" w:color="BFBFBF"/>
              <w:bottom w:val="single" w:sz="8" w:space="0" w:color="BFBFBF"/>
              <w:right w:val="single" w:sz="8" w:space="0" w:color="BFBFBF"/>
            </w:tcBorders>
          </w:tcPr>
          <w:p w14:paraId="0000025B" w14:textId="77777777" w:rsidR="007A6527" w:rsidRDefault="008A787C">
            <w:r>
              <w:rPr>
                <w:rFonts w:ascii="Calibri" w:hAnsi="Calibri"/>
                <w:color w:val="2F5496"/>
                <w:sz w:val="24"/>
                <w:szCs w:val="24"/>
              </w:rPr>
              <w:t>O – MOGUĆNOSTI/ŠANSE</w:t>
            </w:r>
          </w:p>
          <w:p w14:paraId="0000025C" w14:textId="6E42C433" w:rsidR="007A6527" w:rsidRDefault="008A787C">
            <w:pPr>
              <w:numPr>
                <w:ilvl w:val="0"/>
                <w:numId w:val="4"/>
              </w:numPr>
              <w:pBdr>
                <w:top w:val="nil"/>
                <w:left w:val="nil"/>
                <w:bottom w:val="nil"/>
                <w:right w:val="nil"/>
                <w:between w:val="nil"/>
              </w:pBdr>
              <w:rPr>
                <w:rFonts w:ascii="Calibri" w:hAnsi="Calibri"/>
                <w:color w:val="000000"/>
                <w:sz w:val="21"/>
                <w:szCs w:val="21"/>
              </w:rPr>
            </w:pPr>
            <w:r>
              <w:rPr>
                <w:rFonts w:ascii="Calibri" w:hAnsi="Calibri"/>
                <w:color w:val="000000"/>
                <w:sz w:val="21"/>
                <w:szCs w:val="21"/>
              </w:rPr>
              <w:t>Komunikac</w:t>
            </w:r>
            <w:r>
              <w:rPr>
                <w:sz w:val="21"/>
                <w:szCs w:val="21"/>
              </w:rPr>
              <w:t>iono okruženje</w:t>
            </w:r>
            <w:r>
              <w:rPr>
                <w:rFonts w:ascii="Calibri" w:hAnsi="Calibri"/>
                <w:color w:val="000000"/>
                <w:sz w:val="21"/>
                <w:szCs w:val="21"/>
              </w:rPr>
              <w:t xml:space="preserve"> je povoljn</w:t>
            </w:r>
            <w:r>
              <w:rPr>
                <w:sz w:val="21"/>
                <w:szCs w:val="21"/>
              </w:rPr>
              <w:t>o</w:t>
            </w:r>
            <w:r>
              <w:rPr>
                <w:rFonts w:ascii="Calibri" w:hAnsi="Calibri"/>
                <w:color w:val="000000"/>
                <w:sz w:val="21"/>
                <w:szCs w:val="21"/>
              </w:rPr>
              <w:t xml:space="preserve">, sve parlamentarne političke partije i ključni mediji podržavaju  pristupanje Crne Gore Evropskoj uniji. </w:t>
            </w:r>
          </w:p>
          <w:p w14:paraId="0000025D" w14:textId="44F3C795" w:rsidR="007A6527" w:rsidRDefault="008A787C">
            <w:pPr>
              <w:numPr>
                <w:ilvl w:val="0"/>
                <w:numId w:val="4"/>
              </w:numPr>
              <w:pBdr>
                <w:top w:val="nil"/>
                <w:left w:val="nil"/>
                <w:bottom w:val="nil"/>
                <w:right w:val="nil"/>
                <w:between w:val="nil"/>
              </w:pBdr>
              <w:rPr>
                <w:rFonts w:ascii="Calibri" w:hAnsi="Calibri"/>
                <w:color w:val="000000"/>
                <w:sz w:val="21"/>
                <w:szCs w:val="21"/>
              </w:rPr>
            </w:pPr>
            <w:r>
              <w:rPr>
                <w:rFonts w:ascii="Calibri" w:hAnsi="Calibri"/>
                <w:color w:val="000000"/>
                <w:sz w:val="21"/>
                <w:szCs w:val="21"/>
              </w:rPr>
              <w:t xml:space="preserve">Crna Gora je </w:t>
            </w:r>
            <w:r w:rsidR="00E3490E">
              <w:rPr>
                <w:rFonts w:ascii="Calibri" w:hAnsi="Calibri"/>
                <w:color w:val="000000"/>
                <w:sz w:val="21"/>
                <w:szCs w:val="21"/>
              </w:rPr>
              <w:t xml:space="preserve">najviše odmakla u pregovaračkom procesu u odnosu na države Regiona </w:t>
            </w:r>
          </w:p>
          <w:p w14:paraId="0000025E" w14:textId="77777777" w:rsidR="007A6527" w:rsidRDefault="008A787C">
            <w:pPr>
              <w:numPr>
                <w:ilvl w:val="0"/>
                <w:numId w:val="4"/>
              </w:numPr>
              <w:pBdr>
                <w:top w:val="nil"/>
                <w:left w:val="nil"/>
                <w:bottom w:val="nil"/>
                <w:right w:val="nil"/>
                <w:between w:val="nil"/>
              </w:pBdr>
              <w:rPr>
                <w:rFonts w:ascii="Calibri" w:hAnsi="Calibri"/>
                <w:color w:val="000000"/>
                <w:sz w:val="21"/>
                <w:szCs w:val="21"/>
              </w:rPr>
            </w:pPr>
            <w:r>
              <w:rPr>
                <w:rFonts w:ascii="Calibri" w:hAnsi="Calibri"/>
                <w:color w:val="000000"/>
                <w:sz w:val="21"/>
                <w:szCs w:val="21"/>
              </w:rPr>
              <w:t>Zapadni Balkan je ponovo u fokusu EU</w:t>
            </w:r>
          </w:p>
          <w:p w14:paraId="0000025F" w14:textId="77777777" w:rsidR="007A6527" w:rsidRDefault="008A787C">
            <w:pPr>
              <w:numPr>
                <w:ilvl w:val="0"/>
                <w:numId w:val="4"/>
              </w:numPr>
              <w:pBdr>
                <w:top w:val="nil"/>
                <w:left w:val="nil"/>
                <w:bottom w:val="nil"/>
                <w:right w:val="nil"/>
                <w:between w:val="nil"/>
              </w:pBdr>
              <w:rPr>
                <w:rFonts w:ascii="Calibri" w:hAnsi="Calibri"/>
                <w:color w:val="000000"/>
                <w:sz w:val="21"/>
                <w:szCs w:val="21"/>
              </w:rPr>
            </w:pPr>
            <w:r>
              <w:rPr>
                <w:rFonts w:ascii="Calibri" w:hAnsi="Calibri"/>
                <w:color w:val="000000"/>
                <w:sz w:val="21"/>
                <w:szCs w:val="21"/>
              </w:rPr>
              <w:t>Ekonomsko-investicioni plan (EIP) počinje sa realizacijom</w:t>
            </w:r>
          </w:p>
          <w:p w14:paraId="00000260" w14:textId="55031614" w:rsidR="007A6527" w:rsidRDefault="008A787C">
            <w:pPr>
              <w:numPr>
                <w:ilvl w:val="0"/>
                <w:numId w:val="4"/>
              </w:numPr>
              <w:pBdr>
                <w:top w:val="nil"/>
                <w:left w:val="nil"/>
                <w:bottom w:val="nil"/>
                <w:right w:val="nil"/>
                <w:between w:val="nil"/>
              </w:pBdr>
              <w:rPr>
                <w:rFonts w:ascii="Calibri" w:hAnsi="Calibri"/>
                <w:color w:val="000000"/>
                <w:sz w:val="21"/>
                <w:szCs w:val="21"/>
              </w:rPr>
            </w:pPr>
            <w:r>
              <w:rPr>
                <w:rFonts w:ascii="Calibri" w:hAnsi="Calibri"/>
                <w:color w:val="000000"/>
                <w:sz w:val="21"/>
                <w:szCs w:val="21"/>
              </w:rPr>
              <w:t xml:space="preserve">U slučaju dobijanja završnih mjerila u poglavljima 23. i 24, počinje </w:t>
            </w:r>
            <w:r w:rsidR="001E76CE">
              <w:rPr>
                <w:rFonts w:ascii="Calibri" w:hAnsi="Calibri"/>
                <w:color w:val="000000"/>
                <w:sz w:val="21"/>
                <w:szCs w:val="21"/>
              </w:rPr>
              <w:t xml:space="preserve">privremeno </w:t>
            </w:r>
            <w:r>
              <w:rPr>
                <w:rFonts w:ascii="Calibri" w:hAnsi="Calibri"/>
                <w:color w:val="000000"/>
                <w:sz w:val="21"/>
                <w:szCs w:val="21"/>
              </w:rPr>
              <w:t xml:space="preserve">zatvaranje </w:t>
            </w:r>
            <w:r w:rsidR="001E76CE">
              <w:rPr>
                <w:rFonts w:ascii="Calibri" w:hAnsi="Calibri"/>
                <w:color w:val="000000"/>
                <w:sz w:val="21"/>
                <w:szCs w:val="21"/>
              </w:rPr>
              <w:t xml:space="preserve">ostalih pregovaračkih poglavlja </w:t>
            </w:r>
          </w:p>
          <w:p w14:paraId="00000261" w14:textId="77777777" w:rsidR="007A6527" w:rsidRDefault="008A787C">
            <w:pPr>
              <w:numPr>
                <w:ilvl w:val="0"/>
                <w:numId w:val="4"/>
              </w:numPr>
              <w:pBdr>
                <w:top w:val="nil"/>
                <w:left w:val="nil"/>
                <w:bottom w:val="nil"/>
                <w:right w:val="nil"/>
                <w:between w:val="nil"/>
              </w:pBdr>
              <w:rPr>
                <w:rFonts w:ascii="Calibri" w:hAnsi="Calibri"/>
                <w:color w:val="000000"/>
                <w:sz w:val="21"/>
                <w:szCs w:val="21"/>
              </w:rPr>
            </w:pPr>
            <w:r>
              <w:rPr>
                <w:rFonts w:ascii="Calibri" w:hAnsi="Calibri"/>
                <w:color w:val="000000"/>
                <w:sz w:val="21"/>
                <w:szCs w:val="21"/>
              </w:rPr>
              <w:t>Delegacija Evropske unije u Crnoj Gori pojačava finansiranje komunikacionih projekata sa kojima se može ostvariti sinergijski efekat.</w:t>
            </w:r>
          </w:p>
          <w:p w14:paraId="00000262" w14:textId="77777777" w:rsidR="007A6527" w:rsidRDefault="008A787C">
            <w:pPr>
              <w:numPr>
                <w:ilvl w:val="0"/>
                <w:numId w:val="4"/>
              </w:numPr>
              <w:pBdr>
                <w:top w:val="nil"/>
                <w:left w:val="nil"/>
                <w:bottom w:val="nil"/>
                <w:right w:val="nil"/>
                <w:between w:val="nil"/>
              </w:pBdr>
              <w:rPr>
                <w:rFonts w:ascii="Calibri" w:hAnsi="Calibri"/>
                <w:color w:val="000000"/>
                <w:sz w:val="21"/>
                <w:szCs w:val="21"/>
              </w:rPr>
            </w:pPr>
            <w:r>
              <w:rPr>
                <w:rFonts w:ascii="Calibri" w:hAnsi="Calibri"/>
                <w:color w:val="000000"/>
                <w:sz w:val="21"/>
                <w:szCs w:val="21"/>
              </w:rPr>
              <w:t>Otvorena je Evropska kuća koja daje više mogućnosti za implementaciju komunikacionih aktivnosti</w:t>
            </w:r>
          </w:p>
          <w:p w14:paraId="00000263" w14:textId="64E95B0D" w:rsidR="007A6527" w:rsidRDefault="008A787C">
            <w:pPr>
              <w:numPr>
                <w:ilvl w:val="0"/>
                <w:numId w:val="4"/>
              </w:numPr>
              <w:pBdr>
                <w:top w:val="nil"/>
                <w:left w:val="nil"/>
                <w:bottom w:val="nil"/>
                <w:right w:val="nil"/>
                <w:between w:val="nil"/>
              </w:pBdr>
              <w:rPr>
                <w:rFonts w:ascii="Calibri" w:hAnsi="Calibri"/>
                <w:color w:val="000000"/>
                <w:sz w:val="21"/>
                <w:szCs w:val="21"/>
              </w:rPr>
            </w:pPr>
            <w:r>
              <w:rPr>
                <w:rFonts w:ascii="Calibri" w:hAnsi="Calibri"/>
                <w:color w:val="000000"/>
                <w:sz w:val="21"/>
                <w:szCs w:val="21"/>
              </w:rPr>
              <w:t xml:space="preserve">Postoje neiskorišteni komunikacioni kanali sa velikim potencijalom </w:t>
            </w:r>
          </w:p>
          <w:p w14:paraId="00000264" w14:textId="77777777" w:rsidR="007A6527" w:rsidRDefault="008A787C">
            <w:pPr>
              <w:rPr>
                <w:rFonts w:ascii="Calibri" w:hAnsi="Calibri"/>
              </w:rPr>
            </w:pPr>
            <w:r>
              <w:rPr>
                <w:rFonts w:ascii="Calibri" w:hAnsi="Calibri"/>
              </w:rPr>
              <w:t xml:space="preserve"> </w:t>
            </w:r>
          </w:p>
        </w:tc>
        <w:tc>
          <w:tcPr>
            <w:tcW w:w="4508" w:type="dxa"/>
            <w:tcBorders>
              <w:top w:val="single" w:sz="8" w:space="0" w:color="BFBFBF"/>
              <w:left w:val="single" w:sz="8" w:space="0" w:color="BFBFBF"/>
              <w:bottom w:val="single" w:sz="8" w:space="0" w:color="BFBFBF"/>
              <w:right w:val="single" w:sz="8" w:space="0" w:color="BFBFBF"/>
            </w:tcBorders>
          </w:tcPr>
          <w:p w14:paraId="00000265" w14:textId="77777777" w:rsidR="007A6527" w:rsidRDefault="008A787C">
            <w:r>
              <w:rPr>
                <w:rFonts w:ascii="Calibri" w:hAnsi="Calibri"/>
                <w:color w:val="C55911"/>
                <w:sz w:val="24"/>
                <w:szCs w:val="24"/>
              </w:rPr>
              <w:t>T – PRIJETNJE</w:t>
            </w:r>
          </w:p>
          <w:p w14:paraId="00000266" w14:textId="77777777" w:rsidR="007A6527" w:rsidRDefault="008A787C">
            <w:pPr>
              <w:numPr>
                <w:ilvl w:val="0"/>
                <w:numId w:val="3"/>
              </w:numPr>
              <w:pBdr>
                <w:top w:val="nil"/>
                <w:left w:val="nil"/>
                <w:bottom w:val="nil"/>
                <w:right w:val="nil"/>
                <w:between w:val="nil"/>
              </w:pBdr>
              <w:rPr>
                <w:rFonts w:ascii="Calibri" w:hAnsi="Calibri"/>
                <w:color w:val="000000"/>
                <w:sz w:val="21"/>
                <w:szCs w:val="21"/>
              </w:rPr>
            </w:pPr>
            <w:r>
              <w:rPr>
                <w:rFonts w:ascii="Calibri" w:hAnsi="Calibri"/>
                <w:color w:val="000000"/>
                <w:sz w:val="21"/>
                <w:szCs w:val="21"/>
              </w:rPr>
              <w:t>Crna Gora ne ostvaruje napredak u pregovorima</w:t>
            </w:r>
          </w:p>
          <w:p w14:paraId="00000267" w14:textId="77777777" w:rsidR="007A6527" w:rsidRDefault="008A787C">
            <w:pPr>
              <w:numPr>
                <w:ilvl w:val="0"/>
                <w:numId w:val="3"/>
              </w:numPr>
              <w:pBdr>
                <w:top w:val="nil"/>
                <w:left w:val="nil"/>
                <w:bottom w:val="nil"/>
                <w:right w:val="nil"/>
                <w:between w:val="nil"/>
              </w:pBdr>
              <w:rPr>
                <w:rFonts w:ascii="Calibri" w:hAnsi="Calibri"/>
                <w:color w:val="000000"/>
                <w:sz w:val="21"/>
                <w:szCs w:val="21"/>
              </w:rPr>
            </w:pPr>
            <w:r>
              <w:rPr>
                <w:rFonts w:ascii="Calibri" w:hAnsi="Calibri"/>
                <w:color w:val="000000"/>
                <w:sz w:val="21"/>
                <w:szCs w:val="21"/>
              </w:rPr>
              <w:t xml:space="preserve">Rat u </w:t>
            </w:r>
            <w:r>
              <w:rPr>
                <w:sz w:val="21"/>
                <w:szCs w:val="21"/>
              </w:rPr>
              <w:t>Ukrajini</w:t>
            </w:r>
            <w:r>
              <w:rPr>
                <w:rFonts w:ascii="Calibri" w:hAnsi="Calibri"/>
                <w:color w:val="000000"/>
                <w:sz w:val="21"/>
                <w:szCs w:val="21"/>
              </w:rPr>
              <w:t xml:space="preserve"> nastavlja da stvara posljedice u Evropi, rast broja građana koji krivi EU</w:t>
            </w:r>
          </w:p>
          <w:p w14:paraId="00000268" w14:textId="77777777" w:rsidR="007A6527" w:rsidRDefault="008A787C">
            <w:pPr>
              <w:numPr>
                <w:ilvl w:val="0"/>
                <w:numId w:val="3"/>
              </w:numPr>
              <w:pBdr>
                <w:top w:val="nil"/>
                <w:left w:val="nil"/>
                <w:bottom w:val="nil"/>
                <w:right w:val="nil"/>
                <w:between w:val="nil"/>
              </w:pBdr>
              <w:rPr>
                <w:rFonts w:ascii="Calibri" w:hAnsi="Calibri"/>
                <w:color w:val="000000"/>
                <w:sz w:val="21"/>
                <w:szCs w:val="21"/>
              </w:rPr>
            </w:pPr>
            <w:r>
              <w:rPr>
                <w:rFonts w:ascii="Calibri" w:hAnsi="Calibri"/>
                <w:color w:val="000000"/>
                <w:sz w:val="21"/>
                <w:szCs w:val="21"/>
              </w:rPr>
              <w:t xml:space="preserve">Kriza hrane, energenata ili migranata se pogoršava i utiče na javno mnjenje </w:t>
            </w:r>
          </w:p>
          <w:p w14:paraId="00000269" w14:textId="77777777" w:rsidR="007A6527" w:rsidRDefault="008A787C">
            <w:pPr>
              <w:numPr>
                <w:ilvl w:val="0"/>
                <w:numId w:val="3"/>
              </w:numPr>
              <w:pBdr>
                <w:top w:val="nil"/>
                <w:left w:val="nil"/>
                <w:bottom w:val="nil"/>
                <w:right w:val="nil"/>
                <w:between w:val="nil"/>
              </w:pBdr>
              <w:rPr>
                <w:rFonts w:ascii="Calibri" w:hAnsi="Calibri"/>
                <w:color w:val="000000"/>
                <w:sz w:val="21"/>
                <w:szCs w:val="21"/>
              </w:rPr>
            </w:pPr>
            <w:r>
              <w:rPr>
                <w:rFonts w:ascii="Calibri" w:hAnsi="Calibri"/>
                <w:color w:val="000000"/>
                <w:sz w:val="21"/>
                <w:szCs w:val="21"/>
              </w:rPr>
              <w:t>Jača blok koji se protivi proširenju u Evropskom parlamentu i zemljama članicama EU</w:t>
            </w:r>
          </w:p>
          <w:p w14:paraId="0000026A" w14:textId="77777777" w:rsidR="007A6527" w:rsidRDefault="008A787C">
            <w:pPr>
              <w:numPr>
                <w:ilvl w:val="0"/>
                <w:numId w:val="3"/>
              </w:numPr>
              <w:pBdr>
                <w:top w:val="nil"/>
                <w:left w:val="nil"/>
                <w:bottom w:val="nil"/>
                <w:right w:val="nil"/>
                <w:between w:val="nil"/>
              </w:pBdr>
              <w:rPr>
                <w:rFonts w:ascii="Calibri" w:hAnsi="Calibri"/>
                <w:color w:val="000000"/>
                <w:sz w:val="21"/>
                <w:szCs w:val="21"/>
              </w:rPr>
            </w:pPr>
            <w:r>
              <w:rPr>
                <w:rFonts w:ascii="Calibri" w:hAnsi="Calibri"/>
                <w:color w:val="000000"/>
                <w:sz w:val="21"/>
                <w:szCs w:val="21"/>
              </w:rPr>
              <w:t xml:space="preserve">Rast euroskepticizma u Crnoj Gori </w:t>
            </w:r>
          </w:p>
          <w:p w14:paraId="0000026B" w14:textId="77777777" w:rsidR="007A6527" w:rsidRDefault="008A787C">
            <w:pPr>
              <w:numPr>
                <w:ilvl w:val="0"/>
                <w:numId w:val="3"/>
              </w:numPr>
              <w:pBdr>
                <w:top w:val="nil"/>
                <w:left w:val="nil"/>
                <w:bottom w:val="nil"/>
                <w:right w:val="nil"/>
                <w:between w:val="nil"/>
              </w:pBdr>
              <w:rPr>
                <w:rFonts w:ascii="Calibri" w:hAnsi="Calibri"/>
                <w:color w:val="000000"/>
                <w:sz w:val="21"/>
                <w:szCs w:val="21"/>
              </w:rPr>
            </w:pPr>
            <w:r>
              <w:rPr>
                <w:rFonts w:ascii="Calibri" w:hAnsi="Calibri"/>
                <w:color w:val="000000"/>
                <w:sz w:val="21"/>
                <w:szCs w:val="21"/>
              </w:rPr>
              <w:t xml:space="preserve">Snaženje dezinformacionih narativa i manipulacija informacijama koje utiču na percepciju građana o EU </w:t>
            </w:r>
          </w:p>
          <w:p w14:paraId="0000026C" w14:textId="77777777" w:rsidR="007A6527" w:rsidRDefault="008A787C">
            <w:pPr>
              <w:numPr>
                <w:ilvl w:val="0"/>
                <w:numId w:val="3"/>
              </w:numPr>
              <w:pBdr>
                <w:top w:val="nil"/>
                <w:left w:val="nil"/>
                <w:bottom w:val="nil"/>
                <w:right w:val="nil"/>
                <w:between w:val="nil"/>
              </w:pBdr>
              <w:rPr>
                <w:rFonts w:ascii="Calibri" w:hAnsi="Calibri"/>
                <w:color w:val="000000"/>
                <w:sz w:val="21"/>
                <w:szCs w:val="21"/>
              </w:rPr>
            </w:pPr>
            <w:r>
              <w:rPr>
                <w:sz w:val="21"/>
                <w:szCs w:val="21"/>
              </w:rPr>
              <w:t>Formiranje</w:t>
            </w:r>
            <w:r>
              <w:rPr>
                <w:rFonts w:ascii="Calibri" w:hAnsi="Calibri"/>
                <w:color w:val="000000"/>
                <w:sz w:val="21"/>
                <w:szCs w:val="21"/>
              </w:rPr>
              <w:t xml:space="preserve"> nerealn</w:t>
            </w:r>
            <w:r>
              <w:rPr>
                <w:sz w:val="21"/>
                <w:szCs w:val="21"/>
              </w:rPr>
              <w:t>ih</w:t>
            </w:r>
            <w:r>
              <w:rPr>
                <w:rFonts w:ascii="Calibri" w:hAnsi="Calibri"/>
                <w:color w:val="000000"/>
                <w:sz w:val="21"/>
                <w:szCs w:val="21"/>
              </w:rPr>
              <w:t xml:space="preserve"> očekivanja od članstva u Evropskoj uniji i datumu pristupanja</w:t>
            </w:r>
          </w:p>
          <w:p w14:paraId="0000026D" w14:textId="77777777" w:rsidR="007A6527" w:rsidRDefault="008A787C">
            <w:pPr>
              <w:numPr>
                <w:ilvl w:val="0"/>
                <w:numId w:val="3"/>
              </w:numPr>
              <w:pBdr>
                <w:top w:val="nil"/>
                <w:left w:val="nil"/>
                <w:bottom w:val="nil"/>
                <w:right w:val="nil"/>
                <w:between w:val="nil"/>
              </w:pBdr>
              <w:rPr>
                <w:rFonts w:ascii="Calibri" w:hAnsi="Calibri"/>
                <w:color w:val="000000"/>
                <w:sz w:val="21"/>
                <w:szCs w:val="21"/>
              </w:rPr>
            </w:pPr>
            <w:r>
              <w:rPr>
                <w:sz w:val="21"/>
                <w:szCs w:val="21"/>
              </w:rPr>
              <w:t>Nepostojanje</w:t>
            </w:r>
            <w:r>
              <w:rPr>
                <w:rFonts w:ascii="Calibri" w:hAnsi="Calibri"/>
                <w:color w:val="000000"/>
                <w:sz w:val="21"/>
                <w:szCs w:val="21"/>
              </w:rPr>
              <w:t xml:space="preserve"> suštinskog razumijevanje procesa integracija </w:t>
            </w:r>
          </w:p>
          <w:p w14:paraId="0000026E" w14:textId="51DE9649" w:rsidR="007A6527" w:rsidRDefault="008A787C">
            <w:pPr>
              <w:numPr>
                <w:ilvl w:val="0"/>
                <w:numId w:val="3"/>
              </w:numPr>
              <w:pBdr>
                <w:top w:val="nil"/>
                <w:left w:val="nil"/>
                <w:bottom w:val="nil"/>
                <w:right w:val="nil"/>
                <w:between w:val="nil"/>
              </w:pBdr>
              <w:rPr>
                <w:rFonts w:ascii="Calibri" w:hAnsi="Calibri"/>
                <w:color w:val="000000"/>
                <w:sz w:val="21"/>
                <w:szCs w:val="21"/>
              </w:rPr>
            </w:pPr>
            <w:r>
              <w:rPr>
                <w:rFonts w:ascii="Calibri" w:hAnsi="Calibri"/>
                <w:color w:val="000000"/>
                <w:sz w:val="21"/>
                <w:szCs w:val="21"/>
              </w:rPr>
              <w:t>Nedo</w:t>
            </w:r>
            <w:r w:rsidR="00EF301C">
              <w:rPr>
                <w:rFonts w:ascii="Calibri" w:hAnsi="Calibri"/>
                <w:color w:val="000000"/>
                <w:sz w:val="21"/>
                <w:szCs w:val="21"/>
              </w:rPr>
              <w:t xml:space="preserve">voljan broj </w:t>
            </w:r>
            <w:r>
              <w:rPr>
                <w:rFonts w:ascii="Calibri" w:hAnsi="Calibri"/>
                <w:color w:val="000000"/>
                <w:sz w:val="21"/>
                <w:szCs w:val="21"/>
              </w:rPr>
              <w:t xml:space="preserve"> </w:t>
            </w:r>
            <w:r w:rsidR="00B052C9">
              <w:rPr>
                <w:rFonts w:ascii="Calibri" w:hAnsi="Calibri"/>
                <w:color w:val="000000"/>
                <w:sz w:val="21"/>
                <w:szCs w:val="21"/>
              </w:rPr>
              <w:t>novinara</w:t>
            </w:r>
            <w:r w:rsidR="00C1507A">
              <w:rPr>
                <w:rFonts w:ascii="Calibri" w:hAnsi="Calibri"/>
                <w:color w:val="000000"/>
                <w:sz w:val="21"/>
                <w:szCs w:val="21"/>
              </w:rPr>
              <w:t xml:space="preserve">ki </w:t>
            </w:r>
            <w:r w:rsidR="00971E33">
              <w:rPr>
                <w:rFonts w:ascii="Calibri" w:hAnsi="Calibri"/>
                <w:color w:val="000000"/>
                <w:sz w:val="21"/>
                <w:szCs w:val="21"/>
              </w:rPr>
              <w:t xml:space="preserve">specijalizovanih za teme </w:t>
            </w:r>
            <w:r>
              <w:rPr>
                <w:rFonts w:ascii="Calibri" w:hAnsi="Calibri"/>
                <w:color w:val="000000"/>
                <w:sz w:val="21"/>
                <w:szCs w:val="21"/>
              </w:rPr>
              <w:t xml:space="preserve"> </w:t>
            </w:r>
            <w:r w:rsidR="00971E33">
              <w:rPr>
                <w:rFonts w:ascii="Calibri" w:hAnsi="Calibri"/>
                <w:color w:val="000000"/>
                <w:sz w:val="21"/>
                <w:szCs w:val="21"/>
              </w:rPr>
              <w:t>o procesu evropske integracije</w:t>
            </w:r>
          </w:p>
          <w:p w14:paraId="0000026F" w14:textId="77777777" w:rsidR="007A6527" w:rsidRDefault="008A787C">
            <w:pPr>
              <w:numPr>
                <w:ilvl w:val="0"/>
                <w:numId w:val="3"/>
              </w:numPr>
              <w:pBdr>
                <w:top w:val="nil"/>
                <w:left w:val="nil"/>
                <w:bottom w:val="nil"/>
                <w:right w:val="nil"/>
                <w:between w:val="nil"/>
              </w:pBdr>
              <w:rPr>
                <w:rFonts w:ascii="Calibri" w:hAnsi="Calibri"/>
                <w:color w:val="000000"/>
                <w:sz w:val="21"/>
                <w:szCs w:val="21"/>
              </w:rPr>
            </w:pPr>
            <w:r>
              <w:rPr>
                <w:rFonts w:ascii="Calibri" w:hAnsi="Calibri"/>
                <w:color w:val="000000"/>
                <w:sz w:val="21"/>
                <w:szCs w:val="21"/>
              </w:rPr>
              <w:t>Pad vjerovanja u vrijednosti Evropske unije</w:t>
            </w:r>
          </w:p>
          <w:p w14:paraId="00000270" w14:textId="77777777" w:rsidR="007A6527" w:rsidRDefault="007A6527">
            <w:pPr>
              <w:rPr>
                <w:rFonts w:ascii="Calibri" w:hAnsi="Calibri"/>
              </w:rPr>
            </w:pPr>
          </w:p>
        </w:tc>
      </w:tr>
    </w:tbl>
    <w:p w14:paraId="4CA5525F" w14:textId="77777777" w:rsidR="009C5921" w:rsidRDefault="009C5921"/>
    <w:p w14:paraId="7D55F660" w14:textId="51C0A96D" w:rsidR="009C5921" w:rsidRPr="000A5977" w:rsidRDefault="00225DBE" w:rsidP="00EE597D">
      <w:pPr>
        <w:pStyle w:val="Heading2"/>
        <w:rPr>
          <w:b/>
        </w:rPr>
      </w:pPr>
      <w:bookmarkStart w:id="14" w:name="_Toc140567034"/>
      <w:r w:rsidRPr="000A5977">
        <w:rPr>
          <w:b/>
        </w:rPr>
        <w:t>DRVO PROBLEMA</w:t>
      </w:r>
      <w:bookmarkEnd w:id="14"/>
    </w:p>
    <w:p w14:paraId="762334B3" w14:textId="77777777" w:rsidR="00E24541" w:rsidRPr="00274BE4" w:rsidRDefault="00E24541">
      <w:pPr>
        <w:rPr>
          <w:rFonts w:asciiTheme="minorHAnsi" w:hAnsiTheme="minorHAnsi" w:cstheme="minorHAnsi"/>
          <w:b/>
          <w:color w:val="0070C0"/>
        </w:rPr>
      </w:pPr>
    </w:p>
    <w:p w14:paraId="6966688D" w14:textId="665A21B1" w:rsidR="00E24541" w:rsidRDefault="00225DBE" w:rsidP="00E24541">
      <w:pPr>
        <w:rPr>
          <w:rFonts w:asciiTheme="minorHAnsi" w:hAnsiTheme="minorHAnsi" w:cstheme="minorHAnsi"/>
        </w:rPr>
      </w:pPr>
      <w:r w:rsidRPr="00E24541">
        <w:rPr>
          <w:rFonts w:asciiTheme="minorHAnsi" w:hAnsiTheme="minorHAnsi" w:cstheme="minorHAnsi"/>
          <w:noProof/>
          <w:lang w:val="sr-Latn-ME" w:eastAsia="sr-Latn-ME"/>
        </w:rPr>
        <w:drawing>
          <wp:inline distT="0" distB="0" distL="0" distR="0" wp14:anchorId="1AFBFD50" wp14:editId="59B5735D">
            <wp:extent cx="4953000" cy="642367"/>
            <wp:effectExtent l="0" t="0" r="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53732" cy="642462"/>
                    </a:xfrm>
                    <a:prstGeom prst="rect">
                      <a:avLst/>
                    </a:prstGeom>
                    <a:noFill/>
                  </pic:spPr>
                </pic:pic>
              </a:graphicData>
            </a:graphic>
          </wp:inline>
        </w:drawing>
      </w:r>
      <w:r w:rsidRPr="00E24541">
        <w:rPr>
          <w:rFonts w:asciiTheme="minorHAnsi" w:hAnsiTheme="minorHAnsi" w:cstheme="minorHAnsi"/>
          <w:noProof/>
          <w:lang w:val="sr-Latn-ME" w:eastAsia="sr-Latn-ME"/>
        </w:rPr>
        <w:drawing>
          <wp:inline distT="0" distB="0" distL="0" distR="0" wp14:anchorId="73EAB7DB" wp14:editId="40014299">
            <wp:extent cx="1146426" cy="11525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6426" cy="1152525"/>
                    </a:xfrm>
                    <a:prstGeom prst="rect">
                      <a:avLst/>
                    </a:prstGeom>
                    <a:noFill/>
                  </pic:spPr>
                </pic:pic>
              </a:graphicData>
            </a:graphic>
          </wp:inline>
        </w:drawing>
      </w:r>
      <w:r w:rsidRPr="00E24541">
        <w:rPr>
          <w:rFonts w:asciiTheme="minorHAnsi" w:hAnsiTheme="minorHAnsi" w:cstheme="minorHAnsi"/>
        </w:rPr>
        <w:t xml:space="preserve"> </w:t>
      </w:r>
      <w:r w:rsidR="00B77515">
        <w:rPr>
          <w:rFonts w:asciiTheme="minorHAnsi" w:hAnsiTheme="minorHAnsi" w:cstheme="minorHAnsi"/>
        </w:rPr>
        <w:t xml:space="preserve"> </w:t>
      </w:r>
      <w:r w:rsidRPr="00E24541">
        <w:rPr>
          <w:rFonts w:asciiTheme="minorHAnsi" w:hAnsiTheme="minorHAnsi" w:cstheme="minorHAnsi"/>
        </w:rPr>
        <w:t xml:space="preserve"> </w:t>
      </w:r>
      <w:r w:rsidRPr="00E24541">
        <w:rPr>
          <w:rFonts w:asciiTheme="minorHAnsi" w:hAnsiTheme="minorHAnsi" w:cstheme="minorHAnsi"/>
          <w:noProof/>
          <w:lang w:val="sr-Latn-ME" w:eastAsia="sr-Latn-ME"/>
        </w:rPr>
        <w:drawing>
          <wp:inline distT="0" distB="0" distL="0" distR="0" wp14:anchorId="4A04A3D9" wp14:editId="3DD0553B">
            <wp:extent cx="1190625" cy="1136778"/>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90625" cy="1136778"/>
                    </a:xfrm>
                    <a:prstGeom prst="rect">
                      <a:avLst/>
                    </a:prstGeom>
                    <a:noFill/>
                  </pic:spPr>
                </pic:pic>
              </a:graphicData>
            </a:graphic>
          </wp:inline>
        </w:drawing>
      </w:r>
      <w:r w:rsidRPr="00E24541">
        <w:rPr>
          <w:rFonts w:asciiTheme="minorHAnsi" w:hAnsiTheme="minorHAnsi" w:cstheme="minorHAnsi"/>
        </w:rPr>
        <w:t xml:space="preserve">   </w:t>
      </w:r>
      <w:r w:rsidRPr="00E24541">
        <w:rPr>
          <w:rFonts w:asciiTheme="minorHAnsi" w:hAnsiTheme="minorHAnsi" w:cstheme="minorHAnsi"/>
          <w:noProof/>
          <w:lang w:val="sr-Latn-ME" w:eastAsia="sr-Latn-ME"/>
        </w:rPr>
        <w:drawing>
          <wp:inline distT="0" distB="0" distL="0" distR="0" wp14:anchorId="17DDB255" wp14:editId="0396D521">
            <wp:extent cx="1140392" cy="1152525"/>
            <wp:effectExtent l="0" t="0" r="317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36808" cy="1148903"/>
                    </a:xfrm>
                    <a:prstGeom prst="rect">
                      <a:avLst/>
                    </a:prstGeom>
                    <a:noFill/>
                  </pic:spPr>
                </pic:pic>
              </a:graphicData>
            </a:graphic>
          </wp:inline>
        </w:drawing>
      </w:r>
      <w:r w:rsidRPr="00E24541">
        <w:rPr>
          <w:rFonts w:asciiTheme="minorHAnsi" w:hAnsiTheme="minorHAnsi" w:cstheme="minorHAnsi"/>
        </w:rPr>
        <w:t xml:space="preserve">   </w:t>
      </w:r>
      <w:r w:rsidR="00274BE4" w:rsidRPr="00E24541">
        <w:rPr>
          <w:rFonts w:asciiTheme="minorHAnsi" w:hAnsiTheme="minorHAnsi" w:cstheme="minorHAnsi"/>
          <w:noProof/>
          <w:lang w:val="sr-Latn-ME" w:eastAsia="sr-Latn-ME"/>
        </w:rPr>
        <w:drawing>
          <wp:inline distT="0" distB="0" distL="0" distR="0" wp14:anchorId="63F63298" wp14:editId="0F756E51">
            <wp:extent cx="1104900" cy="1128284"/>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02224" cy="1125552"/>
                    </a:xfrm>
                    <a:prstGeom prst="rect">
                      <a:avLst/>
                    </a:prstGeom>
                    <a:noFill/>
                  </pic:spPr>
                </pic:pic>
              </a:graphicData>
            </a:graphic>
          </wp:inline>
        </w:drawing>
      </w:r>
    </w:p>
    <w:p w14:paraId="79B02240" w14:textId="77777777" w:rsidR="00E24541" w:rsidRDefault="00E24541" w:rsidP="00E24541">
      <w:pPr>
        <w:rPr>
          <w:rFonts w:asciiTheme="minorHAnsi" w:hAnsiTheme="minorHAnsi" w:cstheme="minorHAnsi"/>
        </w:rPr>
      </w:pPr>
    </w:p>
    <w:p w14:paraId="4C837D5B" w14:textId="77777777" w:rsidR="00274BE4" w:rsidRPr="00E24541" w:rsidRDefault="00274BE4" w:rsidP="00E24541">
      <w:pPr>
        <w:rPr>
          <w:rFonts w:asciiTheme="minorHAnsi" w:hAnsiTheme="minorHAnsi" w:cstheme="minorHAnsi"/>
        </w:rPr>
      </w:pPr>
    </w:p>
    <w:p w14:paraId="06A9A8D4" w14:textId="77777777" w:rsidR="00787B4B" w:rsidRDefault="00787B4B">
      <w:pPr>
        <w:pStyle w:val="Heading1"/>
        <w:rPr>
          <w:rFonts w:asciiTheme="minorHAnsi" w:hAnsiTheme="minorHAnsi" w:cstheme="minorHAnsi"/>
          <w:b/>
          <w:color w:val="0070C0"/>
          <w:sz w:val="28"/>
          <w:szCs w:val="28"/>
        </w:rPr>
      </w:pPr>
    </w:p>
    <w:p w14:paraId="00000272" w14:textId="0693AA70" w:rsidR="007A6527" w:rsidRPr="00E24541" w:rsidRDefault="00E3490E">
      <w:pPr>
        <w:pStyle w:val="Heading1"/>
        <w:rPr>
          <w:rFonts w:asciiTheme="minorHAnsi" w:hAnsiTheme="minorHAnsi" w:cstheme="minorHAnsi"/>
          <w:b/>
          <w:color w:val="0070C0"/>
          <w:sz w:val="28"/>
          <w:szCs w:val="28"/>
        </w:rPr>
      </w:pPr>
      <w:bookmarkStart w:id="15" w:name="_Toc140567035"/>
      <w:r w:rsidRPr="00E24541">
        <w:rPr>
          <w:rFonts w:asciiTheme="minorHAnsi" w:hAnsiTheme="minorHAnsi" w:cstheme="minorHAnsi"/>
          <w:b/>
          <w:color w:val="0070C0"/>
          <w:sz w:val="28"/>
          <w:szCs w:val="28"/>
        </w:rPr>
        <w:t>Analiza ciljnih javnosti i zainteresovanih strana</w:t>
      </w:r>
      <w:bookmarkEnd w:id="15"/>
      <w:r w:rsidRPr="00E24541">
        <w:rPr>
          <w:rFonts w:asciiTheme="minorHAnsi" w:hAnsiTheme="minorHAnsi" w:cstheme="minorHAnsi"/>
          <w:b/>
          <w:color w:val="0070C0"/>
          <w:sz w:val="28"/>
          <w:szCs w:val="28"/>
        </w:rPr>
        <w:t xml:space="preserve"> </w:t>
      </w:r>
    </w:p>
    <w:p w14:paraId="4926AE26" w14:textId="77777777" w:rsidR="00AF0364" w:rsidRPr="00AF0364" w:rsidRDefault="00AF0364" w:rsidP="00AF0364"/>
    <w:p w14:paraId="4B589B78" w14:textId="7A05BCBE" w:rsidR="00CA0325" w:rsidRPr="00E24541" w:rsidRDefault="00AF0364" w:rsidP="00EE597D">
      <w:pPr>
        <w:pStyle w:val="Heading2"/>
      </w:pPr>
      <w:r w:rsidRPr="00E24541" w:rsidDel="00AF0364">
        <w:rPr>
          <w:color w:val="222222"/>
        </w:rPr>
        <w:t xml:space="preserve"> </w:t>
      </w:r>
      <w:bookmarkStart w:id="16" w:name="_Toc140567036"/>
      <w:r w:rsidR="00CA0325" w:rsidRPr="00E24541">
        <w:t>Interne javnosti</w:t>
      </w:r>
      <w:bookmarkEnd w:id="16"/>
    </w:p>
    <w:p w14:paraId="215122C9" w14:textId="77777777" w:rsidR="00CA0325" w:rsidRDefault="00CA0325" w:rsidP="00CA0325">
      <w:pPr>
        <w:autoSpaceDE w:val="0"/>
        <w:autoSpaceDN w:val="0"/>
        <w:adjustRightInd w:val="0"/>
        <w:rPr>
          <w:rFonts w:ascii="Gotham-Bold" w:hAnsi="Gotham-Bold" w:cs="Gotham-Bold"/>
          <w:b/>
          <w:bCs/>
          <w:color w:val="1F5EFF"/>
          <w:sz w:val="38"/>
          <w:szCs w:val="38"/>
        </w:rPr>
      </w:pPr>
    </w:p>
    <w:p w14:paraId="4634016E" w14:textId="77777777" w:rsidR="00CA0325" w:rsidRDefault="00CA0325" w:rsidP="00CA0325">
      <w:pPr>
        <w:autoSpaceDE w:val="0"/>
        <w:autoSpaceDN w:val="0"/>
        <w:adjustRightInd w:val="0"/>
        <w:rPr>
          <w:rFonts w:ascii="Gotham-Bold" w:hAnsi="Gotham-Bold" w:cs="Gotham-Bold"/>
          <w:b/>
          <w:bCs/>
          <w:color w:val="1F5EFF"/>
          <w:sz w:val="38"/>
          <w:szCs w:val="38"/>
        </w:rPr>
      </w:pPr>
      <w:r>
        <w:rPr>
          <w:rFonts w:ascii="Gotham-Bold" w:hAnsi="Gotham-Bold" w:cs="Gotham-Bold"/>
          <w:b/>
          <w:bCs/>
          <w:noProof/>
          <w:color w:val="1F5EFF"/>
          <w:sz w:val="38"/>
          <w:szCs w:val="38"/>
          <w:lang w:val="sr-Latn-ME" w:eastAsia="sr-Latn-ME"/>
        </w:rPr>
        <w:drawing>
          <wp:inline distT="0" distB="0" distL="0" distR="0" wp14:anchorId="5427C54E" wp14:editId="40DD9AC6">
            <wp:extent cx="5334000" cy="2695575"/>
            <wp:effectExtent l="0" t="19050" r="0" b="95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00000275" w14:textId="5FF5A3C3" w:rsidR="007A6527" w:rsidRDefault="008A787C">
      <w:pPr>
        <w:spacing w:before="240" w:after="240"/>
        <w:rPr>
          <w:color w:val="222222"/>
        </w:rPr>
      </w:pPr>
      <w:r>
        <w:rPr>
          <w:color w:val="222222"/>
        </w:rPr>
        <w:t>Da bi komuniciranje prema eksternim javnostima bilo strateško i koherentno, a krajnje poruke bile jasne, razumljive, sveobuhvatne i pravovremene</w:t>
      </w:r>
      <w:r w:rsidR="00DF58F1">
        <w:rPr>
          <w:color w:val="222222"/>
        </w:rPr>
        <w:t xml:space="preserve"> informacije</w:t>
      </w:r>
      <w:r>
        <w:rPr>
          <w:color w:val="222222"/>
        </w:rPr>
        <w:t xml:space="preserve">, potrebno je uspostaviti efikasan i razrađen sistem internih komunikacija unutar javne uprave. Gotovo da nema ministarstva ili vladine agencije koje nije uključeno u evropsku integraciju zemlje i komuniciranje tog procesa, te je, stoga, unutrašnja koordinacija složen, ali izuzetno važan proces. </w:t>
      </w:r>
      <w:r w:rsidR="00640373">
        <w:rPr>
          <w:color w:val="222222"/>
        </w:rPr>
        <w:t>Kako je navedeno</w:t>
      </w:r>
      <w:r w:rsidR="00CA72B2">
        <w:rPr>
          <w:color w:val="222222"/>
        </w:rPr>
        <w:t xml:space="preserve">, </w:t>
      </w:r>
      <w:r>
        <w:rPr>
          <w:color w:val="222222"/>
        </w:rPr>
        <w:t>trećina</w:t>
      </w:r>
      <w:r>
        <w:t xml:space="preserve"> članova i članica pregovaračke strukture smatra da nije dovoljno upoznata sa svojom ulogom, a velika većina traži više informacija i bolju podjelu rada. </w:t>
      </w:r>
      <w:r>
        <w:rPr>
          <w:color w:val="222222"/>
        </w:rPr>
        <w:t>Dobro razrađeni interni kanali komunikacije pomoći će da sv</w:t>
      </w:r>
      <w:r w:rsidR="002743B3">
        <w:rPr>
          <w:color w:val="222222"/>
        </w:rPr>
        <w:t>i</w:t>
      </w:r>
      <w:r>
        <w:rPr>
          <w:color w:val="222222"/>
        </w:rPr>
        <w:t xml:space="preserve"> uključeni u ovaj proces dijele viziju, ciljeve i metode strateškog komuniciranja, da u svakom trenutku imaju ispred sebe širu sliku procesa i konstantan dotok relevantnih informacija.  </w:t>
      </w:r>
    </w:p>
    <w:p w14:paraId="00000276" w14:textId="2723B2B5" w:rsidR="007A6527" w:rsidRDefault="008A787C">
      <w:pPr>
        <w:spacing w:before="240" w:after="240"/>
        <w:rPr>
          <w:color w:val="222222"/>
        </w:rPr>
      </w:pPr>
      <w:r>
        <w:rPr>
          <w:color w:val="222222"/>
        </w:rPr>
        <w:t>Savremeni trendovi komunikacione prakse</w:t>
      </w:r>
      <w:r>
        <w:rPr>
          <w:color w:val="222222"/>
          <w:vertAlign w:val="superscript"/>
        </w:rPr>
        <w:footnoteReference w:id="9"/>
      </w:r>
      <w:r>
        <w:rPr>
          <w:color w:val="222222"/>
        </w:rPr>
        <w:t xml:space="preserve"> definišu komuniciranje i donošenje politika kao dvije strane iste medalje i nalažu da u istinskom strateškom pristupu, komunikatori moraju biti istinski dio tog procesa. Ova strategija predlaže definisanje modela kojom bi postojala efikasna povratna sprega informacija od komunikatora do javnih zvaničnika koji definišu i implementiraju vladine politike.</w:t>
      </w:r>
    </w:p>
    <w:p w14:paraId="00000277" w14:textId="77777777" w:rsidR="007A6527" w:rsidRPr="000A5977" w:rsidRDefault="008A787C" w:rsidP="00EE597D">
      <w:pPr>
        <w:pStyle w:val="Heading3"/>
        <w:rPr>
          <w:i/>
          <w:color w:val="4472C4" w:themeColor="accent1"/>
        </w:rPr>
      </w:pPr>
      <w:bookmarkStart w:id="17" w:name="_heading=h.sujhb2aejq0j" w:colFirst="0" w:colLast="0"/>
      <w:bookmarkStart w:id="18" w:name="_Toc140567037"/>
      <w:bookmarkEnd w:id="17"/>
      <w:r w:rsidRPr="000A5977">
        <w:rPr>
          <w:color w:val="4472C4" w:themeColor="accent1"/>
        </w:rPr>
        <w:t>Operativno i Konsultativno tijelo</w:t>
      </w:r>
      <w:bookmarkEnd w:id="18"/>
    </w:p>
    <w:p w14:paraId="00000278" w14:textId="63077B1D" w:rsidR="007A6527" w:rsidRDefault="008A787C">
      <w:pPr>
        <w:spacing w:before="240" w:after="120"/>
        <w:rPr>
          <w:color w:val="222222"/>
        </w:rPr>
      </w:pPr>
      <w:r>
        <w:rPr>
          <w:color w:val="222222"/>
        </w:rPr>
        <w:t>Uspostavljanje i nesmet</w:t>
      </w:r>
      <w:r w:rsidR="00C51CFC">
        <w:rPr>
          <w:color w:val="222222"/>
        </w:rPr>
        <w:t>a</w:t>
      </w:r>
      <w:r>
        <w:rPr>
          <w:color w:val="222222"/>
        </w:rPr>
        <w:t xml:space="preserve">no funkcionisanje </w:t>
      </w:r>
      <w:r>
        <w:rPr>
          <w:b/>
          <w:color w:val="222222"/>
        </w:rPr>
        <w:t>Operativnog tijela</w:t>
      </w:r>
      <w:r>
        <w:rPr>
          <w:color w:val="222222"/>
        </w:rPr>
        <w:t xml:space="preserve"> za sprovođenje Strategije informisanja</w:t>
      </w:r>
      <w:r w:rsidR="00030D8C">
        <w:rPr>
          <w:color w:val="222222"/>
        </w:rPr>
        <w:t xml:space="preserve"> se pokazalo kao </w:t>
      </w:r>
      <w:r>
        <w:rPr>
          <w:color w:val="222222"/>
        </w:rPr>
        <w:t xml:space="preserve"> važna karika u internom komuniciranju. </w:t>
      </w:r>
      <w:r w:rsidR="00030D8C">
        <w:rPr>
          <w:color w:val="222222"/>
        </w:rPr>
        <w:t xml:space="preserve">Zadaci ovog tijela su da, </w:t>
      </w:r>
      <w:r>
        <w:rPr>
          <w:color w:val="222222"/>
        </w:rPr>
        <w:t xml:space="preserve">na operativnom nivou </w:t>
      </w:r>
      <w:r w:rsidR="00030D8C">
        <w:rPr>
          <w:color w:val="222222"/>
        </w:rPr>
        <w:t>sprovodi</w:t>
      </w:r>
      <w:r w:rsidR="00DF58F1">
        <w:rPr>
          <w:color w:val="222222"/>
        </w:rPr>
        <w:t xml:space="preserve">, </w:t>
      </w:r>
      <w:r>
        <w:rPr>
          <w:color w:val="222222"/>
        </w:rPr>
        <w:t xml:space="preserve">prati, analizira i usmjerava implementaciju Strategije, a samim tim i komuniciranje procesa integracija. </w:t>
      </w:r>
      <w:r w:rsidR="00DF58F1">
        <w:rPr>
          <w:color w:val="222222"/>
        </w:rPr>
        <w:t>Imajući u vidu da je</w:t>
      </w:r>
      <w:r>
        <w:rPr>
          <w:color w:val="222222"/>
        </w:rPr>
        <w:t xml:space="preserve">, </w:t>
      </w:r>
      <w:r w:rsidR="00030D8C">
        <w:rPr>
          <w:color w:val="222222"/>
        </w:rPr>
        <w:t xml:space="preserve">kvalitetna interna komunikacija i </w:t>
      </w:r>
      <w:r>
        <w:rPr>
          <w:color w:val="222222"/>
        </w:rPr>
        <w:t>koordinacija jedan od najvažnijih zahtjeva ove Strategije</w:t>
      </w:r>
      <w:r w:rsidR="00DF58F1">
        <w:rPr>
          <w:color w:val="222222"/>
        </w:rPr>
        <w:t>,</w:t>
      </w:r>
      <w:r>
        <w:rPr>
          <w:color w:val="222222"/>
        </w:rPr>
        <w:t xml:space="preserve">preporučuje </w:t>
      </w:r>
      <w:r w:rsidR="00DF58F1">
        <w:rPr>
          <w:color w:val="222222"/>
        </w:rPr>
        <w:t xml:space="preserve">se </w:t>
      </w:r>
      <w:r>
        <w:rPr>
          <w:color w:val="222222"/>
        </w:rPr>
        <w:t>da članovi</w:t>
      </w:r>
      <w:r w:rsidR="0065163D">
        <w:rPr>
          <w:color w:val="222222"/>
        </w:rPr>
        <w:t>/ce</w:t>
      </w:r>
      <w:r>
        <w:rPr>
          <w:color w:val="222222"/>
        </w:rPr>
        <w:t xml:space="preserve"> Operativnog tijela na organizovan i redovan način razmjenjuju informacije i time poboljšaju efikasnost komunikacije. </w:t>
      </w:r>
    </w:p>
    <w:p w14:paraId="00000279" w14:textId="21F5854C" w:rsidR="007A6527" w:rsidRDefault="008A787C">
      <w:pPr>
        <w:spacing w:before="240" w:after="240"/>
        <w:rPr>
          <w:color w:val="222222"/>
        </w:rPr>
      </w:pPr>
      <w:r>
        <w:rPr>
          <w:color w:val="222222"/>
        </w:rPr>
        <w:t xml:space="preserve">Gotovo istovjetne preporuke idu na adresu </w:t>
      </w:r>
      <w:r>
        <w:rPr>
          <w:b/>
          <w:color w:val="222222"/>
        </w:rPr>
        <w:t>Konsultativnog tijela</w:t>
      </w:r>
      <w:r>
        <w:rPr>
          <w:color w:val="222222"/>
        </w:rPr>
        <w:t>, koje čine članovi Radne grupe koji su učestvovali u izradi Strategije informisanja, nezavisnih eksperata</w:t>
      </w:r>
      <w:r w:rsidR="0065163D">
        <w:rPr>
          <w:color w:val="222222"/>
        </w:rPr>
        <w:t>/kinja</w:t>
      </w:r>
      <w:r>
        <w:rPr>
          <w:color w:val="222222"/>
        </w:rPr>
        <w:t xml:space="preserve"> i predstavnika</w:t>
      </w:r>
      <w:r w:rsidR="0065163D">
        <w:rPr>
          <w:color w:val="222222"/>
        </w:rPr>
        <w:t>/ca</w:t>
      </w:r>
      <w:r>
        <w:rPr>
          <w:color w:val="222222"/>
        </w:rPr>
        <w:t xml:space="preserve"> nevladinih organizacija. </w:t>
      </w:r>
      <w:r w:rsidR="00030D8C">
        <w:rPr>
          <w:color w:val="222222"/>
        </w:rPr>
        <w:t xml:space="preserve">U nadležnosti </w:t>
      </w:r>
      <w:r>
        <w:rPr>
          <w:color w:val="222222"/>
        </w:rPr>
        <w:t>Konsultativno</w:t>
      </w:r>
      <w:r w:rsidR="00030D8C">
        <w:rPr>
          <w:color w:val="222222"/>
        </w:rPr>
        <w:t>g</w:t>
      </w:r>
      <w:r>
        <w:rPr>
          <w:color w:val="222222"/>
        </w:rPr>
        <w:t xml:space="preserve"> tijel</w:t>
      </w:r>
      <w:r w:rsidR="00030D8C">
        <w:rPr>
          <w:color w:val="222222"/>
        </w:rPr>
        <w:t>a</w:t>
      </w:r>
      <w:r>
        <w:rPr>
          <w:color w:val="222222"/>
        </w:rPr>
        <w:t xml:space="preserve">  je praćenje sprovođenja Strategije informisanja</w:t>
      </w:r>
      <w:r w:rsidR="00030D8C">
        <w:rPr>
          <w:color w:val="222222"/>
        </w:rPr>
        <w:t>. I</w:t>
      </w:r>
      <w:r>
        <w:rPr>
          <w:color w:val="222222"/>
        </w:rPr>
        <w:t xml:space="preserve">majući u vidu nestabilnost uslova u kojima se odvija komunikacija i potencijalne krize, neophodno je da Konsultativno tijelo zauzme aktivniji pristup i da u skladu sa svojim nadležnostima interveniše </w:t>
      </w:r>
      <w:r w:rsidR="00030D8C">
        <w:rPr>
          <w:color w:val="222222"/>
        </w:rPr>
        <w:t>u slučajevima</w:t>
      </w:r>
      <w:r>
        <w:rPr>
          <w:color w:val="222222"/>
        </w:rPr>
        <w:t xml:space="preserve"> odstupanja,</w:t>
      </w:r>
      <w:r w:rsidR="00030D8C">
        <w:rPr>
          <w:color w:val="222222"/>
        </w:rPr>
        <w:t xml:space="preserve"> izazova i</w:t>
      </w:r>
      <w:r>
        <w:rPr>
          <w:color w:val="222222"/>
        </w:rPr>
        <w:t>, promjene komunikacionog okvira, ili bilo koj</w:t>
      </w:r>
      <w:r w:rsidR="00030D8C">
        <w:rPr>
          <w:color w:val="222222"/>
        </w:rPr>
        <w:t>e</w:t>
      </w:r>
      <w:r>
        <w:rPr>
          <w:color w:val="222222"/>
        </w:rPr>
        <w:t xml:space="preserve"> drug</w:t>
      </w:r>
      <w:r w:rsidR="00030D8C">
        <w:rPr>
          <w:color w:val="222222"/>
        </w:rPr>
        <w:t>e</w:t>
      </w:r>
      <w:r>
        <w:rPr>
          <w:color w:val="222222"/>
        </w:rPr>
        <w:t xml:space="preserve"> promjen</w:t>
      </w:r>
      <w:r w:rsidR="00030D8C">
        <w:rPr>
          <w:color w:val="222222"/>
        </w:rPr>
        <w:t>e</w:t>
      </w:r>
      <w:r>
        <w:rPr>
          <w:color w:val="222222"/>
        </w:rPr>
        <w:t xml:space="preserve"> okolnosti koja može omesti nesmetano sprovođenje Strategije. </w:t>
      </w:r>
    </w:p>
    <w:p w14:paraId="0000027A" w14:textId="77777777" w:rsidR="007A6527" w:rsidRPr="000A5977" w:rsidRDefault="008A787C" w:rsidP="00EE597D">
      <w:pPr>
        <w:pStyle w:val="Heading3"/>
        <w:rPr>
          <w:i/>
          <w:color w:val="4472C4" w:themeColor="accent1"/>
        </w:rPr>
      </w:pPr>
      <w:bookmarkStart w:id="19" w:name="_heading=h.iw3foq79xs3n" w:colFirst="0" w:colLast="0"/>
      <w:bookmarkStart w:id="20" w:name="_Toc140567038"/>
      <w:bookmarkEnd w:id="19"/>
      <w:r w:rsidRPr="000A5977">
        <w:rPr>
          <w:color w:val="4472C4" w:themeColor="accent1"/>
        </w:rPr>
        <w:t>Nosioci procesa informisanja</w:t>
      </w:r>
      <w:bookmarkEnd w:id="20"/>
    </w:p>
    <w:p w14:paraId="0000027B" w14:textId="0944752F" w:rsidR="007A6527" w:rsidRDefault="008A787C">
      <w:pPr>
        <w:spacing w:before="240" w:after="120"/>
        <w:rPr>
          <w:color w:val="222222"/>
        </w:rPr>
      </w:pPr>
      <w:r>
        <w:rPr>
          <w:color w:val="222222"/>
        </w:rPr>
        <w:t xml:space="preserve">Kao i u prethodnom periodu, </w:t>
      </w:r>
      <w:r>
        <w:rPr>
          <w:b/>
          <w:color w:val="222222"/>
        </w:rPr>
        <w:t>Sektor za informisanje</w:t>
      </w:r>
      <w:r w:rsidRPr="0065163D">
        <w:rPr>
          <w:b/>
          <w:color w:val="222222"/>
        </w:rPr>
        <w:t xml:space="preserve"> javnosti o procesu pristupanja EU Generalnog sekretarijata Vlade Crne Gore </w:t>
      </w:r>
      <w:r>
        <w:rPr>
          <w:color w:val="222222"/>
        </w:rPr>
        <w:t>ostaje nosilac komunikacije. Ipak, formiranjem posebnog Ministarstva evropskih poslova došlo je do izmjene strukture javne administracije pa je važno definisati nove procedure protoka informacija. Takođe, odluka da sjednice Vlade budu otvorene za javnost može biti dobar komunikacioni resurs, ukoliko EU integracije uspiju da se pozicioniraju kao prioritet na njima i publika to registruje, ali i potencijalni izvor PR problema.</w:t>
      </w:r>
    </w:p>
    <w:p w14:paraId="0000027C" w14:textId="006E7F4B" w:rsidR="007A6527" w:rsidRDefault="008A787C">
      <w:pPr>
        <w:spacing w:before="240" w:after="120"/>
        <w:rPr>
          <w:color w:val="222222"/>
        </w:rPr>
      </w:pPr>
      <w:r>
        <w:rPr>
          <w:color w:val="222222"/>
        </w:rPr>
        <w:t xml:space="preserve">Prelaskom na </w:t>
      </w:r>
      <w:r>
        <w:rPr>
          <w:b/>
          <w:color w:val="222222"/>
        </w:rPr>
        <w:t>sistem klastera</w:t>
      </w:r>
      <w:r>
        <w:rPr>
          <w:color w:val="222222"/>
        </w:rPr>
        <w:t xml:space="preserve"> u novoj metodologiji pregovaranja, došlo je do promjene pregovaračke strukture. Ovo može biti šansa da se unaprijedi pristup komuniciranju, tako što će se</w:t>
      </w:r>
      <w:r w:rsidR="00F3288C">
        <w:rPr>
          <w:color w:val="222222"/>
        </w:rPr>
        <w:t xml:space="preserve">članovi </w:t>
      </w:r>
      <w:r>
        <w:rPr>
          <w:color w:val="222222"/>
        </w:rPr>
        <w:t>pregovaračk</w:t>
      </w:r>
      <w:r w:rsidR="00F3288C">
        <w:rPr>
          <w:color w:val="222222"/>
        </w:rPr>
        <w:t>ih grupa značajnije uključiti</w:t>
      </w:r>
      <w:r>
        <w:rPr>
          <w:color w:val="222222"/>
        </w:rPr>
        <w:t xml:space="preserve"> u proces</w:t>
      </w:r>
      <w:r w:rsidR="00F3288C">
        <w:rPr>
          <w:color w:val="222222"/>
        </w:rPr>
        <w:t>e</w:t>
      </w:r>
      <w:r>
        <w:rPr>
          <w:color w:val="222222"/>
        </w:rPr>
        <w:t xml:space="preserve"> interne i eksterne komunikacije. </w:t>
      </w:r>
    </w:p>
    <w:p w14:paraId="0000027D" w14:textId="22503FB4" w:rsidR="007A6527" w:rsidRDefault="008A787C">
      <w:pPr>
        <w:spacing w:before="240" w:after="120"/>
        <w:rPr>
          <w:color w:val="222222"/>
        </w:rPr>
      </w:pPr>
      <w:r>
        <w:rPr>
          <w:b/>
          <w:color w:val="222222"/>
        </w:rPr>
        <w:t>Plan aktivnosti</w:t>
      </w:r>
      <w:r>
        <w:rPr>
          <w:color w:val="222222"/>
        </w:rPr>
        <w:t xml:space="preserve"> za unaprijed utvrđen period na nivou Vlade ostaje jako važan dokument za internu komunikaciju i koordinaciju. Plan aktivnosti pruža svim službenicima</w:t>
      </w:r>
      <w:r w:rsidR="0065163D">
        <w:rPr>
          <w:color w:val="222222"/>
        </w:rPr>
        <w:t>/cama</w:t>
      </w:r>
      <w:r>
        <w:rPr>
          <w:color w:val="222222"/>
        </w:rPr>
        <w:t xml:space="preserve"> uvid u dinamiku i raspored aktivnosti, čime se izbjegava njihovo preklapanje, naročito kad su u pitanju važni periodični događaji za pristupanje EU.</w:t>
      </w:r>
    </w:p>
    <w:p w14:paraId="0000027E" w14:textId="0D815F5E" w:rsidR="007A6527" w:rsidRDefault="008A787C">
      <w:pPr>
        <w:spacing w:before="240" w:after="120"/>
        <w:rPr>
          <w:color w:val="222222"/>
        </w:rPr>
      </w:pPr>
      <w:r>
        <w:rPr>
          <w:color w:val="222222"/>
        </w:rPr>
        <w:t>Ubrzana evropska integracija je ključni proklamovani cilj Vlade, što daje dobar zamah, ali  zahtijeva veću i bolju koordinaciju istupa predstavnika</w:t>
      </w:r>
      <w:r w:rsidR="0065163D">
        <w:rPr>
          <w:color w:val="222222"/>
        </w:rPr>
        <w:t>/ca</w:t>
      </w:r>
      <w:r>
        <w:rPr>
          <w:color w:val="222222"/>
        </w:rPr>
        <w:t xml:space="preserve"> Vlade na svim nivoima, usklađen sadržaj i ton poruka, bilo da se radi o proaktivnoj ili reaktivnoj komunikaciji. Svi vladini službenici</w:t>
      </w:r>
      <w:r w:rsidR="0065163D">
        <w:rPr>
          <w:color w:val="222222"/>
        </w:rPr>
        <w:t>/ce</w:t>
      </w:r>
      <w:r>
        <w:rPr>
          <w:color w:val="222222"/>
        </w:rPr>
        <w:t xml:space="preserve"> koji komuniciraju sa eksternim javnostima moraju biti detaljno upoznati sa ključnim porukama i ciljevima ove Strategije, i što je važnije, sa aktuelnim Vladinim narativom</w:t>
      </w:r>
      <w:r w:rsidR="001123BD">
        <w:rPr>
          <w:color w:val="222222"/>
        </w:rPr>
        <w:t>.</w:t>
      </w:r>
    </w:p>
    <w:p w14:paraId="0000027F" w14:textId="103C235D" w:rsidR="007A6527" w:rsidRDefault="008A787C">
      <w:pPr>
        <w:spacing w:before="240" w:after="120"/>
        <w:rPr>
          <w:b/>
          <w:color w:val="222222"/>
        </w:rPr>
      </w:pPr>
      <w:r>
        <w:rPr>
          <w:color w:val="222222"/>
        </w:rPr>
        <w:t>Iako sada postoji posebno Ministarstvo koje se bavi evropsk</w:t>
      </w:r>
      <w:r w:rsidR="0088729B">
        <w:rPr>
          <w:color w:val="222222"/>
        </w:rPr>
        <w:t>im poslovima</w:t>
      </w:r>
      <w:r>
        <w:rPr>
          <w:color w:val="222222"/>
        </w:rPr>
        <w:t xml:space="preserve">, to ne znači da </w:t>
      </w:r>
      <w:r w:rsidR="006204E7">
        <w:rPr>
          <w:color w:val="222222"/>
        </w:rPr>
        <w:t xml:space="preserve">je </w:t>
      </w:r>
      <w:r>
        <w:rPr>
          <w:color w:val="222222"/>
        </w:rPr>
        <w:t>komunikacija</w:t>
      </w:r>
      <w:r w:rsidR="00190716">
        <w:rPr>
          <w:color w:val="222222"/>
        </w:rPr>
        <w:t xml:space="preserve"> evropske integracije</w:t>
      </w:r>
      <w:r>
        <w:rPr>
          <w:color w:val="222222"/>
        </w:rPr>
        <w:t xml:space="preserve"> </w:t>
      </w:r>
      <w:r w:rsidR="006204E7">
        <w:rPr>
          <w:color w:val="222222"/>
        </w:rPr>
        <w:t xml:space="preserve">isključivo u nadležnosti tog resora. </w:t>
      </w:r>
      <w:r>
        <w:rPr>
          <w:color w:val="222222"/>
        </w:rPr>
        <w:t xml:space="preserve">Naprotiv, da se u javnosti ne bi stvarala pogrešna slika da je jedna osoba (ili tek nekoliko njih) nosilac procesa evropske integracije, i da bi bilo jasno da je </w:t>
      </w:r>
      <w:r w:rsidR="009A66C8">
        <w:rPr>
          <w:color w:val="222222"/>
        </w:rPr>
        <w:t>evropska</w:t>
      </w:r>
      <w:r>
        <w:rPr>
          <w:color w:val="222222"/>
        </w:rPr>
        <w:t xml:space="preserve"> integracija proces širokih društvenih reformi, važno je </w:t>
      </w:r>
      <w:r>
        <w:rPr>
          <w:b/>
          <w:color w:val="222222"/>
        </w:rPr>
        <w:t>uključiti što veći broj javnih zvaničnika</w:t>
      </w:r>
      <w:r w:rsidR="0065163D">
        <w:rPr>
          <w:b/>
          <w:color w:val="222222"/>
        </w:rPr>
        <w:t>/ca</w:t>
      </w:r>
      <w:r>
        <w:rPr>
          <w:b/>
          <w:color w:val="222222"/>
        </w:rPr>
        <w:t xml:space="preserve"> i zaposlenih u javnoj upravi u </w:t>
      </w:r>
      <w:r w:rsidR="00E16E39">
        <w:rPr>
          <w:b/>
          <w:color w:val="222222"/>
        </w:rPr>
        <w:t xml:space="preserve">komuniciranje pregovaračkog </w:t>
      </w:r>
      <w:r>
        <w:rPr>
          <w:b/>
          <w:color w:val="222222"/>
        </w:rPr>
        <w:t>proces</w:t>
      </w:r>
      <w:r w:rsidR="00E16E39">
        <w:rPr>
          <w:b/>
          <w:color w:val="222222"/>
        </w:rPr>
        <w:t>a</w:t>
      </w:r>
      <w:r w:rsidR="009E434A">
        <w:rPr>
          <w:b/>
          <w:color w:val="222222"/>
        </w:rPr>
        <w:t>.</w:t>
      </w:r>
      <w:r>
        <w:rPr>
          <w:b/>
          <w:color w:val="222222"/>
        </w:rPr>
        <w:t xml:space="preserve"> </w:t>
      </w:r>
    </w:p>
    <w:p w14:paraId="09886444" w14:textId="77777777" w:rsidR="000A5977" w:rsidRDefault="000A5977" w:rsidP="00EE597D">
      <w:pPr>
        <w:pStyle w:val="Heading3"/>
        <w:rPr>
          <w:color w:val="4472C4" w:themeColor="accent1"/>
        </w:rPr>
      </w:pPr>
      <w:bookmarkStart w:id="21" w:name="_heading=h.7sgj0j1rhbte" w:colFirst="0" w:colLast="0"/>
      <w:bookmarkStart w:id="22" w:name="_Toc140567039"/>
      <w:bookmarkEnd w:id="21"/>
    </w:p>
    <w:p w14:paraId="00000280" w14:textId="77777777" w:rsidR="007A6527" w:rsidRPr="000A5977" w:rsidRDefault="008A787C" w:rsidP="00EE597D">
      <w:pPr>
        <w:pStyle w:val="Heading3"/>
        <w:rPr>
          <w:i/>
          <w:color w:val="4472C4" w:themeColor="accent1"/>
        </w:rPr>
      </w:pPr>
      <w:r w:rsidRPr="000A5977">
        <w:rPr>
          <w:color w:val="4472C4" w:themeColor="accent1"/>
        </w:rPr>
        <w:t>Profesionalizacija komunikatora</w:t>
      </w:r>
      <w:bookmarkEnd w:id="22"/>
    </w:p>
    <w:p w14:paraId="00000281" w14:textId="0E3B463F" w:rsidR="007A6527" w:rsidRDefault="008A787C">
      <w:pPr>
        <w:spacing w:before="240" w:after="120"/>
        <w:rPr>
          <w:color w:val="222222"/>
        </w:rPr>
      </w:pPr>
      <w:r>
        <w:rPr>
          <w:color w:val="222222"/>
        </w:rPr>
        <w:t xml:space="preserve">Značajne kadrovske promjene u javnoj administraciji postavile su kao prioritet </w:t>
      </w:r>
      <w:r>
        <w:rPr>
          <w:b/>
          <w:color w:val="222222"/>
        </w:rPr>
        <w:t>nastavak edukacije i usavršavanja</w:t>
      </w:r>
      <w:r>
        <w:rPr>
          <w:color w:val="222222"/>
        </w:rPr>
        <w:t xml:space="preserve"> javnih službenika</w:t>
      </w:r>
      <w:r w:rsidR="0065163D">
        <w:rPr>
          <w:color w:val="222222"/>
        </w:rPr>
        <w:t>/ca</w:t>
      </w:r>
      <w:r>
        <w:rPr>
          <w:color w:val="222222"/>
        </w:rPr>
        <w:t xml:space="preserve"> zaduženih za komuniciranje i odnose sa javnošću. Za to postoji već solidna baza i </w:t>
      </w:r>
      <w:r>
        <w:rPr>
          <w:i/>
          <w:color w:val="222222"/>
        </w:rPr>
        <w:t>know how,</w:t>
      </w:r>
      <w:r>
        <w:rPr>
          <w:color w:val="222222"/>
        </w:rPr>
        <w:t xml:space="preserve"> definisani tokom sprovođenja prethodnih komunikacionih strategija. Interne programe obuke koje uključuju radionice i treninge treba osvježiti savremenim trendovima u javnim komunikacijama i radom na praktičnim primjerima, kako bi imali jasne efekte. Jedna od preporuka savremenog pristupa komunikacijama je da digitalne vještine ne smiju ostati samo u domenu digitalnih profesionalaca, već da svi moraju biti osposobljeni u tehnološkom smislu. </w:t>
      </w:r>
    </w:p>
    <w:p w14:paraId="00000282" w14:textId="13029D9B" w:rsidR="007A6527" w:rsidRDefault="008A787C">
      <w:pPr>
        <w:spacing w:before="240" w:after="120"/>
        <w:rPr>
          <w:color w:val="222222"/>
          <w:sz w:val="28"/>
          <w:szCs w:val="28"/>
        </w:rPr>
      </w:pPr>
      <w:r>
        <w:rPr>
          <w:color w:val="222222"/>
        </w:rPr>
        <w:t>Potrebno je podići nivo informisanosti komunikatora o politikama i programima podrške Evropske unije, vezano za oblasti iz koje dolaze. Osim internih obuka, ne treba zanemariti program TAIEX koji je EU stavila na raspolaganje crnogorskoj administraciji kako bi podijelila znanje i prakse i obučila javne službenike</w:t>
      </w:r>
      <w:r w:rsidR="0065163D">
        <w:rPr>
          <w:color w:val="222222"/>
        </w:rPr>
        <w:t>/ce</w:t>
      </w:r>
      <w:r>
        <w:rPr>
          <w:color w:val="222222"/>
        </w:rPr>
        <w:t xml:space="preserve"> u ovoj bitnoj oblasti.  </w:t>
      </w:r>
    </w:p>
    <w:p w14:paraId="00000283" w14:textId="77777777" w:rsidR="007A6527" w:rsidRPr="000A5977" w:rsidRDefault="008A787C" w:rsidP="00EE597D">
      <w:pPr>
        <w:pStyle w:val="Heading3"/>
        <w:rPr>
          <w:i/>
          <w:color w:val="4472C4" w:themeColor="accent1"/>
        </w:rPr>
      </w:pPr>
      <w:bookmarkStart w:id="23" w:name="_heading=h.7xasmsqkoqs7" w:colFirst="0" w:colLast="0"/>
      <w:bookmarkStart w:id="24" w:name="_Toc140567040"/>
      <w:bookmarkEnd w:id="23"/>
      <w:r w:rsidRPr="000A5977">
        <w:rPr>
          <w:color w:val="4472C4" w:themeColor="accent1"/>
        </w:rPr>
        <w:t>Lokalni nivo</w:t>
      </w:r>
      <w:bookmarkEnd w:id="24"/>
    </w:p>
    <w:p w14:paraId="00000284" w14:textId="5E5AF511" w:rsidR="007A6527" w:rsidRDefault="008A787C">
      <w:pPr>
        <w:spacing w:before="240" w:after="120"/>
        <w:rPr>
          <w:color w:val="222222"/>
        </w:rPr>
      </w:pPr>
      <w:r>
        <w:rPr>
          <w:color w:val="222222"/>
        </w:rPr>
        <w:t>Interni kanali komunikacije obično podrazumijevaju vladine komunikatore, ali zapravo su zaposleni u lokalnim samoupravama jedan od ključnih komunikacionih resursa i potencijalnih multiplikatora komunikacije. Lokalni službenici</w:t>
      </w:r>
      <w:r w:rsidR="0065163D">
        <w:rPr>
          <w:color w:val="222222"/>
        </w:rPr>
        <w:t>/ce</w:t>
      </w:r>
      <w:r>
        <w:rPr>
          <w:color w:val="222222"/>
        </w:rPr>
        <w:t xml:space="preserve"> su u direktnom kontaktu sa ponekad teško dostupnim lokalnim zajednicama. Oni su takođe direktno uključeni u sprovođenje velikog broja projekata iz programa EU pomoći, uključujući i prekogranične, koji zbog svog direktnog uticaja na živote ljudi u lokalnim zajednicama imaju ogroman komunikacioni potencijal. Lokalne samouprave imaju svog predstavnika</w:t>
      </w:r>
      <w:r w:rsidR="0065163D">
        <w:rPr>
          <w:color w:val="222222"/>
        </w:rPr>
        <w:t>/cu</w:t>
      </w:r>
      <w:r>
        <w:rPr>
          <w:color w:val="222222"/>
        </w:rPr>
        <w:t xml:space="preserve"> u Operativnom tijelu za sprovođenje Strategije informisanja javnosti o EU, kroz predstavnika</w:t>
      </w:r>
      <w:r w:rsidR="0065163D">
        <w:rPr>
          <w:color w:val="222222"/>
        </w:rPr>
        <w:t>/cu</w:t>
      </w:r>
      <w:r>
        <w:rPr>
          <w:color w:val="222222"/>
        </w:rPr>
        <w:t xml:space="preserve"> Zajednice opština Crne Gore. Definisanje jednog službenika</w:t>
      </w:r>
      <w:r w:rsidR="0065163D">
        <w:rPr>
          <w:color w:val="222222"/>
        </w:rPr>
        <w:t>/ce</w:t>
      </w:r>
      <w:r>
        <w:rPr>
          <w:color w:val="222222"/>
        </w:rPr>
        <w:t xml:space="preserve"> lokalne samouprave koji bi bio fokalna tačka za komunikaciju procesa integracija i programa podrške se i dalje preporučuje i sve samouprave </w:t>
      </w:r>
      <w:r w:rsidR="00773A34">
        <w:rPr>
          <w:color w:val="222222"/>
        </w:rPr>
        <w:t>bi trebalo da učine isto</w:t>
      </w:r>
      <w:r w:rsidR="003E331F">
        <w:rPr>
          <w:color w:val="222222"/>
        </w:rPr>
        <w:t xml:space="preserve"> </w:t>
      </w:r>
      <w:r>
        <w:rPr>
          <w:color w:val="222222"/>
        </w:rPr>
        <w:t>u narednom periodu. Procesi edukacije moraju uključiti i predstavnike</w:t>
      </w:r>
      <w:r w:rsidR="0065163D">
        <w:rPr>
          <w:color w:val="222222"/>
        </w:rPr>
        <w:t>/ce</w:t>
      </w:r>
      <w:r>
        <w:rPr>
          <w:color w:val="222222"/>
        </w:rPr>
        <w:t xml:space="preserve"> sa lokalnog nivoa.</w:t>
      </w:r>
    </w:p>
    <w:p w14:paraId="00000285" w14:textId="5AC73DFD" w:rsidR="007A6527" w:rsidRDefault="008A787C">
      <w:pPr>
        <w:spacing w:before="240" w:after="120"/>
        <w:rPr>
          <w:color w:val="222222"/>
        </w:rPr>
      </w:pPr>
      <w:r>
        <w:rPr>
          <w:color w:val="222222"/>
        </w:rPr>
        <w:t>Ukoliko postoji objektivna potreba, lokalne samouprave bi trebale imati lokalni komunikacioni plan, baziran na modelu koji im je obezbijeđen sa državnog nivoa. Spisak EU projekata, uspješno implementiranih i onih koji su u toku su lična karta svake lokalne samouprave u procesu komunciranja EU integracije. To traži da se komuniciranje programa podrške koji se implementiraju na lokalnom nivou brižljivo planira u koordinaciji državno-lokalnog nivoa. Kao i u slučaju javnih službenika</w:t>
      </w:r>
      <w:r w:rsidR="0065163D">
        <w:rPr>
          <w:color w:val="222222"/>
        </w:rPr>
        <w:t>/ce</w:t>
      </w:r>
      <w:r>
        <w:rPr>
          <w:color w:val="222222"/>
        </w:rPr>
        <w:t>, neophodno je unaprijediti generalni nivo informisanosti i znanja funkcionera</w:t>
      </w:r>
      <w:r w:rsidR="0065163D">
        <w:rPr>
          <w:color w:val="222222"/>
        </w:rPr>
        <w:t>/ki</w:t>
      </w:r>
      <w:r>
        <w:rPr>
          <w:color w:val="222222"/>
        </w:rPr>
        <w:t>, službenika</w:t>
      </w:r>
      <w:r w:rsidR="0065163D">
        <w:rPr>
          <w:color w:val="222222"/>
        </w:rPr>
        <w:t>/ca</w:t>
      </w:r>
      <w:r>
        <w:rPr>
          <w:color w:val="222222"/>
        </w:rPr>
        <w:t xml:space="preserve"> i namještenika</w:t>
      </w:r>
      <w:r w:rsidR="0065163D">
        <w:rPr>
          <w:color w:val="222222"/>
        </w:rPr>
        <w:t>/ca</w:t>
      </w:r>
      <w:r>
        <w:rPr>
          <w:color w:val="222222"/>
        </w:rPr>
        <w:t xml:space="preserve"> lokalne samouprave na temu pristupanja EU, s posebnim osvrtom na programe podrške EU i tako uticati na razvoj kapaciteta za apliciranje za projekte, podizati vidljivost rezultata projekata, uz održavanje stepena podrške integraciji u EU. Takođe, potrebno je osnažiti komunikaciju samouprava prema privredi na lokalnom nivou, u cilju predstavljanja EU programa podrške za razvoj biznisa. Ukoliko je lokalna samouprava prepoznata kao regionalni centar, prema kojem fluktuiraju stanovnici ostalih lokalnih zajednica, </w:t>
      </w:r>
      <w:r w:rsidR="00773A34">
        <w:rPr>
          <w:color w:val="222222"/>
        </w:rPr>
        <w:t xml:space="preserve">preporučuje se </w:t>
      </w:r>
      <w:r>
        <w:rPr>
          <w:color w:val="222222"/>
        </w:rPr>
        <w:t xml:space="preserve">osnivanje </w:t>
      </w:r>
      <w:r w:rsidR="00DE3C9D">
        <w:rPr>
          <w:color w:val="222222"/>
        </w:rPr>
        <w:t>EU info centara, poput</w:t>
      </w:r>
      <w:r w:rsidR="0065163D">
        <w:rPr>
          <w:color w:val="222222"/>
        </w:rPr>
        <w:t xml:space="preserve">, </w:t>
      </w:r>
      <w:r>
        <w:rPr>
          <w:color w:val="222222"/>
        </w:rPr>
        <w:t>EU kutka ili nekog sličnog modaliteta, u saradnji sa civilnim sektorom ili drugim partnerima</w:t>
      </w:r>
      <w:r w:rsidR="00773A34">
        <w:rPr>
          <w:color w:val="222222"/>
        </w:rPr>
        <w:t>.</w:t>
      </w:r>
    </w:p>
    <w:p w14:paraId="00000286" w14:textId="536F7FCB" w:rsidR="007A6527" w:rsidRDefault="008A787C">
      <w:pPr>
        <w:spacing w:before="240" w:after="120"/>
        <w:rPr>
          <w:color w:val="FF0000"/>
        </w:rPr>
      </w:pPr>
      <w:r>
        <w:rPr>
          <w:color w:val="222222"/>
        </w:rPr>
        <w:t>Ministarske posjete, sastanci sa ambasadorima  zemalja</w:t>
      </w:r>
      <w:r w:rsidR="00016651">
        <w:rPr>
          <w:color w:val="222222"/>
        </w:rPr>
        <w:t xml:space="preserve"> EU</w:t>
      </w:r>
      <w:r>
        <w:rPr>
          <w:color w:val="222222"/>
        </w:rPr>
        <w:t xml:space="preserve">, mini-sajmovi </w:t>
      </w:r>
      <w:r w:rsidR="00016651">
        <w:rPr>
          <w:color w:val="222222"/>
        </w:rPr>
        <w:t>evropskih</w:t>
      </w:r>
      <w:r>
        <w:rPr>
          <w:color w:val="222222"/>
        </w:rPr>
        <w:t xml:space="preserve"> projekata, organizovani u partnerstvu sa lokalnim samoupravama produbljuju saradnju, čine interne kanale komunikacije čvršćim i efikasnijim i omogućuju lokalnim akterima da se osjećaju istinskim dijelom procesa integracije.</w:t>
      </w:r>
    </w:p>
    <w:p w14:paraId="00000287" w14:textId="77777777" w:rsidR="007A6527" w:rsidRPr="000A5977" w:rsidRDefault="008A787C" w:rsidP="00EE597D">
      <w:pPr>
        <w:pStyle w:val="Heading2"/>
        <w:rPr>
          <w:b/>
        </w:rPr>
      </w:pPr>
      <w:bookmarkStart w:id="25" w:name="_Toc140567041"/>
      <w:r w:rsidRPr="000A5977">
        <w:rPr>
          <w:b/>
        </w:rPr>
        <w:t>Domaća javnost</w:t>
      </w:r>
      <w:bookmarkEnd w:id="25"/>
    </w:p>
    <w:p w14:paraId="00000288" w14:textId="1EC5B996" w:rsidR="007A6527" w:rsidRDefault="008A787C">
      <w:pPr>
        <w:spacing w:before="240" w:after="240"/>
        <w:rPr>
          <w:color w:val="222222"/>
        </w:rPr>
      </w:pPr>
      <w:r>
        <w:rPr>
          <w:color w:val="222222"/>
        </w:rPr>
        <w:t xml:space="preserve">Komuniciranje sveobuhvatnog društvenog procesa kao što je evropska integracija zahtijeva da </w:t>
      </w:r>
      <w:r w:rsidR="00016651">
        <w:rPr>
          <w:color w:val="222222"/>
        </w:rPr>
        <w:t xml:space="preserve">ciljna javnost </w:t>
      </w:r>
      <w:r>
        <w:rPr>
          <w:color w:val="222222"/>
        </w:rPr>
        <w:t>komunikacije budu svi građani</w:t>
      </w:r>
      <w:r w:rsidR="0065163D">
        <w:rPr>
          <w:color w:val="222222"/>
        </w:rPr>
        <w:t>/ke</w:t>
      </w:r>
      <w:r>
        <w:rPr>
          <w:color w:val="222222"/>
        </w:rPr>
        <w:t xml:space="preserve"> Crne Gore. U značajnom dijelu komunikacije to će i biti ciljna grupa – komuniciranje kroz masovne medije zahtijeva takav proces. Međutim, kao što smo naveli u principima, targetiranje je jedan od bazičnih principa na kojima se ova Strategija zasniva, pa smo </w:t>
      </w:r>
      <w:r w:rsidR="00D75FF8">
        <w:rPr>
          <w:color w:val="222222"/>
        </w:rPr>
        <w:t xml:space="preserve">na </w:t>
      </w:r>
      <w:r>
        <w:rPr>
          <w:color w:val="222222"/>
        </w:rPr>
        <w:t>osnovu podataka koji su nam dostupni, a posebno analize stanja i komunikacionih šumova, diferencirali više pojedinačnih grupa koje trebaju specifičan pristup i posebno targetiranje.</w:t>
      </w:r>
    </w:p>
    <w:p w14:paraId="00000289" w14:textId="77777777" w:rsidR="007A6527" w:rsidRDefault="008A787C">
      <w:pPr>
        <w:spacing w:before="240" w:after="240"/>
        <w:rPr>
          <w:color w:val="222222"/>
        </w:rPr>
      </w:pPr>
      <w:r>
        <w:rPr>
          <w:color w:val="222222"/>
        </w:rPr>
        <w:t xml:space="preserve"> </w:t>
      </w:r>
    </w:p>
    <w:p w14:paraId="0000028A" w14:textId="77777777" w:rsidR="007A6527" w:rsidRDefault="008A787C">
      <w:pPr>
        <w:spacing w:before="240" w:after="240"/>
        <w:ind w:left="360"/>
        <w:rPr>
          <w:color w:val="222222"/>
        </w:rPr>
      </w:pPr>
      <w:r>
        <w:rPr>
          <w:color w:val="222222"/>
        </w:rPr>
        <w:t xml:space="preserve">§  Neodlučni </w:t>
      </w:r>
    </w:p>
    <w:p w14:paraId="0000028B" w14:textId="226D678A" w:rsidR="007A6527" w:rsidRDefault="008A787C">
      <w:pPr>
        <w:spacing w:before="240" w:after="240"/>
        <w:ind w:left="360"/>
        <w:rPr>
          <w:color w:val="222222"/>
        </w:rPr>
      </w:pPr>
      <w:r>
        <w:rPr>
          <w:color w:val="222222"/>
        </w:rPr>
        <w:t>§  Građani</w:t>
      </w:r>
      <w:r w:rsidR="0065163D">
        <w:rPr>
          <w:color w:val="222222"/>
        </w:rPr>
        <w:t>/ke</w:t>
      </w:r>
      <w:r>
        <w:rPr>
          <w:color w:val="222222"/>
        </w:rPr>
        <w:t xml:space="preserve"> koji su protiv članstva u  EU</w:t>
      </w:r>
    </w:p>
    <w:p w14:paraId="0000028C" w14:textId="77777777" w:rsidR="007A6527" w:rsidRDefault="008A787C">
      <w:pPr>
        <w:spacing w:before="240" w:after="240"/>
        <w:ind w:left="360"/>
        <w:rPr>
          <w:color w:val="222222"/>
        </w:rPr>
      </w:pPr>
      <w:r>
        <w:rPr>
          <w:color w:val="222222"/>
        </w:rPr>
        <w:t>§  Biznis zajednica i strukovna udruženja</w:t>
      </w:r>
    </w:p>
    <w:p w14:paraId="0000028D" w14:textId="77777777" w:rsidR="007A6527" w:rsidRDefault="008A787C">
      <w:pPr>
        <w:spacing w:before="240" w:after="240"/>
        <w:ind w:left="360"/>
        <w:rPr>
          <w:color w:val="222222"/>
        </w:rPr>
      </w:pPr>
      <w:r>
        <w:rPr>
          <w:color w:val="222222"/>
        </w:rPr>
        <w:t>§  Mladi</w:t>
      </w:r>
    </w:p>
    <w:p w14:paraId="0000028F" w14:textId="77777777" w:rsidR="007A6527" w:rsidRDefault="008A787C">
      <w:pPr>
        <w:spacing w:before="240" w:after="240"/>
        <w:ind w:left="360"/>
        <w:rPr>
          <w:color w:val="222222"/>
        </w:rPr>
      </w:pPr>
      <w:r>
        <w:rPr>
          <w:color w:val="222222"/>
        </w:rPr>
        <w:t>§  Ranjive grupe</w:t>
      </w:r>
    </w:p>
    <w:p w14:paraId="00000290" w14:textId="77777777" w:rsidR="007A6527" w:rsidRDefault="008A787C">
      <w:pPr>
        <w:spacing w:before="240" w:after="240"/>
        <w:rPr>
          <w:color w:val="222222"/>
        </w:rPr>
      </w:pPr>
      <w:r>
        <w:rPr>
          <w:color w:val="222222"/>
        </w:rPr>
        <w:t xml:space="preserve"> </w:t>
      </w:r>
    </w:p>
    <w:p w14:paraId="00000291" w14:textId="77777777" w:rsidR="007A6527" w:rsidRPr="000A5977" w:rsidRDefault="008A787C" w:rsidP="00EE597D">
      <w:pPr>
        <w:pStyle w:val="Heading3"/>
        <w:rPr>
          <w:color w:val="4472C4" w:themeColor="accent1"/>
        </w:rPr>
      </w:pPr>
      <w:bookmarkStart w:id="26" w:name="_Toc140567042"/>
      <w:r w:rsidRPr="000A5977">
        <w:rPr>
          <w:color w:val="4472C4" w:themeColor="accent1"/>
        </w:rPr>
        <w:t>Neodlučni</w:t>
      </w:r>
      <w:bookmarkEnd w:id="26"/>
    </w:p>
    <w:p w14:paraId="00000292" w14:textId="6DC734AC" w:rsidR="007A6527" w:rsidRDefault="008A787C">
      <w:pPr>
        <w:spacing w:before="240" w:after="240" w:line="276" w:lineRule="auto"/>
        <w:rPr>
          <w:color w:val="222222"/>
        </w:rPr>
      </w:pPr>
      <w:r>
        <w:rPr>
          <w:color w:val="222222"/>
        </w:rPr>
        <w:t xml:space="preserve">U </w:t>
      </w:r>
      <w:r w:rsidR="0048471F">
        <w:rPr>
          <w:color w:val="222222"/>
        </w:rPr>
        <w:t>ovu grupu</w:t>
      </w:r>
      <w:r>
        <w:rPr>
          <w:color w:val="222222"/>
        </w:rPr>
        <w:t xml:space="preserve"> spadaju ne samo građani</w:t>
      </w:r>
      <w:r w:rsidR="0065163D">
        <w:rPr>
          <w:color w:val="222222"/>
        </w:rPr>
        <w:t>/ke</w:t>
      </w:r>
      <w:r>
        <w:rPr>
          <w:color w:val="222222"/>
        </w:rPr>
        <w:t xml:space="preserve"> koji s</w:t>
      </w:r>
      <w:r w:rsidR="0048471F">
        <w:rPr>
          <w:color w:val="222222"/>
        </w:rPr>
        <w:t>u</w:t>
      </w:r>
      <w:r>
        <w:rPr>
          <w:color w:val="222222"/>
        </w:rPr>
        <w:t xml:space="preserve"> neodlučni povodom podrške integraciji, već i oni koji mijenjaju stepene podrške, prelaze iz “tvrđih” u “mekše” podržavaoce, sve fluidne skupine koje se mogu registrovati u kvantitativnim istraživanjima. Potrebno je provjeravati preference ovih grupa u odnosu na različite varijable i pitanja, kako bi se napravilo ono što se u marketingu zove “persona” i definisao model tog segmenta populacije. Na osnovu toga treba adaptirati i mijenjati formu i stil generalne komunikacije, tamo gdje ne narušava generalni pristup. </w:t>
      </w:r>
    </w:p>
    <w:p w14:paraId="00000293" w14:textId="310B04D1" w:rsidR="007A6527" w:rsidRPr="000A5977" w:rsidRDefault="008A787C" w:rsidP="00EE597D">
      <w:pPr>
        <w:pStyle w:val="Heading3"/>
        <w:rPr>
          <w:color w:val="4472C4" w:themeColor="accent1"/>
        </w:rPr>
      </w:pPr>
      <w:bookmarkStart w:id="27" w:name="_Toc140567043"/>
      <w:r w:rsidRPr="000A5977">
        <w:rPr>
          <w:color w:val="4472C4" w:themeColor="accent1"/>
        </w:rPr>
        <w:t>Građani</w:t>
      </w:r>
      <w:r w:rsidR="0065163D" w:rsidRPr="000A5977">
        <w:rPr>
          <w:color w:val="4472C4" w:themeColor="accent1"/>
        </w:rPr>
        <w:t>/ke</w:t>
      </w:r>
      <w:r w:rsidRPr="000A5977">
        <w:rPr>
          <w:color w:val="4472C4" w:themeColor="accent1"/>
        </w:rPr>
        <w:t xml:space="preserve"> koji su protiv članstva u EU</w:t>
      </w:r>
      <w:bookmarkEnd w:id="27"/>
    </w:p>
    <w:p w14:paraId="00000294" w14:textId="0271735D" w:rsidR="007A6527" w:rsidRDefault="008A787C">
      <w:pPr>
        <w:spacing w:before="240" w:after="240" w:line="276" w:lineRule="auto"/>
        <w:rPr>
          <w:color w:val="222222"/>
        </w:rPr>
      </w:pPr>
      <w:r>
        <w:rPr>
          <w:color w:val="222222"/>
        </w:rPr>
        <w:t>Broj građana</w:t>
      </w:r>
      <w:r w:rsidR="0065163D">
        <w:rPr>
          <w:color w:val="222222"/>
        </w:rPr>
        <w:t>/ki</w:t>
      </w:r>
      <w:r>
        <w:rPr>
          <w:color w:val="222222"/>
        </w:rPr>
        <w:t xml:space="preserve"> koji ne podržava članstvo u Evropskoj uniji već godina</w:t>
      </w:r>
      <w:r w:rsidR="0048471F">
        <w:rPr>
          <w:color w:val="222222"/>
        </w:rPr>
        <w:t>ma</w:t>
      </w:r>
      <w:r>
        <w:rPr>
          <w:color w:val="222222"/>
        </w:rPr>
        <w:t xml:space="preserve"> je stabilan i kreće se ispod 25%, uz određena prelivanja onih koji imaju tvrđi i mekši stav protiv. I pored očekivanja da bi taj procenat mogao da poraste, posebno u svijetlu dužine procesa, to se do sada nije desilo. Ipak, konstantno treba biti na oprezu, jer primjeri iz regiona pokazuju da broj oponenata</w:t>
      </w:r>
      <w:r w:rsidR="0065163D">
        <w:rPr>
          <w:color w:val="222222"/>
        </w:rPr>
        <w:t xml:space="preserve">/kinja </w:t>
      </w:r>
      <w:r>
        <w:rPr>
          <w:color w:val="222222"/>
        </w:rPr>
        <w:t>integracije može značajno da se poveća ukoliko građani</w:t>
      </w:r>
      <w:r w:rsidR="0065163D">
        <w:rPr>
          <w:color w:val="222222"/>
        </w:rPr>
        <w:t>/ke</w:t>
      </w:r>
      <w:r>
        <w:rPr>
          <w:color w:val="222222"/>
        </w:rPr>
        <w:t xml:space="preserve"> izgube povjerenje u EU i sam proces pristupanja. Komunikaciona </w:t>
      </w:r>
      <w:r w:rsidR="009A66C8">
        <w:rPr>
          <w:color w:val="222222"/>
        </w:rPr>
        <w:t>praksa</w:t>
      </w:r>
      <w:r>
        <w:rPr>
          <w:color w:val="222222"/>
        </w:rPr>
        <w:t>, posebno ona koja se koristi u komercijalne svrhe, kaže da na snažne oponente politikama ne treba trošiti značajne komunikacione resurse, jer se njihovi stavovi jako teško mijenjaju i postoje druge target grupe gdje su upotreba resursa svhrsishodnija. Proces komuniciranja EU integracije je međutim demokratičan i širok društveni proces, koji nikog ne treba da ostavlja izvan komunikacionih kanala. Takođe, posljednja dešavanja su pokazala da upravo najmanje informisani građani</w:t>
      </w:r>
      <w:r w:rsidR="0065163D">
        <w:rPr>
          <w:color w:val="222222"/>
        </w:rPr>
        <w:t>/ke</w:t>
      </w:r>
      <w:r>
        <w:rPr>
          <w:color w:val="222222"/>
        </w:rPr>
        <w:t xml:space="preserve"> postaju multiplikatori</w:t>
      </w:r>
      <w:r w:rsidR="0065163D">
        <w:rPr>
          <w:color w:val="222222"/>
        </w:rPr>
        <w:t>/ke</w:t>
      </w:r>
      <w:r>
        <w:rPr>
          <w:color w:val="222222"/>
        </w:rPr>
        <w:t xml:space="preserve"> dezinformativnih narativa i lažnih vijesti, i tako predstavljaju opasnost po čitav komunikacioni sistem. Stoga, treba nastaviti targetirati ovu grupu, upućivati iskrene, jasne i objektivne informacije prema njima, što više lišene dnevno-političkih tema i upućene na vrijednosti oko kojih postoji konsenzus. Prepreka u efikasnom komuniciranju sa ovom grupom je činjenica da ne vjeruju institucijama (67.2% tvrdi da ne vjeruje ni domaćim ni evropskim institucijama) što znači da kao komunikatore prema njima treba koristiti vaninstitucionalne ličnosti i multiplikatore</w:t>
      </w:r>
      <w:r w:rsidR="0065163D">
        <w:rPr>
          <w:color w:val="222222"/>
        </w:rPr>
        <w:t>/ke</w:t>
      </w:r>
      <w:r>
        <w:rPr>
          <w:color w:val="222222"/>
        </w:rPr>
        <w:t xml:space="preserve"> bliske ovi</w:t>
      </w:r>
      <w:r w:rsidR="0048471F">
        <w:rPr>
          <w:color w:val="222222"/>
        </w:rPr>
        <w:t>m</w:t>
      </w:r>
      <w:r>
        <w:rPr>
          <w:color w:val="222222"/>
        </w:rPr>
        <w:t xml:space="preserve"> grupama po vrijednostima, ali i direktne korisnike EU pomoći, kao primjere pozitivnog uticaja procesa integracije.</w:t>
      </w:r>
    </w:p>
    <w:p w14:paraId="00000295" w14:textId="77777777" w:rsidR="007A6527" w:rsidRPr="000A5977" w:rsidRDefault="008A787C">
      <w:pPr>
        <w:spacing w:before="240" w:after="240" w:line="276" w:lineRule="auto"/>
        <w:rPr>
          <w:color w:val="4472C4" w:themeColor="accent1"/>
        </w:rPr>
      </w:pPr>
      <w:r w:rsidRPr="000A5977">
        <w:rPr>
          <w:color w:val="4472C4" w:themeColor="accent1"/>
        </w:rPr>
        <w:t xml:space="preserve"> </w:t>
      </w:r>
    </w:p>
    <w:p w14:paraId="00000296" w14:textId="77777777" w:rsidR="007A6527" w:rsidRPr="000A5977" w:rsidRDefault="008A787C" w:rsidP="00EE597D">
      <w:pPr>
        <w:pStyle w:val="Heading3"/>
        <w:rPr>
          <w:color w:val="4472C4" w:themeColor="accent1"/>
        </w:rPr>
      </w:pPr>
      <w:bookmarkStart w:id="28" w:name="_Toc140567044"/>
      <w:r w:rsidRPr="000A5977">
        <w:rPr>
          <w:color w:val="4472C4" w:themeColor="accent1"/>
        </w:rPr>
        <w:t>Biznis zajednica i strukovna udruženja</w:t>
      </w:r>
      <w:bookmarkEnd w:id="28"/>
    </w:p>
    <w:p w14:paraId="00000297" w14:textId="638F75C5" w:rsidR="007A6527" w:rsidRDefault="008A787C">
      <w:pPr>
        <w:spacing w:before="240" w:after="240" w:line="276" w:lineRule="auto"/>
        <w:rPr>
          <w:color w:val="222222"/>
        </w:rPr>
      </w:pPr>
      <w:r>
        <w:rPr>
          <w:color w:val="222222"/>
        </w:rPr>
        <w:t>O biznis zajednici, strukovnim udruženjima, klast</w:t>
      </w:r>
      <w:r w:rsidR="00D75FF8">
        <w:rPr>
          <w:color w:val="222222"/>
        </w:rPr>
        <w:t>e</w:t>
      </w:r>
      <w:r>
        <w:rPr>
          <w:color w:val="222222"/>
        </w:rPr>
        <w:t>rima proizvođača obično govorimo kao multiplikatorima</w:t>
      </w:r>
      <w:r w:rsidR="0065163D">
        <w:rPr>
          <w:color w:val="222222"/>
        </w:rPr>
        <w:t>/kama</w:t>
      </w:r>
      <w:r>
        <w:rPr>
          <w:color w:val="222222"/>
        </w:rPr>
        <w:t xml:space="preserve">, nekome ko može pomoći da naša poruka dopre do više ljudi. Međutim, biznis zajednica je takođe i naša važna </w:t>
      </w:r>
      <w:r w:rsidR="007E2958">
        <w:rPr>
          <w:color w:val="222222"/>
        </w:rPr>
        <w:t xml:space="preserve">ciljna </w:t>
      </w:r>
      <w:r>
        <w:rPr>
          <w:color w:val="222222"/>
        </w:rPr>
        <w:t xml:space="preserve">grupa sa kojom treba konstantno i predano raditi i čija podrška integracijama je jako bitna. </w:t>
      </w:r>
      <w:r w:rsidR="0065163D">
        <w:rPr>
          <w:color w:val="222222"/>
        </w:rPr>
        <w:t>Imajući u vidu da r</w:t>
      </w:r>
      <w:r>
        <w:rPr>
          <w:color w:val="222222"/>
        </w:rPr>
        <w:t xml:space="preserve">eforme mogu biti </w:t>
      </w:r>
      <w:r w:rsidR="00792509">
        <w:rPr>
          <w:color w:val="222222"/>
        </w:rPr>
        <w:t>izazov</w:t>
      </w:r>
      <w:r>
        <w:rPr>
          <w:color w:val="222222"/>
        </w:rPr>
        <w:t xml:space="preserve"> za predstavnike ove target grupeneophodno </w:t>
      </w:r>
      <w:r w:rsidR="0065163D">
        <w:rPr>
          <w:color w:val="222222"/>
        </w:rPr>
        <w:t xml:space="preserve">je </w:t>
      </w:r>
      <w:r>
        <w:rPr>
          <w:color w:val="222222"/>
        </w:rPr>
        <w:t xml:space="preserve">pravovremeno, efektivno i iskreno komunicirati reformski proces, sve njegove </w:t>
      </w:r>
      <w:r w:rsidR="00B65272">
        <w:rPr>
          <w:color w:val="222222"/>
        </w:rPr>
        <w:t xml:space="preserve">koristi </w:t>
      </w:r>
      <w:r>
        <w:rPr>
          <w:color w:val="222222"/>
        </w:rPr>
        <w:t xml:space="preserve">i </w:t>
      </w:r>
      <w:r w:rsidR="00B65272">
        <w:rPr>
          <w:color w:val="222222"/>
        </w:rPr>
        <w:t>mogućnosti</w:t>
      </w:r>
      <w:r>
        <w:rPr>
          <w:color w:val="222222"/>
        </w:rPr>
        <w:t>. Ovdje neposredna i usko-targetirana komunikacija preuzima prevagu. Neformalni i formalni sastanci, radne posjete, susreti sa ekspertima</w:t>
      </w:r>
      <w:r w:rsidR="007F2C1C">
        <w:rPr>
          <w:color w:val="222222"/>
        </w:rPr>
        <w:t>/kinjama</w:t>
      </w:r>
      <w:r>
        <w:rPr>
          <w:color w:val="222222"/>
        </w:rPr>
        <w:t xml:space="preserve"> i predstavnicima istih zajednica iz EU, samo su neki od modela da se ostvari efikasna dvosmjerna komunikacija. Specijalni komunikacioni proizvodi, poput video i štampanog materijala kojim se, recimo, objašnjava kako prilagoditi biznis novim inspekcijskim zahtjevima nastalim zbog usklađivanja zakonodavstva. Direktna involviranost javnih službenika</w:t>
      </w:r>
      <w:r w:rsidR="007F2C1C">
        <w:rPr>
          <w:color w:val="222222"/>
        </w:rPr>
        <w:t>/ca</w:t>
      </w:r>
      <w:r>
        <w:rPr>
          <w:color w:val="222222"/>
        </w:rPr>
        <w:t xml:space="preserve"> koji se bave ekonomskim polit</w:t>
      </w:r>
      <w:r w:rsidR="00D75FF8">
        <w:rPr>
          <w:color w:val="222222"/>
        </w:rPr>
        <w:t>i</w:t>
      </w:r>
      <w:r>
        <w:rPr>
          <w:color w:val="222222"/>
        </w:rPr>
        <w:t xml:space="preserve">kama je neophodna u procesu komuniciranja sa ovom </w:t>
      </w:r>
      <w:r w:rsidR="007E2958">
        <w:rPr>
          <w:color w:val="222222"/>
        </w:rPr>
        <w:t>ciljnom</w:t>
      </w:r>
      <w:r w:rsidR="00447119">
        <w:rPr>
          <w:color w:val="222222"/>
        </w:rPr>
        <w:t xml:space="preserve"> </w:t>
      </w:r>
      <w:r>
        <w:rPr>
          <w:color w:val="222222"/>
        </w:rPr>
        <w:t>grupom.</w:t>
      </w:r>
    </w:p>
    <w:p w14:paraId="00000298" w14:textId="77777777" w:rsidR="007A6527" w:rsidRPr="000A5977" w:rsidRDefault="008A787C" w:rsidP="00EE597D">
      <w:pPr>
        <w:pStyle w:val="Heading3"/>
        <w:rPr>
          <w:color w:val="4472C4" w:themeColor="accent1"/>
        </w:rPr>
      </w:pPr>
      <w:bookmarkStart w:id="29" w:name="_Toc140567045"/>
      <w:r w:rsidRPr="000A5977">
        <w:rPr>
          <w:color w:val="4472C4" w:themeColor="accent1"/>
        </w:rPr>
        <w:t>Mladi</w:t>
      </w:r>
      <w:bookmarkEnd w:id="29"/>
    </w:p>
    <w:p w14:paraId="0000029B" w14:textId="24F6F0A5" w:rsidR="007A6527" w:rsidRPr="00EE597D" w:rsidRDefault="008A787C" w:rsidP="00EE597D">
      <w:pPr>
        <w:spacing w:before="240" w:after="240" w:line="276" w:lineRule="auto"/>
        <w:rPr>
          <w:color w:val="222222"/>
        </w:rPr>
      </w:pPr>
      <w:r>
        <w:rPr>
          <w:color w:val="222222"/>
        </w:rPr>
        <w:t>Komuniciranje sa mladima, posebno u dobi kada formiraju svoje političke stavove je jako bitno i pravi temelj za svaku buduću komunikaciju.  Prema posljednjem popisu, stopa mladih uzrasta od 15 do 29 godina čini 21,4% od ukupnog stanovništva Crne Gore što znači da je svaki peti građanin</w:t>
      </w:r>
      <w:r w:rsidR="007F2C1C">
        <w:rPr>
          <w:color w:val="222222"/>
        </w:rPr>
        <w:t>/ka</w:t>
      </w:r>
      <w:r>
        <w:rPr>
          <w:color w:val="222222"/>
        </w:rPr>
        <w:t xml:space="preserve"> mlada osoba. Gledano generacijski (grafik 3), podrška pristupanju je u prosjeku viša među mlađom i populacijom srednjih godina. Ova raznolika grupa zahtijeva poseban pristup, baziran na digitalnoj komunikaciji, ne ispuštajući važnost neposrednog kontakta. Taj pristup ne smije biti opterećen birokratizovanom komunikacijom i mora ponuditi iskrenu mogućnost povratnog odgovora i dvosmjerne komunikacije. To je pristup baziran na zajedničkim vrijednostima, kulturnoj razmjeni i uključenosti. Princip „Uključi, povezuj, osnaži“ koju EU zastupa u svojoj Strategiji za mlade</w:t>
      </w:r>
      <w:r>
        <w:rPr>
          <w:color w:val="222222"/>
          <w:vertAlign w:val="superscript"/>
        </w:rPr>
        <w:footnoteReference w:id="10"/>
      </w:r>
      <w:r>
        <w:rPr>
          <w:color w:val="222222"/>
        </w:rPr>
        <w:t xml:space="preserve"> i ovdje može biti primijenjen. Tokom 2022</w:t>
      </w:r>
      <w:r w:rsidR="00D75FF8">
        <w:rPr>
          <w:color w:val="222222"/>
        </w:rPr>
        <w:t>. godine</w:t>
      </w:r>
      <w:r>
        <w:rPr>
          <w:color w:val="222222"/>
        </w:rPr>
        <w:t xml:space="preserve">, koju je Evropska unija proglasila godinom mladih postavljeni su dobri temelji buduće komunikacije, ne samo u EU, već i u Crnoj Gori. Urađen je pilot projekat Strukturnog dijaloga koji treba nastaviti </w:t>
      </w:r>
      <w:r w:rsidR="00D75FF8">
        <w:rPr>
          <w:color w:val="222222"/>
        </w:rPr>
        <w:t>i</w:t>
      </w:r>
      <w:r>
        <w:rPr>
          <w:color w:val="222222"/>
        </w:rPr>
        <w:t xml:space="preserve"> učiniti održivim. Evropska unija već treću godinu bira Mlade evropske ambasadore</w:t>
      </w:r>
      <w:r w:rsidR="007F2C1C">
        <w:rPr>
          <w:color w:val="222222"/>
        </w:rPr>
        <w:t>/ke</w:t>
      </w:r>
      <w:r>
        <w:rPr>
          <w:color w:val="222222"/>
        </w:rPr>
        <w:t xml:space="preserve"> koji djeluju kao multiplikatori u svojim sredinama. Sprovođenjem prethodne Strategije napravljena je dobra baza aktivnosti sa mladima, poput tamičenja, kvizova, umjetničkih događaja, koju treba nadograditi. Treba nastaviti sve dobre prakse, posjete školama, online škole evropskog građanstva, studijske posjete zemljama EU. Pred mlade treba staviti mogućnosti koje se pružaju njihovim vršnjacima u EU, poput studentskih razmjena, besplatnih voznih karti, makar i u nekom simboličnom obimu, usklađenom sa dostupnim resursima. Mlade treba pratiti na društvenim mrežama i komunikacionim kanalima koje koriste, uz obavezu da je sadržaj potpuno prilagođen tim mrežama i kanalima. </w:t>
      </w:r>
    </w:p>
    <w:p w14:paraId="0000029E" w14:textId="77777777" w:rsidR="007A6527" w:rsidRPr="000A5977" w:rsidRDefault="008A787C" w:rsidP="00EE597D">
      <w:pPr>
        <w:pStyle w:val="Heading3"/>
        <w:rPr>
          <w:color w:val="4472C4" w:themeColor="accent1"/>
          <w:sz w:val="26"/>
          <w:szCs w:val="26"/>
        </w:rPr>
      </w:pPr>
      <w:bookmarkStart w:id="30" w:name="_Toc140567046"/>
      <w:r w:rsidRPr="000A5977">
        <w:rPr>
          <w:color w:val="4472C4" w:themeColor="accent1"/>
          <w:sz w:val="26"/>
          <w:szCs w:val="26"/>
        </w:rPr>
        <w:t>Ranjive grupe</w:t>
      </w:r>
      <w:bookmarkEnd w:id="30"/>
    </w:p>
    <w:p w14:paraId="0000029F" w14:textId="392F15CA" w:rsidR="007A6527" w:rsidRDefault="008A787C">
      <w:pPr>
        <w:spacing w:before="240" w:after="240" w:line="276" w:lineRule="auto"/>
        <w:rPr>
          <w:color w:val="222222"/>
        </w:rPr>
      </w:pPr>
      <w:r>
        <w:rPr>
          <w:color w:val="222222"/>
        </w:rPr>
        <w:t>Postoji opravdana opasnost da će ranjive grupe, posebno one koje vjeruju da su napuštene od sistema, identifikovati druge procese sa sistemom, i time imati</w:t>
      </w:r>
      <w:r w:rsidR="005849EC">
        <w:rPr>
          <w:color w:val="222222"/>
        </w:rPr>
        <w:t xml:space="preserve"> nizak stepen</w:t>
      </w:r>
      <w:r>
        <w:rPr>
          <w:color w:val="222222"/>
        </w:rPr>
        <w:t xml:space="preserve"> povjerenj</w:t>
      </w:r>
      <w:r w:rsidR="005849EC">
        <w:rPr>
          <w:color w:val="222222"/>
        </w:rPr>
        <w:t>a</w:t>
      </w:r>
      <w:r>
        <w:rPr>
          <w:color w:val="222222"/>
        </w:rPr>
        <w:t xml:space="preserve"> u njih. Nezaposleni i osobe u stanju socijalne potrebe mogu uskratiti podršku procesu integracije ako vjeruju da taj proces ne mijenja ništa suštinski u njihovom položaju. Zbog toga treba uložiti dodatni napor u komuniciranju prema ovim grupama, ne samo o nivou zaštite koje ranjive grupe imaju u Evropskoj uniji, već i brojnih EU projekata koji se već sada bave ovom tematikom</w:t>
      </w:r>
      <w:r>
        <w:rPr>
          <w:color w:val="222222"/>
          <w:vertAlign w:val="superscript"/>
        </w:rPr>
        <w:footnoteReference w:id="11"/>
      </w:r>
      <w:r>
        <w:rPr>
          <w:color w:val="222222"/>
        </w:rPr>
        <w:t xml:space="preserve">, uključujući i direktnu budžetsku podršku, koja često ostane nedovoljno dobro komunicirana. Rad sa institucijama </w:t>
      </w:r>
      <w:r w:rsidR="007E2958">
        <w:rPr>
          <w:color w:val="222222"/>
        </w:rPr>
        <w:t xml:space="preserve">i organizacijama </w:t>
      </w:r>
      <w:r>
        <w:rPr>
          <w:color w:val="222222"/>
        </w:rPr>
        <w:t xml:space="preserve">koji se bave ranjivim grupama, je važan u smislu uspostavljanja komunikacionih kanala, ali i dobijanja povratnih informacija. </w:t>
      </w:r>
    </w:p>
    <w:p w14:paraId="1A2121D1" w14:textId="32C9B5DB" w:rsidR="007E434B" w:rsidRDefault="007E434B">
      <w:pPr>
        <w:spacing w:before="240" w:after="240" w:line="276" w:lineRule="auto"/>
        <w:rPr>
          <w:color w:val="222222"/>
        </w:rPr>
      </w:pPr>
      <w:r>
        <w:rPr>
          <w:color w:val="222222"/>
        </w:rPr>
        <w:t>Takođe, d</w:t>
      </w:r>
      <w:r w:rsidRPr="007E434B">
        <w:rPr>
          <w:color w:val="222222"/>
        </w:rPr>
        <w:t>ostupna istraživanja ukazuju da obje kategorije</w:t>
      </w:r>
      <w:r>
        <w:rPr>
          <w:color w:val="222222"/>
        </w:rPr>
        <w:t xml:space="preserve"> (nezaposleni i osobe u stanju socijalne potrebe)</w:t>
      </w:r>
      <w:r w:rsidRPr="007E434B">
        <w:rPr>
          <w:color w:val="222222"/>
        </w:rPr>
        <w:t xml:space="preserve"> imaju snažnu rodnu dimenzi</w:t>
      </w:r>
      <w:r>
        <w:rPr>
          <w:color w:val="222222"/>
        </w:rPr>
        <w:t>ju. Prema dostupnim podacima MONSTAT-a</w:t>
      </w:r>
      <w:r w:rsidRPr="007E434B">
        <w:rPr>
          <w:color w:val="222222"/>
        </w:rPr>
        <w:t xml:space="preserve">, na </w:t>
      </w:r>
      <w:r>
        <w:rPr>
          <w:color w:val="222222"/>
        </w:rPr>
        <w:t>tržištu je m</w:t>
      </w:r>
      <w:r w:rsidRPr="007E434B">
        <w:rPr>
          <w:color w:val="222222"/>
        </w:rPr>
        <w:t xml:space="preserve">anje zaposlenih žena 46,1% od muškaraca 53,9%. Ako govorimo o "socijalno ugroženim kategorijama", ukrštanjem dostupnih podataka opet se dolazi do činjenice da su žene u jednoroditeljskim porodicama sa jednim iii više djece višestruko ugrožena grupa. U 2021. godini, najvišu </w:t>
      </w:r>
      <w:r>
        <w:rPr>
          <w:color w:val="222222"/>
        </w:rPr>
        <w:t>stopu rizika od siromaštva imale su</w:t>
      </w:r>
      <w:r w:rsidRPr="007E434B">
        <w:rPr>
          <w:color w:val="222222"/>
        </w:rPr>
        <w:t xml:space="preserve"> osobe u domaćinstvima koja se sastoje od jedne odrasle osobe s najmanje jednim izdržavanim djetetom (47,4%) i djece do 18 godina (30,5%).</w:t>
      </w:r>
      <w:r>
        <w:rPr>
          <w:color w:val="222222"/>
        </w:rPr>
        <w:t xml:space="preserve"> </w:t>
      </w:r>
      <w:r w:rsidRPr="007E434B">
        <w:rPr>
          <w:color w:val="222222"/>
        </w:rPr>
        <w:t xml:space="preserve">Kad se ovi podaci povežu sa </w:t>
      </w:r>
      <w:r>
        <w:rPr>
          <w:color w:val="222222"/>
        </w:rPr>
        <w:t xml:space="preserve">ostalim </w:t>
      </w:r>
      <w:r w:rsidRPr="007E434B">
        <w:rPr>
          <w:color w:val="222222"/>
        </w:rPr>
        <w:t>zvaničnim godišnjim podacima</w:t>
      </w:r>
      <w:r>
        <w:rPr>
          <w:color w:val="222222"/>
        </w:rPr>
        <w:t xml:space="preserve">, </w:t>
      </w:r>
      <w:r w:rsidRPr="007E434B">
        <w:rPr>
          <w:color w:val="222222"/>
        </w:rPr>
        <w:t>jasno je da rizik od siromaštva ne</w:t>
      </w:r>
      <w:r>
        <w:rPr>
          <w:color w:val="222222"/>
        </w:rPr>
        <w:t>srazmjerno više pogađ</w:t>
      </w:r>
      <w:r w:rsidRPr="007E434B">
        <w:rPr>
          <w:color w:val="222222"/>
        </w:rPr>
        <w:t>a ženska domaćinstva s izdržavanom djecom nego sto je to vidljivo iz službenih izjava o siromaštvu i životnim uslovima</w:t>
      </w:r>
      <w:r>
        <w:rPr>
          <w:color w:val="222222"/>
        </w:rPr>
        <w:t>.</w:t>
      </w:r>
    </w:p>
    <w:p w14:paraId="4A9E9D19" w14:textId="0031A174" w:rsidR="00B064A8" w:rsidRDefault="00380CB7">
      <w:pPr>
        <w:spacing w:before="240" w:after="240" w:line="276" w:lineRule="auto"/>
        <w:rPr>
          <w:color w:val="222222"/>
        </w:rPr>
      </w:pPr>
      <w:r>
        <w:rPr>
          <w:color w:val="222222"/>
        </w:rPr>
        <w:t xml:space="preserve">Ovi podaci ukazuju da </w:t>
      </w:r>
      <w:r w:rsidRPr="00380CB7">
        <w:rPr>
          <w:color w:val="222222"/>
        </w:rPr>
        <w:t>stanovništvo sa kojim se komunicira ima heterogene potrebe i da su one različite za žene i muškarce te ostale pripadnike/ce marginalizovanih grupa</w:t>
      </w:r>
      <w:r>
        <w:rPr>
          <w:color w:val="222222"/>
        </w:rPr>
        <w:t>, o čemu će se voditi računa prilikom izrade i sprovođenja akcionih planova za implementaciju Strategije.</w:t>
      </w:r>
    </w:p>
    <w:p w14:paraId="000002A0" w14:textId="77777777" w:rsidR="007A6527" w:rsidRPr="00EE597D" w:rsidRDefault="008A787C" w:rsidP="00EE597D">
      <w:pPr>
        <w:pStyle w:val="Heading2"/>
        <w:rPr>
          <w:b/>
        </w:rPr>
      </w:pPr>
      <w:bookmarkStart w:id="31" w:name="_Toc140567047"/>
      <w:r w:rsidRPr="00EE597D">
        <w:rPr>
          <w:b/>
        </w:rPr>
        <w:t>Međunarodne javnosti</w:t>
      </w:r>
      <w:bookmarkEnd w:id="31"/>
    </w:p>
    <w:p w14:paraId="000002A1" w14:textId="51801592" w:rsidR="007A6527" w:rsidRDefault="008A787C">
      <w:pPr>
        <w:spacing w:before="240" w:after="120"/>
      </w:pPr>
      <w:r>
        <w:rPr>
          <w:color w:val="222222"/>
        </w:rPr>
        <w:t>Podrška javnosti u zemljama članicama EU priključenju Crne Gore već sada je ozbiljan faktor koji utiče na proces integracije, a taj uticaj će se povećavati kako Crna Gora bude ulazila u završne faze pregovora. Postoji jasan interes da se Crna Gora evropskoj javnosti predstavi kao uspješna evropska priča, predvodnik procesa integracija, na strani evropskih vrijednosti, zemlja bez tereta prošlosti i problema sa susjedima, koja je jasno posvećena reformskom procesu i svojoj evropskoj budućnosti. Slika koju Crna Gora šalje o sebi će uticati na percepciju javnosti u zemljama članicama, koje će, svaka pojedinačno, ratifikovati i odobriti članstvo Crne Gore u EU. Jedini način da se komunikacija uspješno ostvaruje, uzevši u obzir ograničene resurse i široku ciljnu grupu, jeste kroz sinergiju sa partnerima. U tom smislu u prvom planu su diplomatska predstavništva Evropske unije i zemalja članica u Crnoj Gori, diplomatska predstavništva Crne Gore u EU i zemljama članicama</w:t>
      </w:r>
      <w:r w:rsidR="004A688E">
        <w:rPr>
          <w:color w:val="222222"/>
        </w:rPr>
        <w:t xml:space="preserve"> EU</w:t>
      </w:r>
      <w:r>
        <w:rPr>
          <w:color w:val="222222"/>
        </w:rPr>
        <w:t xml:space="preserve">, institucije i zvaničnici EU, </w:t>
      </w:r>
      <w:r w:rsidR="000E55F5">
        <w:rPr>
          <w:color w:val="222222"/>
        </w:rPr>
        <w:t xml:space="preserve">parlamentarci iz država članica EU, </w:t>
      </w:r>
      <w:r>
        <w:rPr>
          <w:color w:val="222222"/>
        </w:rPr>
        <w:t>predstavništva međunarodnih organizacija u Crnoj Gori, domaće i strane akademske institucije, međunarodne nevladine i „think tank“ organizacije, inostrani mediji i crnogorski dopisnici</w:t>
      </w:r>
      <w:r w:rsidR="007F2C1C">
        <w:rPr>
          <w:color w:val="222222"/>
        </w:rPr>
        <w:t>/ce</w:t>
      </w:r>
      <w:r>
        <w:rPr>
          <w:color w:val="222222"/>
        </w:rPr>
        <w:t>, sportisti kao i međunarodna poslovna zajednica.</w:t>
      </w:r>
    </w:p>
    <w:p w14:paraId="000002A2" w14:textId="35928834" w:rsidR="007A6527" w:rsidRDefault="008A787C">
      <w:pPr>
        <w:spacing w:before="240" w:after="240"/>
        <w:rPr>
          <w:color w:val="222222"/>
        </w:rPr>
      </w:pPr>
      <w:r>
        <w:rPr>
          <w:color w:val="222222"/>
        </w:rPr>
        <w:t>Neophodno je održati kontinuitet podrške i ojačati partnerstvo Vlade i međunarodnih partnera u približavanju politika EU građanima</w:t>
      </w:r>
      <w:r w:rsidR="007F2C1C">
        <w:rPr>
          <w:color w:val="222222"/>
        </w:rPr>
        <w:t>/kama</w:t>
      </w:r>
      <w:r>
        <w:rPr>
          <w:color w:val="222222"/>
        </w:rPr>
        <w:t xml:space="preserve"> Crne Gore, kao i na sprovođenju Strategije informisanja. Ova komunikacija mora biti dvosmjerna, jer su ambasade i EU Delegacija važni izvori informacija za formiranje stava o Crnoj Gori u Briselu i zemljama članicama, a samim tim i multiplikatori podrške među građanima EU.</w:t>
      </w:r>
    </w:p>
    <w:p w14:paraId="000002A3" w14:textId="77777777" w:rsidR="007A6527" w:rsidRPr="000A5977" w:rsidRDefault="008A787C" w:rsidP="00EE597D">
      <w:pPr>
        <w:pStyle w:val="Heading3"/>
        <w:rPr>
          <w:i/>
          <w:color w:val="4472C4" w:themeColor="accent1"/>
        </w:rPr>
      </w:pPr>
      <w:bookmarkStart w:id="32" w:name="_heading=h.4jczkc9v1fqg" w:colFirst="0" w:colLast="0"/>
      <w:bookmarkStart w:id="33" w:name="_Toc140567048"/>
      <w:bookmarkEnd w:id="32"/>
      <w:r w:rsidRPr="000A5977">
        <w:rPr>
          <w:color w:val="4472C4" w:themeColor="accent1"/>
        </w:rPr>
        <w:t>Diplomatska predstavništva</w:t>
      </w:r>
      <w:bookmarkEnd w:id="33"/>
    </w:p>
    <w:p w14:paraId="000002A4" w14:textId="39C86458" w:rsidR="007A6527" w:rsidRDefault="008A787C">
      <w:pPr>
        <w:spacing w:before="240" w:after="240"/>
      </w:pPr>
      <w:r>
        <w:t xml:space="preserve">Crnogorska diplomatska mreža ima jako značajnu ulogu u procesu informisanja međunarodnih javnosti o evropskoj integraciji Crne Gore. Kao ključni akteri se ističu </w:t>
      </w:r>
      <w:r>
        <w:rPr>
          <w:b/>
        </w:rPr>
        <w:t xml:space="preserve">Misija Crne Gore pri Evropskoj uniji, kao i diplomatsko-konzularna predstavništva Crne Gore u zemljama članicama EU. </w:t>
      </w:r>
      <w:r>
        <w:t>Izuzetno je važno da postoji redovna i dvosmjerna komunikacija između ambasada i Sektora za informisanje javnosti o EU i procesu pristupanju EU. Komunikatori u Crnoj Gori moraju biti spremni da na osnovu inputa ponude prilagođene komunikacione proizvode koji će odgovarati potrebama javne diplomatije. Svaka, pa i najmanja šansa za medijski prostor, posebno u ključnim zemljama članicama</w:t>
      </w:r>
      <w:r w:rsidR="004A688E">
        <w:t xml:space="preserve"> EU</w:t>
      </w:r>
      <w:r>
        <w:t>, mora biti iskorištena i implementatori</w:t>
      </w:r>
      <w:r w:rsidR="007F2C1C">
        <w:t>/ke</w:t>
      </w:r>
      <w:r>
        <w:t xml:space="preserve"> strategije moraju unaprijed i strateški razmišljati kakvi komunikacioni proizvodi i poruke mogu biti interesantni međunarodnim javnostima. Treba obezbijediti stabilan i redovan dotok kvalitetnog sadržaja do crnogorskih diplomatskih predstavništava, koje bi imali na raspolaganju u svojim aktivnostima.</w:t>
      </w:r>
    </w:p>
    <w:p w14:paraId="000002A5" w14:textId="57BE69CC" w:rsidR="007A6527" w:rsidRPr="000A5977" w:rsidRDefault="008A787C" w:rsidP="00EE597D">
      <w:pPr>
        <w:pStyle w:val="Heading3"/>
        <w:rPr>
          <w:color w:val="4472C4" w:themeColor="accent1"/>
        </w:rPr>
      </w:pPr>
      <w:bookmarkStart w:id="34" w:name="_Toc140567049"/>
      <w:r w:rsidRPr="000A5977">
        <w:rPr>
          <w:color w:val="4472C4" w:themeColor="accent1"/>
        </w:rPr>
        <w:t>Evropske institucije i zvaničnici</w:t>
      </w:r>
      <w:r w:rsidR="007F2C1C" w:rsidRPr="000A5977">
        <w:rPr>
          <w:color w:val="4472C4" w:themeColor="accent1"/>
        </w:rPr>
        <w:t>/ce</w:t>
      </w:r>
      <w:bookmarkEnd w:id="34"/>
    </w:p>
    <w:p w14:paraId="000002A6" w14:textId="5B7DE916" w:rsidR="007A6527" w:rsidRDefault="008A787C">
      <w:pPr>
        <w:spacing w:before="240" w:after="240"/>
      </w:pPr>
      <w:r>
        <w:t>Ne treba izgubiti iz vida da institucije Evropske unije imaju gotovo istovjetne komunikacione ciljeve kao crnogorske institucije – da ubijede zemlje članice da je proširenje uspješna i ostvariva politika i da zemlje kandidati, ukoliko ispunjavaju uslove, treba da postanu dio Evropske unije. U toj misiji, EU institucije, u prvom redu Evropska služba za vanjske poslove (EEAS)</w:t>
      </w:r>
      <w:r w:rsidR="000E55F5">
        <w:t>,</w:t>
      </w:r>
      <w:r>
        <w:t xml:space="preserve"> </w:t>
      </w:r>
      <w:r w:rsidR="000E55F5">
        <w:t xml:space="preserve">Generalni direktorat EK za susjedstvo i pregovore o proširenju </w:t>
      </w:r>
      <w:r>
        <w:t xml:space="preserve">(DG NEAR) </w:t>
      </w:r>
      <w:r w:rsidR="000E55F5">
        <w:t xml:space="preserve">i Evropski parlament </w:t>
      </w:r>
      <w:r>
        <w:t>razvili su niz komunikacionih aktivnosti čiji cilj je promocija Zapadnog Balkana. Neke od kampanja koje su nastale u proteklom periodu, kao što su EEAS-ova „Evropljani koji čine razliku“ i DG NEAR-ova „WeBalkans“ su prvorazredan primjer komunikacione aktivnosti sa kojom se može napraviti dobra sinergija i povećati njen doseg i efekti. Evropske institucije imaju značajne resurse na raspolaganju, milione pratilaca na društvenim mrežama, kao i etablirana partnerstva i kontakte sa multiplikatorima</w:t>
      </w:r>
      <w:r w:rsidR="007F2C1C">
        <w:t>/kama</w:t>
      </w:r>
      <w:r>
        <w:t xml:space="preserve"> koji ne bi smjeli ostati neiskorišteni.</w:t>
      </w:r>
    </w:p>
    <w:p w14:paraId="000002A7" w14:textId="77777777" w:rsidR="007A6527" w:rsidRPr="000A5977" w:rsidRDefault="008A787C" w:rsidP="00EE597D">
      <w:pPr>
        <w:pStyle w:val="Heading3"/>
        <w:rPr>
          <w:i/>
          <w:color w:val="4472C4" w:themeColor="accent1"/>
        </w:rPr>
      </w:pPr>
      <w:bookmarkStart w:id="35" w:name="_heading=h.goqj8gginqoo" w:colFirst="0" w:colLast="0"/>
      <w:bookmarkStart w:id="36" w:name="_Toc140567050"/>
      <w:bookmarkEnd w:id="35"/>
      <w:r w:rsidRPr="000A5977">
        <w:rPr>
          <w:color w:val="4472C4" w:themeColor="accent1"/>
        </w:rPr>
        <w:t>Mediji</w:t>
      </w:r>
      <w:bookmarkEnd w:id="36"/>
    </w:p>
    <w:p w14:paraId="000002A8" w14:textId="0863C8BD" w:rsidR="007A6527" w:rsidRDefault="008A787C">
      <w:pPr>
        <w:spacing w:before="240" w:after="240"/>
      </w:pPr>
      <w:r>
        <w:rPr>
          <w:b/>
          <w:sz w:val="22"/>
          <w:szCs w:val="22"/>
        </w:rPr>
        <w:t>Inostrani mediji</w:t>
      </w:r>
      <w:r>
        <w:t xml:space="preserve"> su i dalje najefikasniji način da se dopre do velikog broja građana</w:t>
      </w:r>
      <w:r w:rsidR="007F2C1C">
        <w:t>/ki</w:t>
      </w:r>
      <w:r>
        <w:t xml:space="preserve"> u evropskim zemljama. Neophodno je kroz neposredan kontakt uspostaviti saradnju sa regionalnim i međunarodnim medijima i raditi na podsticanju zainteresovanosti za Crnu Goru.</w:t>
      </w:r>
    </w:p>
    <w:p w14:paraId="000002A9" w14:textId="77777777" w:rsidR="007A6527" w:rsidRDefault="008A787C">
      <w:pPr>
        <w:spacing w:before="240" w:after="240"/>
        <w:ind w:left="360"/>
        <w:rPr>
          <w:sz w:val="22"/>
          <w:szCs w:val="22"/>
        </w:rPr>
      </w:pPr>
      <w:r>
        <w:t xml:space="preserve">§ </w:t>
      </w:r>
      <w:r>
        <w:rPr>
          <w:sz w:val="22"/>
          <w:szCs w:val="22"/>
        </w:rPr>
        <w:t xml:space="preserve"> Obnoviti aktivnost dovođenja stranih novinara u radne posjete Crnoj Gori. Pro-aktivno djelovanje omogućava da se djelimično kontroliše narativ, dok se čekajući da se inostrani mediji sami zainteresuju, rizikuje nedostatak pažnje ili fokus na lošim narativima.</w:t>
      </w:r>
    </w:p>
    <w:p w14:paraId="000002AA" w14:textId="7718A2AB" w:rsidR="007A6527" w:rsidRDefault="008A787C">
      <w:pPr>
        <w:spacing w:before="240" w:after="240"/>
        <w:ind w:left="360"/>
        <w:rPr>
          <w:sz w:val="22"/>
          <w:szCs w:val="22"/>
        </w:rPr>
      </w:pPr>
      <w:r>
        <w:rPr>
          <w:sz w:val="22"/>
          <w:szCs w:val="22"/>
        </w:rPr>
        <w:t>§  Ostvariti redovnu saradnju sa regionalnim i inostranim medijima koji imaju dopisnike</w:t>
      </w:r>
      <w:r w:rsidR="007F2C1C">
        <w:rPr>
          <w:sz w:val="22"/>
          <w:szCs w:val="22"/>
        </w:rPr>
        <w:t>/ce</w:t>
      </w:r>
      <w:r>
        <w:rPr>
          <w:sz w:val="22"/>
          <w:szCs w:val="22"/>
        </w:rPr>
        <w:t xml:space="preserve"> u Crnoj Gori (Reuters, AP, Al-Jazeera, Glas Amerike, Balkan Insight, Radio Slobodna Evropa, N1, BBC Srbija) – Napraviti bazu i održavati redovne kontakte. Obezbjeđivati sagovornike za intervjue i analitičke emisije.</w:t>
      </w:r>
    </w:p>
    <w:p w14:paraId="000002AB" w14:textId="07257A2D" w:rsidR="007A6527" w:rsidRDefault="008A787C">
      <w:pPr>
        <w:spacing w:before="240" w:after="240"/>
        <w:ind w:left="360"/>
        <w:rPr>
          <w:sz w:val="22"/>
          <w:szCs w:val="22"/>
        </w:rPr>
      </w:pPr>
      <w:r>
        <w:rPr>
          <w:sz w:val="22"/>
          <w:szCs w:val="22"/>
        </w:rPr>
        <w:t>§  Ostvariti saradnju sa crnogorskim i drugim regionalnim dopisnicima</w:t>
      </w:r>
      <w:r w:rsidR="007F2C1C">
        <w:rPr>
          <w:sz w:val="22"/>
          <w:szCs w:val="22"/>
        </w:rPr>
        <w:t>/cama</w:t>
      </w:r>
      <w:r>
        <w:rPr>
          <w:sz w:val="22"/>
          <w:szCs w:val="22"/>
        </w:rPr>
        <w:t xml:space="preserve"> iz Brisela. Oni mogu biti snažan multiplikator zbog svojih kontakata i poznavanja materije.</w:t>
      </w:r>
    </w:p>
    <w:p w14:paraId="000002AC" w14:textId="43CCD428" w:rsidR="007A6527" w:rsidRDefault="008A787C">
      <w:pPr>
        <w:spacing w:before="240" w:after="240"/>
        <w:ind w:left="360"/>
        <w:rPr>
          <w:sz w:val="22"/>
          <w:szCs w:val="22"/>
        </w:rPr>
      </w:pPr>
      <w:r>
        <w:rPr>
          <w:sz w:val="22"/>
          <w:szCs w:val="22"/>
        </w:rPr>
        <w:t>§  Uspostaviti redovne kontakte sa medijima koji se isključivo bave Evropskom unijom (Euractiv, Politico.eu) i obezbijediti im intervjue sa visokom zvaničnicima</w:t>
      </w:r>
      <w:r w:rsidR="007F2C1C">
        <w:rPr>
          <w:sz w:val="22"/>
          <w:szCs w:val="22"/>
        </w:rPr>
        <w:t>/cama</w:t>
      </w:r>
      <w:r>
        <w:rPr>
          <w:sz w:val="22"/>
          <w:szCs w:val="22"/>
        </w:rPr>
        <w:t xml:space="preserve">. Ovi mediji, iako nemaju doseg kao nacionalni, imaju snažan uticaj na donosioce odluka. </w:t>
      </w:r>
    </w:p>
    <w:p w14:paraId="000002AD" w14:textId="77777777" w:rsidR="007A6527" w:rsidRDefault="008A787C">
      <w:pPr>
        <w:spacing w:before="240" w:after="240"/>
        <w:ind w:left="360"/>
        <w:rPr>
          <w:sz w:val="22"/>
          <w:szCs w:val="22"/>
        </w:rPr>
      </w:pPr>
      <w:r>
        <w:rPr>
          <w:sz w:val="22"/>
          <w:szCs w:val="22"/>
        </w:rPr>
        <w:t>§  Ostvari redovnu saradnju sa European Broadcasting Service, video servisom EU.</w:t>
      </w:r>
    </w:p>
    <w:p w14:paraId="000002AE" w14:textId="23F3EB22" w:rsidR="007A6527" w:rsidRDefault="008A787C">
      <w:pPr>
        <w:spacing w:before="240" w:after="240"/>
        <w:ind w:left="360"/>
        <w:rPr>
          <w:sz w:val="22"/>
          <w:szCs w:val="22"/>
        </w:rPr>
      </w:pPr>
      <w:r>
        <w:rPr>
          <w:sz w:val="22"/>
          <w:szCs w:val="22"/>
        </w:rPr>
        <w:t>§  Napraviti bazu podataka dopisnika i novinara</w:t>
      </w:r>
      <w:r w:rsidR="007F2C1C">
        <w:rPr>
          <w:sz w:val="22"/>
          <w:szCs w:val="22"/>
        </w:rPr>
        <w:t>/ki</w:t>
      </w:r>
      <w:r>
        <w:rPr>
          <w:sz w:val="22"/>
          <w:szCs w:val="22"/>
        </w:rPr>
        <w:t xml:space="preserve"> koji se bave pisanjem o Balkanu za svjetske medije (Guardian, CNN, The  Economist, Financial Times...) i redovno održavati kontakte</w:t>
      </w:r>
    </w:p>
    <w:p w14:paraId="000002AF" w14:textId="77777777" w:rsidR="007A6527" w:rsidRPr="000A5977" w:rsidRDefault="008A787C" w:rsidP="00EE597D">
      <w:pPr>
        <w:pStyle w:val="Heading3"/>
        <w:rPr>
          <w:color w:val="4472C4" w:themeColor="accent1"/>
        </w:rPr>
      </w:pPr>
      <w:bookmarkStart w:id="37" w:name="_heading=h.tesqz1wojklw" w:colFirst="0" w:colLast="0"/>
      <w:bookmarkStart w:id="38" w:name="_Toc140567051"/>
      <w:bookmarkEnd w:id="37"/>
      <w:r w:rsidRPr="000A5977">
        <w:rPr>
          <w:color w:val="4472C4" w:themeColor="accent1"/>
        </w:rPr>
        <w:t>Pojačati digitalnu prisutnost</w:t>
      </w:r>
      <w:bookmarkEnd w:id="38"/>
    </w:p>
    <w:p w14:paraId="000002B0" w14:textId="3C0F32ED" w:rsidR="007A6527" w:rsidRDefault="008A787C">
      <w:pPr>
        <w:spacing w:before="240" w:after="240" w:line="256" w:lineRule="auto"/>
      </w:pPr>
      <w:r>
        <w:t xml:space="preserve">Crnogorske institucije moraju praviti jači digitalni otisak u promociji evropske integracije Crne Gore. Bilo da se radi o boljoj prisutnosti na relevantnim društvenim mrežama, učestvovanju u aktuelnim narativima, boljoj optimizaciji za pretraživače ili većoj dostupnosti informacija na engleskom jeziku – ključno je da Crna Gora bude aktivan učesnik digitalne arene. </w:t>
      </w:r>
      <w:r>
        <w:rPr>
          <w:b/>
        </w:rPr>
        <w:t>Neophodno je nastaviti sa prevodom na engleski jezik informacija o Crnoj Gori</w:t>
      </w:r>
      <w:r>
        <w:t xml:space="preserve"> iz svih sfera, ne samo iz oblasti evropske integracije. Te informacije moraju biti dobro organizovane, lako dost</w:t>
      </w:r>
      <w:r w:rsidR="007F2C1C">
        <w:t>u</w:t>
      </w:r>
      <w:r>
        <w:t>pne, bazirane na ključnim riječima i pouzdane. Konstantan rad na SEO (prilagođavanje sadržaja pretraživačima) mora postaviti sajtove relevantnih institucija na prva mjesta pretrage kada se radi o pojmovima poput pridruživanja EU, pregovorima, crnogorskoj evropskoj perspektivi. Sve institucije koje se bave komuniciranjem integracija moraju imati naloge na Tviteru, i aktivno učestvovati u razmjeni mišljenja sa evropskim zvaničnicima, analitičarima, i drugim kreatorima mišljenja.</w:t>
      </w:r>
    </w:p>
    <w:p w14:paraId="000002B1" w14:textId="31706D11" w:rsidR="007A6527" w:rsidRPr="000A5977" w:rsidRDefault="008A787C" w:rsidP="00EE597D">
      <w:pPr>
        <w:pStyle w:val="Heading2"/>
        <w:rPr>
          <w:b/>
        </w:rPr>
      </w:pPr>
      <w:bookmarkStart w:id="39" w:name="_heading=h.pcp2z3weg2z8" w:colFirst="0" w:colLast="0"/>
      <w:bookmarkStart w:id="40" w:name="_Toc140567052"/>
      <w:bookmarkEnd w:id="39"/>
      <w:r w:rsidRPr="000A5977">
        <w:rPr>
          <w:b/>
        </w:rPr>
        <w:t>Multuplikatori</w:t>
      </w:r>
      <w:r w:rsidR="007F2C1C" w:rsidRPr="000A5977">
        <w:rPr>
          <w:b/>
        </w:rPr>
        <w:t>/ke</w:t>
      </w:r>
      <w:r w:rsidRPr="000A5977">
        <w:rPr>
          <w:b/>
        </w:rPr>
        <w:t xml:space="preserve"> i partner</w:t>
      </w:r>
      <w:r w:rsidR="00931091" w:rsidRPr="000A5977">
        <w:rPr>
          <w:b/>
        </w:rPr>
        <w:t>i</w:t>
      </w:r>
      <w:bookmarkEnd w:id="40"/>
    </w:p>
    <w:p w14:paraId="000002B2" w14:textId="7463BDAC" w:rsidR="007A6527" w:rsidRDefault="008A787C">
      <w:pPr>
        <w:spacing w:before="240" w:after="240"/>
        <w:rPr>
          <w:color w:val="222222"/>
        </w:rPr>
      </w:pPr>
      <w:r>
        <w:rPr>
          <w:color w:val="222222"/>
        </w:rPr>
        <w:t>U komunikacijskom žargonu, termin „multiplikator</w:t>
      </w:r>
      <w:r w:rsidR="00931091">
        <w:rPr>
          <w:color w:val="222222"/>
        </w:rPr>
        <w:t>/ka</w:t>
      </w:r>
      <w:r>
        <w:rPr>
          <w:color w:val="222222"/>
        </w:rPr>
        <w:t>“ se odnosi na sve aktere</w:t>
      </w:r>
      <w:r w:rsidR="00931091">
        <w:rPr>
          <w:color w:val="222222"/>
        </w:rPr>
        <w:t>/ke</w:t>
      </w:r>
      <w:r>
        <w:rPr>
          <w:color w:val="222222"/>
        </w:rPr>
        <w:t xml:space="preserve"> koji potencijalno mogu da pojačaju ključne poruke donoseći veću vidljivost komunikacijskim aktivnostima. Identifikovanje ključnih multiplikatora</w:t>
      </w:r>
      <w:r w:rsidR="00931091">
        <w:rPr>
          <w:color w:val="222222"/>
        </w:rPr>
        <w:t>/ki</w:t>
      </w:r>
      <w:r>
        <w:rPr>
          <w:color w:val="222222"/>
        </w:rPr>
        <w:t xml:space="preserve"> je od vitalnog značaja da bi se osiguralo da će poruke stići do najšire moguće publike. Ovaj pristup ne samo što multipikuje efekte komunikacije, već je i demokratizuje uključivanjem više zainteresovanih strana i čini je kvalitetnijom i raznovrsnijom. Multiplikatorski pristup je već uspješno uspostavljen u komunikaciji procesa integracije primjenom prethodnih strategija. Ovaj dokument će osvježiti listu multiplikatora</w:t>
      </w:r>
      <w:r w:rsidR="00931091">
        <w:rPr>
          <w:color w:val="222222"/>
        </w:rPr>
        <w:t>/ki</w:t>
      </w:r>
      <w:r>
        <w:rPr>
          <w:color w:val="222222"/>
        </w:rPr>
        <w:t xml:space="preserve"> i obratiti posebnu pažnju na neke važne izmjene koje su partneri i multiplikatori</w:t>
      </w:r>
      <w:r w:rsidR="00931091">
        <w:rPr>
          <w:color w:val="222222"/>
        </w:rPr>
        <w:t>/ke</w:t>
      </w:r>
      <w:r>
        <w:rPr>
          <w:color w:val="222222"/>
        </w:rPr>
        <w:t xml:space="preserve"> pretrpjeli u proteklom periodu.</w:t>
      </w:r>
    </w:p>
    <w:p w14:paraId="000002B3" w14:textId="77777777" w:rsidR="007A6527" w:rsidRDefault="008A787C">
      <w:pPr>
        <w:spacing w:before="240" w:after="240"/>
        <w:rPr>
          <w:color w:val="222222"/>
        </w:rPr>
      </w:pPr>
      <w:r>
        <w:rPr>
          <w:color w:val="222222"/>
        </w:rPr>
        <w:t>Strategija definiše sljedeće multiplikatore i partnere u procesu komuniciranja EU integracije:</w:t>
      </w:r>
    </w:p>
    <w:p w14:paraId="000002B4" w14:textId="77777777" w:rsidR="007A6527" w:rsidRDefault="008A787C">
      <w:pPr>
        <w:spacing w:before="240" w:after="240"/>
        <w:ind w:left="360"/>
        <w:rPr>
          <w:color w:val="222222"/>
        </w:rPr>
      </w:pPr>
      <w:r>
        <w:t xml:space="preserve">§  </w:t>
      </w:r>
      <w:r>
        <w:rPr>
          <w:color w:val="222222"/>
        </w:rPr>
        <w:t>Delegacija Evropske unije u Crnoj Gori/Evropska kuća/Ambasade država članica EU.</w:t>
      </w:r>
    </w:p>
    <w:p w14:paraId="000002B5" w14:textId="77777777" w:rsidR="007A6527" w:rsidRDefault="008A787C">
      <w:pPr>
        <w:spacing w:before="240" w:after="240"/>
        <w:ind w:left="360"/>
        <w:rPr>
          <w:color w:val="222222"/>
        </w:rPr>
      </w:pPr>
      <w:r>
        <w:t xml:space="preserve">§  </w:t>
      </w:r>
      <w:r>
        <w:rPr>
          <w:color w:val="222222"/>
        </w:rPr>
        <w:t>Lokalne samouprave,</w:t>
      </w:r>
    </w:p>
    <w:p w14:paraId="000002B6" w14:textId="77777777" w:rsidR="007A6527" w:rsidRDefault="008A787C">
      <w:pPr>
        <w:spacing w:before="240" w:after="240"/>
        <w:ind w:left="360"/>
        <w:rPr>
          <w:color w:val="222222"/>
        </w:rPr>
      </w:pPr>
      <w:r>
        <w:t xml:space="preserve">§  </w:t>
      </w:r>
      <w:r>
        <w:rPr>
          <w:color w:val="222222"/>
        </w:rPr>
        <w:t>Mediji,</w:t>
      </w:r>
    </w:p>
    <w:p w14:paraId="000002B7" w14:textId="77777777" w:rsidR="007A6527" w:rsidRDefault="008A787C">
      <w:pPr>
        <w:spacing w:before="240" w:after="240"/>
        <w:ind w:left="360"/>
        <w:rPr>
          <w:color w:val="222222"/>
        </w:rPr>
      </w:pPr>
      <w:r>
        <w:t xml:space="preserve">§  </w:t>
      </w:r>
      <w:r>
        <w:rPr>
          <w:color w:val="222222"/>
        </w:rPr>
        <w:t>Naučno-istraživačke ustanove, obrazovne ustanove i nastavni kadar,</w:t>
      </w:r>
    </w:p>
    <w:p w14:paraId="000002B8" w14:textId="77777777" w:rsidR="007A6527" w:rsidRDefault="008A787C">
      <w:pPr>
        <w:spacing w:before="240" w:after="240"/>
        <w:ind w:left="360"/>
        <w:rPr>
          <w:color w:val="222222"/>
        </w:rPr>
      </w:pPr>
      <w:r>
        <w:t xml:space="preserve">§  </w:t>
      </w:r>
      <w:r>
        <w:rPr>
          <w:color w:val="222222"/>
        </w:rPr>
        <w:t>Nevladine organizacije,</w:t>
      </w:r>
    </w:p>
    <w:p w14:paraId="000002B9" w14:textId="77777777" w:rsidR="007A6527" w:rsidRDefault="008A787C">
      <w:pPr>
        <w:spacing w:before="240" w:after="240"/>
        <w:ind w:left="360"/>
        <w:rPr>
          <w:color w:val="222222"/>
        </w:rPr>
      </w:pPr>
      <w:r>
        <w:t xml:space="preserve">§  </w:t>
      </w:r>
      <w:r>
        <w:rPr>
          <w:color w:val="222222"/>
        </w:rPr>
        <w:t>Parlamentarne političke partije,</w:t>
      </w:r>
    </w:p>
    <w:p w14:paraId="000002BA" w14:textId="77777777" w:rsidR="007A6527" w:rsidRDefault="008A787C">
      <w:pPr>
        <w:spacing w:before="240" w:after="240"/>
        <w:ind w:left="360"/>
        <w:rPr>
          <w:color w:val="222222"/>
        </w:rPr>
      </w:pPr>
      <w:r>
        <w:t xml:space="preserve">§  </w:t>
      </w:r>
      <w:r>
        <w:rPr>
          <w:color w:val="222222"/>
        </w:rPr>
        <w:t>Privredna, strukovna udruženja i sindikati,</w:t>
      </w:r>
    </w:p>
    <w:p w14:paraId="000002BB" w14:textId="4114E923" w:rsidR="007A6527" w:rsidRDefault="008A787C">
      <w:pPr>
        <w:spacing w:before="240" w:after="240"/>
        <w:ind w:left="360"/>
        <w:rPr>
          <w:color w:val="222222"/>
        </w:rPr>
      </w:pPr>
      <w:r>
        <w:t xml:space="preserve">§  </w:t>
      </w:r>
      <w:r>
        <w:rPr>
          <w:color w:val="222222"/>
        </w:rPr>
        <w:t>Skupština (poslanici</w:t>
      </w:r>
      <w:r w:rsidR="00931091">
        <w:rPr>
          <w:color w:val="222222"/>
        </w:rPr>
        <w:t>/ce</w:t>
      </w:r>
      <w:r>
        <w:rPr>
          <w:color w:val="222222"/>
        </w:rPr>
        <w:t>, a posebno Odbor za evropske integracije),</w:t>
      </w:r>
    </w:p>
    <w:p w14:paraId="000002BC" w14:textId="5A40B3E3" w:rsidR="007A6527" w:rsidRDefault="008A787C">
      <w:pPr>
        <w:spacing w:before="240" w:after="240"/>
        <w:ind w:left="360"/>
        <w:rPr>
          <w:color w:val="222222"/>
        </w:rPr>
      </w:pPr>
      <w:r>
        <w:t xml:space="preserve">§  </w:t>
      </w:r>
      <w:r>
        <w:rPr>
          <w:color w:val="222222"/>
        </w:rPr>
        <w:t>Uticajne javne ličnosti (i digitalni influenseri</w:t>
      </w:r>
      <w:r w:rsidR="00931091">
        <w:rPr>
          <w:color w:val="222222"/>
        </w:rPr>
        <w:t>/ke</w:t>
      </w:r>
      <w:r>
        <w:rPr>
          <w:color w:val="222222"/>
        </w:rPr>
        <w:t>),</w:t>
      </w:r>
    </w:p>
    <w:p w14:paraId="000002BD" w14:textId="7F41F2F0" w:rsidR="007A6527" w:rsidRDefault="008A787C">
      <w:pPr>
        <w:spacing w:before="240" w:after="240"/>
        <w:ind w:left="360"/>
        <w:rPr>
          <w:color w:val="222222"/>
        </w:rPr>
      </w:pPr>
      <w:r>
        <w:t xml:space="preserve">§  </w:t>
      </w:r>
      <w:r>
        <w:rPr>
          <w:color w:val="222222"/>
        </w:rPr>
        <w:t>Umjetnici/</w:t>
      </w:r>
      <w:r w:rsidR="00931091">
        <w:rPr>
          <w:color w:val="222222"/>
        </w:rPr>
        <w:t xml:space="preserve">ce i </w:t>
      </w:r>
      <w:r>
        <w:rPr>
          <w:color w:val="222222"/>
        </w:rPr>
        <w:t>kulturni događaji</w:t>
      </w:r>
    </w:p>
    <w:p w14:paraId="000002BE" w14:textId="2011DB79" w:rsidR="007A6527" w:rsidRDefault="008A787C">
      <w:pPr>
        <w:spacing w:before="240" w:after="240"/>
        <w:ind w:left="360"/>
        <w:rPr>
          <w:color w:val="222222"/>
        </w:rPr>
      </w:pPr>
      <w:r>
        <w:t xml:space="preserve">§  </w:t>
      </w:r>
      <w:r>
        <w:rPr>
          <w:color w:val="222222"/>
        </w:rPr>
        <w:t>Vjerske zajednice</w:t>
      </w:r>
    </w:p>
    <w:p w14:paraId="000002BF" w14:textId="77777777" w:rsidR="007A6527" w:rsidRPr="000A5977" w:rsidRDefault="008A787C">
      <w:pPr>
        <w:spacing w:before="240" w:after="240"/>
        <w:rPr>
          <w:color w:val="4472C4" w:themeColor="accent1"/>
        </w:rPr>
      </w:pPr>
      <w:r w:rsidRPr="000A5977">
        <w:rPr>
          <w:color w:val="4472C4" w:themeColor="accent1"/>
        </w:rPr>
        <w:t xml:space="preserve"> </w:t>
      </w:r>
    </w:p>
    <w:p w14:paraId="000002C0" w14:textId="77777777" w:rsidR="007A6527" w:rsidRPr="000A5977" w:rsidRDefault="008A787C" w:rsidP="00EE597D">
      <w:pPr>
        <w:pStyle w:val="Heading3"/>
        <w:rPr>
          <w:color w:val="4472C4" w:themeColor="accent1"/>
        </w:rPr>
      </w:pPr>
      <w:bookmarkStart w:id="41" w:name="_Toc140567053"/>
      <w:r w:rsidRPr="000A5977">
        <w:rPr>
          <w:color w:val="4472C4" w:themeColor="accent1"/>
        </w:rPr>
        <w:t>Delegacija Evropske unije u Crnoj Gori/Evropska kuća/Ambasade država članica EU</w:t>
      </w:r>
      <w:bookmarkEnd w:id="41"/>
    </w:p>
    <w:p w14:paraId="000002C1" w14:textId="223FFED0" w:rsidR="007A6527" w:rsidRDefault="008A787C" w:rsidP="00EE597D">
      <w:pPr>
        <w:spacing w:before="240" w:after="240"/>
        <w:rPr>
          <w:color w:val="222222"/>
        </w:rPr>
      </w:pPr>
      <w:r>
        <w:rPr>
          <w:color w:val="222222"/>
        </w:rPr>
        <w:t>Diplomatska predstavništva Evropske unije i zemalja članica imaju gotovo istovjetan zadatak u promovisanju procesa evropske integracije Crne Gore i time čine najvažnijeg partnera, ali i jako bitnog multiplikatora poruka, kako za domaću tako i za strane javnosti. Delegacija EU sa svojim ključnim komunikacionim projektom, obnovljenom Evropskom kućom, posjeduje resurse i ekspertizu, i već godinama zajedno sa Vladom promoviše proces integracije. Jako je važno maksimiz</w:t>
      </w:r>
      <w:r w:rsidR="00931091">
        <w:rPr>
          <w:color w:val="222222"/>
        </w:rPr>
        <w:t>irati</w:t>
      </w:r>
      <w:r>
        <w:rPr>
          <w:color w:val="222222"/>
        </w:rPr>
        <w:t xml:space="preserve"> sinergijski efekat, održavati redovnu komunikaciju i koordinaciju aktivnosti, zajednički dogovarati javne događaje, konferencije, i što je najbitnije strateški planirati zajedničke kampanje. I pored sve dobre saradnje i dalje se dešavaju preplitanja, segmentirano komuniciranje i neefikasna upotreba ljudskih i fina</w:t>
      </w:r>
      <w:r w:rsidR="00224178">
        <w:rPr>
          <w:color w:val="222222"/>
        </w:rPr>
        <w:t>n</w:t>
      </w:r>
      <w:r>
        <w:rPr>
          <w:color w:val="222222"/>
        </w:rPr>
        <w:t xml:space="preserve">sijskih resursa. Ambasade zemalja članica su važan resurs, kako u predstavljanju Evropske unije građanima Crne Gore, tako i odašiljanju poruka prema njihovim vladama i javnostima. </w:t>
      </w:r>
    </w:p>
    <w:p w14:paraId="000002C2" w14:textId="77777777" w:rsidR="007A6527" w:rsidRPr="000A5977" w:rsidRDefault="008A787C" w:rsidP="00EE597D">
      <w:pPr>
        <w:pStyle w:val="Heading3"/>
        <w:rPr>
          <w:color w:val="4472C4" w:themeColor="accent1"/>
        </w:rPr>
      </w:pPr>
      <w:bookmarkStart w:id="42" w:name="_Toc140567054"/>
      <w:r w:rsidRPr="000A5977">
        <w:rPr>
          <w:color w:val="4472C4" w:themeColor="accent1"/>
        </w:rPr>
        <w:t>Lokalne samouprave</w:t>
      </w:r>
      <w:bookmarkEnd w:id="42"/>
    </w:p>
    <w:p w14:paraId="000002C3" w14:textId="6224A8F2" w:rsidR="007A6527" w:rsidRDefault="008A787C" w:rsidP="000A5977">
      <w:pPr>
        <w:spacing w:before="240" w:after="240"/>
        <w:rPr>
          <w:color w:val="222222"/>
        </w:rPr>
      </w:pPr>
      <w:r>
        <w:rPr>
          <w:color w:val="222222"/>
        </w:rPr>
        <w:t>Lokalne samouprave mogu pomoći ta</w:t>
      </w:r>
      <w:r w:rsidR="00224178">
        <w:rPr>
          <w:color w:val="222222"/>
        </w:rPr>
        <w:t>m</w:t>
      </w:r>
      <w:r>
        <w:rPr>
          <w:color w:val="222222"/>
        </w:rPr>
        <w:t xml:space="preserve">o gdje drugi komunikacioni kanali </w:t>
      </w:r>
      <w:r w:rsidR="00224178">
        <w:rPr>
          <w:color w:val="222222"/>
        </w:rPr>
        <w:t>„</w:t>
      </w:r>
      <w:r>
        <w:rPr>
          <w:color w:val="222222"/>
        </w:rPr>
        <w:t>zakažu</w:t>
      </w:r>
      <w:r w:rsidR="00224178">
        <w:rPr>
          <w:color w:val="222222"/>
        </w:rPr>
        <w:t>“</w:t>
      </w:r>
      <w:r>
        <w:rPr>
          <w:color w:val="222222"/>
        </w:rPr>
        <w:t>. To su multiplikatori koji imaju direktan kontakt sa zajednicama širom Crne Gore i koji mogu pomoći u oblikovanju javnog mnjenja čak i u najudaljenijim krajevima. Generalno se najveći dio reformskog procesa zapravo odnosi na lokalni nivo, na koji je usmjeren i veliki dio finansijske podrške Evropske unije. Već je gotovo sve rečeno o lokalnim samoupravama u dijelu internih javnosti. Cilj je unaprijediti nivo znanja funkcionera</w:t>
      </w:r>
      <w:r w:rsidR="00931091">
        <w:rPr>
          <w:color w:val="222222"/>
        </w:rPr>
        <w:t>/ki</w:t>
      </w:r>
      <w:r>
        <w:rPr>
          <w:color w:val="222222"/>
        </w:rPr>
        <w:t>, službenika</w:t>
      </w:r>
      <w:r w:rsidR="00931091">
        <w:rPr>
          <w:color w:val="222222"/>
        </w:rPr>
        <w:t>/ca</w:t>
      </w:r>
      <w:r>
        <w:rPr>
          <w:color w:val="222222"/>
        </w:rPr>
        <w:t xml:space="preserve"> i namještenika</w:t>
      </w:r>
      <w:r w:rsidR="00931091">
        <w:rPr>
          <w:color w:val="222222"/>
        </w:rPr>
        <w:t>/ca</w:t>
      </w:r>
      <w:r>
        <w:rPr>
          <w:color w:val="222222"/>
        </w:rPr>
        <w:t xml:space="preserve"> lokalne samouprave na temu pristupanja EU, s posebnim fokusom na programe podrške. Otvaranje info centara u saradnji sa lokanom NVO zajednicom, kao što je to urađeno u Bijelom Polju je jedan od potencijalnih modaliteta veće aktivacije lokalnih uprava. Ukoliko već ne postoji, treba odrediti kontakt osobu od već zaposlenih članova lokalne samouprave, sa kojima će, kroz saradnju i redovnu komunikaciju, razmotriti aktuelne teme i organizovati događaje, debate, info dane itd. </w:t>
      </w:r>
      <w:r w:rsidR="0094161E">
        <w:rPr>
          <w:color w:val="222222"/>
        </w:rPr>
        <w:t>Kontinuirano sprovoditi p</w:t>
      </w:r>
      <w:r>
        <w:rPr>
          <w:color w:val="222222"/>
        </w:rPr>
        <w:t xml:space="preserve">rogram obuka i razmjene iskustava u cilju jačanja kadrovskih kapaciteta lokalnih uprava </w:t>
      </w:r>
      <w:r w:rsidR="0094161E">
        <w:rPr>
          <w:color w:val="222222"/>
        </w:rPr>
        <w:t xml:space="preserve">i njihovih javnih službi </w:t>
      </w:r>
      <w:r>
        <w:rPr>
          <w:color w:val="222222"/>
        </w:rPr>
        <w:t>za povlačenje sredstava iz EU fondova</w:t>
      </w:r>
      <w:r w:rsidR="0094161E">
        <w:rPr>
          <w:color w:val="222222"/>
        </w:rPr>
        <w:t>.</w:t>
      </w:r>
    </w:p>
    <w:p w14:paraId="14F23885" w14:textId="0B0B80B6" w:rsidR="00E32B08" w:rsidRPr="00EE597D" w:rsidRDefault="00E32B08" w:rsidP="000A5977">
      <w:pPr>
        <w:spacing w:before="240" w:after="240"/>
        <w:rPr>
          <w:color w:val="222222"/>
        </w:rPr>
      </w:pPr>
      <w:r>
        <w:rPr>
          <w:color w:val="222222"/>
        </w:rPr>
        <w:t>I</w:t>
      </w:r>
      <w:r w:rsidRPr="00E32B08">
        <w:rPr>
          <w:color w:val="222222"/>
        </w:rPr>
        <w:t>majući u vidu lokalne kontekste u procesu evropske integracije i njihov značaj i uticaj na kvalitet informisanja i d</w:t>
      </w:r>
      <w:r>
        <w:rPr>
          <w:color w:val="222222"/>
        </w:rPr>
        <w:t>ijaloga o evropskoj integraciji, preporučuje se da se</w:t>
      </w:r>
      <w:r w:rsidR="00050AF7">
        <w:rPr>
          <w:color w:val="222222"/>
        </w:rPr>
        <w:t xml:space="preserve"> </w:t>
      </w:r>
      <w:r w:rsidR="00050AF7" w:rsidRPr="00392229">
        <w:rPr>
          <w:color w:val="222222"/>
        </w:rPr>
        <w:t>inteziviraju dijalozi sa zainteresovanim stranama u lokalnim zajednicama na temu izazova i koristi od članstva u EU kroz organizovanje sastanaka, fokus grupa, strucnih rasprava i sl.</w:t>
      </w:r>
    </w:p>
    <w:p w14:paraId="000002C4" w14:textId="77777777" w:rsidR="007A6527" w:rsidRPr="000A5977" w:rsidRDefault="008A787C" w:rsidP="00EE597D">
      <w:pPr>
        <w:pStyle w:val="Heading3"/>
        <w:rPr>
          <w:color w:val="4472C4" w:themeColor="accent1"/>
        </w:rPr>
      </w:pPr>
      <w:bookmarkStart w:id="43" w:name="_Toc140567055"/>
      <w:r w:rsidRPr="000A5977">
        <w:rPr>
          <w:color w:val="4472C4" w:themeColor="accent1"/>
        </w:rPr>
        <w:t>Mediji</w:t>
      </w:r>
      <w:bookmarkEnd w:id="43"/>
    </w:p>
    <w:p w14:paraId="000002C5" w14:textId="6F0BBC09" w:rsidR="007A6527" w:rsidRDefault="008A787C" w:rsidP="000A5977">
      <w:pPr>
        <w:spacing w:before="240" w:after="240"/>
        <w:rPr>
          <w:color w:val="222222"/>
        </w:rPr>
      </w:pPr>
      <w:r>
        <w:rPr>
          <w:color w:val="222222"/>
        </w:rPr>
        <w:t>Mediji su ključni i najvažniji kanal komuniciranja procesa integracije prema građanima</w:t>
      </w:r>
      <w:r w:rsidR="00DE3C9D">
        <w:rPr>
          <w:color w:val="222222"/>
        </w:rPr>
        <w:t>/kama</w:t>
      </w:r>
      <w:r>
        <w:rPr>
          <w:color w:val="222222"/>
        </w:rPr>
        <w:t>, ali djeluju i kao partner i multiplikator koji procesu donose novu vrijednost. Ključni zadatak je dobiti zainteresovane, objektivne novinare</w:t>
      </w:r>
      <w:r w:rsidR="00DE3C9D">
        <w:rPr>
          <w:color w:val="222222"/>
        </w:rPr>
        <w:t>/ke</w:t>
      </w:r>
      <w:r>
        <w:rPr>
          <w:color w:val="222222"/>
        </w:rPr>
        <w:t xml:space="preserve"> koji će postati eksperti</w:t>
      </w:r>
      <w:r w:rsidR="00DE3C9D">
        <w:rPr>
          <w:color w:val="222222"/>
        </w:rPr>
        <w:t>/kinje</w:t>
      </w:r>
      <w:r>
        <w:rPr>
          <w:color w:val="222222"/>
        </w:rPr>
        <w:t xml:space="preserve"> za temu integracija. Kako se to neće desiti samo od sebe, zbog relativno malih redakcija i nedostatka resursa u medijima, komunikatori</w:t>
      </w:r>
      <w:r w:rsidR="00DE3C9D">
        <w:rPr>
          <w:color w:val="222222"/>
        </w:rPr>
        <w:t>/ke</w:t>
      </w:r>
      <w:r>
        <w:rPr>
          <w:color w:val="222222"/>
        </w:rPr>
        <w:t xml:space="preserve"> moraju sami učestvovati u procesu kreiranja novinarskih eksperata. Izgradnjom povjerenja kroz neposredne lične kontakte, </w:t>
      </w:r>
      <w:r>
        <w:rPr>
          <w:i/>
          <w:color w:val="222222"/>
        </w:rPr>
        <w:t>off the record</w:t>
      </w:r>
      <w:r>
        <w:rPr>
          <w:color w:val="222222"/>
        </w:rPr>
        <w:t xml:space="preserve"> brifinge, radne obroke, treninge sa domaćim i stranim ekspertima</w:t>
      </w:r>
      <w:r w:rsidR="00DE3C9D">
        <w:rPr>
          <w:color w:val="222222"/>
        </w:rPr>
        <w:t>/kinjama</w:t>
      </w:r>
      <w:r>
        <w:rPr>
          <w:color w:val="222222"/>
        </w:rPr>
        <w:t xml:space="preserve"> i studijske posjete, cilj je kreirati generaciju novinara</w:t>
      </w:r>
      <w:r w:rsidR="00DE3C9D">
        <w:rPr>
          <w:color w:val="222222"/>
        </w:rPr>
        <w:t>/ki</w:t>
      </w:r>
      <w:r>
        <w:rPr>
          <w:color w:val="222222"/>
        </w:rPr>
        <w:t xml:space="preserve"> koji će biti sposobni ne samo da prenose vijesti, već da svojim autoritetom oblikuju javno mnjenje. U vremenu kada je kvalitetno i slobodno novinarstvo najjača brana pošastima dezinformacija, ovaj zadatak postaje prioritet za svakog komunikatora.</w:t>
      </w:r>
    </w:p>
    <w:p w14:paraId="0242BCE7" w14:textId="4AB641E1" w:rsidR="0074480B" w:rsidRDefault="0074480B" w:rsidP="000A5977">
      <w:pPr>
        <w:spacing w:before="240" w:after="240"/>
        <w:rPr>
          <w:color w:val="222222"/>
        </w:rPr>
      </w:pPr>
      <w:r>
        <w:rPr>
          <w:color w:val="222222"/>
        </w:rPr>
        <w:t>Takođe, osim medija sa nacionalnom pokrivenošću, veoma je važno uspostaviti kvalite</w:t>
      </w:r>
      <w:r w:rsidR="00B91256">
        <w:rPr>
          <w:color w:val="222222"/>
        </w:rPr>
        <w:t>t</w:t>
      </w:r>
      <w:r>
        <w:rPr>
          <w:color w:val="222222"/>
        </w:rPr>
        <w:t xml:space="preserve">nu saradnju sa lokalnim medijima koji imaju „svoju publiku“, a koji su zapostavljani </w:t>
      </w:r>
      <w:r w:rsidRPr="0074480B">
        <w:rPr>
          <w:color w:val="222222"/>
        </w:rPr>
        <w:t xml:space="preserve">kad je </w:t>
      </w:r>
      <w:r>
        <w:rPr>
          <w:color w:val="222222"/>
        </w:rPr>
        <w:t>u pitanju komun</w:t>
      </w:r>
      <w:r w:rsidR="004D406F">
        <w:rPr>
          <w:color w:val="222222"/>
        </w:rPr>
        <w:t>iciranje</w:t>
      </w:r>
      <w:r>
        <w:rPr>
          <w:color w:val="222222"/>
        </w:rPr>
        <w:t xml:space="preserve"> tema</w:t>
      </w:r>
      <w:r w:rsidR="004D406F">
        <w:rPr>
          <w:color w:val="222222"/>
        </w:rPr>
        <w:t xml:space="preserve"> o EU.</w:t>
      </w:r>
      <w:r>
        <w:rPr>
          <w:color w:val="222222"/>
        </w:rPr>
        <w:t xml:space="preserve"> U tom smislu, neophodno je intenzivirati saradnju i biti dostupan, </w:t>
      </w:r>
      <w:r w:rsidRPr="0074480B">
        <w:rPr>
          <w:color w:val="222222"/>
        </w:rPr>
        <w:t>posebno u pogledu odabira tema i raspoloživosti sagovornika koji bi govorili za lokalne medije.</w:t>
      </w:r>
    </w:p>
    <w:p w14:paraId="000002C6" w14:textId="77777777" w:rsidR="007A6527" w:rsidRPr="000A5977" w:rsidRDefault="008A787C" w:rsidP="00EE597D">
      <w:pPr>
        <w:pStyle w:val="Heading3"/>
        <w:rPr>
          <w:color w:val="4472C4" w:themeColor="accent1"/>
        </w:rPr>
      </w:pPr>
      <w:bookmarkStart w:id="44" w:name="_Toc140567056"/>
      <w:r w:rsidRPr="000A5977">
        <w:rPr>
          <w:color w:val="4472C4" w:themeColor="accent1"/>
        </w:rPr>
        <w:t>Obrazovne ustanove, naučno-istraživačke ustanove, i nastavni kadar</w:t>
      </w:r>
      <w:bookmarkEnd w:id="44"/>
    </w:p>
    <w:p w14:paraId="000002C7" w14:textId="43B318C5" w:rsidR="007A6527" w:rsidRDefault="008A787C" w:rsidP="000A5977">
      <w:pPr>
        <w:spacing w:before="240" w:after="240"/>
        <w:rPr>
          <w:color w:val="222222"/>
        </w:rPr>
      </w:pPr>
      <w:r>
        <w:rPr>
          <w:color w:val="222222"/>
        </w:rPr>
        <w:t>Obrazovne ustanove su mjesto gdje djeca prvi put susrijeću sa osnovnim političkim i socijalnim pojmovima, sa EU integracijom, sa evropskim vrijednostima, gdje postaju medijski pismeni i izgrađuju svoj vrijednosni okvir. Ukoliko je samo jedna od pomenutih stvari pogrešno usvojena jako je teško kasnijom komunikacijom mijenjati stavove. Cilj je imati informisane mlade ljude koji znaju da se Crna Gora priključuje jer dijeli temeljne vrijednosti sa Evropskom unijom, koji i sami dijele te vrijednosti i intresuju se za programe i šanse koje EU nudi njima i njihovim vršnjacima iz Evrope. Zbog toga je, kada se komunikacija gleda u širem vremenskom okviru, nastavni kadar ključni multiplikator. Treba raditi konstantno sa obrazovnim kadrom, ostvariti dvosmjernu komunikaciju, pratiti njihove potrebe, obezbjeđivati im sadržaj kako bi ultimativno oni mogli uspješno multiplikovati, ali i kreirati poruke prema mladim. Potrebno je bolje komunicirati Erasmus i druge programe razmjena i volontiranja u Evropi,  jer relativno mali broj mladih zna o čemu se radi.</w:t>
      </w:r>
    </w:p>
    <w:p w14:paraId="000002C8" w14:textId="77777777" w:rsidR="007A6527" w:rsidRPr="000A5977" w:rsidRDefault="008A787C" w:rsidP="00EE597D">
      <w:pPr>
        <w:pStyle w:val="Heading3"/>
        <w:rPr>
          <w:color w:val="4472C4" w:themeColor="accent1"/>
        </w:rPr>
      </w:pPr>
      <w:bookmarkStart w:id="45" w:name="_Toc140567057"/>
      <w:r w:rsidRPr="000A5977">
        <w:rPr>
          <w:color w:val="4472C4" w:themeColor="accent1"/>
        </w:rPr>
        <w:t>Nevladine organizacije</w:t>
      </w:r>
      <w:bookmarkEnd w:id="45"/>
    </w:p>
    <w:p w14:paraId="1A02BA00" w14:textId="76A6084D" w:rsidR="00821E57" w:rsidRDefault="008A787C" w:rsidP="000A5977">
      <w:pPr>
        <w:spacing w:before="240" w:after="240"/>
        <w:rPr>
          <w:color w:val="222222"/>
        </w:rPr>
      </w:pPr>
      <w:r>
        <w:rPr>
          <w:color w:val="222222"/>
        </w:rPr>
        <w:t>Civilni sektor je zbog svoje aktivnosti, uključenosti u proces integracija, resursa kojima raspolaže, kontakata sa raznim, često ranjivim zajednicama,</w:t>
      </w:r>
      <w:r>
        <w:rPr>
          <w:b/>
          <w:color w:val="222222"/>
        </w:rPr>
        <w:t xml:space="preserve"> </w:t>
      </w:r>
      <w:r>
        <w:rPr>
          <w:color w:val="222222"/>
        </w:rPr>
        <w:t>jedan od ključnih partnera i multiplikatora. Civilni  sektor treba uključiti u sve procese komuniciranja i koordinisanim aktivnostima udružiti resurse zarad boljih rezultata.</w:t>
      </w:r>
      <w:r>
        <w:t xml:space="preserve"> U</w:t>
      </w:r>
      <w:r>
        <w:rPr>
          <w:color w:val="222222"/>
        </w:rPr>
        <w:t>z uvažavanje autonomnosti i nezavisnosti njihovog rada, treba pronaći način produbljivanja saradnje i zajedničkog nastupa u kampanjama, i drugim oblicima komunikacionih aktivnosti. Treba izbjeći ponavljanje i preklapanje i truditi se da zajedničko komuniciranje odvija poštujući načela strateškog planiranja. Posebnu pažnju obratiti na dostupnost komunikacionih formata za osobe sa invaliditetom kroz partnerski odnos sa organizacijama koje ih predstavljaju.</w:t>
      </w:r>
      <w:r w:rsidR="00E018F2">
        <w:rPr>
          <w:color w:val="222222"/>
        </w:rPr>
        <w:t xml:space="preserve">S tim u vezi, nastaviće se sa informisanjem, konsultovanjem i koordinacijom </w:t>
      </w:r>
      <w:r w:rsidR="00821E57">
        <w:rPr>
          <w:color w:val="222222"/>
        </w:rPr>
        <w:t>sa nevladinim</w:t>
      </w:r>
      <w:r w:rsidR="00E018F2">
        <w:rPr>
          <w:color w:val="222222"/>
        </w:rPr>
        <w:t xml:space="preserve"> organizacija</w:t>
      </w:r>
      <w:r w:rsidR="00821E57">
        <w:rPr>
          <w:color w:val="222222"/>
        </w:rPr>
        <w:t>ma</w:t>
      </w:r>
      <w:r w:rsidR="00E018F2">
        <w:rPr>
          <w:color w:val="222222"/>
        </w:rPr>
        <w:t xml:space="preserve"> prilikom </w:t>
      </w:r>
      <w:r w:rsidR="00821E57">
        <w:rPr>
          <w:color w:val="222222"/>
        </w:rPr>
        <w:t xml:space="preserve">pripreme </w:t>
      </w:r>
      <w:r w:rsidR="004D406F">
        <w:rPr>
          <w:color w:val="222222"/>
        </w:rPr>
        <w:t xml:space="preserve">godišnjih </w:t>
      </w:r>
      <w:r w:rsidR="00821E57">
        <w:rPr>
          <w:color w:val="222222"/>
        </w:rPr>
        <w:t xml:space="preserve">akcionih planova, kao i prilikom planiranja i organizacije komunikacionih aktivnosti i kampanja. </w:t>
      </w:r>
    </w:p>
    <w:p w14:paraId="000002CA" w14:textId="77777777" w:rsidR="007A6527" w:rsidRPr="000A5977" w:rsidRDefault="008A787C" w:rsidP="00EE597D">
      <w:pPr>
        <w:pStyle w:val="Heading3"/>
        <w:rPr>
          <w:color w:val="4472C4" w:themeColor="accent1"/>
        </w:rPr>
      </w:pPr>
      <w:bookmarkStart w:id="46" w:name="_Toc140567058"/>
      <w:r w:rsidRPr="000A5977">
        <w:rPr>
          <w:color w:val="4472C4" w:themeColor="accent1"/>
        </w:rPr>
        <w:t>Političke partije</w:t>
      </w:r>
      <w:bookmarkEnd w:id="46"/>
    </w:p>
    <w:p w14:paraId="000002CB" w14:textId="2218961A" w:rsidR="007A6527" w:rsidRDefault="008A787C" w:rsidP="000A5977">
      <w:pPr>
        <w:spacing w:before="240" w:after="240"/>
        <w:rPr>
          <w:color w:val="222222"/>
        </w:rPr>
      </w:pPr>
      <w:r>
        <w:rPr>
          <w:color w:val="222222"/>
        </w:rPr>
        <w:t>Prema istraživanjima političke partije snažno utiču na stavove građana</w:t>
      </w:r>
      <w:r w:rsidR="00DE3C9D">
        <w:rPr>
          <w:color w:val="222222"/>
        </w:rPr>
        <w:t>/ki</w:t>
      </w:r>
      <w:r>
        <w:rPr>
          <w:color w:val="222222"/>
        </w:rPr>
        <w:t xml:space="preserve"> koji ih podržavaju u Crnoj Gori. Kako sve </w:t>
      </w:r>
      <w:r w:rsidR="000E55F5">
        <w:rPr>
          <w:color w:val="222222"/>
        </w:rPr>
        <w:t xml:space="preserve">parlamentarne </w:t>
      </w:r>
      <w:r>
        <w:rPr>
          <w:color w:val="222222"/>
        </w:rPr>
        <w:t>političke partije podržavaju evropsku integraciju Crne Gore, jasno je koliko je to vrijedan komunikacioni resurs i značajan potencijalni multiplikator komunikacije.</w:t>
      </w:r>
      <w:r>
        <w:rPr>
          <w:b/>
          <w:color w:val="222222"/>
        </w:rPr>
        <w:t xml:space="preserve"> </w:t>
      </w:r>
      <w:r>
        <w:rPr>
          <w:color w:val="222222"/>
        </w:rPr>
        <w:t>Partije imaju strukturu desetina hiljada simpatizera</w:t>
      </w:r>
      <w:r w:rsidR="00DE3C9D">
        <w:rPr>
          <w:color w:val="222222"/>
        </w:rPr>
        <w:t>/ki</w:t>
      </w:r>
      <w:r>
        <w:rPr>
          <w:color w:val="222222"/>
        </w:rPr>
        <w:t xml:space="preserve"> i članova</w:t>
      </w:r>
      <w:r w:rsidR="00DE3C9D">
        <w:rPr>
          <w:color w:val="222222"/>
        </w:rPr>
        <w:t>/ca</w:t>
      </w:r>
      <w:r>
        <w:rPr>
          <w:color w:val="222222"/>
        </w:rPr>
        <w:t xml:space="preserve"> koj</w:t>
      </w:r>
      <w:r w:rsidR="00224178">
        <w:rPr>
          <w:color w:val="222222"/>
        </w:rPr>
        <w:t>i</w:t>
      </w:r>
      <w:r>
        <w:rPr>
          <w:color w:val="222222"/>
        </w:rPr>
        <w:t xml:space="preserve"> ih podržavaju, a sa kojima imaju uspostavljene komunikacione kanale.</w:t>
      </w:r>
      <w:r>
        <w:t xml:space="preserve"> </w:t>
      </w:r>
      <w:r>
        <w:rPr>
          <w:color w:val="222222"/>
        </w:rPr>
        <w:t xml:space="preserve">Cilj je osnažiti partnerstvo sa svim parlamentarnim partijama i uključiti ih što više u one komunikacione aktivnosti u kojima to ima smisla i gdje predstavnici političkih partija ne proizvode negativne efekte na komunikaciju. Političke partije stoga treba uključivati u političke aspekte komuniciranja integracije, a izbjegavati njihovo pojavljivanje u komuniciranju na socijalne, kulturne, sportske i zabavne teme. </w:t>
      </w:r>
      <w:r>
        <w:t>Partnerstvo treba jačati sa</w:t>
      </w:r>
      <w:r>
        <w:rPr>
          <w:color w:val="222222"/>
        </w:rPr>
        <w:t xml:space="preserve"> svim partijama, kako bi se domaćoj i stranim javnostima pokazalo da Crna Gora može da prevaziđe usko-partijske interese i da zajedno radi na ostvarivanju ključnog društvenog cilja, učlanjivanju u Evropsku uniju.</w:t>
      </w:r>
    </w:p>
    <w:p w14:paraId="000002CC" w14:textId="77777777" w:rsidR="007A6527" w:rsidRPr="000A5977" w:rsidRDefault="008A787C" w:rsidP="00EE597D">
      <w:pPr>
        <w:pStyle w:val="Heading3"/>
        <w:rPr>
          <w:color w:val="4472C4" w:themeColor="accent1"/>
        </w:rPr>
      </w:pPr>
      <w:bookmarkStart w:id="47" w:name="_Toc140567059"/>
      <w:r w:rsidRPr="000A5977">
        <w:rPr>
          <w:color w:val="4472C4" w:themeColor="accent1"/>
        </w:rPr>
        <w:t>Privredna, strukovna udruženja i sindikati</w:t>
      </w:r>
      <w:bookmarkEnd w:id="47"/>
    </w:p>
    <w:p w14:paraId="000002CD" w14:textId="6E1B69A6" w:rsidR="007A6527" w:rsidRDefault="008A787C" w:rsidP="000A5977">
      <w:pPr>
        <w:spacing w:before="240" w:after="240"/>
        <w:rPr>
          <w:color w:val="222222"/>
        </w:rPr>
      </w:pPr>
      <w:r>
        <w:rPr>
          <w:color w:val="222222"/>
        </w:rPr>
        <w:t xml:space="preserve">Privredna udruženja i sindikati su u isto vrijeme važna ciljna skupina, i, ako je komunikacija planski rađena, dobar multiplikator poruka. Zbog neposrednog kontakta sa svojim članovima i posjedovanje tehničkog znanja o mogućnostima i zahtjevima evropskog tržišta, ova udruženja su od neprocjenjive važnosti u upravljanju očekivanjima od članstva, ne dozvoljavajući stvaranje nerealne slike. Kao potencijalni </w:t>
      </w:r>
      <w:r w:rsidR="00935A40">
        <w:rPr>
          <w:color w:val="222222"/>
        </w:rPr>
        <w:t xml:space="preserve"> korisnici d</w:t>
      </w:r>
      <w:r>
        <w:rPr>
          <w:color w:val="222222"/>
        </w:rPr>
        <w:t>ostupnih programima podrške Evropske unije, privrednici</w:t>
      </w:r>
      <w:r w:rsidR="00DE3C9D">
        <w:rPr>
          <w:color w:val="222222"/>
        </w:rPr>
        <w:t>/ce</w:t>
      </w:r>
      <w:r>
        <w:rPr>
          <w:color w:val="222222"/>
        </w:rPr>
        <w:t>, sindikati i komore trebaju biti iskorišteni kao dobri primjeri kako proces integracija već sada pozitivno utiče na živote građana</w:t>
      </w:r>
      <w:r w:rsidR="00DE3C9D">
        <w:rPr>
          <w:color w:val="222222"/>
        </w:rPr>
        <w:t xml:space="preserve">/ki </w:t>
      </w:r>
      <w:r>
        <w:rPr>
          <w:color w:val="222222"/>
        </w:rPr>
        <w:t>Potrebno je napraviti i redovno ažurirati spisak svih kompanija, poljoprivrednika</w:t>
      </w:r>
      <w:r w:rsidR="00DE3C9D">
        <w:rPr>
          <w:color w:val="222222"/>
        </w:rPr>
        <w:t>/ca</w:t>
      </w:r>
      <w:r>
        <w:rPr>
          <w:color w:val="222222"/>
        </w:rPr>
        <w:t xml:space="preserve">, strukovnih udruženja koji su dobili povoljne kredite ili grantove od strane EU. Kroz njihova iskustva, biznis zajednica, ali i ukupna javnost će biti redovno </w:t>
      </w:r>
      <w:r w:rsidR="000D4628">
        <w:rPr>
          <w:color w:val="222222"/>
        </w:rPr>
        <w:t xml:space="preserve"> </w:t>
      </w:r>
      <w:r>
        <w:rPr>
          <w:color w:val="222222"/>
        </w:rPr>
        <w:t xml:space="preserve">obaviještena o pozitivnim stranama integracionog procesa i ponuđenim šansama.  </w:t>
      </w:r>
    </w:p>
    <w:p w14:paraId="000002CE" w14:textId="77777777" w:rsidR="007A6527" w:rsidRPr="000A5977" w:rsidRDefault="008A787C" w:rsidP="00EE597D">
      <w:pPr>
        <w:pStyle w:val="Heading3"/>
        <w:rPr>
          <w:color w:val="4472C4" w:themeColor="accent1"/>
        </w:rPr>
      </w:pPr>
      <w:bookmarkStart w:id="48" w:name="_Toc140567060"/>
      <w:r w:rsidRPr="000A5977">
        <w:rPr>
          <w:color w:val="4472C4" w:themeColor="accent1"/>
        </w:rPr>
        <w:t>Skupština</w:t>
      </w:r>
      <w:bookmarkEnd w:id="48"/>
    </w:p>
    <w:p w14:paraId="000002CF" w14:textId="0FCE6CF6" w:rsidR="007A6527" w:rsidRDefault="008A787C" w:rsidP="000A5977">
      <w:pPr>
        <w:spacing w:before="240" w:after="240"/>
        <w:rPr>
          <w:color w:val="222222"/>
        </w:rPr>
      </w:pPr>
      <w:r>
        <w:rPr>
          <w:color w:val="222222"/>
        </w:rPr>
        <w:t xml:space="preserve">Kao sjedište legislativne aktivnosti Skupština je centralno mjesto procesa usvajanja evropske pravne tekovine, a u isto vrijeme i promoter integracionog procesa, budući da svi poslanici </w:t>
      </w:r>
      <w:r w:rsidR="00935A40">
        <w:rPr>
          <w:color w:val="222222"/>
        </w:rPr>
        <w:t xml:space="preserve">deklarativno </w:t>
      </w:r>
      <w:r>
        <w:rPr>
          <w:color w:val="222222"/>
        </w:rPr>
        <w:t>podržavaju članstvo Crne Gore u Evropskoj uniji. Parlament nije samo mjesto legislativne aktivnosti već je kroz svoje projekte Dječijeg parlamenta, Ženskog parlamenta, Građanskog parlamenta, pokazao da ima kanale komunikacije sa jako bitnim ciljnim grupama, i da se može koristiti za multiplikovanje poruka. Takođe, parlamentarci</w:t>
      </w:r>
      <w:r w:rsidR="00DE3C9D">
        <w:rPr>
          <w:color w:val="222222"/>
        </w:rPr>
        <w:t>/ke</w:t>
      </w:r>
      <w:r>
        <w:rPr>
          <w:color w:val="222222"/>
        </w:rPr>
        <w:t xml:space="preserve"> koji imaju redovne kontakte sa svojim evropskim kolegama, vrijedan su resurs u komuniciranju sa stranim javnostima. Cilj je osnažiti i dodatno razvijati ulogu </w:t>
      </w:r>
      <w:r w:rsidR="00224178">
        <w:rPr>
          <w:color w:val="222222"/>
        </w:rPr>
        <w:t xml:space="preserve">Skupštine </w:t>
      </w:r>
      <w:r>
        <w:rPr>
          <w:color w:val="222222"/>
        </w:rPr>
        <w:t>u procesu komu</w:t>
      </w:r>
      <w:r w:rsidR="00224178">
        <w:rPr>
          <w:color w:val="222222"/>
        </w:rPr>
        <w:t>ni</w:t>
      </w:r>
      <w:r>
        <w:rPr>
          <w:color w:val="222222"/>
        </w:rPr>
        <w:t xml:space="preserve">ciranja evropske integracije u svakom aspektu, u čemu posebnu ulogu treba da ima Odbor za evropske integracije. Kroz saradnju sa odborom treba dati novu energiju nešto ozbiljnijem vidu komunikacije evropske integracije, namijenjenoj političkoj javnosti i donosiocima odluka. Parlament je važan partner u komuniciranju kompleksnog pitanja usklađivanja </w:t>
      </w:r>
      <w:r w:rsidR="00224178">
        <w:rPr>
          <w:color w:val="222222"/>
        </w:rPr>
        <w:t xml:space="preserve">zakonodavstva </w:t>
      </w:r>
      <w:r>
        <w:rPr>
          <w:color w:val="222222"/>
        </w:rPr>
        <w:t>Crne Gore sa pravnom tekovinom EU, i njihova ekspertiza je nezaobilazan faktor u toj komunikacionoj aktivnosti.</w:t>
      </w:r>
    </w:p>
    <w:p w14:paraId="000002D0" w14:textId="7D36C45F" w:rsidR="007A6527" w:rsidRPr="000A5977" w:rsidRDefault="008A787C" w:rsidP="00EE597D">
      <w:pPr>
        <w:pStyle w:val="Heading3"/>
        <w:rPr>
          <w:color w:val="4472C4" w:themeColor="accent1"/>
        </w:rPr>
      </w:pPr>
      <w:bookmarkStart w:id="49" w:name="_Toc140567061"/>
      <w:r w:rsidRPr="000A5977">
        <w:rPr>
          <w:color w:val="4472C4" w:themeColor="accent1"/>
        </w:rPr>
        <w:t>Uticajne javne ličnosti (i digitalni influenseri</w:t>
      </w:r>
      <w:r w:rsidR="00DE3C9D" w:rsidRPr="000A5977">
        <w:rPr>
          <w:color w:val="4472C4" w:themeColor="accent1"/>
        </w:rPr>
        <w:t>/ke</w:t>
      </w:r>
      <w:r w:rsidRPr="000A5977">
        <w:rPr>
          <w:color w:val="4472C4" w:themeColor="accent1"/>
        </w:rPr>
        <w:t>)</w:t>
      </w:r>
      <w:bookmarkEnd w:id="49"/>
    </w:p>
    <w:p w14:paraId="000002D1" w14:textId="332091B9" w:rsidR="007A6527" w:rsidRDefault="008A787C" w:rsidP="000A5977">
      <w:pPr>
        <w:spacing w:before="240" w:after="240" w:line="280" w:lineRule="auto"/>
        <w:rPr>
          <w:color w:val="222222"/>
        </w:rPr>
      </w:pPr>
      <w:r>
        <w:rPr>
          <w:color w:val="222222"/>
        </w:rPr>
        <w:t>Ličnosti iz javnog života, kao što su glumci</w:t>
      </w:r>
      <w:r w:rsidR="00DE3C9D">
        <w:rPr>
          <w:color w:val="222222"/>
        </w:rPr>
        <w:t>/ce</w:t>
      </w:r>
      <w:r>
        <w:rPr>
          <w:color w:val="222222"/>
        </w:rPr>
        <w:t>, sportisti</w:t>
      </w:r>
      <w:r w:rsidR="00DE3C9D">
        <w:rPr>
          <w:color w:val="222222"/>
        </w:rPr>
        <w:t>/kinje</w:t>
      </w:r>
      <w:r>
        <w:rPr>
          <w:color w:val="222222"/>
        </w:rPr>
        <w:t>, umjetnici</w:t>
      </w:r>
      <w:r w:rsidR="00DE3C9D">
        <w:rPr>
          <w:color w:val="222222"/>
        </w:rPr>
        <w:t>/ce</w:t>
      </w:r>
      <w:r>
        <w:rPr>
          <w:color w:val="222222"/>
        </w:rPr>
        <w:t xml:space="preserve"> ali i osobe popularne na društvenim mrežama snažno utiču na formiranje javno</w:t>
      </w:r>
      <w:r w:rsidR="00DE3C9D">
        <w:rPr>
          <w:color w:val="222222"/>
        </w:rPr>
        <w:t>g</w:t>
      </w:r>
      <w:r>
        <w:rPr>
          <w:color w:val="222222"/>
        </w:rPr>
        <w:t xml:space="preserve"> mnjenja. Ukoliko su pravilno iskorišteni, mogu biti dobar multiplikator komunikacionih poruka jer uz pomoć medija i društvenih mreža njihove poruke mogu doći do velikog broja građana</w:t>
      </w:r>
      <w:r w:rsidR="00DE3C9D">
        <w:rPr>
          <w:color w:val="222222"/>
        </w:rPr>
        <w:t>/ki</w:t>
      </w:r>
      <w:r>
        <w:rPr>
          <w:color w:val="222222"/>
        </w:rPr>
        <w:t>, motivisati ih i zainteresovati za temu evropske integracije, evropskih vrijednosti, ili prosto dobrih primjera koji zaslužuju promociju. Treba biti vrlo obazriv sa porukama i kanalima u kojima bi se ove ličnosti koristile, jer nametanje tema poznatim ličnostima koje ne bi djelovale prirodno i organski, neće imati željeni efekat ili će čak doći do kontra-efekta. Zato javne ličnosti i influensere</w:t>
      </w:r>
      <w:r w:rsidR="00DE3C9D">
        <w:rPr>
          <w:color w:val="222222"/>
        </w:rPr>
        <w:t>/ke</w:t>
      </w:r>
      <w:r>
        <w:rPr>
          <w:color w:val="222222"/>
        </w:rPr>
        <w:t xml:space="preserve"> treba uključiti da promovišu ono u šta zapravo vjeruju i što iskreno podržavaju.  Takođe, treba biti obazriv i u selekciji i raditi sa javnim ličnostima koje dijele vrijednosti koje promoviše Vlada i EU. </w:t>
      </w:r>
    </w:p>
    <w:p w14:paraId="000002D2" w14:textId="77777777" w:rsidR="007A6527" w:rsidRPr="000A5977" w:rsidRDefault="008A787C" w:rsidP="00EE597D">
      <w:pPr>
        <w:pStyle w:val="Heading3"/>
        <w:rPr>
          <w:color w:val="4472C4" w:themeColor="accent1"/>
        </w:rPr>
      </w:pPr>
      <w:bookmarkStart w:id="50" w:name="_Toc140567062"/>
      <w:r w:rsidRPr="000A5977">
        <w:rPr>
          <w:color w:val="4472C4" w:themeColor="accent1"/>
        </w:rPr>
        <w:t>Vjerske zajednice</w:t>
      </w:r>
      <w:bookmarkEnd w:id="50"/>
    </w:p>
    <w:p w14:paraId="000002D3" w14:textId="59D30558" w:rsidR="007A6527" w:rsidRDefault="008A787C" w:rsidP="000A5977">
      <w:pPr>
        <w:spacing w:before="240" w:after="240" w:line="276" w:lineRule="auto"/>
        <w:rPr>
          <w:color w:val="FF0000"/>
        </w:rPr>
      </w:pPr>
      <w:r>
        <w:rPr>
          <w:color w:val="222222"/>
        </w:rPr>
        <w:t>Vjerske zajednice imaju veliki uticaj na formiranje javnog mnjena i stavova o bitnim pitanjima, ali</w:t>
      </w:r>
      <w:r>
        <w:rPr>
          <w:b/>
          <w:color w:val="222222"/>
        </w:rPr>
        <w:t xml:space="preserve"> </w:t>
      </w:r>
      <w:r>
        <w:rPr>
          <w:color w:val="222222"/>
        </w:rPr>
        <w:t>ovoj saradnji treba prići obazrivo kako bi u svakoj situaciji bilo jasno da se poštuje sloboda vjeroispovijesti i da se vjerske zajednice ne miješaju u polit</w:t>
      </w:r>
      <w:r w:rsidR="00224178">
        <w:rPr>
          <w:color w:val="222222"/>
        </w:rPr>
        <w:t>i</w:t>
      </w:r>
      <w:r>
        <w:rPr>
          <w:color w:val="222222"/>
        </w:rPr>
        <w:t>čka pitanja. Multikulturalnost je neodvojivi dio Evrope i Evropska unija insistira na očuvanju identitetskih specifičnosti svake od država članica. Cilj je da pripadnici</w:t>
      </w:r>
      <w:r w:rsidR="00DE3C9D">
        <w:rPr>
          <w:color w:val="222222"/>
        </w:rPr>
        <w:t>/ce</w:t>
      </w:r>
      <w:r>
        <w:rPr>
          <w:color w:val="222222"/>
        </w:rPr>
        <w:t xml:space="preserve"> svih vjera u Crnoj Gori budu svjesni temeljnih evropskih vrijednosti, poput one da se  ulaskom države u EU ne gube sopstveni identitet, kao ni pravo na svoja uvjerenja. Različite vjerske zajednice u Crnoj Gori već uspješno koriste EU sredstva i to je sjajna početna tačka za komuniciranje kompatibilnosti pripadnosti vjerskoj zajednici i evropske integracije. Ovu saradnju treba unaprjeđivati i aktivno promovisati, kao i dublje sarađivati sa predstavnicima</w:t>
      </w:r>
      <w:r w:rsidR="00DE3C9D">
        <w:rPr>
          <w:color w:val="222222"/>
        </w:rPr>
        <w:t>/cama</w:t>
      </w:r>
      <w:r>
        <w:rPr>
          <w:color w:val="222222"/>
        </w:rPr>
        <w:t xml:space="preserve"> vjerskih zajednica na promovisanju multikonfesionalnosti kao temeljne vrijednosti Evrope i Crne Gore.</w:t>
      </w:r>
    </w:p>
    <w:p w14:paraId="000002D4" w14:textId="431675A1" w:rsidR="007A6527" w:rsidRPr="000A5977" w:rsidRDefault="008A787C" w:rsidP="00EE597D">
      <w:pPr>
        <w:pStyle w:val="Heading3"/>
        <w:rPr>
          <w:color w:val="4472C4" w:themeColor="accent1"/>
        </w:rPr>
      </w:pPr>
      <w:bookmarkStart w:id="51" w:name="_Toc140567063"/>
      <w:r w:rsidRPr="000A5977">
        <w:rPr>
          <w:color w:val="4472C4" w:themeColor="accent1"/>
        </w:rPr>
        <w:t>Umjetnici/</w:t>
      </w:r>
      <w:r w:rsidR="00DE3C9D" w:rsidRPr="000A5977">
        <w:rPr>
          <w:color w:val="4472C4" w:themeColor="accent1"/>
        </w:rPr>
        <w:t xml:space="preserve">ce i </w:t>
      </w:r>
      <w:r w:rsidR="009E434A" w:rsidRPr="000A5977">
        <w:rPr>
          <w:color w:val="4472C4" w:themeColor="accent1"/>
        </w:rPr>
        <w:t>kulturne</w:t>
      </w:r>
      <w:r w:rsidRPr="000A5977">
        <w:rPr>
          <w:color w:val="4472C4" w:themeColor="accent1"/>
        </w:rPr>
        <w:t xml:space="preserve"> institucije</w:t>
      </w:r>
      <w:bookmarkEnd w:id="51"/>
    </w:p>
    <w:p w14:paraId="535587FB" w14:textId="77777777" w:rsidR="00EE597D" w:rsidRDefault="00EE597D">
      <w:pPr>
        <w:spacing w:line="276" w:lineRule="auto"/>
        <w:ind w:left="700" w:right="-60"/>
        <w:rPr>
          <w:color w:val="222222"/>
        </w:rPr>
      </w:pPr>
    </w:p>
    <w:p w14:paraId="000002D5" w14:textId="15C0AC53" w:rsidR="007A6527" w:rsidRDefault="008A787C" w:rsidP="000A5977">
      <w:pPr>
        <w:spacing w:line="276" w:lineRule="auto"/>
        <w:ind w:right="-60"/>
        <w:rPr>
          <w:color w:val="1F3763"/>
        </w:rPr>
      </w:pPr>
      <w:r>
        <w:rPr>
          <w:color w:val="222222"/>
        </w:rPr>
        <w:t>Kultura i umjetnost su perfektni medijumi za približavanje tema koje se smatraju odviše dosadnim, ozbiljnim i birokratskim. Sa druge strane kultura i umjetnost je u samoj srži evropskih vrijednosti, slavljenja različitosti, čuvanja identiteta. Zbog toga su kulturne institucije, umjetnici</w:t>
      </w:r>
      <w:r w:rsidR="00DE3C9D">
        <w:rPr>
          <w:color w:val="222222"/>
        </w:rPr>
        <w:t>/ce</w:t>
      </w:r>
      <w:r>
        <w:rPr>
          <w:color w:val="222222"/>
        </w:rPr>
        <w:t xml:space="preserve"> i manifestacije ne samo multiplikatori naših poruka, već i kreatori našeg sadržaja. Potrebno je ostvariti saradnju sa svim kulturnim institucijama i umjetnicima</w:t>
      </w:r>
      <w:r w:rsidR="00DE3C9D">
        <w:rPr>
          <w:color w:val="222222"/>
        </w:rPr>
        <w:t>/cama</w:t>
      </w:r>
      <w:r>
        <w:rPr>
          <w:color w:val="222222"/>
        </w:rPr>
        <w:t xml:space="preserve"> sa kojima to može biti svrsishodno, a posebno onima koji već imaju uspostavljenu publiku. Pažljivo kreirati i birati poruke, ne opterećujući ih tehničkim aspektima integracije, već u cilju promocije kulturnog nasljeđa i različitosti, kao osnovne evropske vrijednosti. Poseban akcenat na oranizacijama koje su učestvovale u programima Kreativne Evrope, kojih ima sve više.</w:t>
      </w:r>
      <w:r>
        <w:rPr>
          <w:color w:val="1F3763"/>
        </w:rPr>
        <w:t xml:space="preserve">  </w:t>
      </w:r>
    </w:p>
    <w:p w14:paraId="000002D6" w14:textId="4BA84CD7" w:rsidR="007A6527" w:rsidRPr="000A5977" w:rsidRDefault="008A787C" w:rsidP="004E4614">
      <w:pPr>
        <w:pStyle w:val="Heading1"/>
        <w:rPr>
          <w:b/>
        </w:rPr>
      </w:pPr>
      <w:bookmarkStart w:id="52" w:name="_Toc140567064"/>
      <w:r w:rsidRPr="000A5977">
        <w:rPr>
          <w:b/>
        </w:rPr>
        <w:t>Strate</w:t>
      </w:r>
      <w:r w:rsidR="009E434A" w:rsidRPr="000A5977">
        <w:rPr>
          <w:b/>
        </w:rPr>
        <w:t>gijski</w:t>
      </w:r>
      <w:r w:rsidRPr="000A5977">
        <w:rPr>
          <w:b/>
        </w:rPr>
        <w:t xml:space="preserve"> i operativni ciljevi</w:t>
      </w:r>
      <w:bookmarkEnd w:id="52"/>
    </w:p>
    <w:p w14:paraId="000002D7" w14:textId="4ECFC4F6" w:rsidR="007A6527" w:rsidRDefault="008A787C">
      <w:pPr>
        <w:spacing w:before="240" w:after="120"/>
      </w:pPr>
      <w:r>
        <w:t>Prateći principe izrade strategije koji se odnose na strateško planiranje i empirijsku provjeru podataka, a u skladu sa vladinim Smjernicama za izradu strateških dokumenata, ovaj dokument definiše strategijski i operativn</w:t>
      </w:r>
      <w:r w:rsidR="00F21C58">
        <w:t>e</w:t>
      </w:r>
      <w:r>
        <w:t xml:space="preserve"> ciljev</w:t>
      </w:r>
      <w:r w:rsidR="00F21C58">
        <w:t>e</w:t>
      </w:r>
      <w:r>
        <w:t xml:space="preserve"> za period od četiri godine.</w:t>
      </w:r>
      <w:r>
        <w:rPr>
          <w:b/>
        </w:rPr>
        <w:t xml:space="preserve"> </w:t>
      </w:r>
      <w:r>
        <w:t xml:space="preserve">Ti ciljevi definisani su u skladu sa analizom stanja, ostvaruju kontinuitet sa prethodnim strategijama i odnose se na ključne javnosti. </w:t>
      </w:r>
    </w:p>
    <w:p w14:paraId="17AC55D3" w14:textId="4D216B66" w:rsidR="00F21C58" w:rsidRPr="00F21C58" w:rsidRDefault="00F21C58">
      <w:pPr>
        <w:spacing w:before="240" w:after="120"/>
        <w:rPr>
          <w:b/>
        </w:rPr>
      </w:pPr>
      <w:r w:rsidRPr="00F21C58">
        <w:rPr>
          <w:b/>
        </w:rPr>
        <w:t>Strateški cilj dokumenta je snažna podrška građana/ki pristupanju Crne Gore EU.</w:t>
      </w:r>
    </w:p>
    <w:p w14:paraId="7143B270" w14:textId="2F8798B2" w:rsidR="00F21C58" w:rsidRPr="00F21C58" w:rsidRDefault="00F21C58">
      <w:pPr>
        <w:spacing w:before="240" w:after="120"/>
        <w:rPr>
          <w:u w:val="single"/>
        </w:rPr>
      </w:pPr>
      <w:r w:rsidRPr="00F21C58">
        <w:rPr>
          <w:u w:val="single"/>
        </w:rPr>
        <w:t>Operativni ciljevi su sljedeći:</w:t>
      </w:r>
    </w:p>
    <w:p w14:paraId="4FAE60E2" w14:textId="77777777" w:rsidR="00F21C58" w:rsidRDefault="00F21C58" w:rsidP="00F21C58">
      <w:pPr>
        <w:spacing w:before="240" w:after="120"/>
      </w:pPr>
      <w:r w:rsidRPr="00F21C58">
        <w:rPr>
          <w:b/>
        </w:rPr>
        <w:t>Operativni cilj 1:</w:t>
      </w:r>
      <w:r>
        <w:t xml:space="preserve"> Povećati institucionalnu efikasnost u komuniciranju procesa evropske integracije </w:t>
      </w:r>
    </w:p>
    <w:p w14:paraId="55CF5939" w14:textId="77777777" w:rsidR="00F21C58" w:rsidRDefault="00F21C58" w:rsidP="00F21C58">
      <w:pPr>
        <w:spacing w:before="240" w:after="120"/>
      </w:pPr>
      <w:r w:rsidRPr="00F21C58">
        <w:rPr>
          <w:b/>
        </w:rPr>
        <w:t>Operativni cilj 2</w:t>
      </w:r>
      <w:r>
        <w:t>: Osnažiti ulogu medija u informisanju građana/ki o EU</w:t>
      </w:r>
    </w:p>
    <w:p w14:paraId="7CD623C8" w14:textId="77777777" w:rsidR="00F21C58" w:rsidRDefault="00F21C58" w:rsidP="00F21C58">
      <w:pPr>
        <w:spacing w:before="240" w:after="120"/>
      </w:pPr>
      <w:r w:rsidRPr="00F21C58">
        <w:rPr>
          <w:b/>
        </w:rPr>
        <w:t>Operativni cilj 3</w:t>
      </w:r>
      <w:r>
        <w:t xml:space="preserve">: Unaprijeđena prepoznatljivost procesa pristupanja Crne Gore Evropskoj uniji u međunarodnoj javnosti </w:t>
      </w:r>
    </w:p>
    <w:p w14:paraId="1621F383" w14:textId="15304A0C" w:rsidR="00F21C58" w:rsidRDefault="00F21C58" w:rsidP="00F21C58">
      <w:pPr>
        <w:spacing w:before="240" w:after="120"/>
      </w:pPr>
      <w:r w:rsidRPr="00F21C58">
        <w:rPr>
          <w:b/>
        </w:rPr>
        <w:t>Operativni cilj 4</w:t>
      </w:r>
      <w:r>
        <w:t>: Obrazovni sistem i lokalne samouprave su promoteri EU vrijednosti</w:t>
      </w:r>
    </w:p>
    <w:p w14:paraId="000002EC" w14:textId="77777777" w:rsidR="007A6527" w:rsidRDefault="007A6527">
      <w:pPr>
        <w:spacing w:before="240" w:after="240"/>
      </w:pPr>
    </w:p>
    <w:p w14:paraId="73EEE33F" w14:textId="12212838" w:rsidR="00195F62" w:rsidRDefault="00195F62">
      <w:pPr>
        <w:spacing w:before="240" w:after="240"/>
      </w:pPr>
      <w:r>
        <w:rPr>
          <w:noProof/>
          <w:lang w:val="sr-Latn-ME" w:eastAsia="sr-Latn-ME"/>
        </w:rPr>
        <w:drawing>
          <wp:inline distT="0" distB="0" distL="0" distR="0" wp14:anchorId="0616AD8E" wp14:editId="23627ADB">
            <wp:extent cx="5362575" cy="695486"/>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363368" cy="695589"/>
                    </a:xfrm>
                    <a:prstGeom prst="rect">
                      <a:avLst/>
                    </a:prstGeom>
                    <a:noFill/>
                  </pic:spPr>
                </pic:pic>
              </a:graphicData>
            </a:graphic>
          </wp:inline>
        </w:drawing>
      </w:r>
    </w:p>
    <w:p w14:paraId="140FFB74" w14:textId="77777777" w:rsidR="00195F62" w:rsidRDefault="00195F62">
      <w:pPr>
        <w:spacing w:before="240" w:after="240"/>
      </w:pPr>
    </w:p>
    <w:p w14:paraId="442E4717" w14:textId="71F2AFCA" w:rsidR="00195F62" w:rsidRDefault="00195F62">
      <w:pPr>
        <w:spacing w:before="240" w:after="240"/>
      </w:pPr>
      <w:r>
        <w:rPr>
          <w:noProof/>
          <w:lang w:val="sr-Latn-ME" w:eastAsia="sr-Latn-ME"/>
        </w:rPr>
        <w:drawing>
          <wp:inline distT="0" distB="0" distL="0" distR="0" wp14:anchorId="6B25C64F" wp14:editId="51214EB7">
            <wp:extent cx="1200150" cy="10985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00150" cy="1098550"/>
                    </a:xfrm>
                    <a:prstGeom prst="rect">
                      <a:avLst/>
                    </a:prstGeom>
                    <a:noFill/>
                  </pic:spPr>
                </pic:pic>
              </a:graphicData>
            </a:graphic>
          </wp:inline>
        </w:drawing>
      </w:r>
      <w:r>
        <w:t xml:space="preserve">   </w:t>
      </w:r>
      <w:r>
        <w:rPr>
          <w:noProof/>
          <w:lang w:val="sr-Latn-ME" w:eastAsia="sr-Latn-ME"/>
        </w:rPr>
        <w:drawing>
          <wp:inline distT="0" distB="0" distL="0" distR="0" wp14:anchorId="5BB45574" wp14:editId="6DEF1210">
            <wp:extent cx="1200150" cy="1075782"/>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00150" cy="1075782"/>
                    </a:xfrm>
                    <a:prstGeom prst="rect">
                      <a:avLst/>
                    </a:prstGeom>
                    <a:noFill/>
                  </pic:spPr>
                </pic:pic>
              </a:graphicData>
            </a:graphic>
          </wp:inline>
        </w:drawing>
      </w:r>
      <w:r>
        <w:t xml:space="preserve">   </w:t>
      </w:r>
      <w:r>
        <w:rPr>
          <w:noProof/>
          <w:lang w:val="sr-Latn-ME" w:eastAsia="sr-Latn-ME"/>
        </w:rPr>
        <w:drawing>
          <wp:inline distT="0" distB="0" distL="0" distR="0" wp14:anchorId="2AB2D1F7" wp14:editId="31FA077F">
            <wp:extent cx="1209675" cy="1079402"/>
            <wp:effectExtent l="0" t="0" r="0" b="698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09675" cy="1079402"/>
                    </a:xfrm>
                    <a:prstGeom prst="rect">
                      <a:avLst/>
                    </a:prstGeom>
                    <a:noFill/>
                  </pic:spPr>
                </pic:pic>
              </a:graphicData>
            </a:graphic>
          </wp:inline>
        </w:drawing>
      </w:r>
      <w:r>
        <w:t xml:space="preserve">   </w:t>
      </w:r>
      <w:r>
        <w:rPr>
          <w:noProof/>
          <w:lang w:val="sr-Latn-ME" w:eastAsia="sr-Latn-ME"/>
        </w:rPr>
        <w:drawing>
          <wp:inline distT="0" distB="0" distL="0" distR="0" wp14:anchorId="5054C609" wp14:editId="769DA8A6">
            <wp:extent cx="1181213" cy="107267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81213" cy="1072670"/>
                    </a:xfrm>
                    <a:prstGeom prst="rect">
                      <a:avLst/>
                    </a:prstGeom>
                    <a:noFill/>
                  </pic:spPr>
                </pic:pic>
              </a:graphicData>
            </a:graphic>
          </wp:inline>
        </w:drawing>
      </w:r>
    </w:p>
    <w:p w14:paraId="6D16598D" w14:textId="77777777" w:rsidR="002B6845" w:rsidRDefault="002B6845">
      <w:pPr>
        <w:spacing w:before="240" w:after="240"/>
      </w:pPr>
    </w:p>
    <w:p w14:paraId="0FB37E82" w14:textId="77777777" w:rsidR="002B6845" w:rsidRDefault="002B6845" w:rsidP="002B6845">
      <w:pPr>
        <w:rPr>
          <w:rFonts w:asciiTheme="minorHAnsi" w:hAnsiTheme="minorHAnsi" w:cstheme="minorHAnsi"/>
        </w:rPr>
      </w:pPr>
      <w:r w:rsidRPr="00E24541">
        <w:rPr>
          <w:rFonts w:asciiTheme="minorHAnsi" w:hAnsiTheme="minorHAnsi" w:cstheme="minorHAnsi"/>
          <w:b/>
        </w:rPr>
        <w:t>Prvi operativni cilj</w:t>
      </w:r>
      <w:r w:rsidRPr="00E24541">
        <w:rPr>
          <w:rFonts w:asciiTheme="minorHAnsi" w:hAnsiTheme="minorHAnsi" w:cstheme="minorHAnsi"/>
        </w:rPr>
        <w:t xml:space="preserve"> će se ostvariti kroz unapređenje proaktivnog djelovanja institucija u komuniciranju procesa evropske integracije i povećanje broja javnih događaja i integrisanih kampanja koji se bave EU i procesom pristupanja EU. Takođe,  poboljšaće se efikasnost u koordinaciji  svih učesnika u komuniciranju procesa i smanjiti korišćenje birokratskog jezika. Poseban segment aktivnosti biće usmjeren na jačanje kompetencija svih učesnika u komuniciranju procesa evropske integracije na teme koje se odnose na kanale, forme, jezik i ton komuniciranja.</w:t>
      </w:r>
    </w:p>
    <w:p w14:paraId="7A5B111B" w14:textId="77777777" w:rsidR="00135F62" w:rsidRDefault="00135F62" w:rsidP="002B6845">
      <w:pPr>
        <w:rPr>
          <w:rFonts w:asciiTheme="minorHAnsi" w:hAnsiTheme="minorHAnsi" w:cstheme="minorHAnsi"/>
        </w:rPr>
      </w:pPr>
    </w:p>
    <w:p w14:paraId="74090DA7" w14:textId="77777777" w:rsidR="002B6845" w:rsidRPr="00E24541" w:rsidRDefault="002B6845" w:rsidP="002B6845">
      <w:pPr>
        <w:rPr>
          <w:rFonts w:asciiTheme="minorHAnsi" w:hAnsiTheme="minorHAnsi" w:cstheme="minorHAnsi"/>
        </w:rPr>
      </w:pPr>
      <w:r w:rsidRPr="00E24541">
        <w:rPr>
          <w:rFonts w:asciiTheme="minorHAnsi" w:hAnsiTheme="minorHAnsi" w:cstheme="minorHAnsi"/>
          <w:b/>
        </w:rPr>
        <w:t>Drugi operativni cilj</w:t>
      </w:r>
      <w:r w:rsidRPr="00E24541">
        <w:rPr>
          <w:rFonts w:asciiTheme="minorHAnsi" w:hAnsiTheme="minorHAnsi" w:cstheme="minorHAnsi"/>
        </w:rPr>
        <w:t xml:space="preserve"> će se ostvariti kroz institucionalizaciju saradnje sa medijima, odnosno putem definisanja konkretnih oblika saradnje, kao što je potpisivanje memoranduma o saradnji u oblasti izvještavanja o procesu evropske integracije.Takođe, imajući u vidu da su crnogorske redakcije male i mali broj novinara/ki  koji se podrobnije mogu posvetiti procesu/specijalizovati za teme iz EU/pregovaračkog procesa, u narednom periodu će se pristupiti organizaciji obuka za novinare/ke, kao i redovnim brifinzima sa članovima/cama pregovaračke strukture .</w:t>
      </w:r>
    </w:p>
    <w:p w14:paraId="1A5DA400" w14:textId="77777777" w:rsidR="002B6845" w:rsidRPr="00E24541" w:rsidRDefault="002B6845" w:rsidP="004E4614">
      <w:bookmarkStart w:id="53" w:name="_Toc140566841"/>
      <w:r w:rsidRPr="004E4614">
        <w:rPr>
          <w:b/>
        </w:rPr>
        <w:t>Treći operativni cilj</w:t>
      </w:r>
      <w:r w:rsidRPr="00E24541">
        <w:t xml:space="preserve"> će se ostvariti kroz povećanje broja događaja namijenjenih inostranoj javnosti (događaji u/sa institucijama i državama članicama EU). Takođe, radiće se na povećanju pokrivenosti inostranih medija pozitivnim pričama o reformama koje Crna Gora ostvaruje u procesu pristupanja EU. Uz to, radiće se na povećanju broja i dostupnosti informacija iz pregovaračkog procesa na engleskom jeziku na zvaničnim sajtovima crnogorskih institucija, kao i promotivnog materijala namijenjenog inostranoj javnosti.</w:t>
      </w:r>
      <w:bookmarkEnd w:id="53"/>
    </w:p>
    <w:p w14:paraId="7E595FE2" w14:textId="77777777" w:rsidR="004E4614" w:rsidRDefault="004E4614" w:rsidP="004E4614">
      <w:pPr>
        <w:rPr>
          <w:b/>
        </w:rPr>
      </w:pPr>
      <w:bookmarkStart w:id="54" w:name="_Toc140566842"/>
    </w:p>
    <w:p w14:paraId="064EC1D0" w14:textId="45C04D4C" w:rsidR="00195F62" w:rsidRPr="004E4614" w:rsidRDefault="002B6845" w:rsidP="004E4614">
      <w:r w:rsidRPr="00E24541">
        <w:rPr>
          <w:b/>
        </w:rPr>
        <w:t>Četvrti operativni cilj</w:t>
      </w:r>
      <w:r w:rsidRPr="00E24541">
        <w:t xml:space="preserve"> će se ostvariti kroz povećanje broja događaja na temu EU koji će uključiti učenike/ce osnovnih i srednjih škola, kao i studente/kinje uz nastavak prilagođavanja kanala i tona/jezika komunikacije toj ciljnoj javnosti. Takođe, povećaće se broj i unaprijediti vidljivost aktivnosti na lokalnom nivou, kroz obilježavanje važnih EU datuma, promociju EU podrške i politika EU</w:t>
      </w:r>
      <w:bookmarkEnd w:id="54"/>
      <w:r w:rsidR="004E4614">
        <w:t>.</w:t>
      </w:r>
    </w:p>
    <w:p w14:paraId="000002ED" w14:textId="77777777" w:rsidR="007A6527" w:rsidRPr="000A5977" w:rsidRDefault="008A787C" w:rsidP="004E4614">
      <w:pPr>
        <w:pStyle w:val="Heading1"/>
        <w:rPr>
          <w:b/>
        </w:rPr>
      </w:pPr>
      <w:bookmarkStart w:id="55" w:name="_Toc140567065"/>
      <w:r w:rsidRPr="000A5977">
        <w:rPr>
          <w:b/>
        </w:rPr>
        <w:t>Ključne poruke koje komuniciramo prema javnostima</w:t>
      </w:r>
      <w:bookmarkEnd w:id="55"/>
    </w:p>
    <w:p w14:paraId="000002EE" w14:textId="77777777" w:rsidR="007A6527" w:rsidRDefault="008A787C">
      <w:pPr>
        <w:spacing w:before="240" w:after="120"/>
        <w:rPr>
          <w:highlight w:val="yellow"/>
        </w:rPr>
      </w:pPr>
      <w:r>
        <w:t>Proces komuniciranja evropske integracije u narednom periodu treba da gravitira u odnosu na pet ključnih poruka iz kojih proizlaze pomoćne.</w:t>
      </w:r>
      <w:r>
        <w:rPr>
          <w:highlight w:val="yellow"/>
        </w:rPr>
        <w:t xml:space="preserve"> </w:t>
      </w:r>
    </w:p>
    <w:p w14:paraId="000002EF" w14:textId="4530CE28" w:rsidR="007A6527" w:rsidRDefault="006164B4">
      <w:r>
        <w:t>U p</w:t>
      </w:r>
      <w:r w:rsidR="008A787C">
        <w:t>rethodn</w:t>
      </w:r>
      <w:r>
        <w:t>oj</w:t>
      </w:r>
      <w:r w:rsidR="008A787C">
        <w:t xml:space="preserve"> </w:t>
      </w:r>
      <w:r>
        <w:t xml:space="preserve">Strategiji </w:t>
      </w:r>
      <w:r w:rsidR="008A787C">
        <w:t xml:space="preserve">informisanja javnosti </w:t>
      </w:r>
      <w:r>
        <w:t xml:space="preserve">koncipirano </w:t>
      </w:r>
      <w:r w:rsidR="008A787C">
        <w:t>je pet osnovnih ključnih poruka iz kojih će proisticati sve ostale poruke koje se komuniciraju. Kredibilnost ovih poruka testirana je u istraživanju koje je sprovedeno u maju 2022. godine. Sve poruke su dominantno pozitivno ocijenjene. Na pitanje da li se slažu sa navedenim tv</w:t>
      </w:r>
      <w:r w:rsidR="00804BB2">
        <w:t>r</w:t>
      </w:r>
      <w:r w:rsidR="008A787C">
        <w:t>dnjama, preko polovine ispitanika</w:t>
      </w:r>
      <w:r w:rsidR="0034751A">
        <w:t>/ca</w:t>
      </w:r>
      <w:r w:rsidR="008A787C">
        <w:t xml:space="preserve"> izjavljuje da se u potpunosti ili donekle slaže. Najviši stepen slaganja je sa tvrdnjama da je EU naše odredište, a kvalitetniji život građana</w:t>
      </w:r>
      <w:r w:rsidR="0034751A">
        <w:t>/ki</w:t>
      </w:r>
      <w:r w:rsidR="008A787C">
        <w:t xml:space="preserve"> cilj naših reformi, te da je EU snažan globalni igrač, visokog standarda života, zasnovana na demokratskim vrijednostima, i samim tim prioritet Crne Gore. </w:t>
      </w:r>
    </w:p>
    <w:p w14:paraId="000002F0" w14:textId="77777777" w:rsidR="007A6527" w:rsidRDefault="008A787C">
      <w:r>
        <w:rPr>
          <w:noProof/>
          <w:lang w:val="sr-Latn-ME" w:eastAsia="sr-Latn-ME"/>
        </w:rPr>
        <w:drawing>
          <wp:inline distT="0" distB="0" distL="0" distR="0" wp14:anchorId="0AA7A403" wp14:editId="5C4BBDB6">
            <wp:extent cx="5731510" cy="3257550"/>
            <wp:effectExtent l="0" t="0" r="0" b="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000002F1" w14:textId="77777777" w:rsidR="007A6527" w:rsidRDefault="008A787C">
      <w:pPr>
        <w:pBdr>
          <w:top w:val="nil"/>
          <w:left w:val="nil"/>
          <w:bottom w:val="nil"/>
          <w:right w:val="nil"/>
          <w:between w:val="nil"/>
        </w:pBdr>
        <w:spacing w:after="200"/>
        <w:rPr>
          <w:rFonts w:ascii="Calibri" w:hAnsi="Calibri"/>
          <w:i/>
          <w:color w:val="44546A"/>
          <w:sz w:val="18"/>
          <w:szCs w:val="18"/>
        </w:rPr>
      </w:pPr>
      <w:r>
        <w:rPr>
          <w:rFonts w:ascii="Calibri" w:hAnsi="Calibri"/>
          <w:i/>
          <w:color w:val="44546A"/>
          <w:sz w:val="18"/>
          <w:szCs w:val="18"/>
        </w:rPr>
        <w:t>Grafik 10: U kojoj mjeri ste saglasni sa sljedećim tvrdnjama... De Facto, 2022. godine</w:t>
      </w:r>
    </w:p>
    <w:p w14:paraId="000002F2" w14:textId="7547E4B7" w:rsidR="007A6527" w:rsidRDefault="008A787C">
      <w:pPr>
        <w:spacing w:before="240" w:after="120"/>
        <w:rPr>
          <w:highlight w:val="yellow"/>
        </w:rPr>
      </w:pPr>
      <w:r>
        <w:t xml:space="preserve">Ključne i pomoćne poruke narednog komunikacionog ciklusa treba da se </w:t>
      </w:r>
      <w:r w:rsidR="00804BB2">
        <w:t>o</w:t>
      </w:r>
      <w:r>
        <w:t xml:space="preserve">slanjaju na prethodne, posebno imajući u vidu da su one pozitivno ocijenjene, ali i da uvaže aktuelni globalni, evropski i crnogorski kontekst. </w:t>
      </w:r>
    </w:p>
    <w:p w14:paraId="000002F3" w14:textId="7C61AC6B" w:rsidR="007A6527" w:rsidRDefault="008A787C">
      <w:pPr>
        <w:spacing w:before="240" w:after="120"/>
        <w:rPr>
          <w:b/>
        </w:rPr>
      </w:pPr>
      <w:r>
        <w:rPr>
          <w:b/>
        </w:rPr>
        <w:t>Ključna poruka 1: Evropska integracija i reforme unaprjeđuju Crnu Goru i približavaju životni standard građana</w:t>
      </w:r>
      <w:r w:rsidR="0034751A">
        <w:rPr>
          <w:b/>
        </w:rPr>
        <w:t>/ki</w:t>
      </w:r>
      <w:r>
        <w:rPr>
          <w:b/>
        </w:rPr>
        <w:t xml:space="preserve"> evropskom</w:t>
      </w:r>
      <w:r w:rsidR="001C3113">
        <w:rPr>
          <w:b/>
        </w:rPr>
        <w:t xml:space="preserve"> </w:t>
      </w:r>
    </w:p>
    <w:p w14:paraId="000002F4" w14:textId="77777777" w:rsidR="007A6527" w:rsidRDefault="00000000">
      <w:pPr>
        <w:spacing w:before="240" w:after="120"/>
        <w:rPr>
          <w:b/>
        </w:rPr>
      </w:pPr>
      <w:sdt>
        <w:sdtPr>
          <w:tag w:val="goog_rdk_22"/>
          <w:id w:val="-215894524"/>
        </w:sdtPr>
        <w:sdtContent/>
      </w:sdt>
      <w:sdt>
        <w:sdtPr>
          <w:tag w:val="goog_rdk_23"/>
          <w:id w:val="773068920"/>
        </w:sdtPr>
        <w:sdtContent/>
      </w:sdt>
      <w:r w:rsidR="008A787C">
        <w:rPr>
          <w:b/>
        </w:rPr>
        <w:t>Pomoćne poruke:</w:t>
      </w:r>
    </w:p>
    <w:p w14:paraId="000002F5" w14:textId="4A20878C" w:rsidR="007A6527" w:rsidRDefault="008A787C">
      <w:pPr>
        <w:spacing w:before="240" w:after="120"/>
        <w:ind w:left="360"/>
      </w:pPr>
      <w:r>
        <w:t>§  EU je naše odredište, a kvalitetniji život građana</w:t>
      </w:r>
      <w:r w:rsidR="0034751A">
        <w:t>/ki</w:t>
      </w:r>
      <w:r>
        <w:t xml:space="preserve"> je ključni cilj naših reformi.</w:t>
      </w:r>
    </w:p>
    <w:p w14:paraId="000002F6" w14:textId="026924CC" w:rsidR="007A6527" w:rsidRDefault="008A787C">
      <w:pPr>
        <w:spacing w:before="240" w:after="120"/>
        <w:ind w:left="360"/>
      </w:pPr>
      <w:r>
        <w:t xml:space="preserve">§  Reforme već </w:t>
      </w:r>
      <w:r w:rsidR="006164B4">
        <w:t xml:space="preserve">uspijevaju da </w:t>
      </w:r>
      <w:r w:rsidR="006164B4" w:rsidRPr="006164B4">
        <w:t xml:space="preserve">približe kvalitet života </w:t>
      </w:r>
      <w:r w:rsidR="006164B4">
        <w:t xml:space="preserve">u Crnoj Gori </w:t>
      </w:r>
      <w:r w:rsidR="006164B4" w:rsidRPr="006164B4">
        <w:t>evropskim standardima</w:t>
      </w:r>
      <w:r w:rsidR="006164B4">
        <w:t>.</w:t>
      </w:r>
    </w:p>
    <w:p w14:paraId="000002F7" w14:textId="5D097BF3" w:rsidR="007A6527" w:rsidRDefault="008A787C">
      <w:pPr>
        <w:spacing w:before="240" w:after="120"/>
        <w:ind w:left="360"/>
      </w:pPr>
      <w:r>
        <w:t>§  Pregovori se n</w:t>
      </w:r>
      <w:r w:rsidR="00804BB2">
        <w:t>e</w:t>
      </w:r>
      <w:r>
        <w:t xml:space="preserve"> odvijaju zbog štrikova u Briselu, već da bi društvo usvojilo evropske standarde</w:t>
      </w:r>
      <w:r w:rsidR="00671275">
        <w:t xml:space="preserve"> i vrijednosti</w:t>
      </w:r>
      <w:r w:rsidR="006164B4">
        <w:t>.</w:t>
      </w:r>
    </w:p>
    <w:p w14:paraId="000002F8" w14:textId="6ADCB62E" w:rsidR="007A6527" w:rsidRDefault="008A787C">
      <w:pPr>
        <w:spacing w:before="240" w:after="120"/>
        <w:ind w:left="360"/>
      </w:pPr>
      <w:r>
        <w:t>§  Sprovodimo reforme</w:t>
      </w:r>
      <w:r w:rsidR="00671275">
        <w:t xml:space="preserve"> </w:t>
      </w:r>
      <w:r w:rsidR="00671275" w:rsidRPr="00671275">
        <w:t xml:space="preserve">ne </w:t>
      </w:r>
      <w:r w:rsidR="0012581D">
        <w:t>samo formalno</w:t>
      </w:r>
      <w:r w:rsidR="00671275" w:rsidRPr="00671275">
        <w:t>, već</w:t>
      </w:r>
      <w:r>
        <w:t xml:space="preserve"> da bi građani</w:t>
      </w:r>
      <w:r w:rsidR="0034751A">
        <w:t>/ke</w:t>
      </w:r>
      <w:r>
        <w:t xml:space="preserve"> živjeli</w:t>
      </w:r>
      <w:r w:rsidR="0034751A">
        <w:t>/e</w:t>
      </w:r>
      <w:r>
        <w:t xml:space="preserve"> u prosperitetnom </w:t>
      </w:r>
      <w:r w:rsidR="00804BB2">
        <w:t xml:space="preserve">društvu, </w:t>
      </w:r>
      <w:r>
        <w:t>u kojem svi imaju jednake šanse</w:t>
      </w:r>
      <w:r w:rsidR="006164B4">
        <w:t>.</w:t>
      </w:r>
    </w:p>
    <w:p w14:paraId="000002F9" w14:textId="304603AA" w:rsidR="007A6527" w:rsidRDefault="008A787C">
      <w:pPr>
        <w:spacing w:before="240" w:after="120"/>
        <w:ind w:left="360"/>
      </w:pPr>
      <w:r>
        <w:t>§  Vladavina prava je u interesu građana</w:t>
      </w:r>
      <w:r w:rsidR="0034751A">
        <w:t>/ki</w:t>
      </w:r>
      <w:r>
        <w:t xml:space="preserve"> Crne Gore</w:t>
      </w:r>
      <w:r w:rsidR="006164B4">
        <w:t>.</w:t>
      </w:r>
    </w:p>
    <w:p w14:paraId="000002FA" w14:textId="77777777" w:rsidR="007A6527" w:rsidRDefault="008A787C">
      <w:pPr>
        <w:spacing w:before="240" w:after="120"/>
        <w:rPr>
          <w:i/>
          <w:color w:val="222222"/>
        </w:rPr>
      </w:pPr>
      <w:r>
        <w:rPr>
          <w:i/>
          <w:color w:val="222222"/>
        </w:rPr>
        <w:t>Zašto ove poruke?</w:t>
      </w:r>
    </w:p>
    <w:p w14:paraId="000002FB" w14:textId="265D70E9" w:rsidR="007A6527" w:rsidRDefault="008A787C">
      <w:pPr>
        <w:spacing w:before="240" w:after="120"/>
      </w:pPr>
      <w:r>
        <w:t>Srž evropske integracije je proces reformi kroz koje zemlje prolaze da bi dostigle određene standarde u vladavini prava, zaštiti ljudskih prava, ekonomskom razvoju. To nije izgubljeno vrijeme, već jedan od najvažnijih društveno-transformativnih procesa i tako ga treba komunicirati.  Potrebno je izbjeći percepciju integracionog procesa kao beskonačnih pregovora i čekanja na vratima Evrope. Ključni efekat ovog proc</w:t>
      </w:r>
      <w:r w:rsidR="00804BB2">
        <w:t>e</w:t>
      </w:r>
      <w:r>
        <w:t>sa je transformacija društva i približavanje evropskom standardu života.</w:t>
      </w:r>
    </w:p>
    <w:p w14:paraId="000002FC" w14:textId="221FDCCB" w:rsidR="007A6527" w:rsidRDefault="008A787C">
      <w:pPr>
        <w:spacing w:before="240" w:after="120"/>
        <w:rPr>
          <w:b/>
        </w:rPr>
      </w:pPr>
      <w:r>
        <w:rPr>
          <w:b/>
        </w:rPr>
        <w:t xml:space="preserve">Ključna poruka 2: Crna Gora dijeli evropske vrijednosti i želi </w:t>
      </w:r>
      <w:r w:rsidR="0034751A">
        <w:rPr>
          <w:b/>
        </w:rPr>
        <w:t xml:space="preserve">da postane </w:t>
      </w:r>
      <w:r>
        <w:rPr>
          <w:b/>
        </w:rPr>
        <w:t>dio Evropske unije koja je zasnovana na tim vrijednostima</w:t>
      </w:r>
    </w:p>
    <w:p w14:paraId="000002FD" w14:textId="77777777" w:rsidR="007A6527" w:rsidRDefault="008A787C">
      <w:pPr>
        <w:spacing w:after="120"/>
        <w:ind w:left="360"/>
        <w:rPr>
          <w:b/>
        </w:rPr>
      </w:pPr>
      <w:r>
        <w:t xml:space="preserve"> </w:t>
      </w:r>
      <w:r>
        <w:rPr>
          <w:b/>
        </w:rPr>
        <w:t>Pomoćne poruke:</w:t>
      </w:r>
    </w:p>
    <w:p w14:paraId="000002FE" w14:textId="1AF985D1" w:rsidR="007A6527" w:rsidRDefault="008A787C">
      <w:pPr>
        <w:spacing w:before="240" w:after="120"/>
        <w:ind w:left="360"/>
      </w:pPr>
      <w:r>
        <w:t xml:space="preserve">§  Crna Gora vjeruje da su demokratija, vladavina prava, </w:t>
      </w:r>
      <w:r w:rsidRPr="00935A40">
        <w:t>solidarnost,</w:t>
      </w:r>
      <w:r>
        <w:t xml:space="preserve"> </w:t>
      </w:r>
      <w:r w:rsidR="00671275">
        <w:t xml:space="preserve">jednakost, </w:t>
      </w:r>
      <w:r>
        <w:t>ljudska prava i poštovanje različitosti osnovne vrijednosti kojima stremi</w:t>
      </w:r>
      <w:r w:rsidR="00671275">
        <w:t>mo</w:t>
      </w:r>
      <w:r>
        <w:t xml:space="preserve"> i koje štititi</w:t>
      </w:r>
      <w:r w:rsidR="00671275">
        <w:t>mo</w:t>
      </w:r>
      <w:r w:rsidR="009D0EB4">
        <w:t>.</w:t>
      </w:r>
    </w:p>
    <w:p w14:paraId="000002FF" w14:textId="3226F108" w:rsidR="007A6527" w:rsidRDefault="008A787C">
      <w:pPr>
        <w:spacing w:before="240" w:after="120"/>
        <w:ind w:left="360"/>
      </w:pPr>
      <w:r>
        <w:t>§  Evropska unija je</w:t>
      </w:r>
      <w:r w:rsidR="00A25ECB" w:rsidRPr="00A25ECB">
        <w:t xml:space="preserve"> nadnacionalna zajednica evropskih država</w:t>
      </w:r>
      <w:r>
        <w:t xml:space="preserve"> zasnovana na </w:t>
      </w:r>
      <w:r w:rsidR="00A25ECB" w:rsidRPr="00A25ECB">
        <w:t xml:space="preserve">zajedničkim </w:t>
      </w:r>
      <w:r>
        <w:t xml:space="preserve">vrijednostima </w:t>
      </w:r>
      <w:r w:rsidR="00A25ECB" w:rsidRPr="00A25ECB">
        <w:t>koje su sastavni dio evropskog načina života</w:t>
      </w:r>
      <w:r w:rsidR="009D0EB4">
        <w:t>.</w:t>
      </w:r>
    </w:p>
    <w:p w14:paraId="00000300" w14:textId="482BE0A4" w:rsidR="007A6527" w:rsidRDefault="008A787C">
      <w:pPr>
        <w:spacing w:before="240" w:after="120"/>
        <w:ind w:left="360"/>
      </w:pPr>
      <w:r w:rsidRPr="00BE4B2A">
        <w:t xml:space="preserve">§  </w:t>
      </w:r>
      <w:r w:rsidRPr="00484051">
        <w:t xml:space="preserve">Crna Gora je </w:t>
      </w:r>
      <w:r w:rsidR="009D0EB4" w:rsidRPr="00484051">
        <w:t>podnošenjem kandidature za članstvo u EU</w:t>
      </w:r>
      <w:r w:rsidRPr="00484051">
        <w:t xml:space="preserve"> jasno stavila do znanja kojem </w:t>
      </w:r>
      <w:r w:rsidR="000616E7" w:rsidRPr="00484051">
        <w:t xml:space="preserve">sistemu </w:t>
      </w:r>
      <w:r w:rsidRPr="00484051">
        <w:t xml:space="preserve">vrijednosti </w:t>
      </w:r>
      <w:r w:rsidR="000616E7" w:rsidRPr="00484051">
        <w:t xml:space="preserve">želi da </w:t>
      </w:r>
      <w:r w:rsidRPr="00484051">
        <w:t>pripada.</w:t>
      </w:r>
    </w:p>
    <w:p w14:paraId="00000301" w14:textId="77777777" w:rsidR="007A6527" w:rsidRDefault="007A6527">
      <w:pPr>
        <w:spacing w:before="240" w:after="120"/>
      </w:pPr>
    </w:p>
    <w:p w14:paraId="00000302" w14:textId="77777777" w:rsidR="007A6527" w:rsidRDefault="008A787C">
      <w:pPr>
        <w:spacing w:after="120"/>
        <w:rPr>
          <w:i/>
          <w:color w:val="222222"/>
        </w:rPr>
      </w:pPr>
      <w:r>
        <w:rPr>
          <w:i/>
          <w:color w:val="222222"/>
        </w:rPr>
        <w:t>Zašto ove poruke?</w:t>
      </w:r>
    </w:p>
    <w:p w14:paraId="00000303" w14:textId="41C0F265" w:rsidR="007A6527" w:rsidRDefault="008A787C">
      <w:pPr>
        <w:spacing w:before="240" w:after="120"/>
        <w:rPr>
          <w:color w:val="222222"/>
        </w:rPr>
      </w:pPr>
      <w:r>
        <w:rPr>
          <w:color w:val="222222"/>
        </w:rPr>
        <w:t>Krize koje su nedavno pogodile evropski kontinent snažno su poljuljale vjeru u fun</w:t>
      </w:r>
      <w:r w:rsidR="00804BB2">
        <w:rPr>
          <w:color w:val="222222"/>
        </w:rPr>
        <w:t>d</w:t>
      </w:r>
      <w:r>
        <w:rPr>
          <w:color w:val="222222"/>
        </w:rPr>
        <w:t>amentalne vrijednosti i otvorile debate o nekim drugim vrjednosnim sistemima. Građanima</w:t>
      </w:r>
      <w:r w:rsidR="0034751A">
        <w:rPr>
          <w:color w:val="222222"/>
        </w:rPr>
        <w:t>/kama</w:t>
      </w:r>
      <w:r>
        <w:rPr>
          <w:color w:val="222222"/>
        </w:rPr>
        <w:t xml:space="preserve"> </w:t>
      </w:r>
      <w:r w:rsidR="00804BB2">
        <w:rPr>
          <w:color w:val="222222"/>
        </w:rPr>
        <w:t>j</w:t>
      </w:r>
      <w:r>
        <w:rPr>
          <w:color w:val="222222"/>
        </w:rPr>
        <w:t>e potrebno komunicirati da je proces integracije baziran na civilizacijskom izboru Crne Gore da prihvati evropski sistem vrijednosti kao jedini u kom se društvo može pravedno i održivo razvijati i u kome svi uživaju jednaka prava i slobode. Ukoliko buduće krize budu testirale vjeru u određene vrjednosne sisteme, potrebno je imati snažnu, iskrenu i racionalnu opredijeljenost građana za evropske vrijednosti.</w:t>
      </w:r>
    </w:p>
    <w:p w14:paraId="00000304" w14:textId="3B6611E4" w:rsidR="007A6527" w:rsidRDefault="008A787C">
      <w:pPr>
        <w:spacing w:before="240" w:after="120"/>
        <w:rPr>
          <w:b/>
        </w:rPr>
      </w:pPr>
      <w:r>
        <w:rPr>
          <w:b/>
        </w:rPr>
        <w:t xml:space="preserve">Ključna poruka 3: </w:t>
      </w:r>
      <w:r w:rsidR="0071200A">
        <w:rPr>
          <w:b/>
        </w:rPr>
        <w:t xml:space="preserve">Podrška </w:t>
      </w:r>
      <w:r>
        <w:rPr>
          <w:b/>
        </w:rPr>
        <w:t xml:space="preserve">iz evropskih fondova već </w:t>
      </w:r>
      <w:r w:rsidR="0071200A">
        <w:rPr>
          <w:b/>
        </w:rPr>
        <w:t xml:space="preserve">čini da je </w:t>
      </w:r>
      <w:r>
        <w:rPr>
          <w:b/>
        </w:rPr>
        <w:t>život građana</w:t>
      </w:r>
      <w:r w:rsidR="0034751A">
        <w:rPr>
          <w:b/>
        </w:rPr>
        <w:t>/ki</w:t>
      </w:r>
      <w:r w:rsidR="0071200A">
        <w:rPr>
          <w:b/>
        </w:rPr>
        <w:t xml:space="preserve"> kvalitetniji</w:t>
      </w:r>
    </w:p>
    <w:p w14:paraId="00000305" w14:textId="77777777" w:rsidR="007A6527" w:rsidRDefault="008A787C">
      <w:pPr>
        <w:spacing w:before="240" w:after="120"/>
        <w:rPr>
          <w:b/>
        </w:rPr>
      </w:pPr>
      <w:r>
        <w:rPr>
          <w:b/>
        </w:rPr>
        <w:t>Pomoćne poruke:</w:t>
      </w:r>
    </w:p>
    <w:p w14:paraId="00000306" w14:textId="5655BC55" w:rsidR="007A6527" w:rsidRDefault="008A787C">
      <w:pPr>
        <w:spacing w:before="240" w:after="120"/>
        <w:ind w:left="360"/>
      </w:pPr>
      <w:r>
        <w:t>§  U kriznim situacijama, poput pandemije, EU je pokazala najviše solidarnosti sa građanima</w:t>
      </w:r>
      <w:r w:rsidR="00F76B41">
        <w:t xml:space="preserve"> Crne Gore</w:t>
      </w:r>
      <w:r>
        <w:t xml:space="preserve"> i uputila najviše pomoći</w:t>
      </w:r>
      <w:r w:rsidR="009D0EB4">
        <w:t>.</w:t>
      </w:r>
    </w:p>
    <w:p w14:paraId="00000307" w14:textId="718F6875" w:rsidR="007A6527" w:rsidRDefault="008A787C">
      <w:pPr>
        <w:spacing w:before="240" w:after="120"/>
        <w:ind w:left="360"/>
      </w:pPr>
      <w:r>
        <w:t xml:space="preserve">§  </w:t>
      </w:r>
      <w:r w:rsidR="00F76B41">
        <w:t xml:space="preserve">Podrška </w:t>
      </w:r>
      <w:r>
        <w:t>EU se osjeća u gotovo svakom aspektu života - sigurniji transport, bolje zdravstvo, snažnija vladavina prava, očuvanija životna sredina</w:t>
      </w:r>
      <w:r w:rsidR="009D0EB4">
        <w:t>.</w:t>
      </w:r>
    </w:p>
    <w:p w14:paraId="00000309" w14:textId="1DE4A5BE" w:rsidR="007A6527" w:rsidRDefault="008A787C" w:rsidP="00135F62">
      <w:pPr>
        <w:spacing w:before="240" w:after="120"/>
        <w:ind w:left="360"/>
      </w:pPr>
      <w:r>
        <w:t>§  Novim</w:t>
      </w:r>
      <w:r w:rsidR="00D45B84" w:rsidRPr="00D45B84">
        <w:t xml:space="preserve"> Ekonomskim i investicionim planom</w:t>
      </w:r>
      <w:r>
        <w:t xml:space="preserve"> za Zapadni Balkan, EU je</w:t>
      </w:r>
      <w:r w:rsidR="00D45B84">
        <w:t xml:space="preserve"> opredijelila blizu 30 milijardi </w:t>
      </w:r>
      <w:r>
        <w:t xml:space="preserve">milijardi eura </w:t>
      </w:r>
      <w:r w:rsidR="00D45B84" w:rsidRPr="00D45B84">
        <w:t xml:space="preserve"> kako bi omogućila da kvalitet života građana</w:t>
      </w:r>
      <w:r w:rsidR="0034751A">
        <w:t>/ki</w:t>
      </w:r>
      <w:r w:rsidR="00D45B84" w:rsidRPr="00D45B84">
        <w:t xml:space="preserve"> u regionu bude što bliži životnom standardu građana</w:t>
      </w:r>
      <w:r w:rsidR="0034751A">
        <w:t>/ki</w:t>
      </w:r>
      <w:r w:rsidR="00D45B84" w:rsidRPr="00D45B84">
        <w:t xml:space="preserve"> zemalja članica EU</w:t>
      </w:r>
      <w:r w:rsidR="009D0EB4">
        <w:t>.</w:t>
      </w:r>
    </w:p>
    <w:p w14:paraId="0000030A" w14:textId="77777777" w:rsidR="007A6527" w:rsidRDefault="008A787C">
      <w:pPr>
        <w:spacing w:before="240" w:after="240"/>
        <w:rPr>
          <w:i/>
        </w:rPr>
      </w:pPr>
      <w:r>
        <w:rPr>
          <w:i/>
        </w:rPr>
        <w:t>Zašto ove poruke?</w:t>
      </w:r>
    </w:p>
    <w:p w14:paraId="0000030B" w14:textId="56B24713" w:rsidR="007A6527" w:rsidRDefault="008A787C">
      <w:pPr>
        <w:spacing w:before="240" w:after="240"/>
      </w:pPr>
      <w:r>
        <w:t xml:space="preserve">Evropska unija je tokom proteklih 15 </w:t>
      </w:r>
      <w:r w:rsidR="00804BB2">
        <w:t xml:space="preserve">godina </w:t>
      </w:r>
      <w:r>
        <w:t>obezbijedila oko 700 miliona eura bespovratne pomoći Crnoj Gori i to se osjeća u svim aspektima života. Građani</w:t>
      </w:r>
      <w:r w:rsidR="0034751A">
        <w:t>/ke</w:t>
      </w:r>
      <w:r>
        <w:t xml:space="preserve"> to uglavnom prepoznaju, ali potrebno je konstantno i intenzivno raditi na vidljivosti tih programa, kako bi građani</w:t>
      </w:r>
      <w:r w:rsidR="0034751A">
        <w:t>/ke</w:t>
      </w:r>
      <w:r>
        <w:t xml:space="preserve"> bili svjesni efekata na konkretno njihove živote i živote njihovih zajednica. Takođe treba  komunicirati da su pretpristupni fondovi samo priprema za povlačenje daleko većih sredstava iz strukturnih fondova, nakon ulaska Crne Gore u EU.</w:t>
      </w:r>
    </w:p>
    <w:p w14:paraId="0000030C" w14:textId="105D7773" w:rsidR="007A6527" w:rsidRDefault="008A787C">
      <w:pPr>
        <w:spacing w:before="240" w:after="120"/>
        <w:rPr>
          <w:b/>
        </w:rPr>
      </w:pPr>
      <w:r>
        <w:rPr>
          <w:b/>
        </w:rPr>
        <w:t>Ključna poruka 4: Evropske integracije su jasno opredjeljenje građana</w:t>
      </w:r>
      <w:r w:rsidR="0034751A">
        <w:rPr>
          <w:b/>
        </w:rPr>
        <w:t>/ki</w:t>
      </w:r>
      <w:r>
        <w:rPr>
          <w:b/>
        </w:rPr>
        <w:t xml:space="preserve"> Crne Gore i Vlada radi sve što je u njenoj moći da to ostvari</w:t>
      </w:r>
    </w:p>
    <w:p w14:paraId="0000030D" w14:textId="77777777" w:rsidR="007A6527" w:rsidRDefault="008A787C">
      <w:pPr>
        <w:spacing w:before="240" w:after="120"/>
        <w:rPr>
          <w:b/>
        </w:rPr>
      </w:pPr>
      <w:r>
        <w:rPr>
          <w:b/>
        </w:rPr>
        <w:t>Pomoćne poruke:</w:t>
      </w:r>
    </w:p>
    <w:p w14:paraId="0000030E" w14:textId="2B2F5F0F" w:rsidR="007A6527" w:rsidRDefault="00000000">
      <w:pPr>
        <w:spacing w:before="240" w:after="120"/>
        <w:ind w:left="360"/>
      </w:pPr>
      <w:sdt>
        <w:sdtPr>
          <w:tag w:val="goog_rdk_24"/>
          <w:id w:val="854232476"/>
        </w:sdtPr>
        <w:sdtContent/>
      </w:sdt>
      <w:sdt>
        <w:sdtPr>
          <w:tag w:val="goog_rdk_25"/>
          <w:id w:val="85963919"/>
        </w:sdtPr>
        <w:sdtContent/>
      </w:sdt>
      <w:r w:rsidR="008A787C">
        <w:t xml:space="preserve">§  Podrška </w:t>
      </w:r>
      <w:r w:rsidR="00870DD2">
        <w:t xml:space="preserve">pristupanju Evropskoj uniji </w:t>
      </w:r>
      <w:r w:rsidR="008A787C">
        <w:t xml:space="preserve">je jedno </w:t>
      </w:r>
      <w:r w:rsidR="00870DD2">
        <w:t xml:space="preserve">od rijetkih </w:t>
      </w:r>
      <w:r w:rsidR="008A787C">
        <w:t>političk</w:t>
      </w:r>
      <w:r w:rsidR="00870DD2">
        <w:t>ih</w:t>
      </w:r>
      <w:r w:rsidR="008A787C">
        <w:t xml:space="preserve"> pitanj</w:t>
      </w:r>
      <w:r w:rsidR="00870DD2">
        <w:t>a</w:t>
      </w:r>
      <w:r w:rsidR="008A787C">
        <w:t xml:space="preserve"> oko kojeg postoji </w:t>
      </w:r>
      <w:r w:rsidR="00870DD2">
        <w:t xml:space="preserve">opšti </w:t>
      </w:r>
      <w:r w:rsidR="008A787C">
        <w:t xml:space="preserve">društveni konsenzus. </w:t>
      </w:r>
    </w:p>
    <w:p w14:paraId="0000030F" w14:textId="07C9CE9A" w:rsidR="007A6527" w:rsidRDefault="008A787C">
      <w:pPr>
        <w:spacing w:before="240" w:after="120"/>
        <w:ind w:left="360"/>
      </w:pPr>
      <w:r>
        <w:t xml:space="preserve">§  Vlada i javna </w:t>
      </w:r>
      <w:r w:rsidR="00870DD2">
        <w:t>uprava</w:t>
      </w:r>
      <w:r w:rsidR="00AB07DB">
        <w:t xml:space="preserve"> </w:t>
      </w:r>
      <w:r>
        <w:t>predano rad</w:t>
      </w:r>
      <w:r w:rsidR="00804BB2">
        <w:t>e</w:t>
      </w:r>
      <w:r>
        <w:t xml:space="preserve"> da se ispune postavljeni uslovi i napreduje u pregovorima</w:t>
      </w:r>
      <w:r w:rsidR="009D0EB4">
        <w:t>.</w:t>
      </w:r>
    </w:p>
    <w:p w14:paraId="00000310" w14:textId="6407A7D6" w:rsidR="007A6527" w:rsidRDefault="008A787C">
      <w:pPr>
        <w:spacing w:before="240" w:after="120"/>
        <w:ind w:left="360"/>
      </w:pPr>
      <w:r>
        <w:t>§  Crna Gora napreduje u procesu integracije na osnovu rezultata u reformskom procesu</w:t>
      </w:r>
      <w:r w:rsidR="009D0EB4">
        <w:t>.</w:t>
      </w:r>
    </w:p>
    <w:p w14:paraId="00000311" w14:textId="77777777" w:rsidR="007A6527" w:rsidRDefault="008A787C">
      <w:pPr>
        <w:spacing w:before="240" w:after="240"/>
        <w:rPr>
          <w:i/>
        </w:rPr>
      </w:pPr>
      <w:r>
        <w:rPr>
          <w:i/>
        </w:rPr>
        <w:t>Zašto ove poruke?</w:t>
      </w:r>
    </w:p>
    <w:p w14:paraId="00000312" w14:textId="0CB8CE3E" w:rsidR="007A6527" w:rsidRDefault="008A787C">
      <w:pPr>
        <w:spacing w:before="240" w:after="240" w:line="256" w:lineRule="auto"/>
        <w:rPr>
          <w:b/>
        </w:rPr>
      </w:pPr>
      <w:r>
        <w:t>I dalje postoji opasnost da se proces evropske integracije vidi kao nešto što je u interesu elita i političara, i zbog toga treba aktivno komunicirati da je priroda ovog procesa „odozdo ka gore“, i da je to jedno od rijetkih društveno-političkih pitanja oko kog postoji konsenzus među građanima</w:t>
      </w:r>
      <w:r w:rsidR="0034751A">
        <w:t>/kama</w:t>
      </w:r>
      <w:r>
        <w:t xml:space="preserve"> Crne Gore. Takođe, građanima</w:t>
      </w:r>
      <w:r w:rsidR="0034751A">
        <w:t>/kama</w:t>
      </w:r>
      <w:r>
        <w:t xml:space="preserve"> treba komunicirati da pregovaračka struktura radi sve da bi uslovi koji su postavljeni u pregovorima što prije i kvalitetnije ispunili i proces integracije nastavio postepenim zatvaranjem poglavlja.</w:t>
      </w:r>
    </w:p>
    <w:p w14:paraId="00000313" w14:textId="45451F2D" w:rsidR="007A6527" w:rsidRDefault="008A787C">
      <w:pPr>
        <w:spacing w:before="240" w:after="120"/>
        <w:rPr>
          <w:b/>
        </w:rPr>
      </w:pPr>
      <w:r>
        <w:rPr>
          <w:b/>
        </w:rPr>
        <w:t>Ključna poruka 5: Crna Gora je predvodnik procesa evropskih integracija i sljedeća članica EU</w:t>
      </w:r>
    </w:p>
    <w:p w14:paraId="00000314" w14:textId="77777777" w:rsidR="007A6527" w:rsidRDefault="008A787C">
      <w:pPr>
        <w:spacing w:before="240" w:after="120"/>
        <w:rPr>
          <w:b/>
        </w:rPr>
      </w:pPr>
      <w:r>
        <w:rPr>
          <w:b/>
        </w:rPr>
        <w:t>Pomoćne poruke:</w:t>
      </w:r>
    </w:p>
    <w:p w14:paraId="00000315" w14:textId="14BE97EF" w:rsidR="007A6527" w:rsidRDefault="008A787C">
      <w:pPr>
        <w:spacing w:before="240" w:after="120"/>
        <w:ind w:left="360"/>
      </w:pPr>
      <w:r>
        <w:t>§  Crna Gora je jasno opredijeljena za evropsku budućnost, usklađuje svoje politike sa EU i predano radi da postane članica</w:t>
      </w:r>
      <w:r w:rsidR="009D0EB4">
        <w:t>.</w:t>
      </w:r>
    </w:p>
    <w:p w14:paraId="00000316" w14:textId="6ED76178" w:rsidR="007A6527" w:rsidRDefault="008A787C">
      <w:pPr>
        <w:spacing w:before="240" w:after="120"/>
        <w:ind w:left="360"/>
      </w:pPr>
      <w:r>
        <w:t>§  Crna Gora nema otvorenih pitanja sa zemljama regiona, ni sa zemljama članicama EU</w:t>
      </w:r>
      <w:r w:rsidR="009D0EB4">
        <w:t>.</w:t>
      </w:r>
    </w:p>
    <w:p w14:paraId="00000317" w14:textId="57C33AE5" w:rsidR="007A6527" w:rsidRDefault="008A787C">
      <w:pPr>
        <w:spacing w:before="240" w:after="120"/>
        <w:ind w:left="360"/>
      </w:pPr>
      <w:r>
        <w:t>§  Proces proširenja je i dalje prioritet za Evropsku uniju</w:t>
      </w:r>
      <w:r w:rsidR="009D0EB4">
        <w:t>.</w:t>
      </w:r>
    </w:p>
    <w:p w14:paraId="00000318" w14:textId="77777777" w:rsidR="007A6527" w:rsidRDefault="008A787C">
      <w:pPr>
        <w:spacing w:before="240" w:after="120"/>
        <w:rPr>
          <w:i/>
        </w:rPr>
      </w:pPr>
      <w:r>
        <w:rPr>
          <w:i/>
        </w:rPr>
        <w:t>Zašto ove poruke?</w:t>
      </w:r>
    </w:p>
    <w:p w14:paraId="00000319" w14:textId="35E5B24E" w:rsidR="007A6527" w:rsidRDefault="008A787C">
      <w:pPr>
        <w:spacing w:before="240" w:after="240"/>
        <w:rPr>
          <w:b/>
          <w:color w:val="000000"/>
          <w:sz w:val="46"/>
          <w:szCs w:val="46"/>
        </w:rPr>
      </w:pPr>
      <w:r>
        <w:t>Za razliku od prethod</w:t>
      </w:r>
      <w:r w:rsidR="00804BB2">
        <w:t>n</w:t>
      </w:r>
      <w:r>
        <w:t>ih</w:t>
      </w:r>
      <w:r w:rsidR="00804BB2">
        <w:t>,</w:t>
      </w:r>
      <w:r>
        <w:t xml:space="preserve"> ova poruka je u istoj mjeri upućena i stranim, kao i domaćim javnostima. Oko Crne Gore treba raditi imidž pozitivne evropske priče, neproblematične zemlje koja bi mogla oživjeti politiku proširenja i pokazati da je EU posvećena regionu i spremna da se širi.</w:t>
      </w:r>
    </w:p>
    <w:p w14:paraId="0000031A" w14:textId="77777777" w:rsidR="007A6527" w:rsidRPr="000A5977" w:rsidRDefault="008A787C" w:rsidP="004E4614">
      <w:pPr>
        <w:pStyle w:val="Heading1"/>
        <w:rPr>
          <w:b/>
        </w:rPr>
      </w:pPr>
      <w:bookmarkStart w:id="56" w:name="_Toc140567066"/>
      <w:r w:rsidRPr="000A5977">
        <w:rPr>
          <w:b/>
        </w:rPr>
        <w:t>Ključne aktivnosti za sprovođenje operativnih ciljeva</w:t>
      </w:r>
      <w:bookmarkEnd w:id="56"/>
    </w:p>
    <w:p w14:paraId="0000031B" w14:textId="77777777" w:rsidR="007A6527" w:rsidRDefault="007A6527"/>
    <w:p w14:paraId="0000031C" w14:textId="7C2B83D3" w:rsidR="007A6527" w:rsidRDefault="008A787C">
      <w:r>
        <w:t>I pored dobrog nivoa ispunjavanja ciljeva i indikatora, analize su pokazale da u posljednjih pola godine, građani</w:t>
      </w:r>
      <w:r w:rsidR="006F2E11">
        <w:t>/ke</w:t>
      </w:r>
      <w:r>
        <w:t xml:space="preserve"> ocjenjuju svoju opštu informisanost slabije nego u prethodnom periodu. Bez obzira na razloge, podaci ukazuju na to da postoji prostor za intenziviranje komuniciranja. Ispitanicima fale interesantne, „personalizovane“ informacije o Evropskoj uniji i pristupanju kroz koje će prepoznati svoja interesovanja. Stoga će ova strategija pokušati da kroz definicije ključnih aktivnosti, komunikacionih kanala, stila i tona poruka, usmjeri komunikaciju procesa integracije kako bi popunila ovaj prostor koji se otvorio. </w:t>
      </w:r>
    </w:p>
    <w:p w14:paraId="0000031D" w14:textId="77777777" w:rsidR="007A6527" w:rsidRDefault="008A787C">
      <w:pPr>
        <w:spacing w:before="240" w:after="240"/>
      </w:pPr>
      <w:r>
        <w:rPr>
          <w:sz w:val="26"/>
          <w:szCs w:val="26"/>
        </w:rPr>
        <w:t>Komuniciranje programa podrške</w:t>
      </w:r>
      <w:r>
        <w:rPr>
          <w:b/>
          <w:color w:val="000000"/>
          <w:sz w:val="34"/>
          <w:szCs w:val="34"/>
        </w:rPr>
        <w:t xml:space="preserve"> </w:t>
      </w:r>
      <w:r>
        <w:t xml:space="preserve"> </w:t>
      </w:r>
    </w:p>
    <w:p w14:paraId="0000031E" w14:textId="4E57165B" w:rsidR="007A6527" w:rsidRDefault="008A787C">
      <w:pPr>
        <w:spacing w:before="240" w:after="240"/>
      </w:pPr>
      <w:r>
        <w:t>Tokom dvije decenije komuniciranja procesa integracija, pretpristupna pomoć koju zemlja dobija od Evropske unije (IPA i ostali programi) je bila najvrjedniji resurs i izvor kvalitetnog sadržaja. Programi podrške su kvalitetno komunicirani</w:t>
      </w:r>
      <w:r w:rsidR="00635205">
        <w:t>,</w:t>
      </w:r>
      <w:r>
        <w:t xml:space="preserve"> što pokazuju istraživanja u kojima većina građana</w:t>
      </w:r>
      <w:r w:rsidR="006F2E11">
        <w:t>/ki</w:t>
      </w:r>
      <w:r>
        <w:t xml:space="preserve"> zna da je EU najveći strani donator, pa čak i neki od programa imaju svoju vidljivost i prepoznatljivost. Ne treba, međutim, </w:t>
      </w:r>
      <w:r w:rsidR="00206638" w:rsidRPr="00206638">
        <w:t>stati na tome</w:t>
      </w:r>
      <w:r w:rsidR="00206638">
        <w:t>, jer</w:t>
      </w:r>
      <w:r>
        <w:t xml:space="preserve"> istraživanja takođe pokazuju da je nivo vidljivosti volatilan, da zna da se promijeni i do 15 procenata u kratkom vremenskom periodu i da zahtijeva konstantnu, plansku i efektivnu kampanju. Takođe, </w:t>
      </w:r>
      <w:r>
        <w:rPr>
          <w:color w:val="222222"/>
        </w:rPr>
        <w:t xml:space="preserve">prema podacima EU, Crna Gora je smanjila iskorištenost nekih programa podrške, </w:t>
      </w:r>
      <w:r w:rsidR="00804BB2">
        <w:rPr>
          <w:color w:val="222222"/>
        </w:rPr>
        <w:t xml:space="preserve">na primjer </w:t>
      </w:r>
      <w:r>
        <w:rPr>
          <w:color w:val="222222"/>
        </w:rPr>
        <w:t xml:space="preserve">IPARD-a. </w:t>
      </w:r>
      <w:r w:rsidR="00BB5AD5">
        <w:rPr>
          <w:color w:val="222222"/>
        </w:rPr>
        <w:t xml:space="preserve">Jedan </w:t>
      </w:r>
      <w:r>
        <w:rPr>
          <w:color w:val="222222"/>
        </w:rPr>
        <w:t xml:space="preserve">dio odgovornosti leži </w:t>
      </w:r>
      <w:r w:rsidR="00BB5AD5">
        <w:rPr>
          <w:color w:val="222222"/>
        </w:rPr>
        <w:t>u</w:t>
      </w:r>
      <w:r>
        <w:rPr>
          <w:color w:val="222222"/>
        </w:rPr>
        <w:t xml:space="preserve"> nedovoljno dobrom komuniciranju tih programa. </w:t>
      </w:r>
      <w:r>
        <w:t>Neki od glavnih izazova u ovom procesu su:</w:t>
      </w:r>
    </w:p>
    <w:p w14:paraId="0000031F" w14:textId="160C23EC" w:rsidR="007A6527" w:rsidRDefault="008A787C">
      <w:pPr>
        <w:spacing w:before="240" w:after="240"/>
        <w:ind w:left="360"/>
      </w:pPr>
      <w:r>
        <w:t>·     Fragmentirana i nekoherentna komunikacija</w:t>
      </w:r>
    </w:p>
    <w:p w14:paraId="00000320" w14:textId="77777777" w:rsidR="007A6527" w:rsidRDefault="008A787C">
      <w:pPr>
        <w:spacing w:before="240" w:after="240"/>
        <w:ind w:left="360"/>
      </w:pPr>
      <w:r>
        <w:t>·      Veliki broj aktera od kojih pojedini nemaju iskustva u komunikaciji</w:t>
      </w:r>
    </w:p>
    <w:p w14:paraId="00000321" w14:textId="77777777" w:rsidR="007A6527" w:rsidRDefault="008A787C">
      <w:pPr>
        <w:spacing w:before="240" w:after="240"/>
        <w:ind w:left="360"/>
      </w:pPr>
      <w:r>
        <w:t xml:space="preserve">·   </w:t>
      </w:r>
      <w:r>
        <w:tab/>
        <w:t>Nejasna podjela nadležnosti i preplitanje aktivnosti</w:t>
      </w:r>
    </w:p>
    <w:p w14:paraId="00000322" w14:textId="77777777" w:rsidR="007A6527" w:rsidRDefault="008A787C">
      <w:pPr>
        <w:spacing w:before="240" w:after="240"/>
        <w:ind w:left="360"/>
      </w:pPr>
      <w:r>
        <w:t xml:space="preserve">·   </w:t>
      </w:r>
      <w:r>
        <w:tab/>
        <w:t>Nedostatak integrisanih komunikacionih kampanja i strateškog pristupa</w:t>
      </w:r>
    </w:p>
    <w:p w14:paraId="00000323" w14:textId="061EE63F" w:rsidR="007A6527" w:rsidRDefault="008A787C">
      <w:pPr>
        <w:spacing w:before="240" w:after="240"/>
        <w:ind w:left="360"/>
      </w:pPr>
      <w:r>
        <w:t xml:space="preserve">·   </w:t>
      </w:r>
      <w:r>
        <w:tab/>
        <w:t>Birok</w:t>
      </w:r>
      <w:r w:rsidR="00804BB2">
        <w:t>r</w:t>
      </w:r>
      <w:r>
        <w:t>atski jezik</w:t>
      </w:r>
      <w:r w:rsidR="00BB5AD5">
        <w:t xml:space="preserve"> i</w:t>
      </w:r>
      <w:r>
        <w:t xml:space="preserve"> zastarjeli modeli </w:t>
      </w:r>
      <w:sdt>
        <w:sdtPr>
          <w:tag w:val="goog_rdk_26"/>
          <w:id w:val="1363787799"/>
        </w:sdtPr>
        <w:sdtContent/>
      </w:sdt>
      <w:sdt>
        <w:sdtPr>
          <w:tag w:val="goog_rdk_27"/>
          <w:id w:val="-1958711294"/>
        </w:sdtPr>
        <w:sdtContent/>
      </w:sdt>
      <w:r>
        <w:t>komunikacije</w:t>
      </w:r>
    </w:p>
    <w:p w14:paraId="00000324" w14:textId="1CD6F892" w:rsidR="007A6527" w:rsidRDefault="008A787C">
      <w:pPr>
        <w:spacing w:before="240" w:after="240"/>
      </w:pPr>
      <w:r>
        <w:t>Komun</w:t>
      </w:r>
      <w:r w:rsidR="00804BB2">
        <w:t>i</w:t>
      </w:r>
      <w:r>
        <w:t xml:space="preserve">ciranje programa podrške gotovo uvijek ima pozitivnu konotaciju, jer govori o benefitima procesa proširenja, </w:t>
      </w:r>
      <w:r w:rsidR="00BB5AD5">
        <w:t xml:space="preserve">poboljšanju </w:t>
      </w:r>
      <w:r>
        <w:t>života građana</w:t>
      </w:r>
      <w:r w:rsidR="006F2E11">
        <w:t>/ki</w:t>
      </w:r>
      <w:r>
        <w:t xml:space="preserve"> i približavanju evropskim standardima. Ukoliko su dobro komunicirani, programi podrške će na </w:t>
      </w:r>
      <w:r w:rsidR="00571697">
        <w:t xml:space="preserve">prijemčiv </w:t>
      </w:r>
      <w:r>
        <w:t>način pokazati građanima</w:t>
      </w:r>
      <w:r w:rsidR="006F2E11">
        <w:t>/kama</w:t>
      </w:r>
      <w:r>
        <w:t xml:space="preserve"> realne i opipljive efekte ovog procesa i biti najbolja brana lošim komunikacionim efektima predugog trajanja integracije. Zbog toga se ovaj resurs, kao što su to prepoznale i prethodne strategije, treba korisiti strateški i konstatno, maksimizirajući i multiplikujući njegove efekte.   </w:t>
      </w:r>
    </w:p>
    <w:p w14:paraId="00000325" w14:textId="7E0AB427" w:rsidR="007A6527" w:rsidRDefault="008A787C">
      <w:pPr>
        <w:spacing w:before="240" w:after="240"/>
      </w:pPr>
      <w:r>
        <w:t>U komuniciranje programa podrške uključeni su Delegacija EU sa Evropskom kućom, Ministarstvo evropskih poslova, Sektor za informisanje javnosti o EU i procesu pristupanja EU, Struktura za IP</w:t>
      </w:r>
      <w:r w:rsidR="00106EAC">
        <w:t>A fondove</w:t>
      </w:r>
      <w:r>
        <w:t xml:space="preserve">, i čitav niz korisnika projekata (državne i lokalne institucije, međunarodni akteri, nevladine organizacije, poljoprivrednici). </w:t>
      </w:r>
      <w:r w:rsidR="00973FEE" w:rsidRPr="00973FEE">
        <w:t>U tom dijelu bilježe se preklapanja u pogledu komunikacije  i manjak sinhronizovanog djelovanja</w:t>
      </w:r>
      <w:r>
        <w:t xml:space="preserve">. </w:t>
      </w:r>
      <w:r w:rsidR="00973FEE">
        <w:t>Korisnici</w:t>
      </w:r>
      <w:r w:rsidR="006F2E11">
        <w:t>/ce</w:t>
      </w:r>
      <w:r w:rsidR="00973FEE">
        <w:t xml:space="preserve"> </w:t>
      </w:r>
      <w:r>
        <w:t xml:space="preserve">projekata često </w:t>
      </w:r>
      <w:r w:rsidR="00973FEE" w:rsidRPr="00973FEE">
        <w:t>ne idu dalje od ugovornih obaveza,</w:t>
      </w:r>
      <w:r>
        <w:t xml:space="preserve"> a to su najčešće konferencije za medije na otvaranju i zatvaranju projekta, </w:t>
      </w:r>
      <w:r w:rsidR="00973FEE" w:rsidRPr="00973FEE">
        <w:t xml:space="preserve">pri </w:t>
      </w:r>
      <w:r w:rsidR="00973FEE">
        <w:t>čemu se ponekad ne ispunjavaju</w:t>
      </w:r>
      <w:r w:rsidR="00973FEE" w:rsidRPr="00973FEE">
        <w:t xml:space="preserve"> </w:t>
      </w:r>
      <w:r>
        <w:t>pravila vidljivosti (zastava EU, natpis „finansira</w:t>
      </w:r>
      <w:r w:rsidR="00973FEE">
        <w:t>no</w:t>
      </w:r>
      <w:r>
        <w:t xml:space="preserve"> od strane EU</w:t>
      </w:r>
      <w:r w:rsidR="00973FEE">
        <w:t xml:space="preserve"> i slično</w:t>
      </w:r>
      <w:r>
        <w:t>“). Ovako sprovedena komunikacija pojačava birokratski duh procesa, stvara komunikacioni šum i ugrožava efekte komunikacije. Zbog toga Evropska unija sve više prelazi na modele integrisanih komunikacionih kampanja, koji objedinjuju klastere projekata i grupe komunikatora u okviru velikih, pamtljivih i brižljivo planiranih kampanja. U tom pravcu idu i najave iz EU da će budžeti individualnih projekata biti grupisani u jed</w:t>
      </w:r>
      <w:r w:rsidR="00973FEE">
        <w:t>a</w:t>
      </w:r>
      <w:r>
        <w:t>n velik</w:t>
      </w:r>
      <w:r w:rsidR="00973FEE">
        <w:t>i</w:t>
      </w:r>
      <w:r>
        <w:t xml:space="preserve"> komunikacioni projek</w:t>
      </w:r>
      <w:r w:rsidR="00973FEE">
        <w:t>at</w:t>
      </w:r>
      <w:r>
        <w:t xml:space="preserve"> koji će voditi profesionalci. Komunikacija proces integracije već treba da se kreće u tom smjeru, za šta je potrebna bolja, temeljnija i redovnija koordinacija sa drugim akterima.</w:t>
      </w:r>
    </w:p>
    <w:p w14:paraId="00000326" w14:textId="290CF1F9" w:rsidR="007A6527" w:rsidRDefault="008A787C">
      <w:pPr>
        <w:spacing w:before="240" w:after="240"/>
      </w:pPr>
      <w:r>
        <w:t>Kako bi se pobljšala komunikacij</w:t>
      </w:r>
      <w:r w:rsidR="00973FEE">
        <w:t>a</w:t>
      </w:r>
      <w:r>
        <w:t xml:space="preserve"> programa podrške preporučuje se sljedeće:</w:t>
      </w:r>
    </w:p>
    <w:p w14:paraId="00000327" w14:textId="77777777" w:rsidR="007A6527" w:rsidRDefault="008A787C">
      <w:pPr>
        <w:numPr>
          <w:ilvl w:val="0"/>
          <w:numId w:val="5"/>
        </w:numPr>
        <w:spacing w:before="240"/>
      </w:pPr>
      <w:r>
        <w:t>Promijeniti pristup sa segmentiranog komuniciranja EU projekata na integrisane kampanje.</w:t>
      </w:r>
    </w:p>
    <w:p w14:paraId="00000328" w14:textId="7BAE486E" w:rsidR="007A6527" w:rsidRDefault="008A787C">
      <w:pPr>
        <w:numPr>
          <w:ilvl w:val="0"/>
          <w:numId w:val="5"/>
        </w:numPr>
      </w:pPr>
      <w:r>
        <w:t>Poboljšati koordinaciju između svih učesnika</w:t>
      </w:r>
      <w:r w:rsidR="006F2E11">
        <w:t>/ca</w:t>
      </w:r>
      <w:r>
        <w:t xml:space="preserve"> u procesu – uspostaviti redovne sastanke i digitalnu platformu za razmjenu informacija</w:t>
      </w:r>
    </w:p>
    <w:p w14:paraId="5AF0357C" w14:textId="37CBF3B0" w:rsidR="007619AE" w:rsidRDefault="00BE4B2A">
      <w:pPr>
        <w:numPr>
          <w:ilvl w:val="0"/>
          <w:numId w:val="5"/>
        </w:numPr>
      </w:pPr>
      <w:r>
        <w:t xml:space="preserve">Formirati jedinstvenu bazu projekata koji su finansirani iz fondova EU </w:t>
      </w:r>
    </w:p>
    <w:p w14:paraId="00000329" w14:textId="6702649E" w:rsidR="007A6527" w:rsidRDefault="008A787C" w:rsidP="00011DC4">
      <w:pPr>
        <w:numPr>
          <w:ilvl w:val="0"/>
          <w:numId w:val="5"/>
        </w:numPr>
      </w:pPr>
      <w:r>
        <w:t xml:space="preserve">Osvježiti vidljivost starih projekata, </w:t>
      </w:r>
      <w:r w:rsidR="00011DC4" w:rsidRPr="00011DC4">
        <w:t xml:space="preserve">uključujući u javnom prostoru (npr. </w:t>
      </w:r>
      <w:r w:rsidR="00C32A21">
        <w:t>o</w:t>
      </w:r>
      <w:r w:rsidR="00C32A21" w:rsidRPr="00011DC4">
        <w:t>bnova</w:t>
      </w:r>
      <w:r w:rsidR="00C32A21">
        <w:t xml:space="preserve"> </w:t>
      </w:r>
      <w:r>
        <w:t>„EU tabli“ širom Crne Gore</w:t>
      </w:r>
      <w:r w:rsidR="00C32A21">
        <w:t>)</w:t>
      </w:r>
    </w:p>
    <w:p w14:paraId="0000032A" w14:textId="681DA55C" w:rsidR="007A6527" w:rsidRDefault="008A787C">
      <w:pPr>
        <w:numPr>
          <w:ilvl w:val="0"/>
          <w:numId w:val="5"/>
        </w:numPr>
      </w:pPr>
      <w:r>
        <w:t>Tretirati sve korisnike</w:t>
      </w:r>
      <w:r w:rsidR="006F2E11">
        <w:t>/ce</w:t>
      </w:r>
      <w:r>
        <w:t xml:space="preserve"> programa podrške kao potencijalne multiplikatore i izvore sadržaja </w:t>
      </w:r>
    </w:p>
    <w:p w14:paraId="0000032B" w14:textId="27C28AB2" w:rsidR="007A6527" w:rsidRDefault="008A787C" w:rsidP="00011DC4">
      <w:pPr>
        <w:numPr>
          <w:ilvl w:val="0"/>
          <w:numId w:val="5"/>
        </w:numPr>
      </w:pPr>
      <w:r>
        <w:t xml:space="preserve">Intenzivirati edukaciju u komunikaciji – posebno u sektorima gdje je česta izmjena kadrova ili koji po prvi put postaju korisnici EU podrške. </w:t>
      </w:r>
      <w:r w:rsidR="00011DC4" w:rsidRPr="00011DC4">
        <w:t xml:space="preserve">Kratke obuke iz oblasti strateškog komuniciranja, </w:t>
      </w:r>
      <w:r>
        <w:t xml:space="preserve">mobilne fotografije ili upravljanja društvenim mrežama </w:t>
      </w:r>
      <w:r w:rsidR="00011DC4">
        <w:t xml:space="preserve">mogu biti od velike koristi </w:t>
      </w:r>
    </w:p>
    <w:p w14:paraId="0000032C" w14:textId="6D4F96E4" w:rsidR="007A6527" w:rsidRDefault="008A787C" w:rsidP="00D47F3B">
      <w:pPr>
        <w:numPr>
          <w:ilvl w:val="0"/>
          <w:numId w:val="5"/>
        </w:numPr>
      </w:pPr>
      <w:r>
        <w:t>Pažljivo kreirati komunikacioni proizvod. Kratke, pamtljive i upečatljive poruke</w:t>
      </w:r>
      <w:r w:rsidR="00D47F3B">
        <w:t xml:space="preserve">, </w:t>
      </w:r>
      <w:r w:rsidR="00D47F3B" w:rsidRPr="00D47F3B">
        <w:t xml:space="preserve"> sa konkretnim i opipljivim rezultatima projekata.</w:t>
      </w:r>
    </w:p>
    <w:p w14:paraId="0000032D" w14:textId="70ABAD8D" w:rsidR="007A6527" w:rsidRDefault="002025D8">
      <w:pPr>
        <w:numPr>
          <w:ilvl w:val="0"/>
          <w:numId w:val="5"/>
        </w:numPr>
      </w:pPr>
      <w:r>
        <w:t>Staviti f</w:t>
      </w:r>
      <w:r w:rsidR="008A787C">
        <w:t>okus na vizueln</w:t>
      </w:r>
      <w:r>
        <w:t>i sadržaj</w:t>
      </w:r>
      <w:r w:rsidR="008A787C">
        <w:t xml:space="preserve"> – video, fotografije i jednostavni infografici</w:t>
      </w:r>
    </w:p>
    <w:p w14:paraId="0000032E" w14:textId="19539193" w:rsidR="007A6527" w:rsidRDefault="008A787C">
      <w:pPr>
        <w:numPr>
          <w:ilvl w:val="0"/>
          <w:numId w:val="5"/>
        </w:numPr>
      </w:pPr>
      <w:r>
        <w:t xml:space="preserve">Dati prioritet projektima koji imaju jasan efekat na svakodnevni život – </w:t>
      </w:r>
      <w:r w:rsidR="002025D8">
        <w:t>s</w:t>
      </w:r>
      <w:r>
        <w:t xml:space="preserve">vi projekti su bitni, ali nisu svi podjednako dobri za komunikaciju. Puno projekata </w:t>
      </w:r>
      <w:r w:rsidR="002025D8">
        <w:t xml:space="preserve">finansiranih </w:t>
      </w:r>
      <w:r w:rsidR="00AB07DB">
        <w:t>o</w:t>
      </w:r>
      <w:r w:rsidR="002025D8">
        <w:t xml:space="preserve">d strane EU se </w:t>
      </w:r>
      <w:r>
        <w:t>završi izradom studija ili nekim drugim dokumentom, što ima slab komunikacioni potencijal</w:t>
      </w:r>
    </w:p>
    <w:p w14:paraId="0000032F" w14:textId="545DAEEF" w:rsidR="007A6527" w:rsidRDefault="008A787C">
      <w:pPr>
        <w:numPr>
          <w:ilvl w:val="0"/>
          <w:numId w:val="5"/>
        </w:numPr>
      </w:pPr>
      <w:r>
        <w:t>Fokus na ljudskim pričama. Sv</w:t>
      </w:r>
      <w:r w:rsidR="002025D8">
        <w:t>a</w:t>
      </w:r>
      <w:r>
        <w:t xml:space="preserve"> istraživanja već godinama pokazuju da su građani</w:t>
      </w:r>
      <w:r w:rsidR="006F2E11">
        <w:t>/ke</w:t>
      </w:r>
      <w:r>
        <w:t xml:space="preserve"> najviše zainteresovani za to i kako integracije utiču konkretno na njih  </w:t>
      </w:r>
    </w:p>
    <w:p w14:paraId="00000330" w14:textId="34F76338" w:rsidR="007A6527" w:rsidRDefault="002025D8">
      <w:pPr>
        <w:numPr>
          <w:ilvl w:val="0"/>
          <w:numId w:val="5"/>
        </w:numPr>
        <w:spacing w:after="240"/>
      </w:pPr>
      <w:r>
        <w:t xml:space="preserve">Usmjeriti se na rezultate </w:t>
      </w:r>
      <w:r w:rsidR="008A787C">
        <w:t>a ne na proces</w:t>
      </w:r>
      <w:r>
        <w:t>e</w:t>
      </w:r>
      <w:r w:rsidR="008A787C">
        <w:t xml:space="preserve"> i aktivnosti</w:t>
      </w:r>
    </w:p>
    <w:p w14:paraId="00000331" w14:textId="77777777" w:rsidR="007A6527" w:rsidRPr="000A5977" w:rsidRDefault="008A787C" w:rsidP="004E4614">
      <w:pPr>
        <w:pStyle w:val="Heading2"/>
        <w:rPr>
          <w:b/>
        </w:rPr>
      </w:pPr>
      <w:bookmarkStart w:id="57" w:name="_Toc140567067"/>
      <w:r w:rsidRPr="000A5977">
        <w:rPr>
          <w:b/>
        </w:rPr>
        <w:t>Komunikacioni kanali, metode i tehnike</w:t>
      </w:r>
      <w:bookmarkEnd w:id="57"/>
    </w:p>
    <w:p w14:paraId="00000332" w14:textId="77777777" w:rsidR="007A6527" w:rsidRPr="004E4614" w:rsidRDefault="008A787C" w:rsidP="004E4614">
      <w:pPr>
        <w:pStyle w:val="Heading3"/>
      </w:pPr>
      <w:bookmarkStart w:id="58" w:name="_Toc140567068"/>
      <w:r w:rsidRPr="004E4614">
        <w:t>Mediji</w:t>
      </w:r>
      <w:bookmarkEnd w:id="58"/>
    </w:p>
    <w:p w14:paraId="00000333" w14:textId="051729C7" w:rsidR="007A6527" w:rsidRDefault="008A787C">
      <w:pPr>
        <w:spacing w:before="240" w:after="120"/>
      </w:pPr>
      <w:r>
        <w:t>Značaj medija u procesu komunicranja EU integracije ne može biti prenaglašen - mediji su ujedno najvažniji komunikacioni kanal, multiplikator i partner. U ovom dijelu medij</w:t>
      </w:r>
      <w:r w:rsidR="006F2E11">
        <w:t>e</w:t>
      </w:r>
      <w:r>
        <w:t xml:space="preserve"> ćemo tretirati kao komunikacioni kanal. Iako moć medija kao izvora informacija postepeno opada i u svijetu i kod nas, oni su i dalje najefikasniji i najjeftiniji način da se dopre do najvećeg broja ljudi za najkraće vrijeme. Evropske integracije su važan društveni proces i mediji ih prate organski. Takođe, istraživanja nam govore da mainstream mediji podržavaju proces integracije, da se o njimu objektivno izvještava, i da su izvještaji uglavnom u pozitivnom tonu.  Istraživanja nam takođe pokazuju da ključni mediji u zemlji ne šire dezinformacije. Sve to su pozitivne strane, temelji na kojima treba graditi uspješnu komunikaciju kroz medije. Jer i pored naklonjene medijske situacije, značajan broj građana</w:t>
      </w:r>
      <w:r w:rsidR="006F2E11">
        <w:t>/ki</w:t>
      </w:r>
      <w:r>
        <w:t xml:space="preserve"> i dalje nije informisan o procesu integracije, vjeruje da je taj proces neinteresantan, rezervisan za političare</w:t>
      </w:r>
      <w:r w:rsidR="006F2E11">
        <w:t>/ke</w:t>
      </w:r>
      <w:r>
        <w:t xml:space="preserve">, da ne utiče na njegov život. Na svemu tome se može raditi i na tome treba da se bazira strateški pristup komuniciranja preko medija. </w:t>
      </w:r>
    </w:p>
    <w:p w14:paraId="00000334" w14:textId="77777777" w:rsidR="007A6527" w:rsidRDefault="008A787C">
      <w:pPr>
        <w:spacing w:before="240" w:after="120"/>
      </w:pPr>
      <w:r>
        <w:rPr>
          <w:b/>
        </w:rPr>
        <w:t>Komunikacija kroz medije mora biti jasna, jednostavna, razumljiva, pamtljiva i da u krajnjem precizno odgovara na pitanje – kako ovo utiče na moj i život moje zajednice.</w:t>
      </w:r>
      <w:r>
        <w:t xml:space="preserve"> Ne radi se o nikakvom novom principu ili modelu komunikacije, već nečemu što je definisano u prethodnim strateškim dokumentima, ali se zbog spleta okolnosti, različitih spoljnih i unutrašnjih faktora, inercije, pritisaka hijerarhije često zaboravlja i na snazi ostaju neefikasne komunikacione prakse. </w:t>
      </w:r>
    </w:p>
    <w:p w14:paraId="00000335" w14:textId="77777777" w:rsidR="007A6527" w:rsidRDefault="008A787C">
      <w:pPr>
        <w:spacing w:before="240" w:after="120"/>
      </w:pPr>
      <w:r>
        <w:t xml:space="preserve">Treba uraditi jednostavan test. Svaki put prije poziva medijima ili pisanja saopštenja treba zapitati sebe – da li bih ja kliknuo/la na ovu vijesti? Da li je to nešto što bih prokomentarisao sa svojom porodicom ili prijateljima? Da li ću se sjećati te informacije poslije dnevnika? Sve što ne prolazi test ne treba „gurati“ u medije. Iako to možda ne izgleda tako, iako djeluje kao da nema štete od još jedne informacije sa sastanka ili sjednice radne grupe, moramo biti svjesni da se nepovratno troše ljudski resursi komunikatora, koji su mogli raditi na nečem korisnijem, i resurs ljudske pažnje, koji označava informacije o EU kao neinteresantne i birokratske. </w:t>
      </w:r>
      <w:r>
        <w:rPr>
          <w:b/>
        </w:rPr>
        <w:t>Princip je prost – prioritizacija.</w:t>
      </w:r>
      <w:r>
        <w:t xml:space="preserve"> Nisu sve informacije koje treba plasirati u javnost iste komunikativne vrijednosti. Najbolje priče, vizuelno upečatljive, sa ljudskim uglom i uticajem na živote – idu u medije u udarnim terminima, da bi se maksimizovali njihov doseg i efekat.</w:t>
      </w:r>
    </w:p>
    <w:p w14:paraId="00000336" w14:textId="36143082" w:rsidR="007A6527" w:rsidRDefault="008A787C">
      <w:pPr>
        <w:spacing w:before="240" w:after="120"/>
      </w:pPr>
      <w:r>
        <w:t>Istraživanja pokazuju da je televizija dominantan medij u Crnoj Gori i osnovni izvor informacija posebno za starije od 35 godina, te stoga zaslužuje posebnu pažnju. Ne smije se ispustiti iz vida je je televizija primarno vizuelni medij, i da uspjeh komunikacije zavisi od upečatljivosti slika. Crnogorski mediji, a posebno televizije imaju problema sa nedostatkom specijalizovanih novinara koji prate evropske integracije. Radi se o malim redakcijama koje zbog velike opterećenosti reportera obično nemaju dovoljno vremena da se posvete jednoj priči na pravi način. Zbog toga se preporučuje proaktivno djelovanje, obezbjeđivanje video materijala i lokacija za snimanje, sagovornika</w:t>
      </w:r>
      <w:r w:rsidR="005145A6">
        <w:t>/ca</w:t>
      </w:r>
      <w:r>
        <w:t xml:space="preserve"> koji su upućeni, relevantni i sposobni da prenesu informacije na razumljiv i uključujuć način. Javni servis od nedavno ima i dopisnika iz Brisela što je specijalno važan resurs kako za komuniciranje sa domaćim, tako i stranim javnostima i dobra saradnja je neophodna.</w:t>
      </w:r>
    </w:p>
    <w:p w14:paraId="537F595B" w14:textId="557D044A" w:rsidR="00677795" w:rsidRDefault="00677795">
      <w:pPr>
        <w:spacing w:before="240" w:after="120"/>
      </w:pPr>
      <w:r>
        <w:t xml:space="preserve">Dostupni podaci pokazuju da </w:t>
      </w:r>
      <w:r w:rsidRPr="00677795">
        <w:t>98,9% domaćinstava u Crnoj Gori ima pristup</w:t>
      </w:r>
      <w:r>
        <w:t xml:space="preserve"> televiziji.</w:t>
      </w:r>
      <w:r w:rsidRPr="00677795">
        <w:t xml:space="preserve"> U obzir treba uzeti i podatak da je 134,5 hiljada žena neaktivno na tržištu rada, od čega je 69,8 hiljada žena starosne dobi od 65 do 89 godina. Ako pođemo od pretpostavke da one svoje vrijeme dominantno provode u kući, smatramo da je ova grupa ujedno i najizloženija uticaju televizije i medijskih sadržaja. Pored toga, 15,5 hiljada žena je nezaposleno, pa imamo 151 hiljadu žena ili 24% od ukupnog broja stanovnika koje svoje vrijeme provode van plaćenog rada.</w:t>
      </w:r>
    </w:p>
    <w:p w14:paraId="00000337" w14:textId="77777777" w:rsidR="007A6527" w:rsidRDefault="008A787C">
      <w:pPr>
        <w:spacing w:before="240" w:after="240"/>
      </w:pPr>
      <w:r>
        <w:t>Sadržaj i forma u kojoj se plasira moraju biti prilagođene tipu medija. To što je televizija uticajna ne znači da svi naši formati moraju biti podređeni televiziji. Internet portali traži brzu i dobro ilustrovanu informaciju. Specijalizovani strukovni časopisi traže ekspertska mišljenja koja bi bila nerazumljiva u mas-medijima. Ako targetiramo donosioce odluka i politički establišment, dobro plasirana i relevantna kolumna je prava forma.</w:t>
      </w:r>
    </w:p>
    <w:p w14:paraId="00000338" w14:textId="77777777" w:rsidR="007A6527" w:rsidRPr="004E4614" w:rsidRDefault="008A787C" w:rsidP="004E4614">
      <w:pPr>
        <w:pStyle w:val="Heading3"/>
      </w:pPr>
      <w:bookmarkStart w:id="59" w:name="_Toc140567069"/>
      <w:r w:rsidRPr="004E4614">
        <w:t>Internet i društvene mreže</w:t>
      </w:r>
      <w:bookmarkEnd w:id="59"/>
    </w:p>
    <w:p w14:paraId="00000339" w14:textId="77777777" w:rsidR="007A6527" w:rsidRDefault="007A6527"/>
    <w:p w14:paraId="724BE967" w14:textId="77777777" w:rsidR="00677795" w:rsidRDefault="008A787C" w:rsidP="00677795">
      <w:r>
        <w:t xml:space="preserve">Internet je brzorastući komunikacioni kanal u kojem je tempo promjena i inovacija u isto vrijeme snažan i nepredvidiv, što otežava planiranje modela komunikacije, posebno na duge rokove. Zanemarivanje aktuelnih trendova vašu komunikaciju gotovo instant  može  učiniti prevaziđenom i neefektivnom. Zbog toga je jedini način uspješnog komuniciranja konstantno praćenje trendova i prilagođavanje.  Uz rizik da na polovini implementacije budu zastjareli, pokušaćemo da opišemo par trenutno aktuelnih komunikacionih trendova na koje komunikatori moraju obratiti pažnju tokom sprovođenja ove Strategije.  </w:t>
      </w:r>
    </w:p>
    <w:p w14:paraId="2B82904B" w14:textId="77777777" w:rsidR="00B54083" w:rsidRDefault="00677795" w:rsidP="00677795">
      <w:r>
        <w:t xml:space="preserve">Takođe, važan segment prilikom kreiranja medijskih sadržaja o procesu evropske integracije, koji se stvarno tiču i koji interesuju građane i građanke Crne Gore, moraju biti podaci koji ukazuju na dostupnost i korišćenje interneta. </w:t>
      </w:r>
    </w:p>
    <w:p w14:paraId="62C22AD3" w14:textId="424F5601" w:rsidR="00B54083" w:rsidRDefault="00677795" w:rsidP="00677795">
      <w:r>
        <w:t>Prema raspoloživim podacima,  preko 80% žena i muškaraca u Crnoj Gori k</w:t>
      </w:r>
      <w:r w:rsidR="00B54083">
        <w:t xml:space="preserve">oristi i ima pristup internetu, uz postojanje digitalnog jaza koji ukazuje da su starije žene i one koje žive van urbanih gradskih područja i u ruralnim krajevima, u većem riziku da budu digitalno nepismene jer su manje podložne uticaju digitalnih medija, portala, društvenih mreža i imaju slabiji pristup informacijama. </w:t>
      </w:r>
    </w:p>
    <w:p w14:paraId="0000033B" w14:textId="0399374E" w:rsidR="007A6527" w:rsidRDefault="00B54083">
      <w:r>
        <w:t xml:space="preserve">S ciljem prevazilaženja ovog izazova, Strategija </w:t>
      </w:r>
      <w:r w:rsidR="00677795">
        <w:t>digitalne transformaci</w:t>
      </w:r>
      <w:r>
        <w:t xml:space="preserve">je 2022-2026, je definisala operativne ciljeve za </w:t>
      </w:r>
      <w:r w:rsidR="00677795">
        <w:t>unapređenje digitalnih vješti</w:t>
      </w:r>
      <w:r>
        <w:t xml:space="preserve">na za osjetljive grupe građana/ki kroz </w:t>
      </w:r>
      <w:r w:rsidR="00677795">
        <w:t xml:space="preserve">prilagođavanje obuka ciljnim grupama, među kojima su starije žene, pogotovo one iz ruralnih područja. </w:t>
      </w:r>
    </w:p>
    <w:p w14:paraId="0000033C" w14:textId="77777777" w:rsidR="007A6527" w:rsidRDefault="008A787C">
      <w:r>
        <w:rPr>
          <w:b/>
        </w:rPr>
        <w:t>Svi su na internetu.</w:t>
      </w:r>
      <w:r>
        <w:t xml:space="preserve"> Gotovo da nema više digitalno nepismenih. Pandemija je učinila svoje, puno ljudi je moralo da nauči kako da se uključi na zoom call, napravi Viber grupu, gleda livestream ili pošalje mail. Nužda je podigla digitalnu pismenost. To ima dva efekta. Publika za vašu komunikaciju je šira, prošlo je vrijeme kad ste mogli računati samo na malu grupu mladih ljudi koji će znati kako da preuzmu vašu aplikaciju. To takođe znači da se borite sa više sadržaja i da vaš komunikacioni proizvod mora biti bolji nego ikad.</w:t>
      </w:r>
    </w:p>
    <w:p w14:paraId="0000033D" w14:textId="77777777" w:rsidR="007A6527" w:rsidRDefault="007A6527"/>
    <w:p w14:paraId="0000033E" w14:textId="3F95CE0F" w:rsidR="007A6527" w:rsidRDefault="008A787C">
      <w:r>
        <w:rPr>
          <w:b/>
        </w:rPr>
        <w:t>Raspon pažnje se smanjio.</w:t>
      </w:r>
      <w:r>
        <w:t xml:space="preserve"> TikTok i druge društvene mreže koje su donijele trend kratkih video formata su kolektivno smanjile raspon pažnje. To nije dobra vijest za komunikatore</w:t>
      </w:r>
      <w:r w:rsidR="005145A6">
        <w:t>/ke</w:t>
      </w:r>
      <w:r>
        <w:t>, posebno one koji komuniciraju sveobuhvatan i kompleksan društveni proces kao što je evropska integracija, ali to je činjenica kojoj se mora prilagoditi. Jedan od osnovnih komunikacionih trendova 2022. je pojednostavljivanje sadržaja i treba pronaći načine kako to uraditi, a da ne trpi kvalitet komunikacije.</w:t>
      </w:r>
    </w:p>
    <w:p w14:paraId="0000033F" w14:textId="77777777" w:rsidR="007A6527" w:rsidRDefault="007A6527"/>
    <w:p w14:paraId="00000340" w14:textId="77777777" w:rsidR="007A6527" w:rsidRDefault="008A787C">
      <w:r>
        <w:rPr>
          <w:b/>
        </w:rPr>
        <w:t>Fajsbuk je ostario.</w:t>
      </w:r>
      <w:r>
        <w:t xml:space="preserve"> Nešto sporije u Crnoj Gori nego na zapadu, ali fejsbuk je ostario i ne možete više računati na komunikaciju sa mladima putem te mreže. Komuniciranje na fejsbuku treba zadržati, ono i dalje, posebno u Crnoj Gori, ima veliku relevantnost u političkoj komunikaciji, ali i kao izvor informacija za osobe starije od 30, ali TikTok i Instagram su mreže za targetiranje mladih. A te mreže traže prilagođavanje sadržine i forme poruke.</w:t>
      </w:r>
    </w:p>
    <w:p w14:paraId="00000341" w14:textId="77777777" w:rsidR="007A6527" w:rsidRDefault="007A6527"/>
    <w:p w14:paraId="00000342" w14:textId="710EDF53" w:rsidR="007A6527" w:rsidRDefault="008A787C">
      <w:r>
        <w:rPr>
          <w:b/>
        </w:rPr>
        <w:t>Tviter kreira vijesti.</w:t>
      </w:r>
      <w:r>
        <w:t xml:space="preserve"> Tviter zajednica u Crnoj Gori je tek nedavno počela da postoji u pravom smislu tog pojma. Iako samo 13% građana koristi Tviter, i to dominantno mlađa populacija, političari</w:t>
      </w:r>
      <w:r w:rsidR="005145A6">
        <w:t>/ke</w:t>
      </w:r>
      <w:r>
        <w:t xml:space="preserve"> i druge javne ličnosti su u proteklih par godina značajno povećali svoje prisustvo i aktivnost na toj mreži. Tviter je sada, kao i u većini drugih zemalja, jedan od centara medijskog interesovanja i značajan kreator medijskih sadržaja. To je sa jedne strane dobro, jer je povećava uticaj i doseg naše komunikacije na ovoj mreži, i povratne informacije postaju sadržajnije i brojnije. Sa druge strane postoji rizik da da se komunikacioni ciljevi izgube u kakofoniji Tviter rasprava. Na Tviteru se mora biti prisutan,  ali </w:t>
      </w:r>
      <w:sdt>
        <w:sdtPr>
          <w:tag w:val="goog_rdk_28"/>
          <w:id w:val="1781072604"/>
        </w:sdtPr>
        <w:sdtContent/>
      </w:sdt>
      <w:r>
        <w:t xml:space="preserve">obazrivo.  </w:t>
      </w:r>
    </w:p>
    <w:p w14:paraId="00000343" w14:textId="77777777" w:rsidR="007A6527" w:rsidRDefault="007A6527"/>
    <w:p w14:paraId="00000344" w14:textId="77777777" w:rsidR="007A6527" w:rsidRDefault="008A787C">
      <w:r>
        <w:rPr>
          <w:b/>
        </w:rPr>
        <w:t>Dezinformacije su svuda.</w:t>
      </w:r>
      <w:r>
        <w:t xml:space="preserve"> Ne isključivo kao dezinformacije, koje EU definiše kao namjerno širenje provjereno netačnih informacija da bi se napravila šteta, već i misinformacije, koje nemaju zlu namjeru, polu-tačne informacije, organizovane neautentične aktivnosti (botovi) i druge vreste manipulisanja informacijama. Morate u svakom trenutku biti spremni da djelujete u analiziranju i razotkrivanju dezinformacionih narativa. Treba proaktivno razmišljati tokom kreiranja digitalno sadržaja, ne ostavljati „sive zone“ koje mogu zloupotrijebiti razni akteri.  </w:t>
      </w:r>
    </w:p>
    <w:p w14:paraId="00000345" w14:textId="77777777" w:rsidR="007A6527" w:rsidRDefault="007A6527"/>
    <w:p w14:paraId="00000346" w14:textId="77777777" w:rsidR="007A6527" w:rsidRDefault="008A787C">
      <w:r>
        <w:rPr>
          <w:b/>
        </w:rPr>
        <w:t>Gejmifikacija radi</w:t>
      </w:r>
      <w:r>
        <w:t xml:space="preserve">. Ljudi generalno vole da se igraju, takmiče i osvajaju nagrade, a tokom pandemije su to najčešće radili u online svijetu. Digitalni kvizovi koje je razvio EU info centar pokazali su sjajne rezultate, kako u broju korisnika, tako i u uspješnosti komuniciranja važnih tema, poput ljudskih prava, zaštite životne sredine ili integracionog procesa. Različita takmičenja koji je Vladin komunikacioni tim uspješno koristio u komunikaciji integracionog procesa treba nastaviti i osvježiti u budućnosti. </w:t>
      </w:r>
    </w:p>
    <w:p w14:paraId="00000347" w14:textId="77777777" w:rsidR="007A6527" w:rsidRDefault="007A6527"/>
    <w:p w14:paraId="00000348" w14:textId="5AD7F556" w:rsidR="007A6527" w:rsidRDefault="008A787C">
      <w:r>
        <w:rPr>
          <w:b/>
        </w:rPr>
        <w:t>D</w:t>
      </w:r>
      <w:sdt>
        <w:sdtPr>
          <w:tag w:val="goog_rdk_29"/>
          <w:id w:val="44883198"/>
        </w:sdtPr>
        <w:sdtContent/>
      </w:sdt>
      <w:sdt>
        <w:sdtPr>
          <w:tag w:val="goog_rdk_30"/>
          <w:id w:val="2040769737"/>
        </w:sdtPr>
        <w:sdtContent/>
      </w:sdt>
      <w:r>
        <w:rPr>
          <w:b/>
        </w:rPr>
        <w:t>igitalni pioniri.</w:t>
      </w:r>
      <w:r>
        <w:t xml:space="preserve"> Ne treba se plašiti najnovijih digitalnih i tehnoloških trendova, jer tu postoji ogroman još uvijek neosvojen prostor za komunikaciju. Treba raditi sa progamerima</w:t>
      </w:r>
      <w:r w:rsidR="005145A6">
        <w:t>/kama</w:t>
      </w:r>
      <w:r>
        <w:t xml:space="preserve"> i dizajnerima</w:t>
      </w:r>
      <w:r w:rsidR="005145A6">
        <w:t>/kama</w:t>
      </w:r>
      <w:r>
        <w:t xml:space="preserve"> i eksperimentisati sa projektima iz virtuelne i proširene stvarnosti, 3d animacije ili interaktivnim infograficima. Ponekad je dovoljan i dobro dizajniran filter kviz za instagram priče. Tehnologija je nikad jeftinija i dostupnija, a publika zna da cijeni svaku inovaciju. Sadržaj mora biti prilagođen, jer niko ne želi da vidi 35 pregovaračkih poglavlja u virtuelnoj stvarnosti, već nešto što će publiku istinski i organski zainteresovati, a ispunjava komunikacione ciljeve i prati poruke.  </w:t>
      </w:r>
    </w:p>
    <w:p w14:paraId="00000349" w14:textId="77777777" w:rsidR="007A6527" w:rsidRDefault="007A6527"/>
    <w:p w14:paraId="0000034A" w14:textId="77777777" w:rsidR="007A6527" w:rsidRPr="000A5977" w:rsidRDefault="008A787C" w:rsidP="004E4614">
      <w:pPr>
        <w:pStyle w:val="Heading3"/>
        <w:rPr>
          <w:color w:val="4472C4" w:themeColor="accent1"/>
        </w:rPr>
      </w:pPr>
      <w:bookmarkStart w:id="60" w:name="_Toc140567070"/>
      <w:r w:rsidRPr="000A5977">
        <w:rPr>
          <w:color w:val="4472C4" w:themeColor="accent1"/>
        </w:rPr>
        <w:t>Sadržaj - forma i stil</w:t>
      </w:r>
      <w:bookmarkEnd w:id="60"/>
      <w:r w:rsidRPr="000A5977">
        <w:rPr>
          <w:color w:val="4472C4" w:themeColor="accent1"/>
        </w:rPr>
        <w:t xml:space="preserve"> </w:t>
      </w:r>
    </w:p>
    <w:p w14:paraId="0000034B" w14:textId="77777777" w:rsidR="007A6527" w:rsidRDefault="007A6527">
      <w:pPr>
        <w:spacing w:line="276" w:lineRule="auto"/>
      </w:pPr>
    </w:p>
    <w:p w14:paraId="0000034C" w14:textId="346C79A5" w:rsidR="007A6527" w:rsidRDefault="008A787C">
      <w:pPr>
        <w:spacing w:after="120" w:line="276" w:lineRule="auto"/>
      </w:pPr>
      <w:r>
        <w:t xml:space="preserve">Sadržaj jeste </w:t>
      </w:r>
      <w:r w:rsidR="00FD7813">
        <w:t>srž</w:t>
      </w:r>
      <w:r w:rsidR="003671D7">
        <w:t xml:space="preserve"> </w:t>
      </w:r>
      <w:r>
        <w:t xml:space="preserve">komunikacije, ali da bi </w:t>
      </w:r>
      <w:r w:rsidR="00FD7813">
        <w:t xml:space="preserve">sadržaj postao kvalitetan </w:t>
      </w:r>
      <w:r>
        <w:t>potrebno je puno truda, znanja i iskustva onih koji ga kreiraju. Možete imati savršeno uređen proces interne organizacije, pratiti osnovne poruke strategije, koristiti prave kanale i multiplikatore</w:t>
      </w:r>
      <w:r w:rsidR="005145A6">
        <w:t>/ke</w:t>
      </w:r>
      <w:r>
        <w:t>, ali ako sadržaj poruke nije jasan, atraktivan i prilagođen, vaša komunikacija neće ispuniti zadate  ciljeve. Kreiranje komunikacionog sadržaja je zato najkompleksniji i najazahtjevniji dio ovog posla. Ovaj Strategija se piše za iskusne komunikatore</w:t>
      </w:r>
      <w:r w:rsidR="005145A6">
        <w:t>/ke</w:t>
      </w:r>
      <w:r>
        <w:t>, od kojih neki godinama uspješno objašnjavaju građanima</w:t>
      </w:r>
      <w:r w:rsidR="005145A6">
        <w:t>/kama</w:t>
      </w:r>
      <w:r>
        <w:t xml:space="preserve"> proces evropske integracije, pa ipak, potrebno je stalno učiti, pratiti trendove u komuniciranju, istraživati publiku, analizirati povratnu spregu, i prilagođavati stil i formu komunikacionog sadržaja. Evo nekoliko savjeta za kreiranja sadržaja.</w:t>
      </w:r>
    </w:p>
    <w:p w14:paraId="0000034D" w14:textId="0ACF4CAE" w:rsidR="007A6527" w:rsidRDefault="008A787C">
      <w:pPr>
        <w:spacing w:after="120" w:line="276" w:lineRule="auto"/>
      </w:pPr>
      <w:r>
        <w:rPr>
          <w:b/>
        </w:rPr>
        <w:t xml:space="preserve">Akcenat na vrijednostima – </w:t>
      </w:r>
      <w:r>
        <w:t>Evropska unija i evropske integracije su baziran</w:t>
      </w:r>
      <w:r w:rsidR="00357018">
        <w:t>e</w:t>
      </w:r>
      <w:r>
        <w:t xml:space="preserve"> na evropskim vrijednostima. Iskrena podrška vrijednostima kod građana</w:t>
      </w:r>
      <w:r w:rsidR="005145A6">
        <w:t>/ki</w:t>
      </w:r>
      <w:r>
        <w:t xml:space="preserve"> će učvrstiti podršku integracionom procesu i učiniti je otpornim na spoljne faktore. Zato treba komunicirati poštovanje ljudskih prava, zaštitu životne sredine, </w:t>
      </w:r>
      <w:r w:rsidR="00357018">
        <w:t xml:space="preserve">rodnu ravnopravnost, </w:t>
      </w:r>
      <w:r>
        <w:t>solidarnost sa izbjeglicama i  drugo kao primarne poruke. One ionako imaju veći komunikacioni potencijal i otvaraju komunikatorima daleko više mogućnosti, kanala i modela komunikacije.</w:t>
      </w:r>
    </w:p>
    <w:p w14:paraId="0000034E" w14:textId="108B9EB1" w:rsidR="007A6527" w:rsidRDefault="008A787C" w:rsidP="00C32A21">
      <w:pPr>
        <w:spacing w:after="120" w:line="277" w:lineRule="auto"/>
      </w:pPr>
      <w:r>
        <w:rPr>
          <w:b/>
        </w:rPr>
        <w:t xml:space="preserve">Fokus na rezultatima i efektima, a ne </w:t>
      </w:r>
      <w:r w:rsidR="00AB07DB">
        <w:rPr>
          <w:b/>
        </w:rPr>
        <w:t xml:space="preserve">na </w:t>
      </w:r>
      <w:r>
        <w:rPr>
          <w:b/>
        </w:rPr>
        <w:t>procesu –</w:t>
      </w:r>
      <w:r>
        <w:t xml:space="preserve"> Iako je evropska integracija proces, ne znači da se taj proces nužno mora komunicirati. Puno sadržaja koji nastaje u procesu, sa sastanaka i susreta, iz radnih grupa i podkomiteta, iz akcionih planova i strategija, nema svrhe komunicirati ako ne proizvode jasno mjerljiv rezultat i efekat na živote građana. </w:t>
      </w:r>
    </w:p>
    <w:p w14:paraId="0000034F" w14:textId="0F5D06C4" w:rsidR="007A6527" w:rsidRDefault="008A787C" w:rsidP="00C32A21">
      <w:pPr>
        <w:spacing w:before="240" w:after="120" w:line="277" w:lineRule="auto"/>
      </w:pPr>
      <w:r>
        <w:rPr>
          <w:b/>
        </w:rPr>
        <w:t xml:space="preserve">Pratiti interese publike </w:t>
      </w:r>
      <w:r>
        <w:t>- Najčešće ispitanike</w:t>
      </w:r>
      <w:r w:rsidR="005145A6">
        <w:t>/ce</w:t>
      </w:r>
      <w:r>
        <w:t xml:space="preserve"> Evropska unija asocira na bolju budućnost ili bolji standard života (19.5%), na putovanja i otvorene granice (14.2%), na mogućnost zapošljavanja (8.9%) i demokratiju i vladavinu prava (7%). Ovi pojmovi treba da budu eksploatisani kao ključni u komuniciranju jer predstavljaju „most“ ka pozitivnim asocijacijama na Evropsku uniju.</w:t>
      </w:r>
    </w:p>
    <w:p w14:paraId="00000350" w14:textId="7ED93F2D" w:rsidR="007A6527" w:rsidRDefault="008A787C" w:rsidP="00C32A21">
      <w:pPr>
        <w:spacing w:after="120" w:line="277" w:lineRule="auto"/>
      </w:pPr>
      <w:r>
        <w:rPr>
          <w:b/>
        </w:rPr>
        <w:t>Pojednostaviti sadržaj</w:t>
      </w:r>
      <w:r>
        <w:t xml:space="preserve"> – Pojednostavljivanje komunikacije kompleksnih društvenih procesa, a posebno onih koji su birokratski u svojoj prirodi, je posao bez kraja i bez savršenog načina da se to uradi. Sama Evropska unija već decenijama intenzivno radi na unaprjeđivanju i pojednostavljivanju komunikacije, kako bi približila svoje kompleksne politike običnim građanima</w:t>
      </w:r>
      <w:r w:rsidR="005145A6">
        <w:t>/kama</w:t>
      </w:r>
      <w:r>
        <w:t>. Kao što je već pomenuto u Strategiji, novi trendovi u komunikaciji traže još jednostavniji sadržaj. Razmislite da li bi mogli srž vaše poruke saopštiti u 15 sekundi.</w:t>
      </w:r>
    </w:p>
    <w:p w14:paraId="00000351" w14:textId="77777777" w:rsidR="007A6527" w:rsidRDefault="008A787C">
      <w:pPr>
        <w:spacing w:after="120" w:line="276" w:lineRule="auto"/>
      </w:pPr>
      <w:r>
        <w:rPr>
          <w:b/>
        </w:rPr>
        <w:t xml:space="preserve">Vizuelizacija – </w:t>
      </w:r>
      <w:r>
        <w:t>Od „slika vrijedi 1000 riječi“ do savremenih kognitivnih istraživanja koji pokazuju nadmoćnost vizuelnog sadržaja, poruka je jasna – vizuelizacija komunikacije je prioritet. Ovo ponekad zahtijeva više rada, više finansija, razmišljanje van ustaljenih okvira, ali rezultati gotovo uvijek opravdavaju investiciju. Jednostavni upečatljivi infografici, kratke eksplanatorne video forme, sadržaj prilagođen stilu društvenih mreža su vaše najbolje oružje.</w:t>
      </w:r>
    </w:p>
    <w:p w14:paraId="00000352" w14:textId="6F59A777" w:rsidR="007A6527" w:rsidRDefault="008A787C">
      <w:pPr>
        <w:spacing w:after="120" w:line="276" w:lineRule="auto"/>
      </w:pPr>
      <w:r>
        <w:rPr>
          <w:b/>
        </w:rPr>
        <w:t xml:space="preserve">Humor i neposrednost – </w:t>
      </w:r>
      <w:r>
        <w:t>Napuštanje formalne komunikacije u korist neposrednog pristupa je već godinam trend u</w:t>
      </w:r>
      <w:r>
        <w:rPr>
          <w:b/>
        </w:rPr>
        <w:t xml:space="preserve"> </w:t>
      </w:r>
      <w:r>
        <w:t>komunikacionom svijetu.</w:t>
      </w:r>
      <w:r>
        <w:rPr>
          <w:b/>
        </w:rPr>
        <w:t xml:space="preserve"> </w:t>
      </w:r>
      <w:r>
        <w:t>Evropska komisija objavljuje mimove, a šefovi</w:t>
      </w:r>
      <w:r w:rsidR="005145A6">
        <w:t>/ce</w:t>
      </w:r>
      <w:r>
        <w:t xml:space="preserve"> država učestvuju u internet izazovima, zajedno vjerujući da će ovakvim pristupom lakše i efektivnije doći do publike. Potrebno je, međutim, biti jako oprezan da ta komunikacije ne bi izgledala usiljeno ili neadekvatno, što nosi rizike po reputaciju.</w:t>
      </w:r>
    </w:p>
    <w:p w14:paraId="00000353" w14:textId="77777777" w:rsidR="007A6527" w:rsidRDefault="008A787C">
      <w:pPr>
        <w:spacing w:line="276" w:lineRule="auto"/>
      </w:pPr>
      <w:r>
        <w:rPr>
          <w:b/>
        </w:rPr>
        <w:t>Ranjivost</w:t>
      </w:r>
      <w:r>
        <w:t xml:space="preserve"> – Pokazivanje ranjivosti je trend koji je došao iz menadžmenta</w:t>
      </w:r>
      <w:r>
        <w:rPr>
          <w:vertAlign w:val="superscript"/>
        </w:rPr>
        <w:footnoteReference w:id="12"/>
      </w:r>
      <w:r>
        <w:t xml:space="preserve">, ali je našao pobornike i među profesionalnim komunikatorima. Javno pokazivanje da niste svemoćni, da imate problema kao i svi drugi, čini da se publika lakše identifikuje sa vama i povećava povjerenje u proces komunikacije. Takođe smanjuje rizik od prevelikih očekivanja. Evropska unija i brojne zapadne vlade su bile u komunikacionom problemu na početku pandemije, jer su građani očekivali efektan i brz odgovor. Komunikacijom da se radi o nesavršenim sistemima, ali koji daju sve od sebe u svakom trenutku, je otupljena oštrica kritike i ostvarena iskrenija i efektivnija komunikacija. </w:t>
      </w:r>
    </w:p>
    <w:p w14:paraId="43D65D4A" w14:textId="77777777" w:rsidR="009C7BD0" w:rsidRDefault="009C7BD0">
      <w:pPr>
        <w:spacing w:line="276" w:lineRule="auto"/>
      </w:pPr>
    </w:p>
    <w:bookmarkStart w:id="61" w:name="_Toc140567071"/>
    <w:p w14:paraId="00000355" w14:textId="77777777" w:rsidR="007A6527" w:rsidRPr="000A5977" w:rsidRDefault="00000000">
      <w:pPr>
        <w:pStyle w:val="Heading1"/>
        <w:rPr>
          <w:b/>
        </w:rPr>
      </w:pPr>
      <w:sdt>
        <w:sdtPr>
          <w:tag w:val="goog_rdk_31"/>
          <w:id w:val="1872724502"/>
        </w:sdtPr>
        <w:sdtContent/>
      </w:sdt>
      <w:sdt>
        <w:sdtPr>
          <w:tag w:val="goog_rdk_32"/>
          <w:id w:val="-735319459"/>
        </w:sdtPr>
        <w:sdtContent/>
      </w:sdt>
      <w:r w:rsidR="008A787C" w:rsidRPr="000A5977">
        <w:rPr>
          <w:b/>
        </w:rPr>
        <w:t>Monitoring i evaluacija sa indikatorima uspjeha</w:t>
      </w:r>
      <w:bookmarkEnd w:id="61"/>
    </w:p>
    <w:p w14:paraId="3F206E1F" w14:textId="77777777" w:rsidR="00243A21" w:rsidRDefault="00243A21" w:rsidP="005145A6"/>
    <w:p w14:paraId="1B85288B" w14:textId="77777777" w:rsidR="00243A21" w:rsidRPr="001B36EA" w:rsidRDefault="00243A21" w:rsidP="00243A21">
      <w:pPr>
        <w:pBdr>
          <w:top w:val="nil"/>
          <w:left w:val="nil"/>
          <w:bottom w:val="nil"/>
          <w:right w:val="nil"/>
          <w:between w:val="nil"/>
        </w:pBdr>
        <w:rPr>
          <w:b/>
          <w:i/>
        </w:rPr>
      </w:pPr>
      <w:r w:rsidRPr="001B36EA">
        <w:rPr>
          <w:b/>
          <w:i/>
        </w:rPr>
        <w:t>Monitoring i godišnje izvještavanje</w:t>
      </w:r>
    </w:p>
    <w:p w14:paraId="5E71282C" w14:textId="77777777" w:rsidR="00243A21" w:rsidRDefault="00243A21" w:rsidP="00243A21">
      <w:pPr>
        <w:pBdr>
          <w:top w:val="nil"/>
          <w:left w:val="nil"/>
          <w:bottom w:val="nil"/>
          <w:right w:val="nil"/>
          <w:between w:val="nil"/>
        </w:pBdr>
      </w:pPr>
    </w:p>
    <w:p w14:paraId="361F0B5C" w14:textId="6299E36E" w:rsidR="00243A21" w:rsidRDefault="00243A21" w:rsidP="00243A21">
      <w:pPr>
        <w:pBdr>
          <w:top w:val="nil"/>
          <w:left w:val="nil"/>
          <w:bottom w:val="nil"/>
          <w:right w:val="nil"/>
          <w:between w:val="nil"/>
        </w:pBdr>
      </w:pPr>
      <w:r>
        <w:t xml:space="preserve">Monitoring se definiše kao redovan tekući proces prikupljanja i analize podataka o postizanju ciljeva i rezultata u toku sprovođenja aktivnosti. Iz tog razloga, monitoring je vezan za Akcioni plan i odnosi se na godišnje praćenje nivoa realizacije aktivnosti predviđenih Akcionim planom. Izvještaj monitoringa sprovođenja Akcionog plana veže se uglavnom za indikatore učinka ukoliko su podaci dostupni. S obzirom na princip provjere performansi, godišnji monitoring imaće cilj da provjeri koji komunikacioni kanali daju efekta, jesu li poruke još uvijek relevantne ili ih treba redefinisati. </w:t>
      </w:r>
    </w:p>
    <w:p w14:paraId="6003870F" w14:textId="77777777" w:rsidR="00243A21" w:rsidRDefault="00243A21" w:rsidP="00243A21">
      <w:pPr>
        <w:pBdr>
          <w:top w:val="nil"/>
          <w:left w:val="nil"/>
          <w:bottom w:val="nil"/>
          <w:right w:val="nil"/>
          <w:between w:val="nil"/>
        </w:pBdr>
      </w:pPr>
    </w:p>
    <w:p w14:paraId="026144F6" w14:textId="1354CA06" w:rsidR="00243A21" w:rsidRDefault="00243A21" w:rsidP="00243A21">
      <w:pPr>
        <w:pBdr>
          <w:top w:val="nil"/>
          <w:left w:val="nil"/>
          <w:bottom w:val="nil"/>
          <w:right w:val="nil"/>
          <w:between w:val="nil"/>
        </w:pBdr>
      </w:pPr>
      <w:r>
        <w:t>Godišnji izvještaj</w:t>
      </w:r>
      <w:r w:rsidR="00011982">
        <w:t xml:space="preserve"> </w:t>
      </w:r>
      <w:r>
        <w:t xml:space="preserve">će, u skladu s Metodologijom razvijanja politika, izrade i praćenja sprovođenja strategijskih dokumenata, sadržati sljedeće elemente: </w:t>
      </w:r>
    </w:p>
    <w:p w14:paraId="689F442B" w14:textId="77777777" w:rsidR="00243A21" w:rsidRDefault="00243A21" w:rsidP="00243A21">
      <w:pPr>
        <w:pBdr>
          <w:top w:val="nil"/>
          <w:left w:val="nil"/>
          <w:bottom w:val="nil"/>
          <w:right w:val="nil"/>
          <w:between w:val="nil"/>
        </w:pBdr>
      </w:pPr>
      <w:r>
        <w:t>• Kratak uvodni rezime koji daje opštu ocjenu procesa sprovođenja strategijskog dokumenta uz osvrt na strategijske i operativne ciljeve strategije;</w:t>
      </w:r>
    </w:p>
    <w:p w14:paraId="4107054F" w14:textId="77777777" w:rsidR="00243A21" w:rsidRDefault="00243A21" w:rsidP="00243A21">
      <w:pPr>
        <w:pBdr>
          <w:top w:val="nil"/>
          <w:left w:val="nil"/>
          <w:bottom w:val="nil"/>
          <w:right w:val="nil"/>
          <w:between w:val="nil"/>
        </w:pBdr>
      </w:pPr>
      <w:r>
        <w:t xml:space="preserve">• Informaciju o statusu indikatora rezultata i vrijednostima indikatora učinka (ukoliko su dostupni); </w:t>
      </w:r>
    </w:p>
    <w:p w14:paraId="45637074" w14:textId="77777777" w:rsidR="00243A21" w:rsidRDefault="00243A21" w:rsidP="00243A21">
      <w:pPr>
        <w:pBdr>
          <w:top w:val="nil"/>
          <w:left w:val="nil"/>
          <w:bottom w:val="nil"/>
          <w:right w:val="nil"/>
          <w:between w:val="nil"/>
        </w:pBdr>
      </w:pPr>
      <w:r>
        <w:t xml:space="preserve"> • Osvrt na planirana i utrošena finansijska sredstva s presjekom troškova uz odgovarajuću vezu s alociranim iznosima prema izvorima finansiranja;</w:t>
      </w:r>
    </w:p>
    <w:p w14:paraId="12DDFA4B" w14:textId="77777777" w:rsidR="00243A21" w:rsidRDefault="00243A21" w:rsidP="00243A21">
      <w:pPr>
        <w:pBdr>
          <w:top w:val="nil"/>
          <w:left w:val="nil"/>
          <w:bottom w:val="nil"/>
          <w:right w:val="nil"/>
          <w:between w:val="nil"/>
        </w:pBdr>
      </w:pPr>
      <w:r>
        <w:t xml:space="preserve">• Preporuke za efikasniju realizaciju definisanih ciljeva; </w:t>
      </w:r>
    </w:p>
    <w:p w14:paraId="68D7D527" w14:textId="77777777" w:rsidR="00243A21" w:rsidRDefault="00243A21" w:rsidP="00243A21">
      <w:pPr>
        <w:pBdr>
          <w:top w:val="nil"/>
          <w:left w:val="nil"/>
          <w:bottom w:val="nil"/>
          <w:right w:val="nil"/>
          <w:between w:val="nil"/>
        </w:pBdr>
      </w:pPr>
      <w:r>
        <w:t xml:space="preserve">• Novi rok za realizaciju nerealizovanih aktivnosti; </w:t>
      </w:r>
    </w:p>
    <w:p w14:paraId="3B192511" w14:textId="77777777" w:rsidR="00243A21" w:rsidRDefault="00243A21" w:rsidP="00243A21">
      <w:pPr>
        <w:pBdr>
          <w:top w:val="nil"/>
          <w:left w:val="nil"/>
          <w:bottom w:val="nil"/>
          <w:right w:val="nil"/>
          <w:between w:val="nil"/>
        </w:pBdr>
      </w:pPr>
      <w:r>
        <w:t xml:space="preserve">• Tabelarni prikaz realizovanih aktivnosti s osvrtom na indikatore. </w:t>
      </w:r>
    </w:p>
    <w:p w14:paraId="4EAFC63B" w14:textId="77777777" w:rsidR="00243A21" w:rsidRDefault="00243A21" w:rsidP="00243A21">
      <w:pPr>
        <w:pBdr>
          <w:top w:val="nil"/>
          <w:left w:val="nil"/>
          <w:bottom w:val="nil"/>
          <w:right w:val="nil"/>
          <w:between w:val="nil"/>
        </w:pBdr>
      </w:pPr>
    </w:p>
    <w:p w14:paraId="4854A318" w14:textId="77777777" w:rsidR="00243A21" w:rsidRDefault="00243A21" w:rsidP="00243A21">
      <w:pPr>
        <w:pBdr>
          <w:top w:val="nil"/>
          <w:left w:val="nil"/>
          <w:bottom w:val="nil"/>
          <w:right w:val="nil"/>
          <w:between w:val="nil"/>
        </w:pBdr>
        <w:rPr>
          <w:rFonts w:ascii="Calibri" w:hAnsi="Calibri"/>
          <w:color w:val="000000"/>
          <w:sz w:val="22"/>
          <w:szCs w:val="22"/>
        </w:rPr>
      </w:pPr>
      <w:r>
        <w:t>Godišnji izvještaj priprema Sektor za informisanje javnosti o Evropskoj uniji i procesu pristupanja Evropskoj uniji Generalnog sekretarijata Vlade, u saradnji sa svim službama koje su bile zadužene za realizaciju aktivnosti iz Akcionog plana. Godišnji izvještaj razmatraju i daju preporuke Operativno tijelo i Konsultativno tijelo, uz posebne smjernice Konsultativnog tijela Operativnom tijelu za dalje sprovođenje Strategije. Godišnji izvještaj usvaja Vlada Crne Gore.</w:t>
      </w:r>
      <w:r>
        <w:rPr>
          <w:rFonts w:ascii="Calibri" w:hAnsi="Calibri"/>
          <w:color w:val="000000"/>
          <w:sz w:val="22"/>
          <w:szCs w:val="22"/>
        </w:rPr>
        <w:t xml:space="preserve"> </w:t>
      </w:r>
    </w:p>
    <w:p w14:paraId="7201AB81" w14:textId="77777777" w:rsidR="00243A21" w:rsidRDefault="00243A21" w:rsidP="00243A21">
      <w:pPr>
        <w:pBdr>
          <w:top w:val="nil"/>
          <w:left w:val="nil"/>
          <w:bottom w:val="nil"/>
          <w:right w:val="nil"/>
          <w:between w:val="nil"/>
        </w:pBdr>
        <w:rPr>
          <w:rFonts w:ascii="Calibri" w:hAnsi="Calibri"/>
          <w:color w:val="000000"/>
          <w:sz w:val="22"/>
          <w:szCs w:val="22"/>
        </w:rPr>
      </w:pPr>
    </w:p>
    <w:p w14:paraId="625EE633" w14:textId="77777777" w:rsidR="00011982" w:rsidRDefault="00011982" w:rsidP="00243A21">
      <w:pPr>
        <w:pBdr>
          <w:top w:val="nil"/>
          <w:left w:val="nil"/>
          <w:bottom w:val="nil"/>
          <w:right w:val="nil"/>
          <w:between w:val="nil"/>
        </w:pBdr>
        <w:rPr>
          <w:rFonts w:ascii="Calibri" w:hAnsi="Calibri"/>
          <w:color w:val="000000"/>
          <w:sz w:val="22"/>
          <w:szCs w:val="22"/>
        </w:rPr>
      </w:pPr>
    </w:p>
    <w:p w14:paraId="274A68AB" w14:textId="77777777" w:rsidR="00243A21" w:rsidRPr="00011982" w:rsidRDefault="00243A21" w:rsidP="00243A21">
      <w:pPr>
        <w:pBdr>
          <w:top w:val="nil"/>
          <w:left w:val="nil"/>
          <w:bottom w:val="nil"/>
          <w:right w:val="nil"/>
          <w:between w:val="nil"/>
        </w:pBdr>
        <w:rPr>
          <w:b/>
          <w:i/>
          <w:color w:val="0070C0"/>
          <w:sz w:val="28"/>
          <w:szCs w:val="28"/>
        </w:rPr>
      </w:pPr>
      <w:r w:rsidRPr="00011982">
        <w:rPr>
          <w:b/>
          <w:i/>
          <w:color w:val="0070C0"/>
          <w:sz w:val="28"/>
          <w:szCs w:val="28"/>
        </w:rPr>
        <w:t xml:space="preserve">Evaluacija </w:t>
      </w:r>
    </w:p>
    <w:p w14:paraId="6C9E2509" w14:textId="77777777" w:rsidR="00243A21" w:rsidRDefault="00243A21" w:rsidP="00243A21">
      <w:pPr>
        <w:pBdr>
          <w:top w:val="nil"/>
          <w:left w:val="nil"/>
          <w:bottom w:val="nil"/>
          <w:right w:val="nil"/>
          <w:between w:val="nil"/>
        </w:pBdr>
      </w:pPr>
    </w:p>
    <w:p w14:paraId="09FFBDF6" w14:textId="77777777" w:rsidR="00243A21" w:rsidRDefault="00243A21" w:rsidP="00243A21">
      <w:pPr>
        <w:pBdr>
          <w:top w:val="nil"/>
          <w:left w:val="nil"/>
          <w:bottom w:val="nil"/>
          <w:right w:val="nil"/>
          <w:between w:val="nil"/>
        </w:pBdr>
      </w:pPr>
      <w:r>
        <w:t xml:space="preserve">Metodologija razvijanja politika, izrade i praćenja sprovođenja strategijskih dokumenata (2018, str. 81) definiše evaluaciju kao sistematičnu i objektivnu „procjenu tekućeg ili završenog projekta, programa ili politike, njegovog dizajna, implementacije i rezultata“. S obzirom na ciljeve evaluacije – „utvrditi relevantnost i ispunjavanje ciljeva, efikasnost razvoja, djelotvornost, uticaj i održivost“, ova Strategija informisanja predviđa finalnu evaluaciju na kraju perioda sprovođenja koja će ocijeniti efekte i učinke Strategije informisanja u odnosu na zadate strategijske i operativne ciljeve, te pripremiti analizu stanja za donošenje narednog strategijskog dokumenta u ovoj oblasti. </w:t>
      </w:r>
    </w:p>
    <w:p w14:paraId="33274B3A" w14:textId="77777777" w:rsidR="00243A21" w:rsidRDefault="00243A21" w:rsidP="00243A21">
      <w:pPr>
        <w:pBdr>
          <w:top w:val="nil"/>
          <w:left w:val="nil"/>
          <w:bottom w:val="nil"/>
          <w:right w:val="nil"/>
          <w:between w:val="nil"/>
        </w:pBdr>
      </w:pPr>
    </w:p>
    <w:p w14:paraId="057DC724" w14:textId="77777777" w:rsidR="00243A21" w:rsidRDefault="00243A21" w:rsidP="00243A21">
      <w:pPr>
        <w:pBdr>
          <w:top w:val="nil"/>
          <w:left w:val="nil"/>
          <w:bottom w:val="nil"/>
          <w:right w:val="nil"/>
          <w:between w:val="nil"/>
        </w:pBdr>
      </w:pPr>
      <w:r>
        <w:t xml:space="preserve">Za sprovođenje evaluacije biće zadužen eksterni evaluator. Procesnu i finalnu evaluaciju razmotriće i dati svoje mišljenje Operativno tijelo i Konsultativno tijelo, a na osnovu nje biće pripremljen finalni izvještaj o realizaciji koji će usvojiti Vlada Crne Gore. </w:t>
      </w:r>
    </w:p>
    <w:p w14:paraId="454D661A" w14:textId="77777777" w:rsidR="00243A21" w:rsidRDefault="00243A21" w:rsidP="00243A21">
      <w:pPr>
        <w:pBdr>
          <w:top w:val="nil"/>
          <w:left w:val="nil"/>
          <w:bottom w:val="nil"/>
          <w:right w:val="nil"/>
          <w:between w:val="nil"/>
        </w:pBdr>
      </w:pPr>
    </w:p>
    <w:p w14:paraId="3DC39FAA" w14:textId="5C07252E" w:rsidR="00011982" w:rsidRDefault="00243A21" w:rsidP="004E4614">
      <w:pPr>
        <w:pBdr>
          <w:top w:val="nil"/>
          <w:left w:val="nil"/>
          <w:bottom w:val="nil"/>
          <w:right w:val="nil"/>
          <w:between w:val="nil"/>
        </w:pBdr>
      </w:pPr>
      <w:r>
        <w:t>Finalna evaluacija se fokusirati prevashodno na indikatore učinka, u skladu sa metodologijom koja je sadržana u Tabeli indika</w:t>
      </w:r>
      <w:r w:rsidR="004E4614">
        <w:t>tora učinka.</w:t>
      </w:r>
    </w:p>
    <w:p w14:paraId="6E0D9632" w14:textId="77777777" w:rsidR="000A5977" w:rsidRDefault="000A5977" w:rsidP="004E4614">
      <w:pPr>
        <w:pBdr>
          <w:top w:val="nil"/>
          <w:left w:val="nil"/>
          <w:bottom w:val="nil"/>
          <w:right w:val="nil"/>
          <w:between w:val="nil"/>
        </w:pBdr>
      </w:pPr>
    </w:p>
    <w:p w14:paraId="1A47F64D" w14:textId="77777777" w:rsidR="000A5977" w:rsidRDefault="000A5977" w:rsidP="004E4614">
      <w:pPr>
        <w:pBdr>
          <w:top w:val="nil"/>
          <w:left w:val="nil"/>
          <w:bottom w:val="nil"/>
          <w:right w:val="nil"/>
          <w:between w:val="nil"/>
        </w:pBdr>
      </w:pPr>
    </w:p>
    <w:p w14:paraId="55C09E4B" w14:textId="77777777" w:rsidR="000A5977" w:rsidRDefault="000A5977" w:rsidP="004E4614">
      <w:pPr>
        <w:pBdr>
          <w:top w:val="nil"/>
          <w:left w:val="nil"/>
          <w:bottom w:val="nil"/>
          <w:right w:val="nil"/>
          <w:between w:val="nil"/>
        </w:pBdr>
      </w:pPr>
    </w:p>
    <w:p w14:paraId="192A3F23" w14:textId="77777777" w:rsidR="004E4614" w:rsidRDefault="004E4614" w:rsidP="004E4614">
      <w:pPr>
        <w:pBdr>
          <w:top w:val="nil"/>
          <w:left w:val="nil"/>
          <w:bottom w:val="nil"/>
          <w:right w:val="nil"/>
          <w:between w:val="nil"/>
        </w:pBdr>
      </w:pPr>
    </w:p>
    <w:p w14:paraId="44929199" w14:textId="523AB1B3" w:rsidR="00011982" w:rsidRPr="000A5977" w:rsidRDefault="00011982" w:rsidP="004E4614">
      <w:pPr>
        <w:pStyle w:val="Heading2"/>
        <w:rPr>
          <w:b/>
          <w:lang w:val="bs-Latn-BA"/>
        </w:rPr>
      </w:pPr>
      <w:bookmarkStart w:id="62" w:name="_Toc140567072"/>
      <w:r w:rsidRPr="000A5977">
        <w:rPr>
          <w:b/>
          <w:lang w:val="bs-Latn-BA"/>
        </w:rPr>
        <w:t>TABELA</w:t>
      </w:r>
      <w:r w:rsidR="00D140CC" w:rsidRPr="000A5977">
        <w:rPr>
          <w:b/>
          <w:lang w:val="bs-Latn-BA"/>
        </w:rPr>
        <w:t>: STRATEGIJSKI</w:t>
      </w:r>
      <w:r w:rsidRPr="000A5977">
        <w:rPr>
          <w:b/>
          <w:lang w:val="bs-Latn-BA"/>
        </w:rPr>
        <w:t xml:space="preserve"> </w:t>
      </w:r>
      <w:r w:rsidR="00484051" w:rsidRPr="000A5977">
        <w:rPr>
          <w:b/>
          <w:lang w:val="bs-Latn-BA"/>
        </w:rPr>
        <w:t>I O</w:t>
      </w:r>
      <w:r w:rsidRPr="000A5977">
        <w:rPr>
          <w:b/>
          <w:lang w:val="bs-Latn-BA"/>
        </w:rPr>
        <w:t>PERATIVNI CILJEVI SA INDIKATORIMA:</w:t>
      </w:r>
      <w:bookmarkEnd w:id="62"/>
    </w:p>
    <w:p w14:paraId="401EA611" w14:textId="77777777" w:rsidR="00011982" w:rsidRDefault="00011982" w:rsidP="00011982">
      <w:pPr>
        <w:rPr>
          <w:rFonts w:asciiTheme="minorHAnsi" w:hAnsiTheme="minorHAnsi"/>
          <w:sz w:val="22"/>
          <w:szCs w:val="22"/>
          <w:lang w:val="bs-Latn-BA"/>
        </w:rPr>
      </w:pPr>
    </w:p>
    <w:tbl>
      <w:tblPr>
        <w:tblW w:w="9015" w:type="dxa"/>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ayout w:type="fixed"/>
        <w:tblLook w:val="0400" w:firstRow="0" w:lastRow="0" w:firstColumn="0" w:lastColumn="0" w:noHBand="0" w:noVBand="1"/>
      </w:tblPr>
      <w:tblGrid>
        <w:gridCol w:w="1974"/>
        <w:gridCol w:w="1170"/>
        <w:gridCol w:w="1800"/>
        <w:gridCol w:w="1890"/>
        <w:gridCol w:w="2181"/>
      </w:tblGrid>
      <w:tr w:rsidR="00011982" w14:paraId="030076D0" w14:textId="77777777" w:rsidTr="00011982">
        <w:tc>
          <w:tcPr>
            <w:tcW w:w="9015" w:type="dxa"/>
            <w:gridSpan w:val="5"/>
            <w:tcBorders>
              <w:top w:val="single" w:sz="4" w:space="0" w:color="767171"/>
              <w:left w:val="single" w:sz="4" w:space="0" w:color="767171"/>
              <w:bottom w:val="single" w:sz="4" w:space="0" w:color="767171"/>
              <w:right w:val="single" w:sz="4" w:space="0" w:color="767171"/>
            </w:tcBorders>
            <w:shd w:val="clear" w:color="auto" w:fill="AEAAAA"/>
            <w:hideMark/>
          </w:tcPr>
          <w:p w14:paraId="45E87C97" w14:textId="77777777" w:rsidR="00011982" w:rsidRDefault="00011982">
            <w:pPr>
              <w:spacing w:after="200" w:line="276" w:lineRule="auto"/>
              <w:rPr>
                <w:b/>
              </w:rPr>
            </w:pPr>
            <w:r>
              <w:rPr>
                <w:b/>
              </w:rPr>
              <w:t>Strategijski cilj: Snažna podrška građana/ki pristupanju Crne Gore EU</w:t>
            </w:r>
          </w:p>
        </w:tc>
      </w:tr>
      <w:tr w:rsidR="00011982" w14:paraId="4A9B9982" w14:textId="77777777" w:rsidTr="00E86532">
        <w:trPr>
          <w:trHeight w:val="2420"/>
        </w:trPr>
        <w:tc>
          <w:tcPr>
            <w:tcW w:w="1974" w:type="dxa"/>
            <w:tcBorders>
              <w:top w:val="single" w:sz="4" w:space="0" w:color="767171"/>
              <w:left w:val="single" w:sz="4" w:space="0" w:color="767171"/>
              <w:bottom w:val="single" w:sz="4" w:space="0" w:color="767171"/>
              <w:right w:val="single" w:sz="4" w:space="0" w:color="767171"/>
            </w:tcBorders>
            <w:shd w:val="clear" w:color="auto" w:fill="E7E6E6"/>
            <w:hideMark/>
          </w:tcPr>
          <w:p w14:paraId="6FEE9917" w14:textId="1A116D86" w:rsidR="00011982" w:rsidRDefault="00E077B5" w:rsidP="00E077B5">
            <w:pPr>
              <w:spacing w:after="200" w:line="276" w:lineRule="auto"/>
            </w:pPr>
            <w:r>
              <w:t>Indikatori uticaja</w:t>
            </w:r>
          </w:p>
        </w:tc>
        <w:tc>
          <w:tcPr>
            <w:tcW w:w="1170" w:type="dxa"/>
            <w:tcBorders>
              <w:top w:val="single" w:sz="4" w:space="0" w:color="767171"/>
              <w:left w:val="single" w:sz="4" w:space="0" w:color="767171"/>
              <w:bottom w:val="single" w:sz="4" w:space="0" w:color="767171"/>
              <w:right w:val="single" w:sz="4" w:space="0" w:color="767171"/>
            </w:tcBorders>
            <w:shd w:val="clear" w:color="auto" w:fill="E7E6E6"/>
            <w:hideMark/>
          </w:tcPr>
          <w:p w14:paraId="2F740217" w14:textId="77777777" w:rsidR="00011982" w:rsidRDefault="00011982">
            <w:pPr>
              <w:spacing w:after="200" w:line="276" w:lineRule="auto"/>
            </w:pPr>
            <w:r>
              <w:t>Polazne vrijednosti</w:t>
            </w:r>
          </w:p>
        </w:tc>
        <w:tc>
          <w:tcPr>
            <w:tcW w:w="1800" w:type="dxa"/>
            <w:tcBorders>
              <w:top w:val="single" w:sz="4" w:space="0" w:color="767171"/>
              <w:left w:val="single" w:sz="4" w:space="0" w:color="767171"/>
              <w:bottom w:val="single" w:sz="4" w:space="0" w:color="767171"/>
              <w:right w:val="single" w:sz="4" w:space="0" w:color="767171"/>
            </w:tcBorders>
            <w:shd w:val="clear" w:color="auto" w:fill="E7E6E6"/>
            <w:hideMark/>
          </w:tcPr>
          <w:p w14:paraId="1080F411" w14:textId="036B4034" w:rsidR="00011982" w:rsidRPr="00A81026" w:rsidRDefault="00E86532">
            <w:pPr>
              <w:widowControl w:val="0"/>
              <w:spacing w:after="200" w:line="276" w:lineRule="auto"/>
              <w:ind w:right="17"/>
              <w:rPr>
                <w:color w:val="000000" w:themeColor="text1"/>
              </w:rPr>
            </w:pPr>
            <w:r w:rsidRPr="00A81026">
              <w:rPr>
                <w:color w:val="000000" w:themeColor="text1"/>
              </w:rPr>
              <w:t>Vrijednost na kraju druge godine sprovođenja strateškog dokumenta</w:t>
            </w:r>
          </w:p>
        </w:tc>
        <w:tc>
          <w:tcPr>
            <w:tcW w:w="1890" w:type="dxa"/>
            <w:tcBorders>
              <w:top w:val="single" w:sz="4" w:space="0" w:color="767171"/>
              <w:left w:val="single" w:sz="4" w:space="0" w:color="767171"/>
              <w:bottom w:val="single" w:sz="4" w:space="0" w:color="767171"/>
              <w:right w:val="single" w:sz="4" w:space="0" w:color="767171"/>
            </w:tcBorders>
            <w:shd w:val="clear" w:color="auto" w:fill="E7E6E6"/>
            <w:hideMark/>
          </w:tcPr>
          <w:p w14:paraId="3E1FDD22" w14:textId="04401FDF" w:rsidR="00011982" w:rsidRPr="00A81026" w:rsidRDefault="00E86532">
            <w:pPr>
              <w:widowControl w:val="0"/>
              <w:spacing w:after="200" w:line="276" w:lineRule="auto"/>
              <w:ind w:right="17"/>
              <w:rPr>
                <w:color w:val="000000" w:themeColor="text1"/>
              </w:rPr>
            </w:pPr>
            <w:r w:rsidRPr="00A81026">
              <w:rPr>
                <w:color w:val="000000" w:themeColor="text1"/>
              </w:rPr>
              <w:t>Vrijednost na kraju posljednje godine sprovođenja strateškog dokumenta</w:t>
            </w:r>
          </w:p>
        </w:tc>
        <w:tc>
          <w:tcPr>
            <w:tcW w:w="2181" w:type="dxa"/>
            <w:tcBorders>
              <w:top w:val="single" w:sz="4" w:space="0" w:color="767171"/>
              <w:left w:val="single" w:sz="4" w:space="0" w:color="767171"/>
              <w:bottom w:val="single" w:sz="4" w:space="0" w:color="767171"/>
              <w:right w:val="single" w:sz="4" w:space="0" w:color="767171"/>
            </w:tcBorders>
            <w:shd w:val="clear" w:color="auto" w:fill="E7E6E6"/>
            <w:hideMark/>
          </w:tcPr>
          <w:p w14:paraId="67733A97" w14:textId="77777777" w:rsidR="00011982" w:rsidRDefault="00011982">
            <w:pPr>
              <w:spacing w:after="200" w:line="276" w:lineRule="auto"/>
            </w:pPr>
            <w:r>
              <w:t>Način mjerenja</w:t>
            </w:r>
          </w:p>
        </w:tc>
      </w:tr>
      <w:tr w:rsidR="00326025" w14:paraId="5110DD5E" w14:textId="77777777" w:rsidTr="00011982">
        <w:tc>
          <w:tcPr>
            <w:tcW w:w="1974" w:type="dxa"/>
            <w:tcBorders>
              <w:top w:val="single" w:sz="4" w:space="0" w:color="767171"/>
              <w:left w:val="single" w:sz="4" w:space="0" w:color="767171"/>
              <w:bottom w:val="single" w:sz="4" w:space="0" w:color="767171"/>
              <w:right w:val="single" w:sz="4" w:space="0" w:color="767171"/>
            </w:tcBorders>
            <w:shd w:val="clear" w:color="auto" w:fill="E7E6E6"/>
          </w:tcPr>
          <w:p w14:paraId="387ECC65" w14:textId="134811F3" w:rsidR="00326025" w:rsidRDefault="00326025" w:rsidP="00326025">
            <w:pPr>
              <w:spacing w:after="200" w:line="276" w:lineRule="auto"/>
            </w:pPr>
            <w:r>
              <w:t>Procenat podrške građan</w:t>
            </w:r>
            <w:r w:rsidRPr="00326025">
              <w:t>a</w:t>
            </w:r>
            <w:r>
              <w:t>/ki članstvu CG u EU</w:t>
            </w:r>
          </w:p>
        </w:tc>
        <w:tc>
          <w:tcPr>
            <w:tcW w:w="1170" w:type="dxa"/>
            <w:tcBorders>
              <w:top w:val="single" w:sz="4" w:space="0" w:color="767171"/>
              <w:left w:val="single" w:sz="4" w:space="0" w:color="767171"/>
              <w:bottom w:val="single" w:sz="4" w:space="0" w:color="767171"/>
              <w:right w:val="single" w:sz="4" w:space="0" w:color="767171"/>
            </w:tcBorders>
            <w:shd w:val="clear" w:color="auto" w:fill="E7E6E6"/>
          </w:tcPr>
          <w:p w14:paraId="7374202C" w14:textId="599778C3" w:rsidR="00326025" w:rsidRDefault="00326025">
            <w:pPr>
              <w:spacing w:after="200" w:line="276" w:lineRule="auto"/>
            </w:pPr>
            <w:r>
              <w:t>77,8%</w:t>
            </w:r>
          </w:p>
        </w:tc>
        <w:tc>
          <w:tcPr>
            <w:tcW w:w="1800" w:type="dxa"/>
            <w:tcBorders>
              <w:top w:val="single" w:sz="4" w:space="0" w:color="767171"/>
              <w:left w:val="single" w:sz="4" w:space="0" w:color="767171"/>
              <w:bottom w:val="single" w:sz="4" w:space="0" w:color="767171"/>
              <w:right w:val="single" w:sz="4" w:space="0" w:color="767171"/>
            </w:tcBorders>
            <w:shd w:val="clear" w:color="auto" w:fill="E7E6E6"/>
          </w:tcPr>
          <w:p w14:paraId="49031DE3" w14:textId="39999D5A" w:rsidR="00326025" w:rsidRPr="00A81026" w:rsidRDefault="00E86532">
            <w:pPr>
              <w:widowControl w:val="0"/>
              <w:spacing w:after="200" w:line="276" w:lineRule="auto"/>
              <w:ind w:right="17"/>
              <w:rPr>
                <w:color w:val="000000" w:themeColor="text1"/>
              </w:rPr>
            </w:pPr>
            <w:r w:rsidRPr="00A81026">
              <w:rPr>
                <w:color w:val="000000" w:themeColor="text1"/>
              </w:rPr>
              <w:t>&gt;65%</w:t>
            </w:r>
          </w:p>
        </w:tc>
        <w:tc>
          <w:tcPr>
            <w:tcW w:w="1890" w:type="dxa"/>
            <w:tcBorders>
              <w:top w:val="single" w:sz="4" w:space="0" w:color="767171"/>
              <w:left w:val="single" w:sz="4" w:space="0" w:color="767171"/>
              <w:bottom w:val="single" w:sz="4" w:space="0" w:color="767171"/>
              <w:right w:val="single" w:sz="4" w:space="0" w:color="767171"/>
            </w:tcBorders>
            <w:shd w:val="clear" w:color="auto" w:fill="E7E6E6"/>
          </w:tcPr>
          <w:p w14:paraId="179E6881" w14:textId="498AED2B" w:rsidR="00326025" w:rsidRPr="00A81026" w:rsidRDefault="00E86532">
            <w:pPr>
              <w:widowControl w:val="0"/>
              <w:spacing w:after="200" w:line="276" w:lineRule="auto"/>
              <w:ind w:right="17"/>
              <w:rPr>
                <w:color w:val="000000" w:themeColor="text1"/>
              </w:rPr>
            </w:pPr>
            <w:r w:rsidRPr="00A81026">
              <w:rPr>
                <w:color w:val="000000" w:themeColor="text1"/>
              </w:rPr>
              <w:t>&gt;70%</w:t>
            </w:r>
          </w:p>
        </w:tc>
        <w:tc>
          <w:tcPr>
            <w:tcW w:w="2181" w:type="dxa"/>
            <w:tcBorders>
              <w:top w:val="single" w:sz="4" w:space="0" w:color="767171"/>
              <w:left w:val="single" w:sz="4" w:space="0" w:color="767171"/>
              <w:bottom w:val="single" w:sz="4" w:space="0" w:color="767171"/>
              <w:right w:val="single" w:sz="4" w:space="0" w:color="767171"/>
            </w:tcBorders>
            <w:shd w:val="clear" w:color="auto" w:fill="E7E6E6"/>
          </w:tcPr>
          <w:p w14:paraId="331BEAF1" w14:textId="03CB4EBF" w:rsidR="00326025" w:rsidRDefault="00326025">
            <w:pPr>
              <w:spacing w:after="200" w:line="276" w:lineRule="auto"/>
            </w:pPr>
            <w:r w:rsidRPr="00326025">
              <w:t>Istraživanje javnog mnjenja</w:t>
            </w:r>
            <w:r w:rsidR="00E86532">
              <w:t xml:space="preserve"> </w:t>
            </w:r>
            <w:r w:rsidRPr="00326025">
              <w:t>- Agencija De Facto Consultancy</w:t>
            </w:r>
          </w:p>
        </w:tc>
      </w:tr>
      <w:tr w:rsidR="00326025" w14:paraId="7237CC56" w14:textId="77777777" w:rsidTr="00326025">
        <w:tc>
          <w:tcPr>
            <w:tcW w:w="9015" w:type="dxa"/>
            <w:gridSpan w:val="5"/>
            <w:tcBorders>
              <w:top w:val="single" w:sz="4" w:space="0" w:color="767171"/>
              <w:left w:val="single" w:sz="4" w:space="0" w:color="767171"/>
              <w:bottom w:val="single" w:sz="4" w:space="0" w:color="767171"/>
              <w:right w:val="single" w:sz="4" w:space="0" w:color="767171"/>
            </w:tcBorders>
            <w:shd w:val="clear" w:color="auto" w:fill="BFBFBF" w:themeFill="background1" w:themeFillShade="BF"/>
          </w:tcPr>
          <w:p w14:paraId="42207510" w14:textId="0AA49C4E" w:rsidR="00326025" w:rsidRPr="00E86532" w:rsidRDefault="00326025">
            <w:pPr>
              <w:spacing w:after="200" w:line="276" w:lineRule="auto"/>
              <w:rPr>
                <w:color w:val="000000" w:themeColor="text1"/>
                <w:highlight w:val="green"/>
              </w:rPr>
            </w:pPr>
            <w:r w:rsidRPr="00E86532">
              <w:rPr>
                <w:b/>
                <w:color w:val="000000" w:themeColor="text1"/>
              </w:rPr>
              <w:t>Operativni cilj 1:  Povećati institucionalnu efikasnost u komuniciranju procesa evropske integracije</w:t>
            </w:r>
          </w:p>
        </w:tc>
      </w:tr>
      <w:tr w:rsidR="00011982" w14:paraId="1E962CD5" w14:textId="77777777" w:rsidTr="00011982">
        <w:tc>
          <w:tcPr>
            <w:tcW w:w="1974" w:type="dxa"/>
            <w:tcBorders>
              <w:top w:val="single" w:sz="4" w:space="0" w:color="767171"/>
              <w:left w:val="single" w:sz="4" w:space="0" w:color="767171"/>
              <w:bottom w:val="single" w:sz="4" w:space="0" w:color="767171"/>
              <w:right w:val="single" w:sz="4" w:space="0" w:color="767171"/>
            </w:tcBorders>
            <w:hideMark/>
          </w:tcPr>
          <w:p w14:paraId="4E5CE438" w14:textId="77777777" w:rsidR="00011982" w:rsidRDefault="00011982">
            <w:pPr>
              <w:spacing w:after="200" w:line="276" w:lineRule="auto"/>
            </w:pPr>
            <w:r>
              <w:t>Procent građana/ki koje zanimaju informacije o pristupanju Crne Gore EU</w:t>
            </w:r>
          </w:p>
        </w:tc>
        <w:tc>
          <w:tcPr>
            <w:tcW w:w="1170" w:type="dxa"/>
            <w:tcBorders>
              <w:top w:val="single" w:sz="4" w:space="0" w:color="767171"/>
              <w:left w:val="single" w:sz="4" w:space="0" w:color="767171"/>
              <w:bottom w:val="single" w:sz="4" w:space="0" w:color="767171"/>
              <w:right w:val="single" w:sz="4" w:space="0" w:color="767171"/>
            </w:tcBorders>
          </w:tcPr>
          <w:p w14:paraId="5CAC29EF" w14:textId="77777777" w:rsidR="00011982" w:rsidRDefault="00011982">
            <w:r>
              <w:rPr>
                <w:b/>
              </w:rPr>
              <w:t>84,6</w:t>
            </w:r>
            <w:r>
              <w:t xml:space="preserve"> % zainteresovanih</w:t>
            </w:r>
          </w:p>
          <w:p w14:paraId="53D19DC0" w14:textId="77777777" w:rsidR="00011982" w:rsidRDefault="00011982"/>
          <w:p w14:paraId="2B9DA61E" w14:textId="77777777" w:rsidR="00011982" w:rsidRDefault="00011982">
            <w:r>
              <w:rPr>
                <w:b/>
              </w:rPr>
              <w:t>15,3</w:t>
            </w:r>
            <w:r>
              <w:t xml:space="preserve"> nije zainteresovano za informacije </w:t>
            </w:r>
          </w:p>
          <w:p w14:paraId="59FA9ECB" w14:textId="77777777" w:rsidR="00011982" w:rsidRDefault="00011982">
            <w:pPr>
              <w:spacing w:after="200" w:line="276" w:lineRule="auto"/>
            </w:pPr>
            <w:r>
              <w:rPr>
                <w:sz w:val="18"/>
                <w:szCs w:val="18"/>
              </w:rPr>
              <w:t>(rezultati istraživanja iz novembra 2022. godine)</w:t>
            </w:r>
          </w:p>
        </w:tc>
        <w:tc>
          <w:tcPr>
            <w:tcW w:w="1800" w:type="dxa"/>
            <w:tcBorders>
              <w:top w:val="single" w:sz="4" w:space="0" w:color="767171"/>
              <w:left w:val="single" w:sz="4" w:space="0" w:color="767171"/>
              <w:bottom w:val="single" w:sz="4" w:space="0" w:color="767171"/>
              <w:right w:val="single" w:sz="4" w:space="0" w:color="767171"/>
            </w:tcBorders>
            <w:hideMark/>
          </w:tcPr>
          <w:p w14:paraId="7EAAC009" w14:textId="652F228F" w:rsidR="00011982" w:rsidRPr="00A81026" w:rsidRDefault="00E86532">
            <w:pPr>
              <w:spacing w:after="200" w:line="276" w:lineRule="auto"/>
              <w:rPr>
                <w:b/>
                <w:color w:val="000000" w:themeColor="text1"/>
              </w:rPr>
            </w:pPr>
            <w:r w:rsidRPr="00A81026">
              <w:rPr>
                <w:b/>
                <w:color w:val="000000" w:themeColor="text1"/>
              </w:rPr>
              <w:t>&gt;75%</w:t>
            </w:r>
          </w:p>
        </w:tc>
        <w:tc>
          <w:tcPr>
            <w:tcW w:w="1890" w:type="dxa"/>
            <w:tcBorders>
              <w:top w:val="single" w:sz="4" w:space="0" w:color="767171"/>
              <w:left w:val="single" w:sz="4" w:space="0" w:color="767171"/>
              <w:bottom w:val="single" w:sz="4" w:space="0" w:color="767171"/>
              <w:right w:val="single" w:sz="4" w:space="0" w:color="767171"/>
            </w:tcBorders>
            <w:hideMark/>
          </w:tcPr>
          <w:p w14:paraId="779627DB" w14:textId="5C4DA934" w:rsidR="00011982" w:rsidRPr="00A81026" w:rsidRDefault="00E86532">
            <w:pPr>
              <w:spacing w:after="200" w:line="276" w:lineRule="auto"/>
              <w:rPr>
                <w:b/>
                <w:color w:val="000000" w:themeColor="text1"/>
              </w:rPr>
            </w:pPr>
            <w:r w:rsidRPr="00A81026">
              <w:rPr>
                <w:b/>
                <w:color w:val="000000" w:themeColor="text1"/>
              </w:rPr>
              <w:t>&gt;80%</w:t>
            </w:r>
          </w:p>
        </w:tc>
        <w:tc>
          <w:tcPr>
            <w:tcW w:w="2181" w:type="dxa"/>
            <w:tcBorders>
              <w:top w:val="single" w:sz="4" w:space="0" w:color="767171"/>
              <w:left w:val="single" w:sz="4" w:space="0" w:color="767171"/>
              <w:bottom w:val="single" w:sz="4" w:space="0" w:color="767171"/>
              <w:right w:val="single" w:sz="4" w:space="0" w:color="767171"/>
            </w:tcBorders>
            <w:hideMark/>
          </w:tcPr>
          <w:p w14:paraId="5683EFDF" w14:textId="29989801" w:rsidR="00011982" w:rsidRDefault="00011982">
            <w:pPr>
              <w:spacing w:after="200" w:line="276" w:lineRule="auto"/>
            </w:pPr>
            <w:r>
              <w:t>Istraživanje javnog mnjenja</w:t>
            </w:r>
            <w:r w:rsidR="00E86532">
              <w:t xml:space="preserve"> </w:t>
            </w:r>
            <w:r>
              <w:t>- Agencija De Facto Consultancy</w:t>
            </w:r>
          </w:p>
        </w:tc>
      </w:tr>
      <w:tr w:rsidR="00011982" w14:paraId="1245B903" w14:textId="77777777" w:rsidTr="00011982">
        <w:tc>
          <w:tcPr>
            <w:tcW w:w="1974" w:type="dxa"/>
            <w:tcBorders>
              <w:top w:val="single" w:sz="4" w:space="0" w:color="767171"/>
              <w:left w:val="single" w:sz="4" w:space="0" w:color="767171"/>
              <w:bottom w:val="single" w:sz="4" w:space="0" w:color="767171"/>
              <w:right w:val="single" w:sz="4" w:space="0" w:color="767171"/>
            </w:tcBorders>
            <w:hideMark/>
          </w:tcPr>
          <w:p w14:paraId="0242B3A9" w14:textId="77777777" w:rsidR="00011982" w:rsidRDefault="00011982">
            <w:pPr>
              <w:spacing w:after="200" w:line="276" w:lineRule="auto"/>
            </w:pPr>
            <w:r>
              <w:t>Procent građana koji sebe smatraju potpuno ili uglavnom informisanim o EU/procesu integracija</w:t>
            </w:r>
          </w:p>
        </w:tc>
        <w:tc>
          <w:tcPr>
            <w:tcW w:w="1170" w:type="dxa"/>
            <w:tcBorders>
              <w:top w:val="single" w:sz="4" w:space="0" w:color="767171"/>
              <w:left w:val="single" w:sz="4" w:space="0" w:color="767171"/>
              <w:bottom w:val="single" w:sz="4" w:space="0" w:color="767171"/>
              <w:right w:val="single" w:sz="4" w:space="0" w:color="767171"/>
            </w:tcBorders>
            <w:hideMark/>
          </w:tcPr>
          <w:p w14:paraId="53F30A6C" w14:textId="77777777" w:rsidR="00011982" w:rsidRDefault="00011982">
            <w:r>
              <w:t>52%, odnosno 51,2%,  smatraju da su informisani veoma dobro I dobro</w:t>
            </w:r>
          </w:p>
          <w:p w14:paraId="2DE3BBA3" w14:textId="77777777" w:rsidR="00011982" w:rsidRDefault="00011982">
            <w:pPr>
              <w:spacing w:after="200" w:line="276" w:lineRule="auto"/>
              <w:rPr>
                <w:sz w:val="18"/>
                <w:szCs w:val="18"/>
              </w:rPr>
            </w:pPr>
            <w:r>
              <w:rPr>
                <w:sz w:val="18"/>
                <w:szCs w:val="18"/>
              </w:rPr>
              <w:t>(rezultati istraživanja iz novembra 2022. godine)</w:t>
            </w:r>
          </w:p>
        </w:tc>
        <w:tc>
          <w:tcPr>
            <w:tcW w:w="1800" w:type="dxa"/>
            <w:tcBorders>
              <w:top w:val="single" w:sz="4" w:space="0" w:color="767171"/>
              <w:left w:val="single" w:sz="4" w:space="0" w:color="767171"/>
              <w:bottom w:val="single" w:sz="4" w:space="0" w:color="767171"/>
              <w:right w:val="single" w:sz="4" w:space="0" w:color="767171"/>
            </w:tcBorders>
            <w:hideMark/>
          </w:tcPr>
          <w:p w14:paraId="14A22400" w14:textId="77777777" w:rsidR="00011982" w:rsidRPr="00A81026" w:rsidRDefault="00011982">
            <w:pPr>
              <w:spacing w:after="200" w:line="276" w:lineRule="auto"/>
              <w:rPr>
                <w:b/>
              </w:rPr>
            </w:pPr>
            <w:r w:rsidRPr="00A81026">
              <w:rPr>
                <w:b/>
              </w:rPr>
              <w:t>55%</w:t>
            </w:r>
          </w:p>
        </w:tc>
        <w:tc>
          <w:tcPr>
            <w:tcW w:w="1890" w:type="dxa"/>
            <w:tcBorders>
              <w:top w:val="single" w:sz="4" w:space="0" w:color="767171"/>
              <w:left w:val="single" w:sz="4" w:space="0" w:color="767171"/>
              <w:bottom w:val="single" w:sz="4" w:space="0" w:color="767171"/>
              <w:right w:val="single" w:sz="4" w:space="0" w:color="767171"/>
            </w:tcBorders>
            <w:hideMark/>
          </w:tcPr>
          <w:p w14:paraId="2B4BC7ED" w14:textId="4A6783D3" w:rsidR="00011982" w:rsidRPr="00A81026" w:rsidRDefault="00A25A50">
            <w:pPr>
              <w:spacing w:after="200" w:line="276" w:lineRule="auto"/>
              <w:rPr>
                <w:b/>
              </w:rPr>
            </w:pPr>
            <w:r w:rsidRPr="00A81026">
              <w:rPr>
                <w:b/>
              </w:rPr>
              <w:t>55</w:t>
            </w:r>
            <w:r w:rsidR="00011982" w:rsidRPr="00A81026">
              <w:rPr>
                <w:b/>
              </w:rPr>
              <w:t>%</w:t>
            </w:r>
          </w:p>
        </w:tc>
        <w:tc>
          <w:tcPr>
            <w:tcW w:w="2181" w:type="dxa"/>
            <w:tcBorders>
              <w:top w:val="single" w:sz="4" w:space="0" w:color="767171"/>
              <w:left w:val="single" w:sz="4" w:space="0" w:color="767171"/>
              <w:bottom w:val="single" w:sz="4" w:space="0" w:color="767171"/>
              <w:right w:val="single" w:sz="4" w:space="0" w:color="767171"/>
            </w:tcBorders>
            <w:hideMark/>
          </w:tcPr>
          <w:p w14:paraId="1541A438" w14:textId="5E0C350E" w:rsidR="00011982" w:rsidRDefault="00011982">
            <w:pPr>
              <w:spacing w:after="200" w:line="276" w:lineRule="auto"/>
            </w:pPr>
            <w:r>
              <w:t>Istraživanje javnog mnjenja</w:t>
            </w:r>
            <w:r w:rsidR="00E86532">
              <w:t xml:space="preserve"> </w:t>
            </w:r>
            <w:r>
              <w:t>- Agencija De Facto Consultancy</w:t>
            </w:r>
          </w:p>
        </w:tc>
      </w:tr>
      <w:tr w:rsidR="00011982" w14:paraId="1EB4FFEA" w14:textId="77777777" w:rsidTr="00011982">
        <w:tc>
          <w:tcPr>
            <w:tcW w:w="1974" w:type="dxa"/>
            <w:tcBorders>
              <w:top w:val="single" w:sz="4" w:space="0" w:color="767171"/>
              <w:left w:val="single" w:sz="4" w:space="0" w:color="767171"/>
              <w:bottom w:val="single" w:sz="4" w:space="0" w:color="767171"/>
              <w:right w:val="single" w:sz="4" w:space="0" w:color="767171"/>
            </w:tcBorders>
            <w:hideMark/>
          </w:tcPr>
          <w:p w14:paraId="17D75234" w14:textId="77777777" w:rsidR="00011982" w:rsidRDefault="00011982">
            <w:pPr>
              <w:spacing w:after="200" w:line="276" w:lineRule="auto"/>
            </w:pPr>
            <w:r>
              <w:t>Procent građana koji je čuo i tvrdi da zna šta su IPA i EU fondovi</w:t>
            </w:r>
          </w:p>
        </w:tc>
        <w:tc>
          <w:tcPr>
            <w:tcW w:w="1170" w:type="dxa"/>
            <w:tcBorders>
              <w:top w:val="single" w:sz="4" w:space="0" w:color="767171"/>
              <w:left w:val="single" w:sz="4" w:space="0" w:color="767171"/>
              <w:bottom w:val="single" w:sz="4" w:space="0" w:color="767171"/>
              <w:right w:val="single" w:sz="4" w:space="0" w:color="767171"/>
            </w:tcBorders>
          </w:tcPr>
          <w:p w14:paraId="3A794B84" w14:textId="77777777" w:rsidR="00011982" w:rsidRPr="00785C4B" w:rsidRDefault="00011982">
            <w:r w:rsidRPr="00785C4B">
              <w:t>27,7 % - EU fondovi</w:t>
            </w:r>
          </w:p>
          <w:p w14:paraId="5A52CA63" w14:textId="77777777" w:rsidR="00011982" w:rsidRPr="00785C4B" w:rsidRDefault="00011982"/>
          <w:p w14:paraId="352B2416" w14:textId="77777777" w:rsidR="00011982" w:rsidRPr="00785C4B" w:rsidRDefault="00011982">
            <w:pPr>
              <w:spacing w:after="200" w:line="276" w:lineRule="auto"/>
            </w:pPr>
            <w:r w:rsidRPr="00785C4B">
              <w:t>25,1% – IPA</w:t>
            </w:r>
          </w:p>
        </w:tc>
        <w:tc>
          <w:tcPr>
            <w:tcW w:w="1800" w:type="dxa"/>
            <w:tcBorders>
              <w:top w:val="single" w:sz="4" w:space="0" w:color="767171"/>
              <w:left w:val="single" w:sz="4" w:space="0" w:color="767171"/>
              <w:bottom w:val="single" w:sz="4" w:space="0" w:color="767171"/>
              <w:right w:val="single" w:sz="4" w:space="0" w:color="767171"/>
            </w:tcBorders>
            <w:hideMark/>
          </w:tcPr>
          <w:p w14:paraId="53143DF4" w14:textId="77777777" w:rsidR="00011982" w:rsidRPr="00785C4B" w:rsidRDefault="00011982">
            <w:pPr>
              <w:spacing w:after="200" w:line="276" w:lineRule="auto"/>
              <w:rPr>
                <w:b/>
              </w:rPr>
            </w:pPr>
            <w:r w:rsidRPr="00785C4B">
              <w:rPr>
                <w:b/>
              </w:rPr>
              <w:t>30%</w:t>
            </w:r>
          </w:p>
        </w:tc>
        <w:tc>
          <w:tcPr>
            <w:tcW w:w="1890" w:type="dxa"/>
            <w:tcBorders>
              <w:top w:val="single" w:sz="4" w:space="0" w:color="767171"/>
              <w:left w:val="single" w:sz="4" w:space="0" w:color="767171"/>
              <w:bottom w:val="single" w:sz="4" w:space="0" w:color="767171"/>
              <w:right w:val="single" w:sz="4" w:space="0" w:color="767171"/>
            </w:tcBorders>
            <w:hideMark/>
          </w:tcPr>
          <w:p w14:paraId="4A998AF0" w14:textId="2EB500F6" w:rsidR="00011982" w:rsidRPr="00785C4B" w:rsidRDefault="00A25A50">
            <w:pPr>
              <w:spacing w:after="200" w:line="276" w:lineRule="auto"/>
              <w:rPr>
                <w:b/>
              </w:rPr>
            </w:pPr>
            <w:r w:rsidRPr="00785C4B">
              <w:rPr>
                <w:b/>
              </w:rPr>
              <w:t>35</w:t>
            </w:r>
            <w:r w:rsidR="00011982" w:rsidRPr="00785C4B">
              <w:rPr>
                <w:b/>
              </w:rPr>
              <w:t>%</w:t>
            </w:r>
          </w:p>
        </w:tc>
        <w:tc>
          <w:tcPr>
            <w:tcW w:w="2181" w:type="dxa"/>
            <w:tcBorders>
              <w:top w:val="single" w:sz="4" w:space="0" w:color="767171"/>
              <w:left w:val="single" w:sz="4" w:space="0" w:color="767171"/>
              <w:bottom w:val="single" w:sz="4" w:space="0" w:color="767171"/>
              <w:right w:val="single" w:sz="4" w:space="0" w:color="767171"/>
            </w:tcBorders>
            <w:hideMark/>
          </w:tcPr>
          <w:p w14:paraId="7F73F618" w14:textId="155C39FF" w:rsidR="00011982" w:rsidRDefault="00011982">
            <w:pPr>
              <w:spacing w:after="200" w:line="276" w:lineRule="auto"/>
            </w:pPr>
            <w:r>
              <w:t>Istraživanje javnog mnjenja</w:t>
            </w:r>
            <w:r w:rsidR="00E86532">
              <w:t xml:space="preserve"> </w:t>
            </w:r>
            <w:r>
              <w:t>- Agencija De Facto Consultancy</w:t>
            </w:r>
          </w:p>
        </w:tc>
      </w:tr>
      <w:tr w:rsidR="00011982" w14:paraId="06DB3ABD" w14:textId="77777777" w:rsidTr="00011982">
        <w:tc>
          <w:tcPr>
            <w:tcW w:w="1974" w:type="dxa"/>
            <w:tcBorders>
              <w:top w:val="single" w:sz="4" w:space="0" w:color="767171"/>
              <w:left w:val="single" w:sz="4" w:space="0" w:color="767171"/>
              <w:bottom w:val="single" w:sz="4" w:space="0" w:color="767171"/>
              <w:right w:val="single" w:sz="4" w:space="0" w:color="767171"/>
            </w:tcBorders>
            <w:hideMark/>
          </w:tcPr>
          <w:p w14:paraId="20CA7DF7" w14:textId="77777777" w:rsidR="00011982" w:rsidRDefault="00011982">
            <w:pPr>
              <w:spacing w:after="200" w:line="276" w:lineRule="auto"/>
            </w:pPr>
            <w:r>
              <w:t>Procent građana koji percipira EU kao najvećeg donatora u Crnoj Gori</w:t>
            </w:r>
          </w:p>
        </w:tc>
        <w:tc>
          <w:tcPr>
            <w:tcW w:w="1170" w:type="dxa"/>
            <w:tcBorders>
              <w:top w:val="single" w:sz="4" w:space="0" w:color="767171"/>
              <w:left w:val="single" w:sz="4" w:space="0" w:color="767171"/>
              <w:bottom w:val="single" w:sz="4" w:space="0" w:color="767171"/>
              <w:right w:val="single" w:sz="4" w:space="0" w:color="767171"/>
            </w:tcBorders>
            <w:hideMark/>
          </w:tcPr>
          <w:p w14:paraId="134F2AED" w14:textId="77777777" w:rsidR="00011982" w:rsidRPr="00785C4B" w:rsidRDefault="00011982">
            <w:pPr>
              <w:spacing w:after="200" w:line="276" w:lineRule="auto"/>
              <w:rPr>
                <w:b/>
              </w:rPr>
            </w:pPr>
            <w:r w:rsidRPr="00785C4B">
              <w:rPr>
                <w:b/>
              </w:rPr>
              <w:t>54,7%</w:t>
            </w:r>
          </w:p>
        </w:tc>
        <w:tc>
          <w:tcPr>
            <w:tcW w:w="1800" w:type="dxa"/>
            <w:tcBorders>
              <w:top w:val="single" w:sz="4" w:space="0" w:color="767171"/>
              <w:left w:val="single" w:sz="4" w:space="0" w:color="767171"/>
              <w:bottom w:val="single" w:sz="4" w:space="0" w:color="767171"/>
              <w:right w:val="single" w:sz="4" w:space="0" w:color="767171"/>
            </w:tcBorders>
            <w:hideMark/>
          </w:tcPr>
          <w:p w14:paraId="5F2E706E" w14:textId="44C5237C" w:rsidR="00011982" w:rsidRPr="00785C4B" w:rsidRDefault="00A25A50">
            <w:pPr>
              <w:spacing w:after="200" w:line="276" w:lineRule="auto"/>
              <w:rPr>
                <w:b/>
              </w:rPr>
            </w:pPr>
            <w:r w:rsidRPr="00785C4B">
              <w:rPr>
                <w:b/>
              </w:rPr>
              <w:t>55</w:t>
            </w:r>
            <w:r w:rsidR="00011982" w:rsidRPr="00785C4B">
              <w:rPr>
                <w:b/>
              </w:rPr>
              <w:t>%</w:t>
            </w:r>
          </w:p>
        </w:tc>
        <w:tc>
          <w:tcPr>
            <w:tcW w:w="1890" w:type="dxa"/>
            <w:tcBorders>
              <w:top w:val="single" w:sz="4" w:space="0" w:color="767171"/>
              <w:left w:val="single" w:sz="4" w:space="0" w:color="767171"/>
              <w:bottom w:val="single" w:sz="4" w:space="0" w:color="767171"/>
              <w:right w:val="single" w:sz="4" w:space="0" w:color="767171"/>
            </w:tcBorders>
            <w:hideMark/>
          </w:tcPr>
          <w:p w14:paraId="139C1DDB" w14:textId="7E123E0C" w:rsidR="00011982" w:rsidRPr="00785C4B" w:rsidRDefault="00A25A50">
            <w:pPr>
              <w:spacing w:after="200" w:line="276" w:lineRule="auto"/>
              <w:rPr>
                <w:b/>
              </w:rPr>
            </w:pPr>
            <w:r w:rsidRPr="00785C4B">
              <w:rPr>
                <w:b/>
              </w:rPr>
              <w:t>60</w:t>
            </w:r>
            <w:r w:rsidR="00011982" w:rsidRPr="00785C4B">
              <w:rPr>
                <w:b/>
              </w:rPr>
              <w:t>%</w:t>
            </w:r>
          </w:p>
        </w:tc>
        <w:tc>
          <w:tcPr>
            <w:tcW w:w="2181" w:type="dxa"/>
            <w:tcBorders>
              <w:top w:val="single" w:sz="4" w:space="0" w:color="767171"/>
              <w:left w:val="single" w:sz="4" w:space="0" w:color="767171"/>
              <w:bottom w:val="single" w:sz="4" w:space="0" w:color="767171"/>
              <w:right w:val="single" w:sz="4" w:space="0" w:color="767171"/>
            </w:tcBorders>
            <w:hideMark/>
          </w:tcPr>
          <w:p w14:paraId="673211A1" w14:textId="0E29B24C" w:rsidR="00011982" w:rsidRDefault="00011982">
            <w:pPr>
              <w:spacing w:after="200" w:line="276" w:lineRule="auto"/>
            </w:pPr>
            <w:r>
              <w:t>Istraživanje javnog mnjenja</w:t>
            </w:r>
            <w:r w:rsidR="00E86532">
              <w:t xml:space="preserve"> </w:t>
            </w:r>
            <w:r>
              <w:t>- Agencija De Facto Consultancy</w:t>
            </w:r>
          </w:p>
        </w:tc>
      </w:tr>
      <w:tr w:rsidR="00011982" w14:paraId="10D89383" w14:textId="77777777" w:rsidTr="00011982">
        <w:tc>
          <w:tcPr>
            <w:tcW w:w="9015" w:type="dxa"/>
            <w:gridSpan w:val="5"/>
            <w:tcBorders>
              <w:top w:val="single" w:sz="4" w:space="0" w:color="767171"/>
              <w:left w:val="single" w:sz="4" w:space="0" w:color="767171"/>
              <w:bottom w:val="single" w:sz="4" w:space="0" w:color="767171"/>
              <w:right w:val="single" w:sz="4" w:space="0" w:color="767171"/>
            </w:tcBorders>
            <w:shd w:val="clear" w:color="auto" w:fill="D0CECE"/>
            <w:hideMark/>
          </w:tcPr>
          <w:p w14:paraId="236911B2" w14:textId="77777777" w:rsidR="00011982" w:rsidRDefault="00011982">
            <w:pPr>
              <w:spacing w:after="200" w:line="276" w:lineRule="auto"/>
              <w:rPr>
                <w:b/>
              </w:rPr>
            </w:pPr>
            <w:r>
              <w:rPr>
                <w:b/>
              </w:rPr>
              <w:t>Operativni cilj 2: Osnažiti uloga medija u informisanju građana/ki o EU</w:t>
            </w:r>
          </w:p>
        </w:tc>
      </w:tr>
      <w:tr w:rsidR="00E86532" w14:paraId="253DDDE4" w14:textId="77777777" w:rsidTr="00011982">
        <w:tc>
          <w:tcPr>
            <w:tcW w:w="1974" w:type="dxa"/>
            <w:tcBorders>
              <w:top w:val="single" w:sz="4" w:space="0" w:color="767171"/>
              <w:left w:val="single" w:sz="4" w:space="0" w:color="767171"/>
              <w:bottom w:val="single" w:sz="4" w:space="0" w:color="767171"/>
              <w:right w:val="single" w:sz="4" w:space="0" w:color="767171"/>
            </w:tcBorders>
            <w:shd w:val="clear" w:color="auto" w:fill="E7E6E6"/>
            <w:hideMark/>
          </w:tcPr>
          <w:p w14:paraId="5F9FC4C1" w14:textId="77777777" w:rsidR="00E86532" w:rsidRDefault="00E86532" w:rsidP="00E86532">
            <w:pPr>
              <w:spacing w:after="200" w:line="276" w:lineRule="auto"/>
            </w:pPr>
            <w:r>
              <w:t>Indikatori učinka</w:t>
            </w:r>
          </w:p>
        </w:tc>
        <w:tc>
          <w:tcPr>
            <w:tcW w:w="1170" w:type="dxa"/>
            <w:tcBorders>
              <w:top w:val="single" w:sz="4" w:space="0" w:color="767171"/>
              <w:left w:val="single" w:sz="4" w:space="0" w:color="767171"/>
              <w:bottom w:val="single" w:sz="4" w:space="0" w:color="767171"/>
              <w:right w:val="single" w:sz="4" w:space="0" w:color="767171"/>
            </w:tcBorders>
            <w:shd w:val="clear" w:color="auto" w:fill="E7E6E6"/>
            <w:hideMark/>
          </w:tcPr>
          <w:p w14:paraId="0F4C1AD9" w14:textId="77777777" w:rsidR="00E86532" w:rsidRDefault="00E86532" w:rsidP="00E86532">
            <w:pPr>
              <w:spacing w:after="200" w:line="276" w:lineRule="auto"/>
            </w:pPr>
            <w:r>
              <w:t>Polazne vrijednosti</w:t>
            </w:r>
          </w:p>
        </w:tc>
        <w:tc>
          <w:tcPr>
            <w:tcW w:w="1800" w:type="dxa"/>
            <w:tcBorders>
              <w:top w:val="single" w:sz="4" w:space="0" w:color="767171"/>
              <w:left w:val="single" w:sz="4" w:space="0" w:color="767171"/>
              <w:bottom w:val="single" w:sz="4" w:space="0" w:color="767171"/>
              <w:right w:val="single" w:sz="4" w:space="0" w:color="767171"/>
            </w:tcBorders>
            <w:shd w:val="clear" w:color="auto" w:fill="E7E6E6"/>
            <w:hideMark/>
          </w:tcPr>
          <w:p w14:paraId="75AEBE89" w14:textId="153F60E0" w:rsidR="00E86532" w:rsidRPr="00785C4B" w:rsidRDefault="00E86532" w:rsidP="00E86532">
            <w:pPr>
              <w:widowControl w:val="0"/>
              <w:spacing w:after="200" w:line="276" w:lineRule="auto"/>
              <w:ind w:right="17"/>
              <w:rPr>
                <w:color w:val="000000"/>
              </w:rPr>
            </w:pPr>
            <w:r w:rsidRPr="00785C4B">
              <w:rPr>
                <w:color w:val="000000" w:themeColor="text1"/>
              </w:rPr>
              <w:t>Vrijednost na kraju druge godine sprovođenja strateškog dokumenta</w:t>
            </w:r>
          </w:p>
        </w:tc>
        <w:tc>
          <w:tcPr>
            <w:tcW w:w="1890" w:type="dxa"/>
            <w:tcBorders>
              <w:top w:val="single" w:sz="4" w:space="0" w:color="767171"/>
              <w:left w:val="single" w:sz="4" w:space="0" w:color="767171"/>
              <w:bottom w:val="single" w:sz="4" w:space="0" w:color="767171"/>
              <w:right w:val="single" w:sz="4" w:space="0" w:color="767171"/>
            </w:tcBorders>
            <w:shd w:val="clear" w:color="auto" w:fill="E7E6E6"/>
            <w:hideMark/>
          </w:tcPr>
          <w:p w14:paraId="4BD08774" w14:textId="2B135D4B" w:rsidR="00E86532" w:rsidRPr="00785C4B" w:rsidRDefault="00E86532" w:rsidP="00E86532">
            <w:pPr>
              <w:widowControl w:val="0"/>
              <w:spacing w:after="200" w:line="276" w:lineRule="auto"/>
              <w:ind w:right="17"/>
              <w:rPr>
                <w:color w:val="000000"/>
              </w:rPr>
            </w:pPr>
            <w:r w:rsidRPr="00785C4B">
              <w:rPr>
                <w:color w:val="000000" w:themeColor="text1"/>
              </w:rPr>
              <w:t>Vrijednost na kraju posljednje godine sprovođenja strateškog dokumenta</w:t>
            </w:r>
          </w:p>
        </w:tc>
        <w:tc>
          <w:tcPr>
            <w:tcW w:w="2181" w:type="dxa"/>
            <w:tcBorders>
              <w:top w:val="single" w:sz="4" w:space="0" w:color="767171"/>
              <w:left w:val="single" w:sz="4" w:space="0" w:color="767171"/>
              <w:bottom w:val="single" w:sz="4" w:space="0" w:color="767171"/>
              <w:right w:val="single" w:sz="4" w:space="0" w:color="767171"/>
            </w:tcBorders>
            <w:shd w:val="clear" w:color="auto" w:fill="E7E6E6"/>
            <w:hideMark/>
          </w:tcPr>
          <w:p w14:paraId="19E94662" w14:textId="77777777" w:rsidR="00E86532" w:rsidRDefault="00E86532" w:rsidP="00E86532">
            <w:pPr>
              <w:spacing w:after="200" w:line="276" w:lineRule="auto"/>
            </w:pPr>
            <w:r>
              <w:t>Način mjerenja</w:t>
            </w:r>
          </w:p>
        </w:tc>
      </w:tr>
      <w:tr w:rsidR="00A25A50" w14:paraId="51F355AB" w14:textId="77777777" w:rsidTr="00011982">
        <w:tc>
          <w:tcPr>
            <w:tcW w:w="1974" w:type="dxa"/>
            <w:tcBorders>
              <w:top w:val="single" w:sz="4" w:space="0" w:color="767171"/>
              <w:left w:val="single" w:sz="4" w:space="0" w:color="767171"/>
              <w:bottom w:val="single" w:sz="4" w:space="0" w:color="767171"/>
              <w:right w:val="single" w:sz="4" w:space="0" w:color="767171"/>
            </w:tcBorders>
          </w:tcPr>
          <w:p w14:paraId="182EA287" w14:textId="7F2A757B" w:rsidR="00A25A50" w:rsidRDefault="00A25A50">
            <w:pPr>
              <w:spacing w:after="200" w:line="276" w:lineRule="auto"/>
            </w:pPr>
            <w:r>
              <w:t>Broj emisija o EU i evropskoj integraciji Crne Gore</w:t>
            </w:r>
          </w:p>
        </w:tc>
        <w:tc>
          <w:tcPr>
            <w:tcW w:w="1170" w:type="dxa"/>
            <w:tcBorders>
              <w:top w:val="single" w:sz="4" w:space="0" w:color="767171"/>
              <w:left w:val="single" w:sz="4" w:space="0" w:color="767171"/>
              <w:bottom w:val="single" w:sz="4" w:space="0" w:color="767171"/>
              <w:right w:val="single" w:sz="4" w:space="0" w:color="767171"/>
            </w:tcBorders>
          </w:tcPr>
          <w:p w14:paraId="501DCB71" w14:textId="1AE9F343" w:rsidR="00A25A50" w:rsidRDefault="00A25A50">
            <w:pPr>
              <w:spacing w:after="200" w:line="276" w:lineRule="auto"/>
            </w:pPr>
            <w:r>
              <w:t>n/a</w:t>
            </w:r>
          </w:p>
        </w:tc>
        <w:tc>
          <w:tcPr>
            <w:tcW w:w="1800" w:type="dxa"/>
            <w:tcBorders>
              <w:top w:val="single" w:sz="4" w:space="0" w:color="767171"/>
              <w:left w:val="single" w:sz="4" w:space="0" w:color="767171"/>
              <w:bottom w:val="single" w:sz="4" w:space="0" w:color="767171"/>
              <w:right w:val="single" w:sz="4" w:space="0" w:color="767171"/>
            </w:tcBorders>
          </w:tcPr>
          <w:p w14:paraId="221282F2" w14:textId="1153CEAB" w:rsidR="00A25A50" w:rsidRPr="00A25A50" w:rsidRDefault="00A25A50" w:rsidP="00A25A50">
            <w:pPr>
              <w:spacing w:after="200" w:line="276" w:lineRule="auto"/>
              <w:rPr>
                <w:highlight w:val="yellow"/>
              </w:rPr>
            </w:pPr>
            <w:r>
              <w:t>&gt;20</w:t>
            </w:r>
          </w:p>
        </w:tc>
        <w:tc>
          <w:tcPr>
            <w:tcW w:w="1890" w:type="dxa"/>
            <w:tcBorders>
              <w:top w:val="single" w:sz="4" w:space="0" w:color="767171"/>
              <w:left w:val="single" w:sz="4" w:space="0" w:color="767171"/>
              <w:bottom w:val="single" w:sz="4" w:space="0" w:color="767171"/>
              <w:right w:val="single" w:sz="4" w:space="0" w:color="767171"/>
            </w:tcBorders>
          </w:tcPr>
          <w:p w14:paraId="3B365009" w14:textId="1CC58E90" w:rsidR="00A25A50" w:rsidRPr="00A25A50" w:rsidRDefault="00A25A50">
            <w:pPr>
              <w:spacing w:after="200" w:line="276" w:lineRule="auto"/>
              <w:rPr>
                <w:highlight w:val="yellow"/>
              </w:rPr>
            </w:pPr>
            <w:r>
              <w:t>&gt;30</w:t>
            </w:r>
          </w:p>
        </w:tc>
        <w:tc>
          <w:tcPr>
            <w:tcW w:w="2181" w:type="dxa"/>
            <w:tcBorders>
              <w:top w:val="single" w:sz="4" w:space="0" w:color="767171"/>
              <w:left w:val="single" w:sz="4" w:space="0" w:color="767171"/>
              <w:bottom w:val="single" w:sz="4" w:space="0" w:color="767171"/>
              <w:right w:val="single" w:sz="4" w:space="0" w:color="767171"/>
            </w:tcBorders>
          </w:tcPr>
          <w:p w14:paraId="2DA9461B" w14:textId="224FC90A" w:rsidR="00A25A50" w:rsidRDefault="00A25A50">
            <w:pPr>
              <w:rPr>
                <w:highlight w:val="yellow"/>
              </w:rPr>
            </w:pPr>
            <w:r w:rsidRPr="00785C4B">
              <w:t>Press clipping</w:t>
            </w:r>
          </w:p>
        </w:tc>
      </w:tr>
      <w:tr w:rsidR="00011982" w14:paraId="6D4E3DA3" w14:textId="77777777" w:rsidTr="00011982">
        <w:tc>
          <w:tcPr>
            <w:tcW w:w="1974" w:type="dxa"/>
            <w:tcBorders>
              <w:top w:val="single" w:sz="4" w:space="0" w:color="767171"/>
              <w:left w:val="single" w:sz="4" w:space="0" w:color="767171"/>
              <w:bottom w:val="single" w:sz="4" w:space="0" w:color="767171"/>
              <w:right w:val="single" w:sz="4" w:space="0" w:color="767171"/>
            </w:tcBorders>
            <w:hideMark/>
          </w:tcPr>
          <w:p w14:paraId="6455A16E" w14:textId="77777777" w:rsidR="00011982" w:rsidRDefault="00011982">
            <w:pPr>
              <w:spacing w:after="200" w:line="276" w:lineRule="auto"/>
            </w:pPr>
            <w:r>
              <w:t>Procent građana koji smatraju da je informisanje javnosti o pristupanju EU kvalitetno i potpuno i da se javnosti pružaju sve ključne informacije</w:t>
            </w:r>
          </w:p>
        </w:tc>
        <w:tc>
          <w:tcPr>
            <w:tcW w:w="1170" w:type="dxa"/>
            <w:tcBorders>
              <w:top w:val="single" w:sz="4" w:space="0" w:color="767171"/>
              <w:left w:val="single" w:sz="4" w:space="0" w:color="767171"/>
              <w:bottom w:val="single" w:sz="4" w:space="0" w:color="767171"/>
              <w:right w:val="single" w:sz="4" w:space="0" w:color="767171"/>
            </w:tcBorders>
            <w:hideMark/>
          </w:tcPr>
          <w:p w14:paraId="441EE0BD" w14:textId="77777777" w:rsidR="00011982" w:rsidRDefault="00011982">
            <w:pPr>
              <w:spacing w:after="200" w:line="276" w:lineRule="auto"/>
              <w:rPr>
                <w:b/>
              </w:rPr>
            </w:pPr>
            <w:r>
              <w:rPr>
                <w:b/>
              </w:rPr>
              <w:t>42,7%</w:t>
            </w:r>
          </w:p>
        </w:tc>
        <w:tc>
          <w:tcPr>
            <w:tcW w:w="1800" w:type="dxa"/>
            <w:tcBorders>
              <w:top w:val="single" w:sz="4" w:space="0" w:color="767171"/>
              <w:left w:val="single" w:sz="4" w:space="0" w:color="767171"/>
              <w:bottom w:val="single" w:sz="4" w:space="0" w:color="767171"/>
              <w:right w:val="single" w:sz="4" w:space="0" w:color="767171"/>
            </w:tcBorders>
            <w:hideMark/>
          </w:tcPr>
          <w:p w14:paraId="6FA07C16" w14:textId="77777777" w:rsidR="00011982" w:rsidRPr="00785C4B" w:rsidRDefault="00011982">
            <w:pPr>
              <w:spacing w:after="200" w:line="276" w:lineRule="auto"/>
            </w:pPr>
            <w:r w:rsidRPr="00785C4B">
              <w:t>45%</w:t>
            </w:r>
          </w:p>
        </w:tc>
        <w:tc>
          <w:tcPr>
            <w:tcW w:w="1890" w:type="dxa"/>
            <w:tcBorders>
              <w:top w:val="single" w:sz="4" w:space="0" w:color="767171"/>
              <w:left w:val="single" w:sz="4" w:space="0" w:color="767171"/>
              <w:bottom w:val="single" w:sz="4" w:space="0" w:color="767171"/>
              <w:right w:val="single" w:sz="4" w:space="0" w:color="767171"/>
            </w:tcBorders>
            <w:hideMark/>
          </w:tcPr>
          <w:p w14:paraId="7AC5587E" w14:textId="44023408" w:rsidR="00011982" w:rsidRPr="00785C4B" w:rsidRDefault="00A25A50">
            <w:pPr>
              <w:spacing w:after="200" w:line="276" w:lineRule="auto"/>
            </w:pPr>
            <w:r w:rsidRPr="00785C4B">
              <w:t>50</w:t>
            </w:r>
            <w:r w:rsidR="00011982" w:rsidRPr="00785C4B">
              <w:t>%</w:t>
            </w:r>
          </w:p>
        </w:tc>
        <w:tc>
          <w:tcPr>
            <w:tcW w:w="2181" w:type="dxa"/>
            <w:tcBorders>
              <w:top w:val="single" w:sz="4" w:space="0" w:color="767171"/>
              <w:left w:val="single" w:sz="4" w:space="0" w:color="767171"/>
              <w:bottom w:val="single" w:sz="4" w:space="0" w:color="767171"/>
              <w:right w:val="single" w:sz="4" w:space="0" w:color="767171"/>
            </w:tcBorders>
            <w:hideMark/>
          </w:tcPr>
          <w:p w14:paraId="7FE0C764" w14:textId="70A9CC19" w:rsidR="00011982" w:rsidRDefault="00011982">
            <w:pPr>
              <w:spacing w:after="200" w:line="276" w:lineRule="auto"/>
            </w:pPr>
            <w:r>
              <w:t>Istraživanje javnog mnjenja</w:t>
            </w:r>
            <w:r w:rsidR="00E86532">
              <w:t xml:space="preserve"> </w:t>
            </w:r>
            <w:r>
              <w:t>- Agencija De Facto Consultancy</w:t>
            </w:r>
          </w:p>
        </w:tc>
      </w:tr>
      <w:tr w:rsidR="00011982" w14:paraId="1D466509" w14:textId="77777777" w:rsidTr="00011982">
        <w:tc>
          <w:tcPr>
            <w:tcW w:w="9015" w:type="dxa"/>
            <w:gridSpan w:val="5"/>
            <w:tcBorders>
              <w:top w:val="single" w:sz="4" w:space="0" w:color="767171"/>
              <w:left w:val="single" w:sz="4" w:space="0" w:color="767171"/>
              <w:bottom w:val="single" w:sz="4" w:space="0" w:color="767171"/>
              <w:right w:val="single" w:sz="4" w:space="0" w:color="767171"/>
            </w:tcBorders>
            <w:shd w:val="clear" w:color="auto" w:fill="D0CECE"/>
            <w:hideMark/>
          </w:tcPr>
          <w:p w14:paraId="6D9F8F39" w14:textId="77777777" w:rsidR="00011982" w:rsidRDefault="00011982">
            <w:pPr>
              <w:spacing w:after="200" w:line="276" w:lineRule="auto"/>
              <w:rPr>
                <w:b/>
                <w:highlight w:val="yellow"/>
              </w:rPr>
            </w:pPr>
            <w:r>
              <w:rPr>
                <w:b/>
              </w:rPr>
              <w:t>Operativni cilj 3: Unaprijeđena prepoznatljivost procesa pristupanja Crne Gore Evropskoj uniji u međunarodnoj javnosti</w:t>
            </w:r>
          </w:p>
        </w:tc>
      </w:tr>
      <w:tr w:rsidR="00E86532" w14:paraId="0D8CB3A1" w14:textId="77777777" w:rsidTr="00011982">
        <w:tc>
          <w:tcPr>
            <w:tcW w:w="1974" w:type="dxa"/>
            <w:tcBorders>
              <w:top w:val="single" w:sz="4" w:space="0" w:color="767171"/>
              <w:left w:val="single" w:sz="4" w:space="0" w:color="767171"/>
              <w:bottom w:val="single" w:sz="4" w:space="0" w:color="767171"/>
              <w:right w:val="single" w:sz="4" w:space="0" w:color="767171"/>
            </w:tcBorders>
            <w:shd w:val="clear" w:color="auto" w:fill="E7E6E6"/>
            <w:hideMark/>
          </w:tcPr>
          <w:p w14:paraId="309ED054" w14:textId="77777777" w:rsidR="00E86532" w:rsidRDefault="00E86532" w:rsidP="00E86532">
            <w:pPr>
              <w:spacing w:after="200" w:line="276" w:lineRule="auto"/>
            </w:pPr>
            <w:r>
              <w:t>Indikatori učinka</w:t>
            </w:r>
          </w:p>
        </w:tc>
        <w:tc>
          <w:tcPr>
            <w:tcW w:w="1170" w:type="dxa"/>
            <w:tcBorders>
              <w:top w:val="single" w:sz="4" w:space="0" w:color="767171"/>
              <w:left w:val="single" w:sz="4" w:space="0" w:color="767171"/>
              <w:bottom w:val="single" w:sz="4" w:space="0" w:color="767171"/>
              <w:right w:val="single" w:sz="4" w:space="0" w:color="767171"/>
            </w:tcBorders>
            <w:shd w:val="clear" w:color="auto" w:fill="E7E6E6"/>
            <w:hideMark/>
          </w:tcPr>
          <w:p w14:paraId="57AAF9FC" w14:textId="77777777" w:rsidR="00E86532" w:rsidRDefault="00E86532" w:rsidP="00E86532">
            <w:pPr>
              <w:spacing w:after="200" w:line="276" w:lineRule="auto"/>
            </w:pPr>
            <w:r>
              <w:t>Polazne vrijednosti</w:t>
            </w:r>
          </w:p>
        </w:tc>
        <w:tc>
          <w:tcPr>
            <w:tcW w:w="1800" w:type="dxa"/>
            <w:tcBorders>
              <w:top w:val="single" w:sz="4" w:space="0" w:color="767171"/>
              <w:left w:val="single" w:sz="4" w:space="0" w:color="767171"/>
              <w:bottom w:val="single" w:sz="4" w:space="0" w:color="767171"/>
              <w:right w:val="single" w:sz="4" w:space="0" w:color="767171"/>
            </w:tcBorders>
            <w:shd w:val="clear" w:color="auto" w:fill="E7E6E6"/>
            <w:hideMark/>
          </w:tcPr>
          <w:p w14:paraId="55451FB9" w14:textId="193CA66A" w:rsidR="00E86532" w:rsidRPr="00785C4B" w:rsidRDefault="00E86532" w:rsidP="00E86532">
            <w:pPr>
              <w:widowControl w:val="0"/>
              <w:spacing w:after="200" w:line="276" w:lineRule="auto"/>
              <w:ind w:right="17"/>
              <w:rPr>
                <w:color w:val="000000"/>
              </w:rPr>
            </w:pPr>
            <w:r w:rsidRPr="00785C4B">
              <w:rPr>
                <w:color w:val="000000" w:themeColor="text1"/>
              </w:rPr>
              <w:t>Vrijednost na kraju druge godine sprovođenja strateškog dokumenta</w:t>
            </w:r>
          </w:p>
        </w:tc>
        <w:tc>
          <w:tcPr>
            <w:tcW w:w="1890" w:type="dxa"/>
            <w:tcBorders>
              <w:top w:val="single" w:sz="4" w:space="0" w:color="767171"/>
              <w:left w:val="single" w:sz="4" w:space="0" w:color="767171"/>
              <w:bottom w:val="single" w:sz="4" w:space="0" w:color="767171"/>
              <w:right w:val="single" w:sz="4" w:space="0" w:color="767171"/>
            </w:tcBorders>
            <w:shd w:val="clear" w:color="auto" w:fill="E7E6E6"/>
            <w:hideMark/>
          </w:tcPr>
          <w:p w14:paraId="57DEDA9E" w14:textId="20EED154" w:rsidR="00E86532" w:rsidRPr="00785C4B" w:rsidRDefault="00E86532" w:rsidP="00E86532">
            <w:pPr>
              <w:widowControl w:val="0"/>
              <w:spacing w:after="200" w:line="276" w:lineRule="auto"/>
              <w:ind w:right="17"/>
              <w:rPr>
                <w:color w:val="000000"/>
              </w:rPr>
            </w:pPr>
            <w:r w:rsidRPr="00785C4B">
              <w:rPr>
                <w:color w:val="000000" w:themeColor="text1"/>
              </w:rPr>
              <w:t>Vrijednost na kraju posljednje godine sprovođenja strateškog dokumenta</w:t>
            </w:r>
          </w:p>
        </w:tc>
        <w:tc>
          <w:tcPr>
            <w:tcW w:w="2181" w:type="dxa"/>
            <w:tcBorders>
              <w:top w:val="single" w:sz="4" w:space="0" w:color="767171"/>
              <w:left w:val="single" w:sz="4" w:space="0" w:color="767171"/>
              <w:bottom w:val="single" w:sz="4" w:space="0" w:color="767171"/>
              <w:right w:val="single" w:sz="4" w:space="0" w:color="767171"/>
            </w:tcBorders>
            <w:shd w:val="clear" w:color="auto" w:fill="E7E6E6"/>
            <w:hideMark/>
          </w:tcPr>
          <w:p w14:paraId="1B75B425" w14:textId="77777777" w:rsidR="00E86532" w:rsidRDefault="00E86532" w:rsidP="00E86532">
            <w:pPr>
              <w:spacing w:after="200" w:line="276" w:lineRule="auto"/>
            </w:pPr>
            <w:r>
              <w:t>Način mjerenja</w:t>
            </w:r>
          </w:p>
        </w:tc>
      </w:tr>
      <w:tr w:rsidR="00A25A50" w14:paraId="18225731" w14:textId="77777777" w:rsidTr="00011982">
        <w:tc>
          <w:tcPr>
            <w:tcW w:w="1974" w:type="dxa"/>
            <w:tcBorders>
              <w:top w:val="single" w:sz="4" w:space="0" w:color="767171"/>
              <w:left w:val="single" w:sz="4" w:space="0" w:color="767171"/>
              <w:bottom w:val="single" w:sz="4" w:space="0" w:color="767171"/>
              <w:right w:val="single" w:sz="4" w:space="0" w:color="767171"/>
            </w:tcBorders>
          </w:tcPr>
          <w:p w14:paraId="55BB5781" w14:textId="09094FE2" w:rsidR="00A25A50" w:rsidRDefault="00A25A50">
            <w:pPr>
              <w:spacing w:after="200" w:line="276" w:lineRule="auto"/>
            </w:pPr>
            <w:r>
              <w:t>Broj događaja organizovanih sa predstavnicima međunarodne javnosti (ambasadama, institucijama EU, inostranim medijima i OCD-ima)</w:t>
            </w:r>
          </w:p>
        </w:tc>
        <w:tc>
          <w:tcPr>
            <w:tcW w:w="1170" w:type="dxa"/>
            <w:tcBorders>
              <w:top w:val="single" w:sz="4" w:space="0" w:color="767171"/>
              <w:left w:val="single" w:sz="4" w:space="0" w:color="767171"/>
              <w:bottom w:val="single" w:sz="4" w:space="0" w:color="767171"/>
              <w:right w:val="single" w:sz="4" w:space="0" w:color="767171"/>
            </w:tcBorders>
          </w:tcPr>
          <w:p w14:paraId="0F18D8D7" w14:textId="454A5942" w:rsidR="00A25A50" w:rsidRPr="00785C4B" w:rsidRDefault="00A25A50">
            <w:pPr>
              <w:rPr>
                <w:b/>
              </w:rPr>
            </w:pPr>
            <w:r w:rsidRPr="00785C4B">
              <w:rPr>
                <w:b/>
              </w:rPr>
              <w:t>n/a</w:t>
            </w:r>
          </w:p>
        </w:tc>
        <w:tc>
          <w:tcPr>
            <w:tcW w:w="1800" w:type="dxa"/>
            <w:tcBorders>
              <w:top w:val="single" w:sz="4" w:space="0" w:color="767171"/>
              <w:left w:val="single" w:sz="4" w:space="0" w:color="767171"/>
              <w:bottom w:val="single" w:sz="4" w:space="0" w:color="767171"/>
              <w:right w:val="single" w:sz="4" w:space="0" w:color="767171"/>
            </w:tcBorders>
          </w:tcPr>
          <w:p w14:paraId="474375F0" w14:textId="0E6DDD3D" w:rsidR="00A25A50" w:rsidRPr="00785C4B" w:rsidRDefault="00A25A50">
            <w:pPr>
              <w:spacing w:after="200" w:line="276" w:lineRule="auto"/>
              <w:rPr>
                <w:b/>
              </w:rPr>
            </w:pPr>
            <w:r w:rsidRPr="00785C4B">
              <w:rPr>
                <w:b/>
              </w:rPr>
              <w:t>&gt;20</w:t>
            </w:r>
          </w:p>
        </w:tc>
        <w:tc>
          <w:tcPr>
            <w:tcW w:w="1890" w:type="dxa"/>
            <w:tcBorders>
              <w:top w:val="single" w:sz="4" w:space="0" w:color="767171"/>
              <w:left w:val="single" w:sz="4" w:space="0" w:color="767171"/>
              <w:bottom w:val="single" w:sz="4" w:space="0" w:color="767171"/>
              <w:right w:val="single" w:sz="4" w:space="0" w:color="767171"/>
            </w:tcBorders>
          </w:tcPr>
          <w:p w14:paraId="02105D1F" w14:textId="4C5C6FFE" w:rsidR="00A25A50" w:rsidRPr="00785C4B" w:rsidRDefault="00A25A50">
            <w:pPr>
              <w:spacing w:after="200" w:line="276" w:lineRule="auto"/>
              <w:rPr>
                <w:b/>
              </w:rPr>
            </w:pPr>
            <w:r w:rsidRPr="00785C4B">
              <w:rPr>
                <w:b/>
              </w:rPr>
              <w:t>&gt;40</w:t>
            </w:r>
          </w:p>
        </w:tc>
        <w:tc>
          <w:tcPr>
            <w:tcW w:w="2181" w:type="dxa"/>
            <w:tcBorders>
              <w:top w:val="single" w:sz="4" w:space="0" w:color="767171"/>
              <w:left w:val="single" w:sz="4" w:space="0" w:color="767171"/>
              <w:bottom w:val="single" w:sz="4" w:space="0" w:color="767171"/>
              <w:right w:val="single" w:sz="4" w:space="0" w:color="767171"/>
            </w:tcBorders>
          </w:tcPr>
          <w:p w14:paraId="11414475" w14:textId="77777777" w:rsidR="00A25A50" w:rsidRDefault="00A25A50">
            <w:pPr>
              <w:spacing w:after="200" w:line="276" w:lineRule="auto"/>
            </w:pPr>
            <w:r>
              <w:t>Evidencije</w:t>
            </w:r>
          </w:p>
          <w:p w14:paraId="48D11513" w14:textId="6CC37AED" w:rsidR="00A25A50" w:rsidRDefault="00A25A50">
            <w:pPr>
              <w:spacing w:after="200" w:line="276" w:lineRule="auto"/>
            </w:pPr>
            <w:r>
              <w:t>Press clipping</w:t>
            </w:r>
          </w:p>
        </w:tc>
      </w:tr>
      <w:tr w:rsidR="00011982" w14:paraId="476CD2AE" w14:textId="77777777" w:rsidTr="00011982">
        <w:tc>
          <w:tcPr>
            <w:tcW w:w="9015" w:type="dxa"/>
            <w:gridSpan w:val="5"/>
            <w:tcBorders>
              <w:top w:val="single" w:sz="4" w:space="0" w:color="767171"/>
              <w:left w:val="single" w:sz="4" w:space="0" w:color="767171"/>
              <w:bottom w:val="single" w:sz="4" w:space="0" w:color="767171"/>
              <w:right w:val="single" w:sz="4" w:space="0" w:color="767171"/>
            </w:tcBorders>
            <w:shd w:val="clear" w:color="auto" w:fill="AEAAAA"/>
            <w:hideMark/>
          </w:tcPr>
          <w:p w14:paraId="5FF7FB34" w14:textId="0FEC0689" w:rsidR="00011982" w:rsidRDefault="00011982">
            <w:pPr>
              <w:spacing w:after="200" w:line="276" w:lineRule="auto"/>
              <w:rPr>
                <w:b/>
              </w:rPr>
            </w:pPr>
            <w:r>
              <w:rPr>
                <w:b/>
              </w:rPr>
              <w:t>Operativni cilj 4: Obrazovni sistem i lokalne samouprave su promoteri EU vrijednosti</w:t>
            </w:r>
          </w:p>
        </w:tc>
      </w:tr>
      <w:tr w:rsidR="00E86532" w14:paraId="5A802358" w14:textId="77777777" w:rsidTr="00011982">
        <w:tc>
          <w:tcPr>
            <w:tcW w:w="1974" w:type="dxa"/>
            <w:tcBorders>
              <w:top w:val="single" w:sz="4" w:space="0" w:color="767171"/>
              <w:left w:val="single" w:sz="4" w:space="0" w:color="767171"/>
              <w:bottom w:val="single" w:sz="4" w:space="0" w:color="767171"/>
              <w:right w:val="single" w:sz="4" w:space="0" w:color="767171"/>
            </w:tcBorders>
            <w:shd w:val="clear" w:color="auto" w:fill="E7E6E6"/>
            <w:hideMark/>
          </w:tcPr>
          <w:p w14:paraId="34DB406B" w14:textId="77777777" w:rsidR="00E86532" w:rsidRDefault="00E86532" w:rsidP="00E86532">
            <w:pPr>
              <w:spacing w:after="200" w:line="276" w:lineRule="auto"/>
            </w:pPr>
            <w:r>
              <w:t>Indikatori učinka</w:t>
            </w:r>
          </w:p>
        </w:tc>
        <w:tc>
          <w:tcPr>
            <w:tcW w:w="1170" w:type="dxa"/>
            <w:tcBorders>
              <w:top w:val="single" w:sz="4" w:space="0" w:color="767171"/>
              <w:left w:val="single" w:sz="4" w:space="0" w:color="767171"/>
              <w:bottom w:val="single" w:sz="4" w:space="0" w:color="767171"/>
              <w:right w:val="single" w:sz="4" w:space="0" w:color="767171"/>
            </w:tcBorders>
            <w:shd w:val="clear" w:color="auto" w:fill="E7E6E6"/>
            <w:hideMark/>
          </w:tcPr>
          <w:p w14:paraId="5A430F3A" w14:textId="77777777" w:rsidR="00E86532" w:rsidRDefault="00E86532" w:rsidP="00E86532">
            <w:pPr>
              <w:spacing w:after="200" w:line="276" w:lineRule="auto"/>
            </w:pPr>
            <w:r>
              <w:t>Polazne vrijednosti</w:t>
            </w:r>
          </w:p>
        </w:tc>
        <w:tc>
          <w:tcPr>
            <w:tcW w:w="1800" w:type="dxa"/>
            <w:tcBorders>
              <w:top w:val="single" w:sz="4" w:space="0" w:color="767171"/>
              <w:left w:val="single" w:sz="4" w:space="0" w:color="767171"/>
              <w:bottom w:val="single" w:sz="4" w:space="0" w:color="767171"/>
              <w:right w:val="single" w:sz="4" w:space="0" w:color="767171"/>
            </w:tcBorders>
            <w:shd w:val="clear" w:color="auto" w:fill="E7E6E6"/>
            <w:hideMark/>
          </w:tcPr>
          <w:p w14:paraId="59AC136A" w14:textId="1E67FD9D" w:rsidR="00E86532" w:rsidRPr="00785C4B" w:rsidRDefault="00E86532" w:rsidP="00E86532">
            <w:pPr>
              <w:widowControl w:val="0"/>
              <w:spacing w:after="200" w:line="276" w:lineRule="auto"/>
              <w:ind w:right="17"/>
              <w:rPr>
                <w:color w:val="000000"/>
              </w:rPr>
            </w:pPr>
            <w:r w:rsidRPr="00785C4B">
              <w:rPr>
                <w:color w:val="000000" w:themeColor="text1"/>
              </w:rPr>
              <w:t>Vrijednost na kraju druge godine sprovođenja strateškog dokumenta</w:t>
            </w:r>
          </w:p>
        </w:tc>
        <w:tc>
          <w:tcPr>
            <w:tcW w:w="1890" w:type="dxa"/>
            <w:tcBorders>
              <w:top w:val="single" w:sz="4" w:space="0" w:color="767171"/>
              <w:left w:val="single" w:sz="4" w:space="0" w:color="767171"/>
              <w:bottom w:val="single" w:sz="4" w:space="0" w:color="767171"/>
              <w:right w:val="single" w:sz="4" w:space="0" w:color="767171"/>
            </w:tcBorders>
            <w:shd w:val="clear" w:color="auto" w:fill="E7E6E6"/>
            <w:hideMark/>
          </w:tcPr>
          <w:p w14:paraId="3971A033" w14:textId="04E13725" w:rsidR="00E86532" w:rsidRPr="00785C4B" w:rsidRDefault="00E86532" w:rsidP="00E86532">
            <w:pPr>
              <w:widowControl w:val="0"/>
              <w:spacing w:after="200" w:line="276" w:lineRule="auto"/>
              <w:ind w:right="17"/>
              <w:rPr>
                <w:color w:val="000000"/>
              </w:rPr>
            </w:pPr>
            <w:r w:rsidRPr="00785C4B">
              <w:rPr>
                <w:color w:val="000000" w:themeColor="text1"/>
              </w:rPr>
              <w:t>Vrijednost na kraju posljednje godine sprovođenja strateškog dokumenta</w:t>
            </w:r>
          </w:p>
        </w:tc>
        <w:tc>
          <w:tcPr>
            <w:tcW w:w="2181" w:type="dxa"/>
            <w:tcBorders>
              <w:top w:val="single" w:sz="4" w:space="0" w:color="767171"/>
              <w:left w:val="single" w:sz="4" w:space="0" w:color="767171"/>
              <w:bottom w:val="single" w:sz="4" w:space="0" w:color="767171"/>
              <w:right w:val="single" w:sz="4" w:space="0" w:color="767171"/>
            </w:tcBorders>
            <w:shd w:val="clear" w:color="auto" w:fill="E7E6E6"/>
            <w:hideMark/>
          </w:tcPr>
          <w:p w14:paraId="571BA46F" w14:textId="77777777" w:rsidR="00E86532" w:rsidRDefault="00E86532" w:rsidP="00E86532">
            <w:pPr>
              <w:spacing w:after="200" w:line="276" w:lineRule="auto"/>
            </w:pPr>
            <w:r>
              <w:t>Način mjerenja</w:t>
            </w:r>
          </w:p>
        </w:tc>
      </w:tr>
      <w:tr w:rsidR="00011982" w14:paraId="2142D20B" w14:textId="77777777" w:rsidTr="00011982">
        <w:tc>
          <w:tcPr>
            <w:tcW w:w="1974" w:type="dxa"/>
            <w:tcBorders>
              <w:top w:val="single" w:sz="4" w:space="0" w:color="767171"/>
              <w:left w:val="single" w:sz="4" w:space="0" w:color="767171"/>
              <w:bottom w:val="single" w:sz="4" w:space="0" w:color="767171"/>
              <w:right w:val="single" w:sz="4" w:space="0" w:color="767171"/>
            </w:tcBorders>
            <w:hideMark/>
          </w:tcPr>
          <w:p w14:paraId="00D8CBD4" w14:textId="77777777" w:rsidR="00011982" w:rsidRDefault="00011982">
            <w:pPr>
              <w:spacing w:after="200" w:line="276" w:lineRule="auto"/>
            </w:pPr>
            <w:r>
              <w:t xml:space="preserve">Procenat mladih koji podržava pristupanje EU </w:t>
            </w:r>
          </w:p>
        </w:tc>
        <w:tc>
          <w:tcPr>
            <w:tcW w:w="1170" w:type="dxa"/>
            <w:tcBorders>
              <w:top w:val="single" w:sz="4" w:space="0" w:color="767171"/>
              <w:left w:val="single" w:sz="4" w:space="0" w:color="767171"/>
              <w:bottom w:val="single" w:sz="4" w:space="0" w:color="767171"/>
              <w:right w:val="single" w:sz="4" w:space="0" w:color="767171"/>
            </w:tcBorders>
            <w:hideMark/>
          </w:tcPr>
          <w:p w14:paraId="181023DD" w14:textId="77777777" w:rsidR="00011982" w:rsidRDefault="00011982">
            <w:pPr>
              <w:spacing w:after="200" w:line="276" w:lineRule="auto"/>
              <w:rPr>
                <w:b/>
              </w:rPr>
            </w:pPr>
            <w:r>
              <w:rPr>
                <w:b/>
              </w:rPr>
              <w:t>80,8%</w:t>
            </w:r>
          </w:p>
        </w:tc>
        <w:tc>
          <w:tcPr>
            <w:tcW w:w="1800" w:type="dxa"/>
            <w:tcBorders>
              <w:top w:val="single" w:sz="4" w:space="0" w:color="767171"/>
              <w:left w:val="single" w:sz="4" w:space="0" w:color="767171"/>
              <w:bottom w:val="single" w:sz="4" w:space="0" w:color="767171"/>
              <w:right w:val="single" w:sz="4" w:space="0" w:color="767171"/>
            </w:tcBorders>
            <w:hideMark/>
          </w:tcPr>
          <w:p w14:paraId="3E3C9055" w14:textId="1EFF25E8" w:rsidR="00011982" w:rsidRPr="00785C4B" w:rsidRDefault="00A25A50">
            <w:pPr>
              <w:spacing w:after="200" w:line="276" w:lineRule="auto"/>
            </w:pPr>
            <w:r w:rsidRPr="00785C4B">
              <w:t>&gt;80%</w:t>
            </w:r>
          </w:p>
        </w:tc>
        <w:tc>
          <w:tcPr>
            <w:tcW w:w="1890" w:type="dxa"/>
            <w:tcBorders>
              <w:top w:val="single" w:sz="4" w:space="0" w:color="767171"/>
              <w:left w:val="single" w:sz="4" w:space="0" w:color="767171"/>
              <w:bottom w:val="single" w:sz="4" w:space="0" w:color="767171"/>
              <w:right w:val="single" w:sz="4" w:space="0" w:color="767171"/>
            </w:tcBorders>
            <w:hideMark/>
          </w:tcPr>
          <w:p w14:paraId="3479D0F4" w14:textId="50103E52" w:rsidR="00011982" w:rsidRPr="00785C4B" w:rsidRDefault="00A25A50">
            <w:pPr>
              <w:spacing w:after="200" w:line="276" w:lineRule="auto"/>
            </w:pPr>
            <w:r w:rsidRPr="00785C4B">
              <w:t>&gt;80%</w:t>
            </w:r>
          </w:p>
        </w:tc>
        <w:tc>
          <w:tcPr>
            <w:tcW w:w="2181" w:type="dxa"/>
            <w:tcBorders>
              <w:top w:val="single" w:sz="4" w:space="0" w:color="767171"/>
              <w:left w:val="single" w:sz="4" w:space="0" w:color="767171"/>
              <w:bottom w:val="single" w:sz="4" w:space="0" w:color="767171"/>
              <w:right w:val="single" w:sz="4" w:space="0" w:color="767171"/>
            </w:tcBorders>
            <w:hideMark/>
          </w:tcPr>
          <w:p w14:paraId="4051E81F" w14:textId="3D07C7A7" w:rsidR="00011982" w:rsidRDefault="00011982">
            <w:pPr>
              <w:spacing w:after="200" w:line="276" w:lineRule="auto"/>
            </w:pPr>
            <w:r>
              <w:t>Istraživanje javnog mnjenja</w:t>
            </w:r>
            <w:r w:rsidR="00E86532">
              <w:t xml:space="preserve"> </w:t>
            </w:r>
            <w:r>
              <w:t>- Agencija De Facto Consultancy</w:t>
            </w:r>
          </w:p>
        </w:tc>
      </w:tr>
      <w:tr w:rsidR="00011982" w14:paraId="07753057" w14:textId="77777777" w:rsidTr="00011982">
        <w:tc>
          <w:tcPr>
            <w:tcW w:w="1974" w:type="dxa"/>
            <w:tcBorders>
              <w:top w:val="single" w:sz="4" w:space="0" w:color="767171"/>
              <w:left w:val="single" w:sz="4" w:space="0" w:color="767171"/>
              <w:bottom w:val="single" w:sz="4" w:space="0" w:color="767171"/>
              <w:right w:val="single" w:sz="4" w:space="0" w:color="767171"/>
            </w:tcBorders>
            <w:hideMark/>
          </w:tcPr>
          <w:p w14:paraId="1B80AF3D" w14:textId="77777777" w:rsidR="00011982" w:rsidRDefault="00011982">
            <w:pPr>
              <w:spacing w:after="200" w:line="276" w:lineRule="auto"/>
            </w:pPr>
            <w:r>
              <w:t>Procent mladih koji je čuo i tvrdi da zna šta je Erasmus+ program</w:t>
            </w:r>
          </w:p>
        </w:tc>
        <w:tc>
          <w:tcPr>
            <w:tcW w:w="1170" w:type="dxa"/>
            <w:tcBorders>
              <w:top w:val="single" w:sz="4" w:space="0" w:color="767171"/>
              <w:left w:val="single" w:sz="4" w:space="0" w:color="767171"/>
              <w:bottom w:val="single" w:sz="4" w:space="0" w:color="767171"/>
              <w:right w:val="single" w:sz="4" w:space="0" w:color="767171"/>
            </w:tcBorders>
            <w:hideMark/>
          </w:tcPr>
          <w:p w14:paraId="32CF7653" w14:textId="77777777" w:rsidR="00011982" w:rsidRDefault="00011982">
            <w:pPr>
              <w:spacing w:after="200" w:line="276" w:lineRule="auto"/>
              <w:rPr>
                <w:b/>
              </w:rPr>
            </w:pPr>
            <w:r>
              <w:rPr>
                <w:b/>
              </w:rPr>
              <w:t>11,8%</w:t>
            </w:r>
          </w:p>
        </w:tc>
        <w:tc>
          <w:tcPr>
            <w:tcW w:w="1800" w:type="dxa"/>
            <w:tcBorders>
              <w:top w:val="single" w:sz="4" w:space="0" w:color="767171"/>
              <w:left w:val="single" w:sz="4" w:space="0" w:color="767171"/>
              <w:bottom w:val="single" w:sz="4" w:space="0" w:color="767171"/>
              <w:right w:val="single" w:sz="4" w:space="0" w:color="767171"/>
            </w:tcBorders>
            <w:hideMark/>
          </w:tcPr>
          <w:p w14:paraId="5BFB2CB6" w14:textId="30AEAD07" w:rsidR="00011982" w:rsidRPr="00785C4B" w:rsidRDefault="00A25A50" w:rsidP="00A25A50">
            <w:pPr>
              <w:spacing w:after="200" w:line="276" w:lineRule="auto"/>
            </w:pPr>
            <w:r w:rsidRPr="00785C4B">
              <w:t>20</w:t>
            </w:r>
            <w:r w:rsidR="00011982" w:rsidRPr="00785C4B">
              <w:t>%</w:t>
            </w:r>
          </w:p>
        </w:tc>
        <w:tc>
          <w:tcPr>
            <w:tcW w:w="1890" w:type="dxa"/>
            <w:tcBorders>
              <w:top w:val="single" w:sz="4" w:space="0" w:color="767171"/>
              <w:left w:val="single" w:sz="4" w:space="0" w:color="767171"/>
              <w:bottom w:val="single" w:sz="4" w:space="0" w:color="767171"/>
              <w:right w:val="single" w:sz="4" w:space="0" w:color="767171"/>
            </w:tcBorders>
            <w:hideMark/>
          </w:tcPr>
          <w:p w14:paraId="4DEF24CC" w14:textId="3D4E10C3" w:rsidR="00011982" w:rsidRPr="00785C4B" w:rsidRDefault="00A25A50">
            <w:pPr>
              <w:spacing w:after="200" w:line="276" w:lineRule="auto"/>
            </w:pPr>
            <w:r w:rsidRPr="00785C4B">
              <w:t>2</w:t>
            </w:r>
            <w:r w:rsidR="00011982" w:rsidRPr="00785C4B">
              <w:t>5%</w:t>
            </w:r>
          </w:p>
        </w:tc>
        <w:tc>
          <w:tcPr>
            <w:tcW w:w="2181" w:type="dxa"/>
            <w:tcBorders>
              <w:top w:val="single" w:sz="4" w:space="0" w:color="767171"/>
              <w:left w:val="single" w:sz="4" w:space="0" w:color="767171"/>
              <w:bottom w:val="single" w:sz="4" w:space="0" w:color="767171"/>
              <w:right w:val="single" w:sz="4" w:space="0" w:color="767171"/>
            </w:tcBorders>
            <w:hideMark/>
          </w:tcPr>
          <w:p w14:paraId="6A63886A" w14:textId="6E833326" w:rsidR="00011982" w:rsidRDefault="00011982">
            <w:pPr>
              <w:spacing w:after="200" w:line="276" w:lineRule="auto"/>
            </w:pPr>
            <w:r>
              <w:t>Istraživanje javnog mnjenja</w:t>
            </w:r>
            <w:r w:rsidR="00E86532">
              <w:t xml:space="preserve"> </w:t>
            </w:r>
            <w:r>
              <w:t>- Agencija De Facto Consultancy</w:t>
            </w:r>
          </w:p>
        </w:tc>
      </w:tr>
      <w:tr w:rsidR="00011982" w14:paraId="4F00FDA6" w14:textId="77777777" w:rsidTr="00011982">
        <w:tc>
          <w:tcPr>
            <w:tcW w:w="1974" w:type="dxa"/>
            <w:tcBorders>
              <w:top w:val="single" w:sz="4" w:space="0" w:color="767171"/>
              <w:left w:val="single" w:sz="4" w:space="0" w:color="767171"/>
              <w:bottom w:val="single" w:sz="4" w:space="0" w:color="767171"/>
              <w:right w:val="single" w:sz="4" w:space="0" w:color="767171"/>
            </w:tcBorders>
            <w:hideMark/>
          </w:tcPr>
          <w:p w14:paraId="111CDCDE" w14:textId="39FB07DD" w:rsidR="002B6845" w:rsidRDefault="002B6845" w:rsidP="002B6845">
            <w:pPr>
              <w:spacing w:after="200" w:line="276" w:lineRule="auto"/>
            </w:pPr>
            <w:r>
              <w:t>Broj projekata koji se sprovodi u lok</w:t>
            </w:r>
            <w:r w:rsidR="00A25A50">
              <w:t>al</w:t>
            </w:r>
            <w:r>
              <w:t xml:space="preserve">nim samoupravama </w:t>
            </w:r>
          </w:p>
          <w:p w14:paraId="6E6986F1" w14:textId="77777777" w:rsidR="00A25A50" w:rsidRDefault="00A25A50" w:rsidP="002B6845">
            <w:pPr>
              <w:spacing w:after="200" w:line="276" w:lineRule="auto"/>
            </w:pPr>
          </w:p>
          <w:p w14:paraId="1B51DA03" w14:textId="77777777" w:rsidR="002B6845" w:rsidRDefault="002B6845" w:rsidP="002B6845">
            <w:pPr>
              <w:spacing w:after="200" w:line="276" w:lineRule="auto"/>
            </w:pPr>
            <w:r>
              <w:t>Broj lokalnih komunkacionih planova</w:t>
            </w:r>
          </w:p>
          <w:p w14:paraId="20629FE6" w14:textId="77777777" w:rsidR="00326025" w:rsidRDefault="00326025" w:rsidP="002B6845">
            <w:pPr>
              <w:spacing w:after="200" w:line="276" w:lineRule="auto"/>
            </w:pPr>
          </w:p>
          <w:p w14:paraId="35CC2750" w14:textId="023F94C6" w:rsidR="00011982" w:rsidRDefault="00A25A50" w:rsidP="00326025">
            <w:pPr>
              <w:spacing w:after="200" w:line="276" w:lineRule="auto"/>
            </w:pPr>
            <w:r>
              <w:t>Broj lok</w:t>
            </w:r>
            <w:r w:rsidR="00326025">
              <w:t>a</w:t>
            </w:r>
            <w:r>
              <w:t>l</w:t>
            </w:r>
            <w:r w:rsidR="00326025">
              <w:t>nih služ</w:t>
            </w:r>
            <w:r w:rsidR="002B6845">
              <w:t>b</w:t>
            </w:r>
            <w:r w:rsidR="00326025">
              <w:t>eni</w:t>
            </w:r>
            <w:r w:rsidR="002B6845">
              <w:t>ka za komuniciranje EI</w:t>
            </w:r>
          </w:p>
        </w:tc>
        <w:tc>
          <w:tcPr>
            <w:tcW w:w="1170" w:type="dxa"/>
            <w:tcBorders>
              <w:top w:val="single" w:sz="4" w:space="0" w:color="767171"/>
              <w:left w:val="single" w:sz="4" w:space="0" w:color="767171"/>
              <w:bottom w:val="single" w:sz="4" w:space="0" w:color="767171"/>
              <w:right w:val="single" w:sz="4" w:space="0" w:color="767171"/>
            </w:tcBorders>
          </w:tcPr>
          <w:p w14:paraId="14111262" w14:textId="77777777" w:rsidR="002B6845" w:rsidRDefault="002B6845" w:rsidP="002B6845">
            <w:pPr>
              <w:spacing w:after="200" w:line="276" w:lineRule="auto"/>
            </w:pPr>
          </w:p>
          <w:p w14:paraId="6DFAE56F" w14:textId="4C1190A8" w:rsidR="002B6845" w:rsidRDefault="00326025" w:rsidP="002B6845">
            <w:pPr>
              <w:spacing w:after="200" w:line="276" w:lineRule="auto"/>
            </w:pPr>
            <w:r>
              <w:t>n/a</w:t>
            </w:r>
          </w:p>
          <w:p w14:paraId="4D40B721" w14:textId="77777777" w:rsidR="002B6845" w:rsidRDefault="002B6845" w:rsidP="002B6845">
            <w:pPr>
              <w:spacing w:after="200" w:line="276" w:lineRule="auto"/>
            </w:pPr>
          </w:p>
          <w:p w14:paraId="46BE44BB" w14:textId="77777777" w:rsidR="002B6845" w:rsidRDefault="002B6845" w:rsidP="002B6845">
            <w:pPr>
              <w:spacing w:after="200" w:line="276" w:lineRule="auto"/>
            </w:pPr>
          </w:p>
          <w:p w14:paraId="5B13DF71" w14:textId="48502235" w:rsidR="002B6845" w:rsidRDefault="002B6845" w:rsidP="002B6845">
            <w:pPr>
              <w:spacing w:after="200" w:line="276" w:lineRule="auto"/>
            </w:pPr>
            <w:r>
              <w:t>14</w:t>
            </w:r>
          </w:p>
          <w:p w14:paraId="246FE5E4" w14:textId="77777777" w:rsidR="002B6845" w:rsidRDefault="002B6845" w:rsidP="002B6845">
            <w:pPr>
              <w:spacing w:after="200" w:line="276" w:lineRule="auto"/>
            </w:pPr>
          </w:p>
          <w:p w14:paraId="74ED3B87" w14:textId="77777777" w:rsidR="00326025" w:rsidRDefault="00326025" w:rsidP="002B6845">
            <w:pPr>
              <w:spacing w:after="200" w:line="276" w:lineRule="auto"/>
            </w:pPr>
          </w:p>
          <w:p w14:paraId="740CFA42" w14:textId="080CFA5B" w:rsidR="00011982" w:rsidRDefault="00326025" w:rsidP="002B6845">
            <w:pPr>
              <w:spacing w:after="200" w:line="276" w:lineRule="auto"/>
            </w:pPr>
            <w:r>
              <w:t>n/a</w:t>
            </w:r>
          </w:p>
        </w:tc>
        <w:tc>
          <w:tcPr>
            <w:tcW w:w="1800" w:type="dxa"/>
            <w:tcBorders>
              <w:top w:val="single" w:sz="4" w:space="0" w:color="767171"/>
              <w:left w:val="single" w:sz="4" w:space="0" w:color="767171"/>
              <w:bottom w:val="single" w:sz="4" w:space="0" w:color="767171"/>
              <w:right w:val="single" w:sz="4" w:space="0" w:color="767171"/>
            </w:tcBorders>
          </w:tcPr>
          <w:p w14:paraId="4C3D58F2" w14:textId="77777777" w:rsidR="00785C4B" w:rsidRDefault="00785C4B" w:rsidP="002B6845">
            <w:pPr>
              <w:spacing w:after="200" w:line="276" w:lineRule="auto"/>
              <w:jc w:val="center"/>
            </w:pPr>
          </w:p>
          <w:p w14:paraId="5CB42FB0" w14:textId="4FA26398" w:rsidR="002B6845" w:rsidRPr="00785C4B" w:rsidRDefault="00785C4B" w:rsidP="002B6845">
            <w:pPr>
              <w:spacing w:after="200" w:line="276" w:lineRule="auto"/>
              <w:jc w:val="center"/>
            </w:pPr>
            <w:r>
              <w:t>2</w:t>
            </w:r>
            <w:r w:rsidRPr="00785C4B">
              <w:t>0</w:t>
            </w:r>
          </w:p>
          <w:p w14:paraId="07966D60" w14:textId="77777777" w:rsidR="002B6845" w:rsidRPr="00785C4B" w:rsidRDefault="002B6845" w:rsidP="002B6845">
            <w:pPr>
              <w:spacing w:after="200" w:line="276" w:lineRule="auto"/>
              <w:jc w:val="center"/>
            </w:pPr>
          </w:p>
          <w:p w14:paraId="30EEA7B6" w14:textId="77777777" w:rsidR="002B6845" w:rsidRPr="00785C4B" w:rsidRDefault="002B6845" w:rsidP="002B6845">
            <w:pPr>
              <w:spacing w:after="200" w:line="276" w:lineRule="auto"/>
              <w:jc w:val="center"/>
            </w:pPr>
          </w:p>
          <w:p w14:paraId="7FE8DD89" w14:textId="6579AB27" w:rsidR="002B6845" w:rsidRPr="00785C4B" w:rsidRDefault="00785C4B" w:rsidP="00785C4B">
            <w:pPr>
              <w:spacing w:after="200" w:line="276" w:lineRule="auto"/>
            </w:pPr>
            <w:r w:rsidRPr="00785C4B">
              <w:t>2</w:t>
            </w:r>
            <w:r>
              <w:t>0</w:t>
            </w:r>
          </w:p>
          <w:p w14:paraId="2387BADF" w14:textId="77777777" w:rsidR="002B6845" w:rsidRPr="00785C4B" w:rsidRDefault="002B6845" w:rsidP="002B6845">
            <w:pPr>
              <w:spacing w:after="200" w:line="276" w:lineRule="auto"/>
              <w:jc w:val="center"/>
            </w:pPr>
          </w:p>
          <w:p w14:paraId="650A5495" w14:textId="77777777" w:rsidR="002B6845" w:rsidRPr="00785C4B" w:rsidRDefault="002B6845" w:rsidP="002B6845">
            <w:pPr>
              <w:spacing w:after="200" w:line="276" w:lineRule="auto"/>
            </w:pPr>
          </w:p>
          <w:p w14:paraId="30E999C8" w14:textId="585BBACF" w:rsidR="00011982" w:rsidRPr="00785C4B" w:rsidRDefault="002B6845" w:rsidP="00785C4B">
            <w:pPr>
              <w:spacing w:after="200" w:line="276" w:lineRule="auto"/>
            </w:pPr>
            <w:r w:rsidRPr="00785C4B">
              <w:t>25</w:t>
            </w:r>
          </w:p>
        </w:tc>
        <w:tc>
          <w:tcPr>
            <w:tcW w:w="1890" w:type="dxa"/>
            <w:tcBorders>
              <w:top w:val="single" w:sz="4" w:space="0" w:color="767171"/>
              <w:left w:val="single" w:sz="4" w:space="0" w:color="767171"/>
              <w:bottom w:val="single" w:sz="4" w:space="0" w:color="767171"/>
              <w:right w:val="single" w:sz="4" w:space="0" w:color="767171"/>
            </w:tcBorders>
          </w:tcPr>
          <w:p w14:paraId="6598BCDD" w14:textId="77777777" w:rsidR="002B6845" w:rsidRPr="00785C4B" w:rsidRDefault="002B6845" w:rsidP="002B6845">
            <w:pPr>
              <w:spacing w:after="200" w:line="276" w:lineRule="auto"/>
            </w:pPr>
          </w:p>
          <w:p w14:paraId="2F926339" w14:textId="0AFE20C6" w:rsidR="002B6845" w:rsidRPr="00785C4B" w:rsidRDefault="00785C4B" w:rsidP="002B6845">
            <w:pPr>
              <w:spacing w:after="200" w:line="276" w:lineRule="auto"/>
            </w:pPr>
            <w:r>
              <w:t>4</w:t>
            </w:r>
            <w:r w:rsidRPr="00785C4B">
              <w:t>0</w:t>
            </w:r>
          </w:p>
          <w:p w14:paraId="1DF53BA1" w14:textId="77777777" w:rsidR="002B6845" w:rsidRPr="00785C4B" w:rsidRDefault="002B6845" w:rsidP="002B6845">
            <w:pPr>
              <w:spacing w:after="200" w:line="276" w:lineRule="auto"/>
            </w:pPr>
          </w:p>
          <w:p w14:paraId="63FD529F" w14:textId="77777777" w:rsidR="002B6845" w:rsidRPr="00785C4B" w:rsidRDefault="002B6845" w:rsidP="002B6845">
            <w:pPr>
              <w:spacing w:after="200" w:line="276" w:lineRule="auto"/>
            </w:pPr>
          </w:p>
          <w:p w14:paraId="790AD569" w14:textId="51BE49B3" w:rsidR="002B6845" w:rsidRPr="00785C4B" w:rsidRDefault="00785C4B" w:rsidP="002B6845">
            <w:pPr>
              <w:spacing w:after="200" w:line="276" w:lineRule="auto"/>
            </w:pPr>
            <w:r w:rsidRPr="00785C4B">
              <w:t>2</w:t>
            </w:r>
            <w:r>
              <w:t>5</w:t>
            </w:r>
          </w:p>
          <w:p w14:paraId="2FAA12DC" w14:textId="77777777" w:rsidR="002B6845" w:rsidRPr="00785C4B" w:rsidRDefault="002B6845" w:rsidP="002B6845">
            <w:pPr>
              <w:spacing w:after="200" w:line="276" w:lineRule="auto"/>
            </w:pPr>
          </w:p>
          <w:p w14:paraId="2AA24330" w14:textId="77777777" w:rsidR="002B6845" w:rsidRPr="00785C4B" w:rsidRDefault="002B6845" w:rsidP="002B6845">
            <w:pPr>
              <w:spacing w:after="200" w:line="276" w:lineRule="auto"/>
            </w:pPr>
          </w:p>
          <w:p w14:paraId="2852E3D8" w14:textId="77777777" w:rsidR="00011982" w:rsidRPr="00785C4B" w:rsidRDefault="002B6845" w:rsidP="002B6845">
            <w:pPr>
              <w:spacing w:after="200" w:line="276" w:lineRule="auto"/>
            </w:pPr>
            <w:r w:rsidRPr="00785C4B">
              <w:t>25</w:t>
            </w:r>
          </w:p>
          <w:p w14:paraId="0CBD6567" w14:textId="2DF843EF" w:rsidR="002B6845" w:rsidRPr="00785C4B" w:rsidRDefault="002B6845" w:rsidP="002B6845">
            <w:pPr>
              <w:spacing w:after="200" w:line="276" w:lineRule="auto"/>
            </w:pPr>
          </w:p>
        </w:tc>
        <w:tc>
          <w:tcPr>
            <w:tcW w:w="2181" w:type="dxa"/>
            <w:tcBorders>
              <w:top w:val="single" w:sz="4" w:space="0" w:color="767171"/>
              <w:left w:val="single" w:sz="4" w:space="0" w:color="767171"/>
              <w:bottom w:val="single" w:sz="4" w:space="0" w:color="767171"/>
              <w:right w:val="single" w:sz="4" w:space="0" w:color="767171"/>
            </w:tcBorders>
          </w:tcPr>
          <w:p w14:paraId="1EDD7E1D" w14:textId="77777777" w:rsidR="00326025" w:rsidRPr="00785C4B" w:rsidRDefault="00326025" w:rsidP="002B6845">
            <w:pPr>
              <w:spacing w:after="200" w:line="276" w:lineRule="auto"/>
            </w:pPr>
          </w:p>
          <w:p w14:paraId="46D279C8" w14:textId="79D29650" w:rsidR="002B6845" w:rsidRPr="00785C4B" w:rsidRDefault="00326025" w:rsidP="002B6845">
            <w:pPr>
              <w:spacing w:after="200" w:line="276" w:lineRule="auto"/>
            </w:pPr>
            <w:r w:rsidRPr="00785C4B">
              <w:t>Izvještaj ZOCG</w:t>
            </w:r>
          </w:p>
          <w:p w14:paraId="1396B823" w14:textId="77777777" w:rsidR="002B6845" w:rsidRPr="00785C4B" w:rsidRDefault="002B6845" w:rsidP="002B6845">
            <w:pPr>
              <w:spacing w:after="200" w:line="276" w:lineRule="auto"/>
            </w:pPr>
          </w:p>
          <w:p w14:paraId="1822DF53" w14:textId="77777777" w:rsidR="002B6845" w:rsidRPr="00785C4B" w:rsidRDefault="002B6845" w:rsidP="002B6845">
            <w:pPr>
              <w:spacing w:after="200" w:line="276" w:lineRule="auto"/>
            </w:pPr>
          </w:p>
          <w:p w14:paraId="24BCFAA8" w14:textId="77777777" w:rsidR="002B6845" w:rsidRPr="00785C4B" w:rsidRDefault="002B6845" w:rsidP="002B6845">
            <w:pPr>
              <w:spacing w:after="200" w:line="276" w:lineRule="auto"/>
            </w:pPr>
            <w:r w:rsidRPr="00785C4B">
              <w:t>Izvještaj ZOCG</w:t>
            </w:r>
          </w:p>
          <w:p w14:paraId="00E8BAAE" w14:textId="77777777" w:rsidR="002B6845" w:rsidRPr="00785C4B" w:rsidRDefault="002B6845" w:rsidP="002B6845">
            <w:pPr>
              <w:spacing w:after="200" w:line="276" w:lineRule="auto"/>
            </w:pPr>
          </w:p>
          <w:p w14:paraId="7B4E48CC" w14:textId="77777777" w:rsidR="002B6845" w:rsidRPr="00785C4B" w:rsidRDefault="002B6845" w:rsidP="002B6845">
            <w:pPr>
              <w:spacing w:after="200" w:line="276" w:lineRule="auto"/>
            </w:pPr>
          </w:p>
          <w:p w14:paraId="58E7C86E" w14:textId="054BC508" w:rsidR="00011982" w:rsidRPr="00785C4B" w:rsidRDefault="002B6845" w:rsidP="002B6845">
            <w:pPr>
              <w:spacing w:after="200" w:line="276" w:lineRule="auto"/>
            </w:pPr>
            <w:r w:rsidRPr="00785C4B">
              <w:t>Izvještaj ZOCG</w:t>
            </w:r>
          </w:p>
        </w:tc>
      </w:tr>
    </w:tbl>
    <w:p w14:paraId="14D1006C" w14:textId="77777777" w:rsidR="00011982" w:rsidRDefault="00011982" w:rsidP="00243A21">
      <w:pPr>
        <w:pBdr>
          <w:top w:val="nil"/>
          <w:left w:val="nil"/>
          <w:bottom w:val="nil"/>
          <w:right w:val="nil"/>
          <w:between w:val="nil"/>
        </w:pBdr>
        <w:rPr>
          <w:rFonts w:ascii="Calibri" w:hAnsi="Calibri"/>
          <w:color w:val="000000"/>
          <w:sz w:val="22"/>
          <w:szCs w:val="22"/>
        </w:rPr>
      </w:pPr>
    </w:p>
    <w:p w14:paraId="5A2D6B95" w14:textId="77777777" w:rsidR="00243A21" w:rsidRPr="00243A21" w:rsidRDefault="00243A21" w:rsidP="00BF3AA5"/>
    <w:p w14:paraId="2F1EA189" w14:textId="0B7CC7AB" w:rsidR="00243A21" w:rsidRDefault="00FD2703" w:rsidP="00FD2703">
      <w:r>
        <w:t>.</w:t>
      </w:r>
    </w:p>
    <w:p w14:paraId="00000438" w14:textId="77777777" w:rsidR="007A6527" w:rsidRPr="000A5977" w:rsidRDefault="008A787C" w:rsidP="004E4614">
      <w:pPr>
        <w:pStyle w:val="Heading1"/>
        <w:rPr>
          <w:b/>
        </w:rPr>
      </w:pPr>
      <w:bookmarkStart w:id="63" w:name="_Toc140567073"/>
      <w:r w:rsidRPr="000A5977">
        <w:rPr>
          <w:b/>
        </w:rPr>
        <w:t>Literatura:</w:t>
      </w:r>
      <w:bookmarkEnd w:id="63"/>
    </w:p>
    <w:p w14:paraId="00000439" w14:textId="77777777" w:rsidR="007A6527" w:rsidRDefault="007A6527"/>
    <w:p w14:paraId="0000043A" w14:textId="77777777" w:rsidR="007A6527" w:rsidRDefault="008A787C">
      <w:pPr>
        <w:numPr>
          <w:ilvl w:val="0"/>
          <w:numId w:val="8"/>
        </w:numPr>
        <w:pBdr>
          <w:top w:val="nil"/>
          <w:left w:val="nil"/>
          <w:bottom w:val="nil"/>
          <w:right w:val="nil"/>
          <w:between w:val="nil"/>
        </w:pBdr>
        <w:rPr>
          <w:rFonts w:ascii="Calibri" w:hAnsi="Calibri"/>
          <w:i/>
          <w:color w:val="000000"/>
          <w:sz w:val="22"/>
          <w:szCs w:val="22"/>
        </w:rPr>
      </w:pPr>
      <w:r>
        <w:rPr>
          <w:rFonts w:ascii="Calibri" w:hAnsi="Calibri"/>
          <w:color w:val="000000"/>
          <w:sz w:val="22"/>
          <w:szCs w:val="22"/>
        </w:rPr>
        <w:t xml:space="preserve">Brown, Brene, (2012) </w:t>
      </w:r>
      <w:r>
        <w:rPr>
          <w:rFonts w:ascii="Calibri" w:hAnsi="Calibri"/>
          <w:i/>
          <w:color w:val="000000"/>
          <w:sz w:val="22"/>
          <w:szCs w:val="22"/>
        </w:rPr>
        <w:t>“The Power of Vulnerability: Teachings on Authenticity, Connection and Courage”, Sound True. New York, ©2022 Brené Brown, LLC</w:t>
      </w:r>
    </w:p>
    <w:p w14:paraId="0000043B" w14:textId="77777777" w:rsidR="007A6527" w:rsidRDefault="008A787C">
      <w:pPr>
        <w:numPr>
          <w:ilvl w:val="0"/>
          <w:numId w:val="8"/>
        </w:numPr>
        <w:pBdr>
          <w:top w:val="nil"/>
          <w:left w:val="nil"/>
          <w:bottom w:val="nil"/>
          <w:right w:val="nil"/>
          <w:between w:val="nil"/>
        </w:pBdr>
        <w:rPr>
          <w:rFonts w:ascii="Calibri" w:hAnsi="Calibri"/>
          <w:color w:val="000000"/>
          <w:sz w:val="22"/>
          <w:szCs w:val="22"/>
        </w:rPr>
      </w:pPr>
      <w:r>
        <w:rPr>
          <w:rFonts w:ascii="Calibri" w:hAnsi="Calibri"/>
          <w:color w:val="000000"/>
          <w:sz w:val="22"/>
          <w:szCs w:val="22"/>
        </w:rPr>
        <w:t xml:space="preserve">Commission Staff Working Document, </w:t>
      </w:r>
      <w:r>
        <w:rPr>
          <w:rFonts w:ascii="Calibri" w:hAnsi="Calibri"/>
          <w:i/>
          <w:color w:val="000000"/>
          <w:sz w:val="22"/>
          <w:szCs w:val="22"/>
        </w:rPr>
        <w:t xml:space="preserve">Montenegro 2021 Report: Communication from the Commission to the European Parliament, the Council, the European Economic and Social Committee and the Committee of the Regions, 2021 Communication on EU Enlargement Policy, </w:t>
      </w:r>
      <w:r>
        <w:rPr>
          <w:rFonts w:ascii="Calibri" w:hAnsi="Calibri"/>
          <w:color w:val="000000"/>
          <w:sz w:val="22"/>
          <w:szCs w:val="22"/>
        </w:rPr>
        <w:t xml:space="preserve">Strasbourg, 19.10.2021. godine, dostupno na: </w:t>
      </w:r>
      <w:hyperlink r:id="rId36">
        <w:r>
          <w:rPr>
            <w:rFonts w:ascii="Calibri" w:hAnsi="Calibri"/>
            <w:color w:val="0563C1"/>
            <w:sz w:val="22"/>
            <w:szCs w:val="22"/>
            <w:u w:val="single"/>
          </w:rPr>
          <w:t>https://ec.europa.eu/neighbourhood-enlargement/montenegro-report-2021_en</w:t>
        </w:r>
      </w:hyperlink>
      <w:r>
        <w:rPr>
          <w:rFonts w:ascii="Calibri" w:hAnsi="Calibri"/>
          <w:color w:val="000000"/>
          <w:sz w:val="22"/>
          <w:szCs w:val="22"/>
        </w:rPr>
        <w:t xml:space="preserve"> (pristup 19. juna 2022. godine)</w:t>
      </w:r>
    </w:p>
    <w:p w14:paraId="0000043C" w14:textId="77777777" w:rsidR="007A6527" w:rsidRDefault="008A787C">
      <w:pPr>
        <w:numPr>
          <w:ilvl w:val="0"/>
          <w:numId w:val="8"/>
        </w:numPr>
        <w:pBdr>
          <w:top w:val="nil"/>
          <w:left w:val="nil"/>
          <w:bottom w:val="nil"/>
          <w:right w:val="nil"/>
          <w:between w:val="nil"/>
        </w:pBdr>
        <w:rPr>
          <w:rFonts w:ascii="Calibri" w:hAnsi="Calibri"/>
          <w:color w:val="000000"/>
          <w:sz w:val="22"/>
          <w:szCs w:val="22"/>
        </w:rPr>
      </w:pPr>
      <w:r>
        <w:rPr>
          <w:rFonts w:ascii="Calibri" w:hAnsi="Calibri"/>
          <w:color w:val="000000"/>
          <w:sz w:val="22"/>
          <w:szCs w:val="22"/>
        </w:rPr>
        <w:t xml:space="preserve">European Commission (2020) </w:t>
      </w:r>
      <w:r>
        <w:rPr>
          <w:rFonts w:ascii="Calibri" w:hAnsi="Calibri"/>
          <w:i/>
          <w:color w:val="000000"/>
          <w:sz w:val="22"/>
          <w:szCs w:val="22"/>
        </w:rPr>
        <w:t>Strategic Plan 2020-2024 DG COMMUNICATION</w:t>
      </w:r>
      <w:r>
        <w:rPr>
          <w:rFonts w:ascii="Calibri" w:hAnsi="Calibri"/>
          <w:color w:val="000000"/>
          <w:sz w:val="22"/>
          <w:szCs w:val="22"/>
        </w:rPr>
        <w:t>, dostupno na:</w:t>
      </w:r>
      <w:hyperlink r:id="rId37">
        <w:r>
          <w:rPr>
            <w:rFonts w:ascii="Calibri" w:hAnsi="Calibri"/>
            <w:color w:val="000000"/>
            <w:sz w:val="22"/>
            <w:szCs w:val="22"/>
          </w:rPr>
          <w:t xml:space="preserve"> </w:t>
        </w:r>
      </w:hyperlink>
      <w:hyperlink r:id="rId38">
        <w:r>
          <w:rPr>
            <w:rFonts w:ascii="Calibri" w:hAnsi="Calibri"/>
            <w:color w:val="1155CC"/>
            <w:sz w:val="22"/>
            <w:szCs w:val="22"/>
            <w:u w:val="single"/>
          </w:rPr>
          <w:t>https://ec.europa.eu/info/sites/default/files/comm_sp_2020_2024_en.pdf</w:t>
        </w:r>
      </w:hyperlink>
      <w:r>
        <w:rPr>
          <w:rFonts w:ascii="Calibri" w:hAnsi="Calibri"/>
          <w:color w:val="000000"/>
          <w:sz w:val="22"/>
          <w:szCs w:val="22"/>
        </w:rPr>
        <w:t xml:space="preserve"> prisupljeno: 1. jul 2022. </w:t>
      </w:r>
    </w:p>
    <w:p w14:paraId="0000043D" w14:textId="77777777" w:rsidR="007A6527" w:rsidRDefault="008A787C">
      <w:pPr>
        <w:numPr>
          <w:ilvl w:val="0"/>
          <w:numId w:val="8"/>
        </w:numPr>
        <w:pBdr>
          <w:top w:val="nil"/>
          <w:left w:val="nil"/>
          <w:bottom w:val="nil"/>
          <w:right w:val="nil"/>
          <w:between w:val="nil"/>
        </w:pBdr>
        <w:rPr>
          <w:rFonts w:ascii="Calibri" w:hAnsi="Calibri"/>
          <w:color w:val="000000"/>
          <w:sz w:val="22"/>
          <w:szCs w:val="22"/>
        </w:rPr>
      </w:pPr>
      <w:r>
        <w:rPr>
          <w:rFonts w:ascii="Calibri" w:hAnsi="Calibri"/>
          <w:color w:val="000000"/>
          <w:sz w:val="22"/>
          <w:szCs w:val="22"/>
        </w:rPr>
        <w:t xml:space="preserve">Evropski savjet, 2018, </w:t>
      </w:r>
      <w:r>
        <w:rPr>
          <w:rFonts w:ascii="Calibri" w:hAnsi="Calibri"/>
          <w:i/>
          <w:color w:val="000000"/>
          <w:sz w:val="22"/>
          <w:szCs w:val="22"/>
        </w:rPr>
        <w:t>Rezolucija Savjeta Evropske unije i predstavnika vlada država članica, koji su se sastali unutar Savjeta, o okviru za europsku suradnju u području mladih: strategija Europske unije za mlade za razdoblje 2019.–2027</w:t>
      </w:r>
      <w:r>
        <w:rPr>
          <w:rFonts w:ascii="Calibri" w:hAnsi="Calibri"/>
          <w:color w:val="000000"/>
          <w:sz w:val="22"/>
          <w:szCs w:val="22"/>
        </w:rPr>
        <w:t>, (2018/C 456/01)</w:t>
      </w:r>
    </w:p>
    <w:p w14:paraId="0000043E" w14:textId="77777777" w:rsidR="007A6527" w:rsidRDefault="008A787C">
      <w:pPr>
        <w:numPr>
          <w:ilvl w:val="0"/>
          <w:numId w:val="8"/>
        </w:numPr>
        <w:pBdr>
          <w:top w:val="nil"/>
          <w:left w:val="nil"/>
          <w:bottom w:val="nil"/>
          <w:right w:val="nil"/>
          <w:between w:val="nil"/>
        </w:pBdr>
        <w:rPr>
          <w:rFonts w:ascii="Calibri" w:hAnsi="Calibri"/>
          <w:color w:val="000000"/>
          <w:sz w:val="22"/>
          <w:szCs w:val="22"/>
        </w:rPr>
      </w:pPr>
      <w:r>
        <w:rPr>
          <w:rFonts w:ascii="Calibri" w:hAnsi="Calibri"/>
          <w:color w:val="000000"/>
          <w:sz w:val="22"/>
          <w:szCs w:val="22"/>
        </w:rPr>
        <w:t xml:space="preserve">Generalni Sekretarijat Vlade Crne Gore, </w:t>
      </w:r>
      <w:r>
        <w:rPr>
          <w:rFonts w:ascii="Calibri" w:hAnsi="Calibri"/>
          <w:i/>
          <w:color w:val="000000"/>
          <w:sz w:val="22"/>
          <w:szCs w:val="22"/>
        </w:rPr>
        <w:t xml:space="preserve">Metodologiji razvijanja politika, izrade i praćenja sprovođenja strateških dokumenata, </w:t>
      </w:r>
      <w:r>
        <w:rPr>
          <w:rFonts w:ascii="Calibri" w:hAnsi="Calibri"/>
          <w:color w:val="000000"/>
          <w:sz w:val="22"/>
          <w:szCs w:val="22"/>
        </w:rPr>
        <w:t>drugo, dopunjeno izdanje, Podgorica, 2018. godina</w:t>
      </w:r>
    </w:p>
    <w:p w14:paraId="0000043F" w14:textId="77777777" w:rsidR="007A6527" w:rsidRDefault="008A787C">
      <w:pPr>
        <w:numPr>
          <w:ilvl w:val="0"/>
          <w:numId w:val="8"/>
        </w:numPr>
        <w:pBdr>
          <w:top w:val="nil"/>
          <w:left w:val="nil"/>
          <w:bottom w:val="nil"/>
          <w:right w:val="nil"/>
          <w:between w:val="nil"/>
        </w:pBdr>
        <w:rPr>
          <w:rFonts w:ascii="Calibri" w:hAnsi="Calibri"/>
          <w:color w:val="000000"/>
          <w:sz w:val="28"/>
          <w:szCs w:val="28"/>
        </w:rPr>
      </w:pPr>
      <w:r>
        <w:rPr>
          <w:rFonts w:ascii="Calibri" w:hAnsi="Calibri"/>
          <w:color w:val="000000"/>
          <w:sz w:val="22"/>
          <w:szCs w:val="22"/>
        </w:rPr>
        <w:t xml:space="preserve">Generalni Sekretarijat Vlade Crne Gore, </w:t>
      </w:r>
      <w:r>
        <w:rPr>
          <w:rFonts w:ascii="Calibri" w:hAnsi="Calibri"/>
          <w:i/>
          <w:color w:val="000000"/>
          <w:sz w:val="22"/>
          <w:szCs w:val="22"/>
        </w:rPr>
        <w:t xml:space="preserve">Smjernice za pripremu strateških dokumenata, </w:t>
      </w:r>
      <w:r>
        <w:rPr>
          <w:rFonts w:ascii="Calibri" w:hAnsi="Calibri"/>
          <w:color w:val="000000"/>
          <w:sz w:val="22"/>
          <w:szCs w:val="22"/>
        </w:rPr>
        <w:t>Podgorica, 2022. godina</w:t>
      </w:r>
    </w:p>
    <w:p w14:paraId="00000440" w14:textId="77777777" w:rsidR="007A6527" w:rsidRDefault="008A787C">
      <w:pPr>
        <w:numPr>
          <w:ilvl w:val="0"/>
          <w:numId w:val="8"/>
        </w:numPr>
        <w:pBdr>
          <w:top w:val="nil"/>
          <w:left w:val="nil"/>
          <w:bottom w:val="nil"/>
          <w:right w:val="nil"/>
          <w:between w:val="nil"/>
        </w:pBdr>
        <w:rPr>
          <w:rFonts w:ascii="Calibri" w:hAnsi="Calibri"/>
          <w:color w:val="000000"/>
          <w:sz w:val="22"/>
          <w:szCs w:val="22"/>
        </w:rPr>
      </w:pPr>
      <w:r>
        <w:rPr>
          <w:rFonts w:ascii="Calibri" w:hAnsi="Calibri"/>
          <w:color w:val="000000"/>
          <w:sz w:val="22"/>
          <w:szCs w:val="22"/>
        </w:rPr>
        <w:t xml:space="preserve">Government Communication Service GCS (2021) </w:t>
      </w:r>
      <w:r>
        <w:rPr>
          <w:rFonts w:ascii="Calibri" w:hAnsi="Calibri"/>
          <w:i/>
          <w:color w:val="000000"/>
          <w:sz w:val="22"/>
          <w:szCs w:val="22"/>
        </w:rPr>
        <w:t>“Strategic Communication: MCOM Function Guide”,</w:t>
      </w:r>
      <w:r>
        <w:rPr>
          <w:rFonts w:ascii="Calibri" w:hAnsi="Calibri"/>
          <w:color w:val="000000"/>
          <w:sz w:val="22"/>
          <w:szCs w:val="22"/>
        </w:rPr>
        <w:t xml:space="preserve"> dostupno na:</w:t>
      </w:r>
      <w:hyperlink r:id="rId39">
        <w:r>
          <w:rPr>
            <w:rFonts w:ascii="Calibri" w:hAnsi="Calibri"/>
            <w:color w:val="000000"/>
            <w:sz w:val="22"/>
            <w:szCs w:val="22"/>
          </w:rPr>
          <w:t xml:space="preserve"> </w:t>
        </w:r>
      </w:hyperlink>
      <w:hyperlink r:id="rId40">
        <w:r>
          <w:rPr>
            <w:rFonts w:ascii="Calibri" w:hAnsi="Calibri"/>
            <w:color w:val="1155CC"/>
            <w:sz w:val="22"/>
            <w:szCs w:val="22"/>
            <w:u w:val="single"/>
          </w:rPr>
          <w:t>https://gcs.civilservice.gov.uk/publications/strategic-communication-mcom-function-guide/</w:t>
        </w:r>
      </w:hyperlink>
      <w:r>
        <w:rPr>
          <w:rFonts w:ascii="Calibri" w:hAnsi="Calibri"/>
          <w:color w:val="000000"/>
          <w:sz w:val="22"/>
          <w:szCs w:val="22"/>
        </w:rPr>
        <w:t xml:space="preserve"> Pristupljeno: 1. jul 2022. </w:t>
      </w:r>
    </w:p>
    <w:p w14:paraId="00000441" w14:textId="74B169CD" w:rsidR="007A6527" w:rsidRDefault="00E5080A">
      <w:pPr>
        <w:numPr>
          <w:ilvl w:val="0"/>
          <w:numId w:val="8"/>
        </w:numPr>
        <w:pBdr>
          <w:top w:val="nil"/>
          <w:left w:val="nil"/>
          <w:bottom w:val="nil"/>
          <w:right w:val="nil"/>
          <w:between w:val="nil"/>
        </w:pBdr>
        <w:rPr>
          <w:rFonts w:ascii="Calibri" w:hAnsi="Calibri"/>
          <w:i/>
          <w:color w:val="000000"/>
        </w:rPr>
      </w:pPr>
      <w:r>
        <w:rPr>
          <w:rFonts w:ascii="Calibri" w:hAnsi="Calibri"/>
          <w:color w:val="000000"/>
          <w:sz w:val="21"/>
          <w:szCs w:val="21"/>
        </w:rPr>
        <w:t>Generalni sekretarijat</w:t>
      </w:r>
      <w:r w:rsidR="008A787C">
        <w:rPr>
          <w:rFonts w:ascii="Calibri" w:hAnsi="Calibri"/>
          <w:color w:val="000000"/>
          <w:sz w:val="21"/>
          <w:szCs w:val="21"/>
        </w:rPr>
        <w:t xml:space="preserve"> Vlade Crne Gore, </w:t>
      </w:r>
      <w:r w:rsidR="008A787C">
        <w:rPr>
          <w:rFonts w:ascii="Calibri" w:hAnsi="Calibri"/>
          <w:i/>
          <w:color w:val="000000"/>
          <w:sz w:val="21"/>
          <w:szCs w:val="21"/>
        </w:rPr>
        <w:t>Izvještaj</w:t>
      </w:r>
      <w:r>
        <w:rPr>
          <w:rFonts w:ascii="Calibri" w:hAnsi="Calibri"/>
          <w:i/>
          <w:color w:val="000000"/>
          <w:sz w:val="21"/>
          <w:szCs w:val="21"/>
        </w:rPr>
        <w:t>i</w:t>
      </w:r>
      <w:r w:rsidR="008A787C">
        <w:rPr>
          <w:rFonts w:ascii="Calibri" w:hAnsi="Calibri"/>
          <w:i/>
          <w:color w:val="000000"/>
          <w:sz w:val="21"/>
          <w:szCs w:val="21"/>
        </w:rPr>
        <w:t xml:space="preserve"> o realizaciji akcion</w:t>
      </w:r>
      <w:r>
        <w:rPr>
          <w:rFonts w:ascii="Calibri" w:hAnsi="Calibri"/>
          <w:i/>
          <w:color w:val="000000"/>
          <w:sz w:val="21"/>
          <w:szCs w:val="21"/>
        </w:rPr>
        <w:t>ih</w:t>
      </w:r>
      <w:r w:rsidR="008A787C">
        <w:rPr>
          <w:rFonts w:ascii="Calibri" w:hAnsi="Calibri"/>
          <w:i/>
          <w:color w:val="000000"/>
          <w:sz w:val="21"/>
          <w:szCs w:val="21"/>
        </w:rPr>
        <w:t xml:space="preserve"> plan</w:t>
      </w:r>
      <w:r>
        <w:rPr>
          <w:rFonts w:ascii="Calibri" w:hAnsi="Calibri"/>
          <w:i/>
          <w:color w:val="000000"/>
          <w:sz w:val="21"/>
          <w:szCs w:val="21"/>
        </w:rPr>
        <w:t>ova</w:t>
      </w:r>
      <w:r w:rsidR="008A787C">
        <w:rPr>
          <w:rFonts w:ascii="Calibri" w:hAnsi="Calibri"/>
          <w:i/>
          <w:color w:val="000000"/>
          <w:sz w:val="21"/>
          <w:szCs w:val="21"/>
        </w:rPr>
        <w:t xml:space="preserve"> za 20</w:t>
      </w:r>
      <w:r>
        <w:rPr>
          <w:rFonts w:ascii="Calibri" w:hAnsi="Calibri"/>
          <w:i/>
          <w:color w:val="000000"/>
          <w:sz w:val="21"/>
          <w:szCs w:val="21"/>
        </w:rPr>
        <w:t>19 - 2022</w:t>
      </w:r>
      <w:r w:rsidR="008A787C">
        <w:rPr>
          <w:rFonts w:ascii="Calibri" w:hAnsi="Calibri"/>
          <w:i/>
          <w:color w:val="000000"/>
          <w:sz w:val="21"/>
          <w:szCs w:val="21"/>
        </w:rPr>
        <w:t xml:space="preserve">. godinu za sprovođenje Strategije informisanja javnosti o pristupanju Crne Gore EU 2019-2022. godine, </w:t>
      </w:r>
      <w:r w:rsidR="008A787C">
        <w:rPr>
          <w:rFonts w:ascii="Calibri" w:hAnsi="Calibri"/>
          <w:color w:val="000000"/>
          <w:sz w:val="21"/>
          <w:szCs w:val="21"/>
        </w:rPr>
        <w:t>Podgorica, 2022. godine</w:t>
      </w:r>
    </w:p>
    <w:p w14:paraId="00000442" w14:textId="77777777" w:rsidR="007A6527" w:rsidRDefault="008A787C">
      <w:pPr>
        <w:numPr>
          <w:ilvl w:val="0"/>
          <w:numId w:val="8"/>
        </w:numPr>
        <w:pBdr>
          <w:top w:val="nil"/>
          <w:left w:val="nil"/>
          <w:bottom w:val="nil"/>
          <w:right w:val="nil"/>
          <w:between w:val="nil"/>
        </w:pBdr>
        <w:rPr>
          <w:rFonts w:ascii="Calibri" w:hAnsi="Calibri"/>
          <w:color w:val="000000"/>
          <w:sz w:val="22"/>
          <w:szCs w:val="22"/>
        </w:rPr>
      </w:pPr>
      <w:r>
        <w:rPr>
          <w:rFonts w:ascii="Calibri" w:hAnsi="Calibri"/>
          <w:color w:val="000000"/>
          <w:sz w:val="22"/>
          <w:szCs w:val="22"/>
        </w:rPr>
        <w:t>Vlada Crne Gore, Strategije informisanja javnosti o pristupanju Crne Gore 2019-2022. godine, Podgorica, 2019. godina</w:t>
      </w:r>
    </w:p>
    <w:p w14:paraId="48AF2DF9" w14:textId="1CBE2DFB" w:rsidR="004D406F" w:rsidRDefault="008A787C" w:rsidP="004D406F">
      <w:pPr>
        <w:numPr>
          <w:ilvl w:val="0"/>
          <w:numId w:val="8"/>
        </w:numPr>
        <w:pBdr>
          <w:top w:val="nil"/>
          <w:left w:val="nil"/>
          <w:bottom w:val="nil"/>
          <w:right w:val="nil"/>
          <w:between w:val="nil"/>
        </w:pBdr>
        <w:rPr>
          <w:rFonts w:ascii="Calibri" w:hAnsi="Calibri"/>
          <w:color w:val="000000"/>
          <w:sz w:val="22"/>
          <w:szCs w:val="22"/>
        </w:rPr>
      </w:pPr>
      <w:r>
        <w:rPr>
          <w:rFonts w:ascii="Calibri" w:hAnsi="Calibri"/>
          <w:color w:val="000000"/>
          <w:sz w:val="22"/>
          <w:szCs w:val="22"/>
        </w:rPr>
        <w:t xml:space="preserve">Vlada Republike Crne Gore, 2004, </w:t>
      </w:r>
      <w:r>
        <w:rPr>
          <w:rFonts w:ascii="Calibri" w:hAnsi="Calibri"/>
          <w:i/>
          <w:color w:val="000000"/>
          <w:sz w:val="22"/>
          <w:szCs w:val="22"/>
        </w:rPr>
        <w:t>Komunikaciona strategija za informisanje javnosti o procesu pridruživanje Crne Gore Evropskoj uniji</w:t>
      </w:r>
      <w:r>
        <w:rPr>
          <w:rFonts w:ascii="Calibri" w:hAnsi="Calibri"/>
          <w:color w:val="000000"/>
          <w:sz w:val="22"/>
          <w:szCs w:val="22"/>
        </w:rPr>
        <w:t xml:space="preserve">, Vlada Republike Crne Gore, Podgorica. </w:t>
      </w:r>
    </w:p>
    <w:p w14:paraId="46F6C78E" w14:textId="77777777" w:rsidR="004E4614" w:rsidRDefault="004E4614" w:rsidP="004E4614">
      <w:pPr>
        <w:pBdr>
          <w:top w:val="nil"/>
          <w:left w:val="nil"/>
          <w:bottom w:val="nil"/>
          <w:right w:val="nil"/>
          <w:between w:val="nil"/>
        </w:pBdr>
        <w:ind w:left="720"/>
        <w:rPr>
          <w:rFonts w:ascii="Calibri" w:hAnsi="Calibri"/>
          <w:color w:val="000000"/>
          <w:sz w:val="22"/>
          <w:szCs w:val="22"/>
        </w:rPr>
      </w:pPr>
    </w:p>
    <w:p w14:paraId="59859789" w14:textId="77777777" w:rsidR="000A5977" w:rsidRDefault="000A5977" w:rsidP="004E4614">
      <w:pPr>
        <w:pBdr>
          <w:top w:val="nil"/>
          <w:left w:val="nil"/>
          <w:bottom w:val="nil"/>
          <w:right w:val="nil"/>
          <w:between w:val="nil"/>
        </w:pBdr>
        <w:ind w:left="720"/>
        <w:rPr>
          <w:rFonts w:ascii="Calibri" w:hAnsi="Calibri"/>
          <w:color w:val="000000"/>
          <w:sz w:val="22"/>
          <w:szCs w:val="22"/>
        </w:rPr>
      </w:pPr>
    </w:p>
    <w:p w14:paraId="75133902" w14:textId="77777777" w:rsidR="000A5977" w:rsidRPr="004E4614" w:rsidRDefault="000A5977" w:rsidP="004E4614">
      <w:pPr>
        <w:pBdr>
          <w:top w:val="nil"/>
          <w:left w:val="nil"/>
          <w:bottom w:val="nil"/>
          <w:right w:val="nil"/>
          <w:between w:val="nil"/>
        </w:pBdr>
        <w:ind w:left="720"/>
        <w:rPr>
          <w:rFonts w:ascii="Calibri" w:hAnsi="Calibri"/>
          <w:color w:val="000000"/>
          <w:sz w:val="22"/>
          <w:szCs w:val="22"/>
        </w:rPr>
      </w:pPr>
    </w:p>
    <w:p w14:paraId="59EA9135" w14:textId="57FFCD88" w:rsidR="00F547FC" w:rsidRPr="000A5977" w:rsidRDefault="00F547FC" w:rsidP="004E4614">
      <w:pPr>
        <w:pStyle w:val="Heading1"/>
        <w:rPr>
          <w:b/>
        </w:rPr>
      </w:pPr>
      <w:bookmarkStart w:id="64" w:name="_Toc140567074"/>
      <w:r w:rsidRPr="000A5977">
        <w:rPr>
          <w:b/>
        </w:rPr>
        <w:t>Radni tim za izradu Strategije informisanja javnosti o pristupanju Crne Gore Evropskoj uniji 2023 – 2026. godina:</w:t>
      </w:r>
      <w:bookmarkEnd w:id="64"/>
    </w:p>
    <w:p w14:paraId="03837CA2" w14:textId="77777777" w:rsidR="004D406F" w:rsidRPr="004D406F" w:rsidRDefault="004D406F" w:rsidP="004D406F">
      <w:pPr>
        <w:pBdr>
          <w:top w:val="nil"/>
          <w:left w:val="nil"/>
          <w:bottom w:val="nil"/>
          <w:right w:val="nil"/>
          <w:between w:val="nil"/>
        </w:pBdr>
        <w:rPr>
          <w:rFonts w:ascii="Calibri" w:hAnsi="Calibri"/>
          <w:b/>
          <w:color w:val="0070C0"/>
          <w:sz w:val="32"/>
          <w:szCs w:val="32"/>
        </w:rPr>
      </w:pPr>
    </w:p>
    <w:p w14:paraId="11826EDE" w14:textId="77777777" w:rsidR="00F547FC" w:rsidRDefault="00F547FC" w:rsidP="004D406F">
      <w:pPr>
        <w:pBdr>
          <w:top w:val="nil"/>
          <w:left w:val="nil"/>
          <w:bottom w:val="nil"/>
          <w:right w:val="nil"/>
          <w:between w:val="nil"/>
        </w:pBdr>
        <w:rPr>
          <w:rFonts w:ascii="Calibri" w:hAnsi="Calibri"/>
          <w:color w:val="000000"/>
          <w:sz w:val="22"/>
          <w:szCs w:val="22"/>
        </w:rPr>
      </w:pPr>
    </w:p>
    <w:p w14:paraId="0B7CCA81" w14:textId="6DA2ABB8" w:rsidR="00F547FC" w:rsidRPr="004D406F" w:rsidRDefault="00F547FC" w:rsidP="004D406F">
      <w:pPr>
        <w:pBdr>
          <w:top w:val="nil"/>
          <w:left w:val="nil"/>
          <w:bottom w:val="nil"/>
          <w:right w:val="nil"/>
          <w:between w:val="nil"/>
        </w:pBdr>
        <w:rPr>
          <w:rFonts w:ascii="Calibri" w:hAnsi="Calibri"/>
          <w:color w:val="000000"/>
        </w:rPr>
      </w:pPr>
      <w:r w:rsidRPr="004D406F">
        <w:rPr>
          <w:rFonts w:ascii="Calibri" w:hAnsi="Calibri"/>
          <w:color w:val="000000"/>
        </w:rPr>
        <w:t>1. Nada Vojvodić, koordinatorka, Generalni sekretarijat Vlade Crne Gore</w:t>
      </w:r>
    </w:p>
    <w:p w14:paraId="53E4050D" w14:textId="35F67052" w:rsidR="00F547FC" w:rsidRPr="004D406F" w:rsidRDefault="00F547FC" w:rsidP="004D406F">
      <w:pPr>
        <w:pBdr>
          <w:top w:val="nil"/>
          <w:left w:val="nil"/>
          <w:bottom w:val="nil"/>
          <w:right w:val="nil"/>
          <w:between w:val="nil"/>
        </w:pBdr>
        <w:rPr>
          <w:rFonts w:ascii="Calibri" w:hAnsi="Calibri"/>
          <w:color w:val="000000"/>
        </w:rPr>
      </w:pPr>
      <w:r w:rsidRPr="004D406F">
        <w:rPr>
          <w:rFonts w:ascii="Calibri" w:hAnsi="Calibri"/>
          <w:color w:val="000000"/>
        </w:rPr>
        <w:t xml:space="preserve">2. Jovana Bojović, članica, </w:t>
      </w:r>
      <w:r w:rsidR="0077413F" w:rsidRPr="004D406F">
        <w:rPr>
          <w:rFonts w:ascii="Calibri" w:hAnsi="Calibri"/>
          <w:color w:val="000000"/>
        </w:rPr>
        <w:t>Generalni sekretarijat Vlade Crne Gore</w:t>
      </w:r>
    </w:p>
    <w:p w14:paraId="4A3FC458" w14:textId="01C12B9B" w:rsidR="0077413F" w:rsidRPr="004D406F" w:rsidRDefault="0077413F" w:rsidP="004D406F">
      <w:pPr>
        <w:pBdr>
          <w:top w:val="nil"/>
          <w:left w:val="nil"/>
          <w:bottom w:val="nil"/>
          <w:right w:val="nil"/>
          <w:between w:val="nil"/>
        </w:pBdr>
        <w:rPr>
          <w:rFonts w:ascii="Calibri" w:hAnsi="Calibri"/>
          <w:color w:val="000000"/>
        </w:rPr>
      </w:pPr>
      <w:r w:rsidRPr="004D406F">
        <w:rPr>
          <w:rFonts w:ascii="Calibri" w:hAnsi="Calibri"/>
          <w:color w:val="000000"/>
        </w:rPr>
        <w:t>3. Gordana Despotović Đekić, članica, Generalni sekretarijat Vlade Crne Gore</w:t>
      </w:r>
    </w:p>
    <w:p w14:paraId="6AB27C00" w14:textId="536B377E" w:rsidR="0077413F" w:rsidRPr="004D406F" w:rsidRDefault="0077413F" w:rsidP="004D406F">
      <w:pPr>
        <w:pBdr>
          <w:top w:val="nil"/>
          <w:left w:val="nil"/>
          <w:bottom w:val="nil"/>
          <w:right w:val="nil"/>
          <w:between w:val="nil"/>
        </w:pBdr>
        <w:rPr>
          <w:rFonts w:ascii="Calibri" w:hAnsi="Calibri"/>
          <w:color w:val="000000"/>
        </w:rPr>
      </w:pPr>
      <w:r w:rsidRPr="004D406F">
        <w:rPr>
          <w:rFonts w:ascii="Calibri" w:hAnsi="Calibri"/>
          <w:color w:val="000000"/>
        </w:rPr>
        <w:t>4. Stefan Bulatović, član, Ministarstvo evropskih poslova</w:t>
      </w:r>
    </w:p>
    <w:p w14:paraId="674FEB2F" w14:textId="18B38A4C" w:rsidR="0077413F" w:rsidRPr="004D406F" w:rsidRDefault="0077413F" w:rsidP="004D406F">
      <w:pPr>
        <w:pBdr>
          <w:top w:val="nil"/>
          <w:left w:val="nil"/>
          <w:bottom w:val="nil"/>
          <w:right w:val="nil"/>
          <w:between w:val="nil"/>
        </w:pBdr>
        <w:rPr>
          <w:rFonts w:ascii="Calibri" w:hAnsi="Calibri"/>
          <w:color w:val="000000"/>
        </w:rPr>
      </w:pPr>
      <w:r w:rsidRPr="004D406F">
        <w:rPr>
          <w:rFonts w:ascii="Calibri" w:hAnsi="Calibri"/>
          <w:color w:val="000000"/>
        </w:rPr>
        <w:t>5. Marija Maraš, članica, Odbor za evropske integracije, Skupština Crne Gore</w:t>
      </w:r>
    </w:p>
    <w:p w14:paraId="5A12A793" w14:textId="3ACD3B8F" w:rsidR="0077413F" w:rsidRPr="004D406F" w:rsidRDefault="0077413F" w:rsidP="004D406F">
      <w:pPr>
        <w:pBdr>
          <w:top w:val="nil"/>
          <w:left w:val="nil"/>
          <w:bottom w:val="nil"/>
          <w:right w:val="nil"/>
          <w:between w:val="nil"/>
        </w:pBdr>
        <w:rPr>
          <w:rFonts w:ascii="Calibri" w:hAnsi="Calibri"/>
          <w:color w:val="000000"/>
        </w:rPr>
      </w:pPr>
      <w:r w:rsidRPr="004D406F">
        <w:rPr>
          <w:rFonts w:ascii="Calibri" w:hAnsi="Calibri"/>
          <w:color w:val="000000"/>
        </w:rPr>
        <w:t>6. Vanja Starovlah, članica, Zajednica opština Crne Gore</w:t>
      </w:r>
    </w:p>
    <w:sectPr w:rsidR="0077413F" w:rsidRPr="004D406F">
      <w:footerReference w:type="even" r:id="rId41"/>
      <w:footerReference w:type="default" r:id="rId42"/>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F4B18" w14:textId="77777777" w:rsidR="00156901" w:rsidRDefault="00156901">
      <w:r>
        <w:separator/>
      </w:r>
    </w:p>
  </w:endnote>
  <w:endnote w:type="continuationSeparator" w:id="0">
    <w:p w14:paraId="4482B1EC" w14:textId="77777777" w:rsidR="00156901" w:rsidRDefault="00156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yantPro-RegularItalic">
    <w:panose1 w:val="00000000000000000000"/>
    <w:charset w:val="EE"/>
    <w:family w:val="swiss"/>
    <w:notTrueType/>
    <w:pitch w:val="default"/>
    <w:sig w:usb0="00000005" w:usb1="00000000" w:usb2="00000000" w:usb3="00000000" w:csb0="00000002" w:csb1="00000000"/>
  </w:font>
  <w:font w:name="BryantPro-Regular">
    <w:panose1 w:val="00000000000000000000"/>
    <w:charset w:val="EE"/>
    <w:family w:val="swiss"/>
    <w:notTrueType/>
    <w:pitch w:val="default"/>
    <w:sig w:usb0="00000005" w:usb1="00000000" w:usb2="00000000" w:usb3="00000000" w:csb0="00000002" w:csb1="00000000"/>
  </w:font>
  <w:font w:name="Gotham-Bold">
    <w:altName w:val="Calibri"/>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57" w14:textId="77777777" w:rsidR="00EE597D" w:rsidRDefault="00EE597D">
    <w:pPr>
      <w:pBdr>
        <w:top w:val="nil"/>
        <w:left w:val="nil"/>
        <w:bottom w:val="nil"/>
        <w:right w:val="nil"/>
        <w:between w:val="nil"/>
      </w:pBdr>
      <w:tabs>
        <w:tab w:val="center" w:pos="4513"/>
        <w:tab w:val="right" w:pos="9026"/>
      </w:tabs>
      <w:jc w:val="right"/>
      <w:rPr>
        <w:rFonts w:ascii="Calibri" w:hAnsi="Calibri"/>
        <w:color w:val="000000"/>
      </w:rPr>
    </w:pPr>
    <w:r>
      <w:rPr>
        <w:rFonts w:ascii="Calibri" w:hAnsi="Calibri"/>
        <w:color w:val="000000"/>
      </w:rPr>
      <w:fldChar w:fldCharType="begin"/>
    </w:r>
    <w:r>
      <w:rPr>
        <w:rFonts w:ascii="Calibri" w:hAnsi="Calibri"/>
        <w:color w:val="000000"/>
      </w:rPr>
      <w:instrText>PAGE</w:instrText>
    </w:r>
    <w:r>
      <w:rPr>
        <w:rFonts w:ascii="Calibri" w:hAnsi="Calibri"/>
        <w:color w:val="000000"/>
      </w:rPr>
      <w:fldChar w:fldCharType="end"/>
    </w:r>
  </w:p>
  <w:p w14:paraId="00000458" w14:textId="77777777" w:rsidR="00EE597D" w:rsidRDefault="00EE597D">
    <w:pPr>
      <w:pBdr>
        <w:top w:val="nil"/>
        <w:left w:val="nil"/>
        <w:bottom w:val="nil"/>
        <w:right w:val="nil"/>
        <w:between w:val="nil"/>
      </w:pBdr>
      <w:tabs>
        <w:tab w:val="center" w:pos="4513"/>
        <w:tab w:val="right" w:pos="9026"/>
      </w:tabs>
      <w:ind w:right="360"/>
      <w:rPr>
        <w:rFonts w:ascii="Calibri" w:hAnsi="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55" w14:textId="4D52DD39" w:rsidR="00EE597D" w:rsidRDefault="00EE597D">
    <w:pPr>
      <w:pBdr>
        <w:top w:val="nil"/>
        <w:left w:val="nil"/>
        <w:bottom w:val="nil"/>
        <w:right w:val="nil"/>
        <w:between w:val="nil"/>
      </w:pBdr>
      <w:tabs>
        <w:tab w:val="center" w:pos="4513"/>
        <w:tab w:val="right" w:pos="9026"/>
      </w:tabs>
      <w:jc w:val="right"/>
      <w:rPr>
        <w:rFonts w:ascii="Calibri" w:hAnsi="Calibri"/>
        <w:color w:val="000000"/>
      </w:rPr>
    </w:pPr>
    <w:r>
      <w:rPr>
        <w:rFonts w:ascii="Calibri" w:hAnsi="Calibri"/>
        <w:color w:val="000000"/>
      </w:rPr>
      <w:fldChar w:fldCharType="begin"/>
    </w:r>
    <w:r>
      <w:rPr>
        <w:rFonts w:ascii="Calibri" w:hAnsi="Calibri"/>
        <w:color w:val="000000"/>
      </w:rPr>
      <w:instrText>PAGE</w:instrText>
    </w:r>
    <w:r>
      <w:rPr>
        <w:rFonts w:ascii="Calibri" w:hAnsi="Calibri"/>
        <w:color w:val="000000"/>
      </w:rPr>
      <w:fldChar w:fldCharType="separate"/>
    </w:r>
    <w:r w:rsidR="00727E9D">
      <w:rPr>
        <w:rFonts w:ascii="Calibri" w:hAnsi="Calibri"/>
        <w:noProof/>
        <w:color w:val="000000"/>
      </w:rPr>
      <w:t>1</w:t>
    </w:r>
    <w:r>
      <w:rPr>
        <w:rFonts w:ascii="Calibri" w:hAnsi="Calibri"/>
        <w:color w:val="000000"/>
      </w:rPr>
      <w:fldChar w:fldCharType="end"/>
    </w:r>
  </w:p>
  <w:p w14:paraId="00000456" w14:textId="77777777" w:rsidR="00EE597D" w:rsidRDefault="00EE597D">
    <w:pPr>
      <w:pBdr>
        <w:top w:val="nil"/>
        <w:left w:val="nil"/>
        <w:bottom w:val="nil"/>
        <w:right w:val="nil"/>
        <w:between w:val="nil"/>
      </w:pBdr>
      <w:tabs>
        <w:tab w:val="center" w:pos="4513"/>
        <w:tab w:val="right" w:pos="9026"/>
      </w:tabs>
      <w:ind w:right="360"/>
      <w:rPr>
        <w:rFonts w:ascii="Calibri" w:hAnsi="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01249" w14:textId="77777777" w:rsidR="00156901" w:rsidRDefault="00156901">
      <w:r>
        <w:separator/>
      </w:r>
    </w:p>
  </w:footnote>
  <w:footnote w:type="continuationSeparator" w:id="0">
    <w:p w14:paraId="738A962F" w14:textId="77777777" w:rsidR="00156901" w:rsidRDefault="00156901">
      <w:r>
        <w:continuationSeparator/>
      </w:r>
    </w:p>
  </w:footnote>
  <w:footnote w:id="1">
    <w:p w14:paraId="00000445" w14:textId="4ACAD53C" w:rsidR="00EE597D" w:rsidRDefault="00EE597D">
      <w:pPr>
        <w:rPr>
          <w:sz w:val="20"/>
          <w:szCs w:val="20"/>
        </w:rPr>
      </w:pPr>
      <w:r>
        <w:rPr>
          <w:rStyle w:val="FootnoteReference"/>
        </w:rPr>
        <w:footnoteRef/>
      </w:r>
      <w:r>
        <w:rPr>
          <w:sz w:val="20"/>
          <w:szCs w:val="20"/>
        </w:rPr>
        <w:t xml:space="preserve"> Vlada Republike Crne Gore, 2004, </w:t>
      </w:r>
      <w:r>
        <w:rPr>
          <w:i/>
          <w:sz w:val="20"/>
          <w:szCs w:val="20"/>
        </w:rPr>
        <w:t>Komunikaciona strategija za informisanje javnosti o procesu pridruživanja Crne Gore Evropskoj uniji</w:t>
      </w:r>
      <w:r>
        <w:rPr>
          <w:sz w:val="20"/>
          <w:szCs w:val="20"/>
        </w:rPr>
        <w:t xml:space="preserve">, Vlada Republike Crne Gore, Podgorica. </w:t>
      </w:r>
    </w:p>
  </w:footnote>
  <w:footnote w:id="2">
    <w:p w14:paraId="00000446" w14:textId="77777777" w:rsidR="00EE597D" w:rsidRDefault="00EE597D">
      <w:pPr>
        <w:rPr>
          <w:sz w:val="20"/>
          <w:szCs w:val="20"/>
        </w:rPr>
      </w:pPr>
      <w:r>
        <w:rPr>
          <w:rStyle w:val="FootnoteReference"/>
        </w:rPr>
        <w:footnoteRef/>
      </w:r>
      <w:r>
        <w:rPr>
          <w:sz w:val="20"/>
          <w:szCs w:val="20"/>
        </w:rPr>
        <w:t xml:space="preserve"> Government Communication Service GCS (2021) </w:t>
      </w:r>
      <w:r>
        <w:rPr>
          <w:i/>
          <w:sz w:val="20"/>
          <w:szCs w:val="20"/>
        </w:rPr>
        <w:t>“Strategic Communication: MCOM Function Guide”,</w:t>
      </w:r>
      <w:r>
        <w:rPr>
          <w:sz w:val="20"/>
          <w:szCs w:val="20"/>
        </w:rPr>
        <w:t xml:space="preserve"> dostupno na:</w:t>
      </w:r>
      <w:hyperlink r:id="rId1">
        <w:r>
          <w:rPr>
            <w:sz w:val="20"/>
            <w:szCs w:val="20"/>
          </w:rPr>
          <w:t xml:space="preserve"> </w:t>
        </w:r>
      </w:hyperlink>
      <w:hyperlink r:id="rId2">
        <w:r>
          <w:rPr>
            <w:color w:val="1155CC"/>
            <w:sz w:val="20"/>
            <w:szCs w:val="20"/>
            <w:u w:val="single"/>
          </w:rPr>
          <w:t>https://gcs.civilservice.gov.uk/publications/strategic-communication-mcom-function-guide/</w:t>
        </w:r>
      </w:hyperlink>
      <w:r>
        <w:rPr>
          <w:sz w:val="20"/>
          <w:szCs w:val="20"/>
        </w:rPr>
        <w:t xml:space="preserve"> Pristupljeno: 1. jul 2022. </w:t>
      </w:r>
    </w:p>
    <w:p w14:paraId="00000447" w14:textId="77777777" w:rsidR="00EE597D" w:rsidRDefault="00EE597D">
      <w:pPr>
        <w:rPr>
          <w:sz w:val="20"/>
          <w:szCs w:val="20"/>
        </w:rPr>
      </w:pPr>
    </w:p>
  </w:footnote>
  <w:footnote w:id="3">
    <w:p w14:paraId="00000448" w14:textId="77777777" w:rsidR="00EE597D" w:rsidRDefault="00EE597D">
      <w:pPr>
        <w:pBdr>
          <w:top w:val="nil"/>
          <w:left w:val="nil"/>
          <w:bottom w:val="nil"/>
          <w:right w:val="nil"/>
          <w:between w:val="nil"/>
        </w:pBdr>
        <w:rPr>
          <w:rFonts w:ascii="Calibri" w:hAnsi="Calibri"/>
          <w:color w:val="000000"/>
          <w:sz w:val="20"/>
          <w:szCs w:val="20"/>
        </w:rPr>
      </w:pPr>
      <w:r>
        <w:rPr>
          <w:rStyle w:val="FootnoteReference"/>
        </w:rPr>
        <w:footnoteRef/>
      </w:r>
      <w:r>
        <w:rPr>
          <w:rFonts w:ascii="Calibri" w:hAnsi="Calibri"/>
          <w:color w:val="000000"/>
          <w:sz w:val="20"/>
          <w:szCs w:val="20"/>
        </w:rPr>
        <w:t xml:space="preserve"> Vlada Crne Gore, Strategije informisanja javnosti o pristupanju Crne Gore 2019-2022. godine, Podgorica, 2019. godina</w:t>
      </w:r>
    </w:p>
  </w:footnote>
  <w:footnote w:id="4">
    <w:p w14:paraId="00000449" w14:textId="77777777" w:rsidR="00EE597D" w:rsidRDefault="00EE597D">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Generalni Sekretarijat Vlade Crne Gore, </w:t>
      </w:r>
      <w:r>
        <w:rPr>
          <w:i/>
          <w:color w:val="000000"/>
          <w:sz w:val="20"/>
          <w:szCs w:val="20"/>
        </w:rPr>
        <w:t xml:space="preserve">Metodologiji razvijanja politika, izrade i praćenja sprovođenja strateških dokumenata, </w:t>
      </w:r>
      <w:r>
        <w:rPr>
          <w:color w:val="000000"/>
          <w:sz w:val="20"/>
          <w:szCs w:val="20"/>
        </w:rPr>
        <w:t xml:space="preserve">drugo, dopunjeno izdanje, Podgorica, 2018. godina i Generalni Sekretarijat Vlade Crne Gore, </w:t>
      </w:r>
      <w:r>
        <w:rPr>
          <w:i/>
          <w:color w:val="000000"/>
          <w:sz w:val="20"/>
          <w:szCs w:val="20"/>
        </w:rPr>
        <w:t xml:space="preserve">Smjernice za pripremu strateških dokumenata, </w:t>
      </w:r>
      <w:r>
        <w:rPr>
          <w:color w:val="000000"/>
          <w:sz w:val="20"/>
          <w:szCs w:val="20"/>
        </w:rPr>
        <w:t>Podgorica, 2022. godina</w:t>
      </w:r>
    </w:p>
  </w:footnote>
  <w:footnote w:id="5">
    <w:p w14:paraId="0000044A" w14:textId="77777777" w:rsidR="00EE597D" w:rsidRDefault="00EE597D">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Istraživanja je sprovodila agencija De Facto Consultancy za potrebe organizacione jedinice unutar Vlade Crne Gore koja se u tom trenutku bavila evropskom integracijom. Istraživanje 2013. godine podržao je UNDP, 2015. godine British Council, 2016, 2017. i 2018. godine EU info centar, 2019, 2020. 2021. i 2022. godine. Sva istraživanja rađena su na uzorku reprezentativnom za Crnu Goru koji je uključio preko 1000 ispitanika. Tehnika prikupljanja podataka je bila CAPI i PAPI (samo 2013. godine). </w:t>
      </w:r>
    </w:p>
  </w:footnote>
  <w:footnote w:id="6">
    <w:p w14:paraId="0000044B" w14:textId="77777777" w:rsidR="00EE597D" w:rsidRDefault="00EE597D">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Ove dvije istraživačke organizacije prate različitu metodologiju mjerenja (različit tim istraživanja i različit upitnik), tako da ih treba posmatrati zasebno, tj. upoređivati trendove „unutar“ istraživanja.</w:t>
      </w:r>
    </w:p>
  </w:footnote>
  <w:footnote w:id="7">
    <w:p w14:paraId="0000044C" w14:textId="77777777" w:rsidR="00EE597D" w:rsidRDefault="00EE597D">
      <w:pPr>
        <w:pBdr>
          <w:top w:val="nil"/>
          <w:left w:val="nil"/>
          <w:bottom w:val="nil"/>
          <w:right w:val="nil"/>
          <w:between w:val="nil"/>
        </w:pBdr>
        <w:jc w:val="left"/>
        <w:rPr>
          <w:color w:val="000000"/>
          <w:sz w:val="20"/>
          <w:szCs w:val="20"/>
        </w:rPr>
      </w:pPr>
      <w:r>
        <w:rPr>
          <w:rStyle w:val="FootnoteReference"/>
        </w:rPr>
        <w:footnoteRef/>
      </w:r>
      <w:r>
        <w:rPr>
          <w:color w:val="000000"/>
          <w:sz w:val="20"/>
          <w:szCs w:val="20"/>
        </w:rPr>
        <w:t xml:space="preserve"> Izvor: </w:t>
      </w:r>
      <w:hyperlink r:id="rId3">
        <w:r>
          <w:rPr>
            <w:color w:val="0563C1"/>
            <w:sz w:val="20"/>
            <w:szCs w:val="20"/>
            <w:u w:val="single"/>
          </w:rPr>
          <w:t>https://www.cedem.me/wp-content/uploads/2022/02/Prezentacija-decembar-2021._FINAL_compressed.pdf</w:t>
        </w:r>
      </w:hyperlink>
      <w:r>
        <w:rPr>
          <w:color w:val="000000"/>
          <w:sz w:val="20"/>
          <w:szCs w:val="20"/>
        </w:rPr>
        <w:t>, pristupljeno: 20. juna 2022. godine</w:t>
      </w:r>
    </w:p>
  </w:footnote>
  <w:footnote w:id="8">
    <w:p w14:paraId="69EB0EA4" w14:textId="77777777" w:rsidR="00EE597D" w:rsidRDefault="00EE597D" w:rsidP="007D6D89">
      <w:pPr>
        <w:rPr>
          <w:sz w:val="20"/>
          <w:szCs w:val="20"/>
        </w:rPr>
      </w:pPr>
      <w:r>
        <w:rPr>
          <w:rStyle w:val="FootnoteReference"/>
        </w:rPr>
        <w:footnoteRef/>
      </w:r>
      <w:r>
        <w:rPr>
          <w:sz w:val="20"/>
          <w:szCs w:val="20"/>
        </w:rPr>
        <w:t xml:space="preserve"> Foreign Information Manipulation and Interference (FIMI) je novi pojam kojim Evropska unija definiše manipulacije informacija i uticaj koji dolazi od spoljnih faktora, koji uglavnom nije nelegalan, a za cilj ima manipulaciju javnog mnjenja. Time je pojam nešto sveobuhvatniji od dezinformacija. </w:t>
      </w:r>
    </w:p>
  </w:footnote>
  <w:footnote w:id="9">
    <w:p w14:paraId="00000450" w14:textId="77777777" w:rsidR="00EE597D" w:rsidRDefault="00EE597D">
      <w:pPr>
        <w:rPr>
          <w:sz w:val="20"/>
          <w:szCs w:val="20"/>
        </w:rPr>
      </w:pPr>
      <w:r>
        <w:rPr>
          <w:rStyle w:val="FootnoteReference"/>
        </w:rPr>
        <w:footnoteRef/>
      </w:r>
      <w:r>
        <w:rPr>
          <w:sz w:val="20"/>
          <w:szCs w:val="20"/>
        </w:rPr>
        <w:t xml:space="preserve"> European Commission (2020) </w:t>
      </w:r>
      <w:r>
        <w:rPr>
          <w:i/>
          <w:sz w:val="20"/>
          <w:szCs w:val="20"/>
        </w:rPr>
        <w:t>Strategic Plan 2020-2024 DG COMMUNICATION</w:t>
      </w:r>
      <w:r>
        <w:rPr>
          <w:sz w:val="20"/>
          <w:szCs w:val="20"/>
        </w:rPr>
        <w:t>, dostupno na:</w:t>
      </w:r>
      <w:hyperlink r:id="rId4">
        <w:r>
          <w:rPr>
            <w:sz w:val="20"/>
            <w:szCs w:val="20"/>
          </w:rPr>
          <w:t xml:space="preserve"> </w:t>
        </w:r>
      </w:hyperlink>
      <w:hyperlink r:id="rId5">
        <w:r>
          <w:rPr>
            <w:color w:val="1155CC"/>
            <w:sz w:val="20"/>
            <w:szCs w:val="20"/>
            <w:u w:val="single"/>
          </w:rPr>
          <w:t>https://ec.europa.eu/info/sites/default/files/comm_sp_2020_2024_en.pdf</w:t>
        </w:r>
      </w:hyperlink>
      <w:r>
        <w:rPr>
          <w:sz w:val="20"/>
          <w:szCs w:val="20"/>
        </w:rPr>
        <w:t xml:space="preserve"> prisupljeno: 1. jul 2022. </w:t>
      </w:r>
    </w:p>
    <w:p w14:paraId="00000451" w14:textId="77777777" w:rsidR="00EE597D" w:rsidRDefault="00EE597D">
      <w:pPr>
        <w:rPr>
          <w:sz w:val="20"/>
          <w:szCs w:val="20"/>
        </w:rPr>
      </w:pPr>
    </w:p>
  </w:footnote>
  <w:footnote w:id="10">
    <w:p w14:paraId="00000452" w14:textId="77777777" w:rsidR="00EE597D" w:rsidRDefault="00EE597D">
      <w:pPr>
        <w:rPr>
          <w:sz w:val="20"/>
          <w:szCs w:val="20"/>
        </w:rPr>
      </w:pPr>
      <w:r>
        <w:rPr>
          <w:rStyle w:val="FootnoteReference"/>
        </w:rPr>
        <w:footnoteRef/>
      </w:r>
      <w:r>
        <w:rPr>
          <w:sz w:val="20"/>
          <w:szCs w:val="20"/>
        </w:rPr>
        <w:t xml:space="preserve"> Evropski savjet, 2018, </w:t>
      </w:r>
      <w:r>
        <w:rPr>
          <w:i/>
          <w:sz w:val="20"/>
          <w:szCs w:val="20"/>
        </w:rPr>
        <w:t>Rezolucija Savjeta Evropske unije i predstavnika vlada država članica, koji su se sastali unutar Savjeta, o okviru za europsku suradnju u području mladih: strategija Europske unije za mlade za razdoblje 2019.–2027</w:t>
      </w:r>
      <w:r>
        <w:rPr>
          <w:sz w:val="20"/>
          <w:szCs w:val="20"/>
        </w:rPr>
        <w:t>, (2018/C 456/01</w:t>
      </w:r>
      <w:r>
        <w:t>)</w:t>
      </w:r>
    </w:p>
  </w:footnote>
  <w:footnote w:id="11">
    <w:p w14:paraId="0000045A" w14:textId="77777777" w:rsidR="00EE597D" w:rsidRDefault="00EE597D">
      <w:pPr>
        <w:rPr>
          <w:sz w:val="20"/>
          <w:szCs w:val="20"/>
        </w:rPr>
      </w:pPr>
      <w:r>
        <w:rPr>
          <w:rStyle w:val="FootnoteReference"/>
        </w:rPr>
        <w:footnoteRef/>
      </w:r>
      <w:r>
        <w:rPr>
          <w:sz w:val="20"/>
          <w:szCs w:val="20"/>
        </w:rPr>
        <w:t xml:space="preserve"> Tokom 2021. godine Crna Gora je dobila 40,5 miliona eura direktne budžetske podrške koja i iskorištena uglavnom za socijalne potrebe i pomoć najugroženijima </w:t>
      </w:r>
    </w:p>
  </w:footnote>
  <w:footnote w:id="12">
    <w:p w14:paraId="00000453" w14:textId="77777777" w:rsidR="00EE597D" w:rsidRDefault="00EE597D">
      <w:pPr>
        <w:rPr>
          <w:i/>
          <w:sz w:val="20"/>
          <w:szCs w:val="20"/>
        </w:rPr>
      </w:pPr>
      <w:r>
        <w:rPr>
          <w:rStyle w:val="FootnoteReference"/>
        </w:rPr>
        <w:footnoteRef/>
      </w:r>
      <w:r>
        <w:rPr>
          <w:sz w:val="20"/>
          <w:szCs w:val="20"/>
        </w:rPr>
        <w:t xml:space="preserve"> Brown, Brene, (2012) </w:t>
      </w:r>
      <w:r>
        <w:rPr>
          <w:i/>
          <w:sz w:val="20"/>
          <w:szCs w:val="20"/>
        </w:rPr>
        <w:t>“The Power of Vulnerability: Teachings on Authenticity, Connection and Courage”, Sound True. New York, ©2022 Brené Brown, LLC</w:t>
      </w:r>
    </w:p>
    <w:p w14:paraId="00000454" w14:textId="77777777" w:rsidR="00EE597D" w:rsidRDefault="00EE597D">
      <w:pPr>
        <w:rPr>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76F0"/>
    <w:multiLevelType w:val="multilevel"/>
    <w:tmpl w:val="673261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332C7C"/>
    <w:multiLevelType w:val="hybridMultilevel"/>
    <w:tmpl w:val="973C86DC"/>
    <w:lvl w:ilvl="0" w:tplc="4D728BDA">
      <w:numFmt w:val="bullet"/>
      <w:lvlText w:val="-"/>
      <w:lvlJc w:val="left"/>
      <w:pPr>
        <w:ind w:left="720" w:hanging="360"/>
      </w:pPr>
      <w:rPr>
        <w:rFonts w:ascii="Calibri Light" w:eastAsia="Calibri" w:hAnsi="Calibri Light" w:cs="Calibr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 w15:restartNumberingAfterBreak="0">
    <w:nsid w:val="1B5A77FE"/>
    <w:multiLevelType w:val="multilevel"/>
    <w:tmpl w:val="5B2E64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690D55"/>
    <w:multiLevelType w:val="hybridMultilevel"/>
    <w:tmpl w:val="4E6A9928"/>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 w15:restartNumberingAfterBreak="0">
    <w:nsid w:val="20CF6F2F"/>
    <w:multiLevelType w:val="multilevel"/>
    <w:tmpl w:val="4A38B9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F7B325B"/>
    <w:multiLevelType w:val="multilevel"/>
    <w:tmpl w:val="023E68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900440"/>
    <w:multiLevelType w:val="multilevel"/>
    <w:tmpl w:val="9814DD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137B8D"/>
    <w:multiLevelType w:val="multilevel"/>
    <w:tmpl w:val="235038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7FD27A9"/>
    <w:multiLevelType w:val="multilevel"/>
    <w:tmpl w:val="6D585F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38B23137"/>
    <w:multiLevelType w:val="multilevel"/>
    <w:tmpl w:val="97588F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F506C3C"/>
    <w:multiLevelType w:val="multilevel"/>
    <w:tmpl w:val="FAB8ED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BD834FE"/>
    <w:multiLevelType w:val="multilevel"/>
    <w:tmpl w:val="85BCFD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40D218E"/>
    <w:multiLevelType w:val="multilevel"/>
    <w:tmpl w:val="D62049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5652C55"/>
    <w:multiLevelType w:val="hybridMultilevel"/>
    <w:tmpl w:val="E3CEE31C"/>
    <w:lvl w:ilvl="0" w:tplc="5F3CFB00">
      <w:numFmt w:val="bullet"/>
      <w:lvlText w:val="-"/>
      <w:lvlJc w:val="left"/>
      <w:pPr>
        <w:ind w:left="720" w:hanging="360"/>
      </w:pPr>
      <w:rPr>
        <w:rFonts w:ascii="Calibri" w:eastAsiaTheme="minorHAnsi" w:hAnsi="Calibri" w:cs="Calibr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4" w15:restartNumberingAfterBreak="0">
    <w:nsid w:val="74262A2E"/>
    <w:multiLevelType w:val="multilevel"/>
    <w:tmpl w:val="9F761B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82008817">
    <w:abstractNumId w:val="2"/>
  </w:num>
  <w:num w:numId="2" w16cid:durableId="1751274011">
    <w:abstractNumId w:val="12"/>
  </w:num>
  <w:num w:numId="3" w16cid:durableId="1937013206">
    <w:abstractNumId w:val="7"/>
  </w:num>
  <w:num w:numId="4" w16cid:durableId="1499928199">
    <w:abstractNumId w:val="6"/>
  </w:num>
  <w:num w:numId="5" w16cid:durableId="1743987003">
    <w:abstractNumId w:val="0"/>
  </w:num>
  <w:num w:numId="6" w16cid:durableId="1433893313">
    <w:abstractNumId w:val="5"/>
  </w:num>
  <w:num w:numId="7" w16cid:durableId="1294559808">
    <w:abstractNumId w:val="9"/>
  </w:num>
  <w:num w:numId="8" w16cid:durableId="1787112769">
    <w:abstractNumId w:val="4"/>
  </w:num>
  <w:num w:numId="9" w16cid:durableId="1540972082">
    <w:abstractNumId w:val="10"/>
  </w:num>
  <w:num w:numId="10" w16cid:durableId="221062013">
    <w:abstractNumId w:val="14"/>
  </w:num>
  <w:num w:numId="11" w16cid:durableId="242497302">
    <w:abstractNumId w:val="11"/>
  </w:num>
  <w:num w:numId="12" w16cid:durableId="555971152">
    <w:abstractNumId w:val="8"/>
  </w:num>
  <w:num w:numId="13" w16cid:durableId="718626365">
    <w:abstractNumId w:val="3"/>
  </w:num>
  <w:num w:numId="14" w16cid:durableId="248582024">
    <w:abstractNumId w:val="1"/>
  </w:num>
  <w:num w:numId="15" w16cid:durableId="10113707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527"/>
    <w:rsid w:val="0000305A"/>
    <w:rsid w:val="00011982"/>
    <w:rsid w:val="00011DC4"/>
    <w:rsid w:val="00012089"/>
    <w:rsid w:val="00016651"/>
    <w:rsid w:val="00030D8C"/>
    <w:rsid w:val="000430B9"/>
    <w:rsid w:val="00050AF7"/>
    <w:rsid w:val="000616E7"/>
    <w:rsid w:val="000639D6"/>
    <w:rsid w:val="00063D0E"/>
    <w:rsid w:val="00066379"/>
    <w:rsid w:val="000711AA"/>
    <w:rsid w:val="00071CE9"/>
    <w:rsid w:val="000A5977"/>
    <w:rsid w:val="000B1BE9"/>
    <w:rsid w:val="000D4628"/>
    <w:rsid w:val="000E55F5"/>
    <w:rsid w:val="000E5C44"/>
    <w:rsid w:val="000E7D01"/>
    <w:rsid w:val="00106EAC"/>
    <w:rsid w:val="001123BD"/>
    <w:rsid w:val="00114D47"/>
    <w:rsid w:val="0012581D"/>
    <w:rsid w:val="00131320"/>
    <w:rsid w:val="00135B9A"/>
    <w:rsid w:val="00135F62"/>
    <w:rsid w:val="00151B99"/>
    <w:rsid w:val="00156901"/>
    <w:rsid w:val="0016192D"/>
    <w:rsid w:val="00167F3A"/>
    <w:rsid w:val="00185AD4"/>
    <w:rsid w:val="00186284"/>
    <w:rsid w:val="00187C57"/>
    <w:rsid w:val="00190716"/>
    <w:rsid w:val="001907E2"/>
    <w:rsid w:val="001915A0"/>
    <w:rsid w:val="00195F62"/>
    <w:rsid w:val="001B45C2"/>
    <w:rsid w:val="001C3113"/>
    <w:rsid w:val="001D6B6C"/>
    <w:rsid w:val="001E549C"/>
    <w:rsid w:val="001E76CE"/>
    <w:rsid w:val="001E772F"/>
    <w:rsid w:val="001F6A52"/>
    <w:rsid w:val="00202196"/>
    <w:rsid w:val="002025D8"/>
    <w:rsid w:val="00205513"/>
    <w:rsid w:val="00206638"/>
    <w:rsid w:val="0021022E"/>
    <w:rsid w:val="00215EE6"/>
    <w:rsid w:val="00224178"/>
    <w:rsid w:val="00225DBE"/>
    <w:rsid w:val="00243A21"/>
    <w:rsid w:val="00254ADF"/>
    <w:rsid w:val="00271BEC"/>
    <w:rsid w:val="002743B3"/>
    <w:rsid w:val="00274BE4"/>
    <w:rsid w:val="0028044B"/>
    <w:rsid w:val="002B49E6"/>
    <w:rsid w:val="002B6845"/>
    <w:rsid w:val="002B7F2D"/>
    <w:rsid w:val="002E6BB9"/>
    <w:rsid w:val="002F6359"/>
    <w:rsid w:val="00304A14"/>
    <w:rsid w:val="003209A0"/>
    <w:rsid w:val="00322817"/>
    <w:rsid w:val="00326025"/>
    <w:rsid w:val="00340AB2"/>
    <w:rsid w:val="0034751A"/>
    <w:rsid w:val="003529DB"/>
    <w:rsid w:val="00352B81"/>
    <w:rsid w:val="00356998"/>
    <w:rsid w:val="00357018"/>
    <w:rsid w:val="003605FF"/>
    <w:rsid w:val="0036442B"/>
    <w:rsid w:val="003671D7"/>
    <w:rsid w:val="003704D7"/>
    <w:rsid w:val="00370AA6"/>
    <w:rsid w:val="00380330"/>
    <w:rsid w:val="00380CB7"/>
    <w:rsid w:val="00383A8B"/>
    <w:rsid w:val="00392229"/>
    <w:rsid w:val="003930A3"/>
    <w:rsid w:val="003A6BE6"/>
    <w:rsid w:val="003B24C9"/>
    <w:rsid w:val="003C4221"/>
    <w:rsid w:val="003C6466"/>
    <w:rsid w:val="003E331F"/>
    <w:rsid w:val="003E3564"/>
    <w:rsid w:val="003F70D7"/>
    <w:rsid w:val="00415F1F"/>
    <w:rsid w:val="00417142"/>
    <w:rsid w:val="00421DC8"/>
    <w:rsid w:val="004240D1"/>
    <w:rsid w:val="004363E5"/>
    <w:rsid w:val="00447119"/>
    <w:rsid w:val="0045456D"/>
    <w:rsid w:val="00456B93"/>
    <w:rsid w:val="00461696"/>
    <w:rsid w:val="004704B6"/>
    <w:rsid w:val="004751DF"/>
    <w:rsid w:val="00484051"/>
    <w:rsid w:val="0048471F"/>
    <w:rsid w:val="00493177"/>
    <w:rsid w:val="004A688E"/>
    <w:rsid w:val="004B79A3"/>
    <w:rsid w:val="004D08FB"/>
    <w:rsid w:val="004D3646"/>
    <w:rsid w:val="004D406F"/>
    <w:rsid w:val="004E4614"/>
    <w:rsid w:val="004F313D"/>
    <w:rsid w:val="004F46EA"/>
    <w:rsid w:val="005018D3"/>
    <w:rsid w:val="00501DF2"/>
    <w:rsid w:val="005145A6"/>
    <w:rsid w:val="00524E58"/>
    <w:rsid w:val="00526B7A"/>
    <w:rsid w:val="00534FF5"/>
    <w:rsid w:val="00547193"/>
    <w:rsid w:val="005611A8"/>
    <w:rsid w:val="00571697"/>
    <w:rsid w:val="00582B7D"/>
    <w:rsid w:val="005849EC"/>
    <w:rsid w:val="005A37C2"/>
    <w:rsid w:val="005A6BF5"/>
    <w:rsid w:val="005D2712"/>
    <w:rsid w:val="005E0302"/>
    <w:rsid w:val="005F0086"/>
    <w:rsid w:val="005F0AD3"/>
    <w:rsid w:val="005F1826"/>
    <w:rsid w:val="005F3AAF"/>
    <w:rsid w:val="005F41D2"/>
    <w:rsid w:val="006024B8"/>
    <w:rsid w:val="00607FC2"/>
    <w:rsid w:val="006104E4"/>
    <w:rsid w:val="00614895"/>
    <w:rsid w:val="006164B4"/>
    <w:rsid w:val="00616713"/>
    <w:rsid w:val="006204E7"/>
    <w:rsid w:val="00623CB6"/>
    <w:rsid w:val="00635205"/>
    <w:rsid w:val="00640373"/>
    <w:rsid w:val="00642451"/>
    <w:rsid w:val="0065163D"/>
    <w:rsid w:val="00662AD1"/>
    <w:rsid w:val="0066369A"/>
    <w:rsid w:val="00671275"/>
    <w:rsid w:val="00676483"/>
    <w:rsid w:val="00677795"/>
    <w:rsid w:val="006829BA"/>
    <w:rsid w:val="00691F93"/>
    <w:rsid w:val="0069416A"/>
    <w:rsid w:val="0069489C"/>
    <w:rsid w:val="006B4C69"/>
    <w:rsid w:val="006C2B08"/>
    <w:rsid w:val="006C667E"/>
    <w:rsid w:val="006E3DD4"/>
    <w:rsid w:val="006F12C6"/>
    <w:rsid w:val="006F2E11"/>
    <w:rsid w:val="006F440F"/>
    <w:rsid w:val="00705E7E"/>
    <w:rsid w:val="00706589"/>
    <w:rsid w:val="00706607"/>
    <w:rsid w:val="0071200A"/>
    <w:rsid w:val="00713758"/>
    <w:rsid w:val="00721CB7"/>
    <w:rsid w:val="00722B26"/>
    <w:rsid w:val="00727E9D"/>
    <w:rsid w:val="0074480B"/>
    <w:rsid w:val="00744B46"/>
    <w:rsid w:val="007464E0"/>
    <w:rsid w:val="00753A10"/>
    <w:rsid w:val="007619AE"/>
    <w:rsid w:val="00770271"/>
    <w:rsid w:val="00772213"/>
    <w:rsid w:val="00773A34"/>
    <w:rsid w:val="0077413F"/>
    <w:rsid w:val="00785C4B"/>
    <w:rsid w:val="00787B4B"/>
    <w:rsid w:val="00792509"/>
    <w:rsid w:val="007935BD"/>
    <w:rsid w:val="0079373F"/>
    <w:rsid w:val="007A6527"/>
    <w:rsid w:val="007C3109"/>
    <w:rsid w:val="007C3ED0"/>
    <w:rsid w:val="007D6D89"/>
    <w:rsid w:val="007E0C19"/>
    <w:rsid w:val="007E0EBF"/>
    <w:rsid w:val="007E2958"/>
    <w:rsid w:val="007E434B"/>
    <w:rsid w:val="007F2C1C"/>
    <w:rsid w:val="00804BB2"/>
    <w:rsid w:val="00821E57"/>
    <w:rsid w:val="00826AA0"/>
    <w:rsid w:val="00837317"/>
    <w:rsid w:val="00837D3F"/>
    <w:rsid w:val="00841CE0"/>
    <w:rsid w:val="00842CFB"/>
    <w:rsid w:val="00852EAC"/>
    <w:rsid w:val="00856A32"/>
    <w:rsid w:val="008675DB"/>
    <w:rsid w:val="00870189"/>
    <w:rsid w:val="00870DD2"/>
    <w:rsid w:val="00872BE2"/>
    <w:rsid w:val="00883D64"/>
    <w:rsid w:val="0088729B"/>
    <w:rsid w:val="00895D08"/>
    <w:rsid w:val="008A731D"/>
    <w:rsid w:val="008A787C"/>
    <w:rsid w:val="008B12BA"/>
    <w:rsid w:val="008C08A3"/>
    <w:rsid w:val="008C2299"/>
    <w:rsid w:val="008D632C"/>
    <w:rsid w:val="00900DEF"/>
    <w:rsid w:val="009022F4"/>
    <w:rsid w:val="00910E2C"/>
    <w:rsid w:val="00920F91"/>
    <w:rsid w:val="0092560A"/>
    <w:rsid w:val="00931091"/>
    <w:rsid w:val="009334EB"/>
    <w:rsid w:val="00935A40"/>
    <w:rsid w:val="0094161E"/>
    <w:rsid w:val="00944CF8"/>
    <w:rsid w:val="00945823"/>
    <w:rsid w:val="00945D9F"/>
    <w:rsid w:val="00971E33"/>
    <w:rsid w:val="00973FEE"/>
    <w:rsid w:val="009812A7"/>
    <w:rsid w:val="00986483"/>
    <w:rsid w:val="00995115"/>
    <w:rsid w:val="009A66C8"/>
    <w:rsid w:val="009C18A4"/>
    <w:rsid w:val="009C246E"/>
    <w:rsid w:val="009C5921"/>
    <w:rsid w:val="009C7BD0"/>
    <w:rsid w:val="009D0EB4"/>
    <w:rsid w:val="009D3E61"/>
    <w:rsid w:val="009E434A"/>
    <w:rsid w:val="009F0FC5"/>
    <w:rsid w:val="00A16CDA"/>
    <w:rsid w:val="00A25A50"/>
    <w:rsid w:val="00A25ECB"/>
    <w:rsid w:val="00A2783D"/>
    <w:rsid w:val="00A42966"/>
    <w:rsid w:val="00A4719F"/>
    <w:rsid w:val="00A53F2A"/>
    <w:rsid w:val="00A77FD3"/>
    <w:rsid w:val="00A81026"/>
    <w:rsid w:val="00A93BD4"/>
    <w:rsid w:val="00A94978"/>
    <w:rsid w:val="00A97936"/>
    <w:rsid w:val="00AB07DB"/>
    <w:rsid w:val="00AE129F"/>
    <w:rsid w:val="00AE1A5B"/>
    <w:rsid w:val="00AF0364"/>
    <w:rsid w:val="00AF09E2"/>
    <w:rsid w:val="00AF1FAC"/>
    <w:rsid w:val="00AF6280"/>
    <w:rsid w:val="00B052C9"/>
    <w:rsid w:val="00B064A8"/>
    <w:rsid w:val="00B21111"/>
    <w:rsid w:val="00B25BC7"/>
    <w:rsid w:val="00B2667E"/>
    <w:rsid w:val="00B3343E"/>
    <w:rsid w:val="00B35160"/>
    <w:rsid w:val="00B36FBC"/>
    <w:rsid w:val="00B504B7"/>
    <w:rsid w:val="00B54083"/>
    <w:rsid w:val="00B54E47"/>
    <w:rsid w:val="00B65272"/>
    <w:rsid w:val="00B65DD5"/>
    <w:rsid w:val="00B71DCE"/>
    <w:rsid w:val="00B72B27"/>
    <w:rsid w:val="00B77515"/>
    <w:rsid w:val="00B91256"/>
    <w:rsid w:val="00B93154"/>
    <w:rsid w:val="00BA5066"/>
    <w:rsid w:val="00BB061C"/>
    <w:rsid w:val="00BB5AD5"/>
    <w:rsid w:val="00BD29AA"/>
    <w:rsid w:val="00BE4B2A"/>
    <w:rsid w:val="00BE609B"/>
    <w:rsid w:val="00BF2DE0"/>
    <w:rsid w:val="00BF3AA5"/>
    <w:rsid w:val="00C02C55"/>
    <w:rsid w:val="00C06CA9"/>
    <w:rsid w:val="00C1209A"/>
    <w:rsid w:val="00C1507A"/>
    <w:rsid w:val="00C2639F"/>
    <w:rsid w:val="00C3243A"/>
    <w:rsid w:val="00C32808"/>
    <w:rsid w:val="00C32A21"/>
    <w:rsid w:val="00C34189"/>
    <w:rsid w:val="00C37A16"/>
    <w:rsid w:val="00C51CFC"/>
    <w:rsid w:val="00C5599F"/>
    <w:rsid w:val="00C652B0"/>
    <w:rsid w:val="00C7488D"/>
    <w:rsid w:val="00C811C7"/>
    <w:rsid w:val="00C81F74"/>
    <w:rsid w:val="00C83490"/>
    <w:rsid w:val="00C91B2D"/>
    <w:rsid w:val="00C92929"/>
    <w:rsid w:val="00CA0325"/>
    <w:rsid w:val="00CA079E"/>
    <w:rsid w:val="00CA2816"/>
    <w:rsid w:val="00CA35B1"/>
    <w:rsid w:val="00CA72B2"/>
    <w:rsid w:val="00CC1018"/>
    <w:rsid w:val="00CC6816"/>
    <w:rsid w:val="00CD1253"/>
    <w:rsid w:val="00CD6D24"/>
    <w:rsid w:val="00CE0F9D"/>
    <w:rsid w:val="00CE53EA"/>
    <w:rsid w:val="00CF626A"/>
    <w:rsid w:val="00CF7866"/>
    <w:rsid w:val="00D06DE0"/>
    <w:rsid w:val="00D140CC"/>
    <w:rsid w:val="00D20BBB"/>
    <w:rsid w:val="00D22DB9"/>
    <w:rsid w:val="00D45B84"/>
    <w:rsid w:val="00D47F3B"/>
    <w:rsid w:val="00D637C3"/>
    <w:rsid w:val="00D72E31"/>
    <w:rsid w:val="00D75FF8"/>
    <w:rsid w:val="00D7676B"/>
    <w:rsid w:val="00D7716D"/>
    <w:rsid w:val="00DA0DA4"/>
    <w:rsid w:val="00DA6BE4"/>
    <w:rsid w:val="00DB7707"/>
    <w:rsid w:val="00DC08A0"/>
    <w:rsid w:val="00DC5E99"/>
    <w:rsid w:val="00DE3C9D"/>
    <w:rsid w:val="00DF58F1"/>
    <w:rsid w:val="00E018F2"/>
    <w:rsid w:val="00E0396C"/>
    <w:rsid w:val="00E077B5"/>
    <w:rsid w:val="00E16E39"/>
    <w:rsid w:val="00E24541"/>
    <w:rsid w:val="00E25AA7"/>
    <w:rsid w:val="00E27A53"/>
    <w:rsid w:val="00E32B08"/>
    <w:rsid w:val="00E3490E"/>
    <w:rsid w:val="00E40329"/>
    <w:rsid w:val="00E4712B"/>
    <w:rsid w:val="00E5080A"/>
    <w:rsid w:val="00E654E5"/>
    <w:rsid w:val="00E663A9"/>
    <w:rsid w:val="00E73F9B"/>
    <w:rsid w:val="00E75BDB"/>
    <w:rsid w:val="00E84483"/>
    <w:rsid w:val="00E86532"/>
    <w:rsid w:val="00E963DA"/>
    <w:rsid w:val="00EA0C05"/>
    <w:rsid w:val="00EA204E"/>
    <w:rsid w:val="00EB38D8"/>
    <w:rsid w:val="00EB4FA2"/>
    <w:rsid w:val="00EC3585"/>
    <w:rsid w:val="00EC4D86"/>
    <w:rsid w:val="00ED3664"/>
    <w:rsid w:val="00EE329F"/>
    <w:rsid w:val="00EE597D"/>
    <w:rsid w:val="00EF301C"/>
    <w:rsid w:val="00EF3A87"/>
    <w:rsid w:val="00F13DD5"/>
    <w:rsid w:val="00F20AE5"/>
    <w:rsid w:val="00F21C58"/>
    <w:rsid w:val="00F3288C"/>
    <w:rsid w:val="00F458D2"/>
    <w:rsid w:val="00F547FC"/>
    <w:rsid w:val="00F60F0D"/>
    <w:rsid w:val="00F6430C"/>
    <w:rsid w:val="00F65493"/>
    <w:rsid w:val="00F76B41"/>
    <w:rsid w:val="00F804F1"/>
    <w:rsid w:val="00F85401"/>
    <w:rsid w:val="00FA210C"/>
    <w:rsid w:val="00FC1086"/>
    <w:rsid w:val="00FD2703"/>
    <w:rsid w:val="00FD7813"/>
    <w:rsid w:val="00FF0945"/>
    <w:rsid w:val="00FF3A68"/>
    <w:rsid w:val="00FF68C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7947C"/>
  <w15:docId w15:val="{CD0435CB-F0C2-4BBD-8B3B-DFD90A0E2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hr-HR" w:eastAsia="en-GB"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C53"/>
    <w:rPr>
      <w:rFonts w:asciiTheme="majorHAnsi" w:hAnsiTheme="majorHAnsi"/>
    </w:rPr>
  </w:style>
  <w:style w:type="paragraph" w:styleId="Heading1">
    <w:name w:val="heading 1"/>
    <w:basedOn w:val="Normal"/>
    <w:next w:val="Normal"/>
    <w:link w:val="Heading1Char"/>
    <w:uiPriority w:val="9"/>
    <w:qFormat/>
    <w:rsid w:val="00710CF9"/>
    <w:pPr>
      <w:keepNext/>
      <w:keepLines/>
      <w:spacing w:before="24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10CF9"/>
    <w:pPr>
      <w:keepNext/>
      <w:keepLines/>
      <w:spacing w:before="40"/>
      <w:outlineLvl w:val="1"/>
    </w:pPr>
    <w:rPr>
      <w:rFonts w:eastAsiaTheme="majorEastAsia" w:cstheme="majorBidi"/>
      <w:color w:val="2F5496" w:themeColor="accent1" w:themeShade="BF"/>
      <w:sz w:val="26"/>
      <w:szCs w:val="2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pPr>
      <w:keepNext/>
      <w:keepLines/>
      <w:spacing w:before="40"/>
      <w:outlineLvl w:val="3"/>
    </w:pPr>
    <w:rPr>
      <w:rFonts w:eastAsiaTheme="majorEastAsia" w:cstheme="majorBidi"/>
      <w:i/>
      <w:iCs/>
      <w:color w:val="2F5496"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30190"/>
    <w:pPr>
      <w:contextualSpacing/>
    </w:pPr>
    <w:rPr>
      <w:rFonts w:eastAsiaTheme="majorEastAsia" w:cstheme="majorBidi"/>
      <w:spacing w:val="-10"/>
      <w:kern w:val="28"/>
      <w:sz w:val="56"/>
      <w:szCs w:val="56"/>
    </w:rPr>
  </w:style>
  <w:style w:type="paragraph" w:styleId="NormalWeb">
    <w:name w:val="Normal (Web)"/>
    <w:basedOn w:val="Normal"/>
    <w:uiPriority w:val="99"/>
    <w:semiHidden/>
    <w:unhideWhenUsed/>
    <w:rsid w:val="00F30190"/>
    <w:pPr>
      <w:spacing w:before="100" w:beforeAutospacing="1" w:after="100" w:afterAutospacing="1"/>
    </w:pPr>
    <w:rPr>
      <w:rFonts w:ascii="Times New Roman" w:eastAsia="Times New Roman" w:hAnsi="Times New Roman" w:cs="Times New Roman"/>
    </w:rPr>
  </w:style>
  <w:style w:type="character" w:customStyle="1" w:styleId="TitleChar">
    <w:name w:val="Title Char"/>
    <w:basedOn w:val="DefaultParagraphFont"/>
    <w:link w:val="Title"/>
    <w:uiPriority w:val="10"/>
    <w:rsid w:val="00F3019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10CF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10CF9"/>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1608AB"/>
    <w:rPr>
      <w:sz w:val="16"/>
      <w:szCs w:val="16"/>
    </w:rPr>
  </w:style>
  <w:style w:type="paragraph" w:styleId="CommentText">
    <w:name w:val="annotation text"/>
    <w:basedOn w:val="Normal"/>
    <w:link w:val="CommentTextChar"/>
    <w:uiPriority w:val="99"/>
    <w:unhideWhenUsed/>
    <w:rsid w:val="001608AB"/>
    <w:rPr>
      <w:sz w:val="20"/>
      <w:szCs w:val="20"/>
    </w:rPr>
  </w:style>
  <w:style w:type="character" w:customStyle="1" w:styleId="CommentTextChar">
    <w:name w:val="Comment Text Char"/>
    <w:basedOn w:val="DefaultParagraphFont"/>
    <w:link w:val="CommentText"/>
    <w:uiPriority w:val="99"/>
    <w:rsid w:val="001608AB"/>
    <w:rPr>
      <w:sz w:val="20"/>
      <w:szCs w:val="20"/>
    </w:rPr>
  </w:style>
  <w:style w:type="paragraph" w:styleId="CommentSubject">
    <w:name w:val="annotation subject"/>
    <w:basedOn w:val="CommentText"/>
    <w:next w:val="CommentText"/>
    <w:link w:val="CommentSubjectChar"/>
    <w:uiPriority w:val="99"/>
    <w:semiHidden/>
    <w:unhideWhenUsed/>
    <w:rsid w:val="001608AB"/>
    <w:rPr>
      <w:b/>
      <w:bCs/>
    </w:rPr>
  </w:style>
  <w:style w:type="character" w:customStyle="1" w:styleId="CommentSubjectChar">
    <w:name w:val="Comment Subject Char"/>
    <w:basedOn w:val="CommentTextChar"/>
    <w:link w:val="CommentSubject"/>
    <w:uiPriority w:val="99"/>
    <w:semiHidden/>
    <w:rsid w:val="001608AB"/>
    <w:rPr>
      <w:b/>
      <w:bCs/>
      <w:sz w:val="20"/>
      <w:szCs w:val="20"/>
    </w:rPr>
  </w:style>
  <w:style w:type="paragraph" w:styleId="FootnoteText">
    <w:name w:val="footnote text"/>
    <w:basedOn w:val="Normal"/>
    <w:link w:val="FootnoteTextChar"/>
    <w:uiPriority w:val="99"/>
    <w:unhideWhenUsed/>
    <w:rsid w:val="00DE3573"/>
    <w:rPr>
      <w:sz w:val="20"/>
      <w:szCs w:val="20"/>
    </w:rPr>
  </w:style>
  <w:style w:type="character" w:customStyle="1" w:styleId="FootnoteTextChar">
    <w:name w:val="Footnote Text Char"/>
    <w:basedOn w:val="DefaultParagraphFont"/>
    <w:link w:val="FootnoteText"/>
    <w:uiPriority w:val="99"/>
    <w:rsid w:val="00DE3573"/>
    <w:rPr>
      <w:sz w:val="20"/>
      <w:szCs w:val="20"/>
    </w:rPr>
  </w:style>
  <w:style w:type="character" w:styleId="FootnoteReference">
    <w:name w:val="footnote reference"/>
    <w:basedOn w:val="DefaultParagraphFont"/>
    <w:uiPriority w:val="99"/>
    <w:semiHidden/>
    <w:unhideWhenUsed/>
    <w:rsid w:val="00DE3573"/>
    <w:rPr>
      <w:vertAlign w:val="superscript"/>
    </w:rPr>
  </w:style>
  <w:style w:type="character" w:styleId="Hyperlink">
    <w:name w:val="Hyperlink"/>
    <w:basedOn w:val="DefaultParagraphFont"/>
    <w:uiPriority w:val="99"/>
    <w:unhideWhenUsed/>
    <w:rsid w:val="0073788D"/>
    <w:rPr>
      <w:color w:val="0563C1" w:themeColor="hyperlink"/>
      <w:u w:val="single"/>
    </w:rPr>
  </w:style>
  <w:style w:type="character" w:customStyle="1" w:styleId="UnresolvedMention1">
    <w:name w:val="Unresolved Mention1"/>
    <w:basedOn w:val="DefaultParagraphFont"/>
    <w:uiPriority w:val="99"/>
    <w:semiHidden/>
    <w:unhideWhenUsed/>
    <w:rsid w:val="0073788D"/>
    <w:rPr>
      <w:color w:val="605E5C"/>
      <w:shd w:val="clear" w:color="auto" w:fill="E1DFDD"/>
    </w:rPr>
  </w:style>
  <w:style w:type="table" w:styleId="TableGrid">
    <w:name w:val="Table Grid"/>
    <w:basedOn w:val="TableNormal"/>
    <w:uiPriority w:val="59"/>
    <w:rsid w:val="00F63D6F"/>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63D6F"/>
    <w:pPr>
      <w:widowControl w:val="0"/>
      <w:spacing w:before="4"/>
      <w:ind w:left="40"/>
    </w:pPr>
    <w:rPr>
      <w:rFonts w:ascii="Arial" w:eastAsia="Arial" w:hAnsi="Arial" w:cs="Arial"/>
      <w:sz w:val="22"/>
      <w:szCs w:val="22"/>
      <w:lang w:val="en-US"/>
    </w:rPr>
  </w:style>
  <w:style w:type="character" w:customStyle="1" w:styleId="BodyTextChar">
    <w:name w:val="Body Text Char"/>
    <w:basedOn w:val="DefaultParagraphFont"/>
    <w:link w:val="BodyText"/>
    <w:uiPriority w:val="1"/>
    <w:rsid w:val="00F63D6F"/>
    <w:rPr>
      <w:rFonts w:ascii="Arial" w:eastAsia="Arial" w:hAnsi="Arial" w:cs="Arial"/>
      <w:sz w:val="22"/>
      <w:szCs w:val="22"/>
      <w:lang w:val="en-US"/>
    </w:rPr>
  </w:style>
  <w:style w:type="paragraph" w:styleId="Footer">
    <w:name w:val="footer"/>
    <w:basedOn w:val="Normal"/>
    <w:link w:val="FooterChar"/>
    <w:uiPriority w:val="99"/>
    <w:unhideWhenUsed/>
    <w:rsid w:val="00235539"/>
    <w:pPr>
      <w:tabs>
        <w:tab w:val="center" w:pos="4513"/>
        <w:tab w:val="right" w:pos="9026"/>
      </w:tabs>
    </w:pPr>
  </w:style>
  <w:style w:type="character" w:customStyle="1" w:styleId="FooterChar">
    <w:name w:val="Footer Char"/>
    <w:basedOn w:val="DefaultParagraphFont"/>
    <w:link w:val="Footer"/>
    <w:uiPriority w:val="99"/>
    <w:rsid w:val="00235539"/>
  </w:style>
  <w:style w:type="character" w:styleId="PageNumber">
    <w:name w:val="page number"/>
    <w:basedOn w:val="DefaultParagraphFont"/>
    <w:uiPriority w:val="99"/>
    <w:semiHidden/>
    <w:unhideWhenUsed/>
    <w:rsid w:val="00235539"/>
  </w:style>
  <w:style w:type="paragraph" w:styleId="ListParagraph">
    <w:name w:val="List Paragraph"/>
    <w:basedOn w:val="Normal"/>
    <w:uiPriority w:val="34"/>
    <w:qFormat/>
    <w:rsid w:val="002F4851"/>
    <w:pPr>
      <w:ind w:left="720"/>
      <w:contextualSpacing/>
    </w:pPr>
  </w:style>
  <w:style w:type="paragraph" w:styleId="Caption">
    <w:name w:val="caption"/>
    <w:basedOn w:val="Normal"/>
    <w:next w:val="Normal"/>
    <w:uiPriority w:val="35"/>
    <w:unhideWhenUsed/>
    <w:qFormat/>
    <w:rsid w:val="006E7028"/>
    <w:pPr>
      <w:spacing w:after="200"/>
    </w:pPr>
    <w:rPr>
      <w:i/>
      <w:iCs/>
      <w:color w:val="44546A" w:themeColor="text2"/>
      <w:sz w:val="18"/>
      <w:szCs w:val="18"/>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rPr>
      <w:sz w:val="22"/>
      <w:szCs w:val="22"/>
    </w:rPr>
    <w:tblPr>
      <w:tblStyleRowBandSize w:val="1"/>
      <w:tblStyleColBandSize w:val="1"/>
    </w:tblPr>
  </w:style>
  <w:style w:type="table" w:customStyle="1" w:styleId="a1">
    <w:basedOn w:val="TableNormal"/>
    <w:rPr>
      <w:sz w:val="22"/>
      <w:szCs w:val="22"/>
    </w:rPr>
    <w:tblPr>
      <w:tblStyleRowBandSize w:val="1"/>
      <w:tblStyleColBandSize w:val="1"/>
    </w:tblPr>
  </w:style>
  <w:style w:type="table" w:customStyle="1" w:styleId="a2">
    <w:basedOn w:val="TableNormal"/>
    <w:rPr>
      <w:sz w:val="22"/>
      <w:szCs w:val="22"/>
    </w:rPr>
    <w:tblPr>
      <w:tblStyleRowBandSize w:val="1"/>
      <w:tblStyleColBandSize w:val="1"/>
    </w:tblPr>
  </w:style>
  <w:style w:type="table" w:customStyle="1" w:styleId="a3">
    <w:basedOn w:val="TableNormal"/>
    <w:rPr>
      <w:sz w:val="22"/>
      <w:szCs w:val="22"/>
    </w:rPr>
    <w:tblPr>
      <w:tblStyleRowBandSize w:val="1"/>
      <w:tblStyleColBandSize w:val="1"/>
    </w:tblPr>
  </w:style>
  <w:style w:type="table" w:customStyle="1" w:styleId="a4">
    <w:basedOn w:val="TableNormal"/>
    <w:rPr>
      <w:sz w:val="22"/>
      <w:szCs w:val="22"/>
    </w:rPr>
    <w:tblPr>
      <w:tblStyleRowBandSize w:val="1"/>
      <w:tblStyleColBandSize w:val="1"/>
    </w:tblPr>
  </w:style>
  <w:style w:type="table" w:customStyle="1" w:styleId="a5">
    <w:basedOn w:val="TableNormal"/>
    <w:rPr>
      <w:sz w:val="22"/>
      <w:szCs w:val="22"/>
    </w:rPr>
    <w:tblPr>
      <w:tblStyleRowBandSize w:val="1"/>
      <w:tblStyleColBandSize w:val="1"/>
      <w:tblCellMar>
        <w:left w:w="115" w:type="dxa"/>
        <w:right w:w="115" w:type="dxa"/>
      </w:tblCellMar>
    </w:tblPr>
  </w:style>
  <w:style w:type="table" w:customStyle="1" w:styleId="a6">
    <w:basedOn w:val="TableNormal"/>
    <w:rPr>
      <w:sz w:val="22"/>
      <w:szCs w:val="22"/>
    </w:rPr>
    <w:tblPr>
      <w:tblStyleRowBandSize w:val="1"/>
      <w:tblStyleColBandSize w:val="1"/>
      <w:tblCellMar>
        <w:left w:w="115" w:type="dxa"/>
        <w:right w:w="115" w:type="dxa"/>
      </w:tblCellMar>
    </w:tblPr>
  </w:style>
  <w:style w:type="table" w:customStyle="1" w:styleId="a7">
    <w:basedOn w:val="TableNormal"/>
    <w:rPr>
      <w:sz w:val="22"/>
      <w:szCs w:val="22"/>
    </w:rPr>
    <w:tblPr>
      <w:tblStyleRowBandSize w:val="1"/>
      <w:tblStyleColBandSize w:val="1"/>
      <w:tblCellMar>
        <w:left w:w="115" w:type="dxa"/>
        <w:right w:w="115" w:type="dxa"/>
      </w:tblCellMar>
    </w:tblPr>
  </w:style>
  <w:style w:type="table" w:customStyle="1" w:styleId="a8">
    <w:basedOn w:val="TableNormal"/>
    <w:rPr>
      <w:sz w:val="22"/>
      <w:szCs w:val="22"/>
    </w:rPr>
    <w:tblPr>
      <w:tblStyleRowBandSize w:val="1"/>
      <w:tblStyleColBandSize w:val="1"/>
      <w:tblCellMar>
        <w:left w:w="115" w:type="dxa"/>
        <w:right w:w="115" w:type="dxa"/>
      </w:tblCellMar>
    </w:tblPr>
  </w:style>
  <w:style w:type="table" w:customStyle="1" w:styleId="a9">
    <w:basedOn w:val="TableNormal"/>
    <w:rPr>
      <w:sz w:val="22"/>
      <w:szCs w:val="22"/>
    </w:rPr>
    <w:tblPr>
      <w:tblStyleRowBandSize w:val="1"/>
      <w:tblStyleColBandSize w:val="1"/>
      <w:tblCellMar>
        <w:left w:w="115" w:type="dxa"/>
        <w:right w:w="115" w:type="dxa"/>
      </w:tblCellMar>
    </w:tblPr>
  </w:style>
  <w:style w:type="table" w:customStyle="1" w:styleId="aa">
    <w:basedOn w:val="TableNormal"/>
    <w:rPr>
      <w:sz w:val="22"/>
      <w:szCs w:val="22"/>
    </w:rPr>
    <w:tblPr>
      <w:tblStyleRowBandSize w:val="1"/>
      <w:tblStyleColBandSize w:val="1"/>
      <w:tblCellMar>
        <w:left w:w="115" w:type="dxa"/>
        <w:right w:w="115" w:type="dxa"/>
      </w:tblCellMar>
    </w:tblPr>
  </w:style>
  <w:style w:type="paragraph" w:styleId="TOCHeading">
    <w:name w:val="TOC Heading"/>
    <w:basedOn w:val="Heading1"/>
    <w:next w:val="Normal"/>
    <w:uiPriority w:val="39"/>
    <w:unhideWhenUsed/>
    <w:qFormat/>
    <w:rsid w:val="00E1413E"/>
    <w:pPr>
      <w:spacing w:before="480" w:line="276" w:lineRule="auto"/>
      <w:jc w:val="left"/>
      <w:outlineLvl w:val="9"/>
    </w:pPr>
    <w:rPr>
      <w:b/>
      <w:bCs/>
      <w:sz w:val="28"/>
      <w:szCs w:val="28"/>
      <w:lang w:val="en-US" w:eastAsia="en-US"/>
    </w:rPr>
  </w:style>
  <w:style w:type="paragraph" w:styleId="TOC1">
    <w:name w:val="toc 1"/>
    <w:basedOn w:val="Normal"/>
    <w:next w:val="Normal"/>
    <w:autoRedefine/>
    <w:uiPriority w:val="39"/>
    <w:unhideWhenUsed/>
    <w:rsid w:val="00E1413E"/>
    <w:pPr>
      <w:spacing w:before="120"/>
      <w:jc w:val="left"/>
    </w:pPr>
    <w:rPr>
      <w:rFonts w:asciiTheme="minorHAnsi" w:hAnsiTheme="minorHAnsi" w:cstheme="minorHAnsi"/>
      <w:b/>
      <w:bCs/>
      <w:i/>
      <w:iCs/>
    </w:rPr>
  </w:style>
  <w:style w:type="paragraph" w:styleId="TOC2">
    <w:name w:val="toc 2"/>
    <w:basedOn w:val="Normal"/>
    <w:next w:val="Normal"/>
    <w:autoRedefine/>
    <w:uiPriority w:val="39"/>
    <w:unhideWhenUsed/>
    <w:rsid w:val="00E1413E"/>
    <w:pPr>
      <w:spacing w:before="120"/>
      <w:ind w:left="240"/>
      <w:jc w:val="left"/>
    </w:pPr>
    <w:rPr>
      <w:rFonts w:asciiTheme="minorHAnsi" w:hAnsiTheme="minorHAnsi" w:cstheme="minorHAnsi"/>
      <w:b/>
      <w:bCs/>
      <w:sz w:val="22"/>
      <w:szCs w:val="22"/>
    </w:rPr>
  </w:style>
  <w:style w:type="paragraph" w:styleId="TOC3">
    <w:name w:val="toc 3"/>
    <w:basedOn w:val="Normal"/>
    <w:next w:val="Normal"/>
    <w:autoRedefine/>
    <w:uiPriority w:val="39"/>
    <w:unhideWhenUsed/>
    <w:rsid w:val="00E1413E"/>
    <w:pPr>
      <w:ind w:left="480"/>
      <w:jc w:val="left"/>
    </w:pPr>
    <w:rPr>
      <w:rFonts w:asciiTheme="minorHAnsi" w:hAnsiTheme="minorHAnsi" w:cstheme="minorHAnsi"/>
      <w:sz w:val="20"/>
      <w:szCs w:val="20"/>
    </w:rPr>
  </w:style>
  <w:style w:type="paragraph" w:styleId="TOC4">
    <w:name w:val="toc 4"/>
    <w:basedOn w:val="Normal"/>
    <w:next w:val="Normal"/>
    <w:autoRedefine/>
    <w:uiPriority w:val="39"/>
    <w:semiHidden/>
    <w:unhideWhenUsed/>
    <w:rsid w:val="00E1413E"/>
    <w:pPr>
      <w:ind w:left="720"/>
      <w:jc w:val="left"/>
    </w:pPr>
    <w:rPr>
      <w:rFonts w:asciiTheme="minorHAnsi" w:hAnsiTheme="minorHAnsi" w:cstheme="minorHAnsi"/>
      <w:sz w:val="20"/>
      <w:szCs w:val="20"/>
    </w:rPr>
  </w:style>
  <w:style w:type="paragraph" w:styleId="TOC5">
    <w:name w:val="toc 5"/>
    <w:basedOn w:val="Normal"/>
    <w:next w:val="Normal"/>
    <w:autoRedefine/>
    <w:uiPriority w:val="39"/>
    <w:semiHidden/>
    <w:unhideWhenUsed/>
    <w:rsid w:val="00E1413E"/>
    <w:pPr>
      <w:ind w:left="960"/>
      <w:jc w:val="left"/>
    </w:pPr>
    <w:rPr>
      <w:rFonts w:asciiTheme="minorHAnsi" w:hAnsiTheme="minorHAnsi" w:cstheme="minorHAnsi"/>
      <w:sz w:val="20"/>
      <w:szCs w:val="20"/>
    </w:rPr>
  </w:style>
  <w:style w:type="paragraph" w:styleId="TOC6">
    <w:name w:val="toc 6"/>
    <w:basedOn w:val="Normal"/>
    <w:next w:val="Normal"/>
    <w:autoRedefine/>
    <w:uiPriority w:val="39"/>
    <w:semiHidden/>
    <w:unhideWhenUsed/>
    <w:rsid w:val="00E1413E"/>
    <w:pPr>
      <w:ind w:left="1200"/>
      <w:jc w:val="left"/>
    </w:pPr>
    <w:rPr>
      <w:rFonts w:asciiTheme="minorHAnsi" w:hAnsiTheme="minorHAnsi" w:cstheme="minorHAnsi"/>
      <w:sz w:val="20"/>
      <w:szCs w:val="20"/>
    </w:rPr>
  </w:style>
  <w:style w:type="paragraph" w:styleId="TOC7">
    <w:name w:val="toc 7"/>
    <w:basedOn w:val="Normal"/>
    <w:next w:val="Normal"/>
    <w:autoRedefine/>
    <w:uiPriority w:val="39"/>
    <w:semiHidden/>
    <w:unhideWhenUsed/>
    <w:rsid w:val="00E1413E"/>
    <w:pPr>
      <w:ind w:left="1440"/>
      <w:jc w:val="left"/>
    </w:pPr>
    <w:rPr>
      <w:rFonts w:asciiTheme="minorHAnsi" w:hAnsiTheme="minorHAnsi" w:cstheme="minorHAnsi"/>
      <w:sz w:val="20"/>
      <w:szCs w:val="20"/>
    </w:rPr>
  </w:style>
  <w:style w:type="paragraph" w:styleId="TOC8">
    <w:name w:val="toc 8"/>
    <w:basedOn w:val="Normal"/>
    <w:next w:val="Normal"/>
    <w:autoRedefine/>
    <w:uiPriority w:val="39"/>
    <w:semiHidden/>
    <w:unhideWhenUsed/>
    <w:rsid w:val="00E1413E"/>
    <w:pPr>
      <w:ind w:left="1680"/>
      <w:jc w:val="left"/>
    </w:pPr>
    <w:rPr>
      <w:rFonts w:asciiTheme="minorHAnsi" w:hAnsiTheme="minorHAnsi" w:cstheme="minorHAnsi"/>
      <w:sz w:val="20"/>
      <w:szCs w:val="20"/>
    </w:rPr>
  </w:style>
  <w:style w:type="paragraph" w:styleId="TOC9">
    <w:name w:val="toc 9"/>
    <w:basedOn w:val="Normal"/>
    <w:next w:val="Normal"/>
    <w:autoRedefine/>
    <w:uiPriority w:val="39"/>
    <w:semiHidden/>
    <w:unhideWhenUsed/>
    <w:rsid w:val="00E1413E"/>
    <w:pPr>
      <w:ind w:left="1920"/>
      <w:jc w:val="left"/>
    </w:pPr>
    <w:rPr>
      <w:rFonts w:asciiTheme="minorHAnsi" w:hAnsiTheme="minorHAnsi" w:cstheme="minorHAnsi"/>
      <w:sz w:val="20"/>
      <w:szCs w:val="20"/>
    </w:rPr>
  </w:style>
  <w:style w:type="table" w:customStyle="1" w:styleId="ab">
    <w:basedOn w:val="TableNormal"/>
    <w:rPr>
      <w:sz w:val="22"/>
      <w:szCs w:val="22"/>
    </w:rPr>
    <w:tblPr>
      <w:tblStyleRowBandSize w:val="1"/>
      <w:tblStyleColBandSize w:val="1"/>
      <w:tblCellMar>
        <w:left w:w="115" w:type="dxa"/>
        <w:right w:w="115" w:type="dxa"/>
      </w:tblCellMar>
    </w:tblPr>
  </w:style>
  <w:style w:type="table" w:customStyle="1" w:styleId="ac">
    <w:basedOn w:val="TableNormal"/>
    <w:rPr>
      <w:sz w:val="22"/>
      <w:szCs w:val="22"/>
    </w:rPr>
    <w:tblPr>
      <w:tblStyleRowBandSize w:val="1"/>
      <w:tblStyleColBandSize w:val="1"/>
      <w:tblCellMar>
        <w:left w:w="115" w:type="dxa"/>
        <w:right w:w="115" w:type="dxa"/>
      </w:tblCellMar>
    </w:tblPr>
  </w:style>
  <w:style w:type="table" w:customStyle="1" w:styleId="ad">
    <w:basedOn w:val="TableNormal"/>
    <w:rPr>
      <w:sz w:val="22"/>
      <w:szCs w:val="22"/>
    </w:rPr>
    <w:tblPr>
      <w:tblStyleRowBandSize w:val="1"/>
      <w:tblStyleColBandSize w:val="1"/>
      <w:tblCellMar>
        <w:left w:w="115" w:type="dxa"/>
        <w:right w:w="115" w:type="dxa"/>
      </w:tblCellMar>
    </w:tblPr>
  </w:style>
  <w:style w:type="table" w:customStyle="1" w:styleId="ae">
    <w:basedOn w:val="TableNormal"/>
    <w:rPr>
      <w:sz w:val="22"/>
      <w:szCs w:val="22"/>
    </w:rPr>
    <w:tblPr>
      <w:tblStyleRowBandSize w:val="1"/>
      <w:tblStyleColBandSize w:val="1"/>
      <w:tblCellMar>
        <w:left w:w="115" w:type="dxa"/>
        <w:right w:w="115" w:type="dxa"/>
      </w:tblCellMar>
    </w:tblPr>
  </w:style>
  <w:style w:type="table" w:customStyle="1" w:styleId="af">
    <w:basedOn w:val="TableNormal"/>
    <w:rPr>
      <w:sz w:val="22"/>
      <w:szCs w:val="22"/>
    </w:rPr>
    <w:tblPr>
      <w:tblStyleRowBandSize w:val="1"/>
      <w:tblStyleColBandSize w:val="1"/>
      <w:tblCellMar>
        <w:left w:w="115" w:type="dxa"/>
        <w:right w:w="115" w:type="dxa"/>
      </w:tblCellMar>
    </w:tblPr>
  </w:style>
  <w:style w:type="table" w:customStyle="1" w:styleId="af0">
    <w:basedOn w:val="TableNormal"/>
    <w:rPr>
      <w:sz w:val="22"/>
      <w:szCs w:val="22"/>
    </w:rPr>
    <w:tblPr>
      <w:tblStyleRowBandSize w:val="1"/>
      <w:tblStyleColBandSize w:val="1"/>
      <w:tblCellMar>
        <w:left w:w="115" w:type="dxa"/>
        <w:right w:w="115" w:type="dxa"/>
      </w:tblCellMar>
    </w:tblPr>
  </w:style>
  <w:style w:type="table" w:customStyle="1" w:styleId="af1">
    <w:basedOn w:val="TableNormal"/>
    <w:rPr>
      <w:sz w:val="22"/>
      <w:szCs w:val="22"/>
    </w:r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F6359"/>
    <w:rPr>
      <w:rFonts w:ascii="Tahoma" w:hAnsi="Tahoma" w:cs="Tahoma"/>
      <w:sz w:val="16"/>
      <w:szCs w:val="16"/>
    </w:rPr>
  </w:style>
  <w:style w:type="character" w:customStyle="1" w:styleId="BalloonTextChar">
    <w:name w:val="Balloon Text Char"/>
    <w:basedOn w:val="DefaultParagraphFont"/>
    <w:link w:val="BalloonText"/>
    <w:uiPriority w:val="99"/>
    <w:semiHidden/>
    <w:rsid w:val="002F6359"/>
    <w:rPr>
      <w:rFonts w:ascii="Tahoma" w:hAnsi="Tahoma" w:cs="Tahoma"/>
      <w:sz w:val="16"/>
      <w:szCs w:val="16"/>
    </w:rPr>
  </w:style>
  <w:style w:type="character" w:customStyle="1" w:styleId="UnresolvedMention2">
    <w:name w:val="Unresolved Mention2"/>
    <w:basedOn w:val="DefaultParagraphFont"/>
    <w:uiPriority w:val="99"/>
    <w:semiHidden/>
    <w:unhideWhenUsed/>
    <w:rsid w:val="00DC5E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797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diagramLayout" Target="diagrams/layout1.xml"/><Relationship Id="rId39" Type="http://schemas.openxmlformats.org/officeDocument/2006/relationships/hyperlink" Target="https://gcs.civilservice.gov.uk/publications/strategic-communication-mcom-function-guide/" TargetMode="External"/><Relationship Id="rId21" Type="http://schemas.openxmlformats.org/officeDocument/2006/relationships/image" Target="media/image11.png"/><Relationship Id="rId34" Type="http://schemas.openxmlformats.org/officeDocument/2006/relationships/image" Target="media/image19.png"/><Relationship Id="rId42" Type="http://schemas.openxmlformats.org/officeDocument/2006/relationships/footer" Target="footer2.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microsoft.com/office/2007/relationships/diagramDrawing" Target="diagrams/drawing1.xm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4.png"/><Relationship Id="rId32" Type="http://schemas.openxmlformats.org/officeDocument/2006/relationships/image" Target="media/image17.png"/><Relationship Id="rId37" Type="http://schemas.openxmlformats.org/officeDocument/2006/relationships/hyperlink" Target="https://ec.europa.eu/info/sites/default/files/comm_sp_2020_2024_en.pdf" TargetMode="External"/><Relationship Id="rId40" Type="http://schemas.openxmlformats.org/officeDocument/2006/relationships/hyperlink" Target="https://gcs.civilservice.gov.uk/publications/strategic-communication-mcom-function-guide/" TargetMode="Externa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image" Target="media/image13.png"/><Relationship Id="rId28" Type="http://schemas.openxmlformats.org/officeDocument/2006/relationships/diagramColors" Target="diagrams/colors1.xml"/><Relationship Id="rId36" Type="http://schemas.openxmlformats.org/officeDocument/2006/relationships/hyperlink" Target="https://ec.europa.eu/neighbourhood-enlargement/montenegro-report-2021_en" TargetMode="External"/><Relationship Id="rId10" Type="http://schemas.openxmlformats.org/officeDocument/2006/relationships/image" Target="media/image1.png"/><Relationship Id="rId19" Type="http://schemas.openxmlformats.org/officeDocument/2006/relationships/image" Target="media/image9.png"/><Relationship Id="rId31" Type="http://schemas.openxmlformats.org/officeDocument/2006/relationships/image" Target="media/image16.png"/><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diagramQuickStyle" Target="diagrams/quickStyle1.xml"/><Relationship Id="rId30" Type="http://schemas.openxmlformats.org/officeDocument/2006/relationships/image" Target="media/image15.png"/><Relationship Id="rId35" Type="http://schemas.openxmlformats.org/officeDocument/2006/relationships/chart" Target="charts/chart3.xm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diagramData" Target="diagrams/data1.xml"/><Relationship Id="rId33" Type="http://schemas.openxmlformats.org/officeDocument/2006/relationships/image" Target="media/image18.png"/><Relationship Id="rId38" Type="http://schemas.openxmlformats.org/officeDocument/2006/relationships/hyperlink" Target="https://ec.europa.eu/info/sites/default/files/comm_sp_2020_2024_en.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edem.me/wp-content/uploads/2022/02/Prezentacija-decembar-2021._FINAL_compressed.pdf" TargetMode="External"/><Relationship Id="rId2" Type="http://schemas.openxmlformats.org/officeDocument/2006/relationships/hyperlink" Target="https://gcs.civilservice.gov.uk/publications/strategic-communication-mcom-function-guide/" TargetMode="External"/><Relationship Id="rId1" Type="http://schemas.openxmlformats.org/officeDocument/2006/relationships/hyperlink" Target="https://gcs.civilservice.gov.uk/publications/strategic-communication-mcom-function-guide/" TargetMode="External"/><Relationship Id="rId5" Type="http://schemas.openxmlformats.org/officeDocument/2006/relationships/hyperlink" Target="https://ec.europa.eu/info/sites/default/files/comm_sp_2020_2024_en.pdf" TargetMode="External"/><Relationship Id="rId4" Type="http://schemas.openxmlformats.org/officeDocument/2006/relationships/hyperlink" Target="https://ec.europa.eu/info/sites/default/files/comm_sp_2020_2024_en.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Users\olivera\Dropbox\EU_komunikaciona_2\Grafici_202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Olivera\Downloads\EU_grafici_FINAL%20_2022_may.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Users\olivera\Dropbox\EU_komunikaciona_2\Grafici_202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DeFacto!$A$9</c:f>
              <c:strCache>
                <c:ptCount val="1"/>
                <c:pt idx="0">
                  <c:v>Da, apsolutno</c:v>
                </c:pt>
              </c:strCache>
            </c:strRef>
          </c:tx>
          <c:spPr>
            <a:ln w="31750"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sr-Latn-R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DeFacto!$B$8:$J$8</c:f>
              <c:numCache>
                <c:formatCode>General</c:formatCode>
                <c:ptCount val="9"/>
                <c:pt idx="0">
                  <c:v>2013</c:v>
                </c:pt>
                <c:pt idx="1">
                  <c:v>2015</c:v>
                </c:pt>
                <c:pt idx="2">
                  <c:v>2016</c:v>
                </c:pt>
                <c:pt idx="3">
                  <c:v>2017</c:v>
                </c:pt>
                <c:pt idx="4">
                  <c:v>2018</c:v>
                </c:pt>
                <c:pt idx="5">
                  <c:v>2019</c:v>
                </c:pt>
                <c:pt idx="6">
                  <c:v>2020</c:v>
                </c:pt>
                <c:pt idx="7">
                  <c:v>2021</c:v>
                </c:pt>
                <c:pt idx="8">
                  <c:v>2022</c:v>
                </c:pt>
              </c:numCache>
            </c:numRef>
          </c:cat>
          <c:val>
            <c:numRef>
              <c:f>DeFacto!$B$9:$J$9</c:f>
              <c:numCache>
                <c:formatCode>General</c:formatCode>
                <c:ptCount val="9"/>
                <c:pt idx="0">
                  <c:v>33.5</c:v>
                </c:pt>
                <c:pt idx="1">
                  <c:v>31.1</c:v>
                </c:pt>
                <c:pt idx="2">
                  <c:v>35</c:v>
                </c:pt>
                <c:pt idx="3">
                  <c:v>33.299999999999997</c:v>
                </c:pt>
                <c:pt idx="4">
                  <c:v>42</c:v>
                </c:pt>
                <c:pt idx="5">
                  <c:v>39.200000000000003</c:v>
                </c:pt>
                <c:pt idx="6">
                  <c:v>39.9</c:v>
                </c:pt>
                <c:pt idx="7">
                  <c:v>38.9</c:v>
                </c:pt>
                <c:pt idx="8">
                  <c:v>35.1</c:v>
                </c:pt>
              </c:numCache>
            </c:numRef>
          </c:val>
          <c:smooth val="0"/>
          <c:extLst>
            <c:ext xmlns:c16="http://schemas.microsoft.com/office/drawing/2014/chart" uri="{C3380CC4-5D6E-409C-BE32-E72D297353CC}">
              <c16:uniqueId val="{00000000-C32E-D242-A0CD-812F1A0B5D9A}"/>
            </c:ext>
          </c:extLst>
        </c:ser>
        <c:ser>
          <c:idx val="1"/>
          <c:order val="1"/>
          <c:tx>
            <c:strRef>
              <c:f>DeFacto!$A$10</c:f>
              <c:strCache>
                <c:ptCount val="1"/>
                <c:pt idx="0">
                  <c:v>Da, uglavnom</c:v>
                </c:pt>
              </c:strCache>
            </c:strRef>
          </c:tx>
          <c:spPr>
            <a:ln w="31750"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sr-Latn-R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DeFacto!$B$8:$J$8</c:f>
              <c:numCache>
                <c:formatCode>General</c:formatCode>
                <c:ptCount val="9"/>
                <c:pt idx="0">
                  <c:v>2013</c:v>
                </c:pt>
                <c:pt idx="1">
                  <c:v>2015</c:v>
                </c:pt>
                <c:pt idx="2">
                  <c:v>2016</c:v>
                </c:pt>
                <c:pt idx="3">
                  <c:v>2017</c:v>
                </c:pt>
                <c:pt idx="4">
                  <c:v>2018</c:v>
                </c:pt>
                <c:pt idx="5">
                  <c:v>2019</c:v>
                </c:pt>
                <c:pt idx="6">
                  <c:v>2020</c:v>
                </c:pt>
                <c:pt idx="7">
                  <c:v>2021</c:v>
                </c:pt>
                <c:pt idx="8">
                  <c:v>2022</c:v>
                </c:pt>
              </c:numCache>
            </c:numRef>
          </c:cat>
          <c:val>
            <c:numRef>
              <c:f>DeFacto!$B$10:$J$10</c:f>
              <c:numCache>
                <c:formatCode>General</c:formatCode>
                <c:ptCount val="9"/>
                <c:pt idx="0">
                  <c:v>23.5</c:v>
                </c:pt>
                <c:pt idx="1">
                  <c:v>27.3</c:v>
                </c:pt>
                <c:pt idx="2">
                  <c:v>27.4</c:v>
                </c:pt>
                <c:pt idx="3">
                  <c:v>28.7</c:v>
                </c:pt>
                <c:pt idx="4">
                  <c:v>23.9</c:v>
                </c:pt>
                <c:pt idx="5">
                  <c:v>27.2</c:v>
                </c:pt>
                <c:pt idx="6">
                  <c:v>34.9</c:v>
                </c:pt>
                <c:pt idx="7">
                  <c:v>34.9</c:v>
                </c:pt>
                <c:pt idx="8">
                  <c:v>39.299999999999997</c:v>
                </c:pt>
              </c:numCache>
            </c:numRef>
          </c:val>
          <c:smooth val="0"/>
          <c:extLst>
            <c:ext xmlns:c16="http://schemas.microsoft.com/office/drawing/2014/chart" uri="{C3380CC4-5D6E-409C-BE32-E72D297353CC}">
              <c16:uniqueId val="{00000001-C32E-D242-A0CD-812F1A0B5D9A}"/>
            </c:ext>
          </c:extLst>
        </c:ser>
        <c:ser>
          <c:idx val="2"/>
          <c:order val="2"/>
          <c:tx>
            <c:strRef>
              <c:f>DeFacto!$A$11</c:f>
              <c:strCache>
                <c:ptCount val="1"/>
                <c:pt idx="0">
                  <c:v>Više ne podržavam nego što podržavam</c:v>
                </c:pt>
              </c:strCache>
            </c:strRef>
          </c:tx>
          <c:spPr>
            <a:ln w="31750"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sr-Latn-R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DeFacto!$B$8:$J$8</c:f>
              <c:numCache>
                <c:formatCode>General</c:formatCode>
                <c:ptCount val="9"/>
                <c:pt idx="0">
                  <c:v>2013</c:v>
                </c:pt>
                <c:pt idx="1">
                  <c:v>2015</c:v>
                </c:pt>
                <c:pt idx="2">
                  <c:v>2016</c:v>
                </c:pt>
                <c:pt idx="3">
                  <c:v>2017</c:v>
                </c:pt>
                <c:pt idx="4">
                  <c:v>2018</c:v>
                </c:pt>
                <c:pt idx="5">
                  <c:v>2019</c:v>
                </c:pt>
                <c:pt idx="6">
                  <c:v>2020</c:v>
                </c:pt>
                <c:pt idx="7">
                  <c:v>2021</c:v>
                </c:pt>
                <c:pt idx="8">
                  <c:v>2022</c:v>
                </c:pt>
              </c:numCache>
            </c:numRef>
          </c:cat>
          <c:val>
            <c:numRef>
              <c:f>DeFacto!$B$11:$J$11</c:f>
              <c:numCache>
                <c:formatCode>General</c:formatCode>
                <c:ptCount val="9"/>
                <c:pt idx="0">
                  <c:v>13.8</c:v>
                </c:pt>
                <c:pt idx="1">
                  <c:v>11.3</c:v>
                </c:pt>
                <c:pt idx="2">
                  <c:v>9.4</c:v>
                </c:pt>
                <c:pt idx="3">
                  <c:v>8.1</c:v>
                </c:pt>
                <c:pt idx="4">
                  <c:v>4</c:v>
                </c:pt>
                <c:pt idx="5">
                  <c:v>8.6999999999999993</c:v>
                </c:pt>
                <c:pt idx="6">
                  <c:v>12</c:v>
                </c:pt>
                <c:pt idx="7">
                  <c:v>12.9</c:v>
                </c:pt>
                <c:pt idx="8">
                  <c:v>9.6999999999999993</c:v>
                </c:pt>
              </c:numCache>
            </c:numRef>
          </c:val>
          <c:smooth val="0"/>
          <c:extLst>
            <c:ext xmlns:c16="http://schemas.microsoft.com/office/drawing/2014/chart" uri="{C3380CC4-5D6E-409C-BE32-E72D297353CC}">
              <c16:uniqueId val="{00000002-C32E-D242-A0CD-812F1A0B5D9A}"/>
            </c:ext>
          </c:extLst>
        </c:ser>
        <c:ser>
          <c:idx val="3"/>
          <c:order val="3"/>
          <c:tx>
            <c:strRef>
              <c:f>DeFacto!$A$12</c:f>
              <c:strCache>
                <c:ptCount val="1"/>
                <c:pt idx="0">
                  <c:v>Ne, ja ne podržavam članstvo Crne Gore u Evropskoj uniji</c:v>
                </c:pt>
              </c:strCache>
            </c:strRef>
          </c:tx>
          <c:spPr>
            <a:ln w="31750" cap="rnd">
              <a:solidFill>
                <a:schemeClr val="accent4"/>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sr-Latn-R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DeFacto!$B$8:$J$8</c:f>
              <c:numCache>
                <c:formatCode>General</c:formatCode>
                <c:ptCount val="9"/>
                <c:pt idx="0">
                  <c:v>2013</c:v>
                </c:pt>
                <c:pt idx="1">
                  <c:v>2015</c:v>
                </c:pt>
                <c:pt idx="2">
                  <c:v>2016</c:v>
                </c:pt>
                <c:pt idx="3">
                  <c:v>2017</c:v>
                </c:pt>
                <c:pt idx="4">
                  <c:v>2018</c:v>
                </c:pt>
                <c:pt idx="5">
                  <c:v>2019</c:v>
                </c:pt>
                <c:pt idx="6">
                  <c:v>2020</c:v>
                </c:pt>
                <c:pt idx="7">
                  <c:v>2021</c:v>
                </c:pt>
                <c:pt idx="8">
                  <c:v>2022</c:v>
                </c:pt>
              </c:numCache>
            </c:numRef>
          </c:cat>
          <c:val>
            <c:numRef>
              <c:f>DeFacto!$B$12:$J$12</c:f>
              <c:numCache>
                <c:formatCode>General</c:formatCode>
                <c:ptCount val="9"/>
                <c:pt idx="0">
                  <c:v>15.4</c:v>
                </c:pt>
                <c:pt idx="1">
                  <c:v>18.3</c:v>
                </c:pt>
                <c:pt idx="2">
                  <c:v>20.8</c:v>
                </c:pt>
                <c:pt idx="3">
                  <c:v>24.4</c:v>
                </c:pt>
                <c:pt idx="4">
                  <c:v>19.5</c:v>
                </c:pt>
                <c:pt idx="5">
                  <c:v>18</c:v>
                </c:pt>
                <c:pt idx="6">
                  <c:v>10.3</c:v>
                </c:pt>
                <c:pt idx="7">
                  <c:v>10.7</c:v>
                </c:pt>
                <c:pt idx="8">
                  <c:v>13.2</c:v>
                </c:pt>
              </c:numCache>
            </c:numRef>
          </c:val>
          <c:smooth val="0"/>
          <c:extLst>
            <c:ext xmlns:c16="http://schemas.microsoft.com/office/drawing/2014/chart" uri="{C3380CC4-5D6E-409C-BE32-E72D297353CC}">
              <c16:uniqueId val="{00000003-C32E-D242-A0CD-812F1A0B5D9A}"/>
            </c:ext>
          </c:extLst>
        </c:ser>
        <c:ser>
          <c:idx val="4"/>
          <c:order val="4"/>
          <c:tx>
            <c:strRef>
              <c:f>DeFacto!$A$13</c:f>
              <c:strCache>
                <c:ptCount val="1"/>
                <c:pt idx="0">
                  <c:v>Ne znam, svejedno mi je</c:v>
                </c:pt>
              </c:strCache>
            </c:strRef>
          </c:tx>
          <c:spPr>
            <a:ln w="31750" cap="rnd">
              <a:solidFill>
                <a:schemeClr val="accent5"/>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sr-Latn-R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DeFacto!$B$8:$J$8</c:f>
              <c:numCache>
                <c:formatCode>General</c:formatCode>
                <c:ptCount val="9"/>
                <c:pt idx="0">
                  <c:v>2013</c:v>
                </c:pt>
                <c:pt idx="1">
                  <c:v>2015</c:v>
                </c:pt>
                <c:pt idx="2">
                  <c:v>2016</c:v>
                </c:pt>
                <c:pt idx="3">
                  <c:v>2017</c:v>
                </c:pt>
                <c:pt idx="4">
                  <c:v>2018</c:v>
                </c:pt>
                <c:pt idx="5">
                  <c:v>2019</c:v>
                </c:pt>
                <c:pt idx="6">
                  <c:v>2020</c:v>
                </c:pt>
                <c:pt idx="7">
                  <c:v>2021</c:v>
                </c:pt>
                <c:pt idx="8">
                  <c:v>2022</c:v>
                </c:pt>
              </c:numCache>
            </c:numRef>
          </c:cat>
          <c:val>
            <c:numRef>
              <c:f>DeFacto!$B$13:$J$13</c:f>
              <c:numCache>
                <c:formatCode>General</c:formatCode>
                <c:ptCount val="9"/>
                <c:pt idx="0">
                  <c:v>13.9</c:v>
                </c:pt>
                <c:pt idx="1">
                  <c:v>11.4</c:v>
                </c:pt>
                <c:pt idx="2">
                  <c:v>7.2</c:v>
                </c:pt>
                <c:pt idx="3">
                  <c:v>5.6</c:v>
                </c:pt>
                <c:pt idx="4">
                  <c:v>10.6</c:v>
                </c:pt>
                <c:pt idx="5">
                  <c:v>7</c:v>
                </c:pt>
                <c:pt idx="6">
                  <c:v>3</c:v>
                </c:pt>
                <c:pt idx="7">
                  <c:v>2.7</c:v>
                </c:pt>
                <c:pt idx="8">
                  <c:v>2.7</c:v>
                </c:pt>
              </c:numCache>
            </c:numRef>
          </c:val>
          <c:smooth val="0"/>
          <c:extLst>
            <c:ext xmlns:c16="http://schemas.microsoft.com/office/drawing/2014/chart" uri="{C3380CC4-5D6E-409C-BE32-E72D297353CC}">
              <c16:uniqueId val="{00000004-C32E-D242-A0CD-812F1A0B5D9A}"/>
            </c:ext>
          </c:extLst>
        </c:ser>
        <c:dLbls>
          <c:showLegendKey val="0"/>
          <c:showVal val="0"/>
          <c:showCatName val="0"/>
          <c:showSerName val="0"/>
          <c:showPercent val="0"/>
          <c:showBubbleSize val="0"/>
        </c:dLbls>
        <c:smooth val="0"/>
        <c:axId val="141631488"/>
        <c:axId val="141633024"/>
      </c:lineChart>
      <c:catAx>
        <c:axId val="14163148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sr-Latn-RS"/>
          </a:p>
        </c:txPr>
        <c:crossAx val="141633024"/>
        <c:crosses val="autoZero"/>
        <c:auto val="1"/>
        <c:lblAlgn val="ctr"/>
        <c:lblOffset val="100"/>
        <c:noMultiLvlLbl val="0"/>
      </c:catAx>
      <c:valAx>
        <c:axId val="141633024"/>
        <c:scaling>
          <c:orientation val="minMax"/>
        </c:scaling>
        <c:delete val="1"/>
        <c:axPos val="l"/>
        <c:numFmt formatCode="General" sourceLinked="1"/>
        <c:majorTickMark val="none"/>
        <c:minorTickMark val="none"/>
        <c:tickLblPos val="nextTo"/>
        <c:crossAx val="14163148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sr-Latn-R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'28'!$B$18</c:f>
              <c:strCache>
                <c:ptCount val="1"/>
                <c:pt idx="0">
                  <c:v>2020</c:v>
                </c:pt>
              </c:strCache>
            </c:strRef>
          </c:tx>
          <c:spPr>
            <a:solidFill>
              <a:schemeClr val="bg1">
                <a:lumMod val="8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'28'!$A$19:$A$23</c:f>
              <c:strCache>
                <c:ptCount val="5"/>
                <c:pt idx="0">
                  <c:v>Uopšte nisam informisan/a</c:v>
                </c:pt>
                <c:pt idx="1">
                  <c:v>Loše sam informisan/a</c:v>
                </c:pt>
                <c:pt idx="2">
                  <c:v>Dobro sam informisan/a</c:v>
                </c:pt>
                <c:pt idx="3">
                  <c:v>Veoma dobro sam informisan/a</c:v>
                </c:pt>
                <c:pt idx="4">
                  <c:v>Ne znam / Bez odgovora</c:v>
                </c:pt>
              </c:strCache>
            </c:strRef>
          </c:cat>
          <c:val>
            <c:numRef>
              <c:f>'28'!$B$19:$B$23</c:f>
              <c:numCache>
                <c:formatCode>0.0%</c:formatCode>
                <c:ptCount val="5"/>
                <c:pt idx="0">
                  <c:v>0.08</c:v>
                </c:pt>
                <c:pt idx="1">
                  <c:v>0.316</c:v>
                </c:pt>
                <c:pt idx="2">
                  <c:v>0.56100000000000005</c:v>
                </c:pt>
                <c:pt idx="3">
                  <c:v>4.2999999999999997E-2</c:v>
                </c:pt>
              </c:numCache>
            </c:numRef>
          </c:val>
          <c:extLst>
            <c:ext xmlns:c16="http://schemas.microsoft.com/office/drawing/2014/chart" uri="{C3380CC4-5D6E-409C-BE32-E72D297353CC}">
              <c16:uniqueId val="{00000000-B6FB-4965-B6AE-0C6C3F4E43F1}"/>
            </c:ext>
          </c:extLst>
        </c:ser>
        <c:ser>
          <c:idx val="1"/>
          <c:order val="1"/>
          <c:tx>
            <c:strRef>
              <c:f>'28'!$C$18</c:f>
              <c:strCache>
                <c:ptCount val="1"/>
                <c:pt idx="0">
                  <c:v>Jun, 2021.</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'28'!$A$19:$A$23</c:f>
              <c:strCache>
                <c:ptCount val="5"/>
                <c:pt idx="0">
                  <c:v>Uopšte nisam informisan/a</c:v>
                </c:pt>
                <c:pt idx="1">
                  <c:v>Loše sam informisan/a</c:v>
                </c:pt>
                <c:pt idx="2">
                  <c:v>Dobro sam informisan/a</c:v>
                </c:pt>
                <c:pt idx="3">
                  <c:v>Veoma dobro sam informisan/a</c:v>
                </c:pt>
                <c:pt idx="4">
                  <c:v>Ne znam / Bez odgovora</c:v>
                </c:pt>
              </c:strCache>
            </c:strRef>
          </c:cat>
          <c:val>
            <c:numRef>
              <c:f>'28'!$C$19:$C$23</c:f>
              <c:numCache>
                <c:formatCode>0.0%</c:formatCode>
                <c:ptCount val="5"/>
                <c:pt idx="0">
                  <c:v>7.9000000000000001E-2</c:v>
                </c:pt>
                <c:pt idx="1">
                  <c:v>0.318</c:v>
                </c:pt>
                <c:pt idx="2">
                  <c:v>0.54200000000000004</c:v>
                </c:pt>
                <c:pt idx="3">
                  <c:v>3.9E-2</c:v>
                </c:pt>
              </c:numCache>
            </c:numRef>
          </c:val>
          <c:extLst>
            <c:ext xmlns:c16="http://schemas.microsoft.com/office/drawing/2014/chart" uri="{C3380CC4-5D6E-409C-BE32-E72D297353CC}">
              <c16:uniqueId val="{00000001-B6FB-4965-B6AE-0C6C3F4E43F1}"/>
            </c:ext>
          </c:extLst>
        </c:ser>
        <c:ser>
          <c:idx val="2"/>
          <c:order val="2"/>
          <c:tx>
            <c:strRef>
              <c:f>'28'!$D$18</c:f>
              <c:strCache>
                <c:ptCount val="1"/>
                <c:pt idx="0">
                  <c:v>Novembar, 2021.</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'28'!$A$19:$A$23</c:f>
              <c:strCache>
                <c:ptCount val="5"/>
                <c:pt idx="0">
                  <c:v>Uopšte nisam informisan/a</c:v>
                </c:pt>
                <c:pt idx="1">
                  <c:v>Loše sam informisan/a</c:v>
                </c:pt>
                <c:pt idx="2">
                  <c:v>Dobro sam informisan/a</c:v>
                </c:pt>
                <c:pt idx="3">
                  <c:v>Veoma dobro sam informisan/a</c:v>
                </c:pt>
                <c:pt idx="4">
                  <c:v>Ne znam / Bez odgovora</c:v>
                </c:pt>
              </c:strCache>
            </c:strRef>
          </c:cat>
          <c:val>
            <c:numRef>
              <c:f>'28'!$D$19:$D$23</c:f>
              <c:numCache>
                <c:formatCode>0.0%</c:formatCode>
                <c:ptCount val="5"/>
                <c:pt idx="0">
                  <c:v>0.13800000000000001</c:v>
                </c:pt>
                <c:pt idx="1">
                  <c:v>0.38</c:v>
                </c:pt>
                <c:pt idx="2">
                  <c:v>0.442</c:v>
                </c:pt>
                <c:pt idx="3">
                  <c:v>4.1000000000000002E-2</c:v>
                </c:pt>
              </c:numCache>
            </c:numRef>
          </c:val>
          <c:extLst>
            <c:ext xmlns:c16="http://schemas.microsoft.com/office/drawing/2014/chart" uri="{C3380CC4-5D6E-409C-BE32-E72D297353CC}">
              <c16:uniqueId val="{00000002-B6FB-4965-B6AE-0C6C3F4E43F1}"/>
            </c:ext>
          </c:extLst>
        </c:ser>
        <c:ser>
          <c:idx val="3"/>
          <c:order val="3"/>
          <c:tx>
            <c:strRef>
              <c:f>'28'!$E$18</c:f>
              <c:strCache>
                <c:ptCount val="1"/>
                <c:pt idx="0">
                  <c:v>Maj, 2022.</c:v>
                </c:pt>
              </c:strCache>
            </c:strRef>
          </c:tx>
          <c:spPr>
            <a:solidFill>
              <a:srgbClr val="9C61A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'28'!$A$19:$A$23</c:f>
              <c:strCache>
                <c:ptCount val="5"/>
                <c:pt idx="0">
                  <c:v>Uopšte nisam informisan/a</c:v>
                </c:pt>
                <c:pt idx="1">
                  <c:v>Loše sam informisan/a</c:v>
                </c:pt>
                <c:pt idx="2">
                  <c:v>Dobro sam informisan/a</c:v>
                </c:pt>
                <c:pt idx="3">
                  <c:v>Veoma dobro sam informisan/a</c:v>
                </c:pt>
                <c:pt idx="4">
                  <c:v>Ne znam / Bez odgovora</c:v>
                </c:pt>
              </c:strCache>
            </c:strRef>
          </c:cat>
          <c:val>
            <c:numRef>
              <c:f>'28'!$E$19:$E$23</c:f>
              <c:numCache>
                <c:formatCode>0.0%</c:formatCode>
                <c:ptCount val="5"/>
                <c:pt idx="0">
                  <c:v>0.14399999999999999</c:v>
                </c:pt>
                <c:pt idx="1">
                  <c:v>0.35699999999999998</c:v>
                </c:pt>
                <c:pt idx="2">
                  <c:v>0.434</c:v>
                </c:pt>
                <c:pt idx="3">
                  <c:v>3.4000000000000002E-2</c:v>
                </c:pt>
                <c:pt idx="4">
                  <c:v>3.1E-2</c:v>
                </c:pt>
              </c:numCache>
            </c:numRef>
          </c:val>
          <c:extLst>
            <c:ext xmlns:c16="http://schemas.microsoft.com/office/drawing/2014/chart" uri="{C3380CC4-5D6E-409C-BE32-E72D297353CC}">
              <c16:uniqueId val="{00000003-B6FB-4965-B6AE-0C6C3F4E43F1}"/>
            </c:ext>
          </c:extLst>
        </c:ser>
        <c:dLbls>
          <c:showLegendKey val="0"/>
          <c:showVal val="0"/>
          <c:showCatName val="0"/>
          <c:showSerName val="0"/>
          <c:showPercent val="0"/>
          <c:showBubbleSize val="0"/>
        </c:dLbls>
        <c:gapWidth val="182"/>
        <c:axId val="141658752"/>
        <c:axId val="141668736"/>
      </c:barChart>
      <c:catAx>
        <c:axId val="14165875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41668736"/>
        <c:crosses val="autoZero"/>
        <c:auto val="1"/>
        <c:lblAlgn val="ctr"/>
        <c:lblOffset val="100"/>
        <c:noMultiLvlLbl val="0"/>
      </c:catAx>
      <c:valAx>
        <c:axId val="141668736"/>
        <c:scaling>
          <c:orientation val="minMax"/>
        </c:scaling>
        <c:delete val="1"/>
        <c:axPos val="t"/>
        <c:numFmt formatCode="0.0%" sourceLinked="1"/>
        <c:majorTickMark val="none"/>
        <c:minorTickMark val="none"/>
        <c:tickLblPos val="nextTo"/>
        <c:crossAx val="141658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noFill/>
      <a:round/>
    </a:ln>
    <a:effectLst/>
  </c:spPr>
  <c:txPr>
    <a:bodyPr/>
    <a:lstStyle/>
    <a:p>
      <a:pPr>
        <a:defRPr/>
      </a:pPr>
      <a:endParaRPr lang="sr-Latn-R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'Ključne poruke'!$C$3</c:f>
              <c:strCache>
                <c:ptCount val="1"/>
                <c:pt idx="0">
                  <c:v>U potpunosti se slažem</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'Ključne poruke'!$B$4:$B$8</c:f>
              <c:strCache>
                <c:ptCount val="5"/>
                <c:pt idx="0">
                  <c:v>EU je naše odredište, a kvalitetniji život građana je ključni cilj naših reformi.</c:v>
                </c:pt>
                <c:pt idx="1">
                  <c:v>Evropska unija je snažan globalni igrač, visokog standarda života, zasnovana na demokratskim vrijednostima i time prioritet Crne Gore.</c:v>
                </c:pt>
                <c:pt idx="2">
                  <c:v>Proces evropskih integracija sada se intenzivira, jer je na redu primjena usvojenih propisa i standarda.</c:v>
                </c:pt>
                <c:pt idx="3">
                  <c:v>Crna Gora će ulaskom u EU zadržati svoj identitet i dobiti mogućnost odlučivanja o važnim pitanjima.</c:v>
                </c:pt>
                <c:pt idx="4">
                  <c:v>Pomoć iz evropskih fondova već unaprjeđuje život građana.</c:v>
                </c:pt>
              </c:strCache>
            </c:strRef>
          </c:cat>
          <c:val>
            <c:numRef>
              <c:f>'Ključne poruke'!$C$4:$C$8</c:f>
              <c:numCache>
                <c:formatCode>0.0%</c:formatCode>
                <c:ptCount val="5"/>
                <c:pt idx="0">
                  <c:v>0.38800000000000001</c:v>
                </c:pt>
                <c:pt idx="1">
                  <c:v>0.35899999999999999</c:v>
                </c:pt>
                <c:pt idx="2">
                  <c:v>0.29099999999999998</c:v>
                </c:pt>
                <c:pt idx="3">
                  <c:v>0.28699999999999998</c:v>
                </c:pt>
                <c:pt idx="4">
                  <c:v>0.28399999999999997</c:v>
                </c:pt>
              </c:numCache>
            </c:numRef>
          </c:val>
          <c:extLst>
            <c:ext xmlns:c16="http://schemas.microsoft.com/office/drawing/2014/chart" uri="{C3380CC4-5D6E-409C-BE32-E72D297353CC}">
              <c16:uniqueId val="{00000000-49D9-4399-B72F-79FF35EF2A6E}"/>
            </c:ext>
          </c:extLst>
        </c:ser>
        <c:ser>
          <c:idx val="1"/>
          <c:order val="1"/>
          <c:tx>
            <c:strRef>
              <c:f>'Ključne poruke'!$D$3</c:f>
              <c:strCache>
                <c:ptCount val="1"/>
                <c:pt idx="0">
                  <c:v>Donekle se slažem</c:v>
                </c:pt>
              </c:strCache>
            </c:strRef>
          </c:tx>
          <c:spPr>
            <a:solidFill>
              <a:srgbClr val="0070C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'Ključne poruke'!$B$4:$B$8</c:f>
              <c:strCache>
                <c:ptCount val="5"/>
                <c:pt idx="0">
                  <c:v>EU je naše odredište, a kvalitetniji život građana je ključni cilj naših reformi.</c:v>
                </c:pt>
                <c:pt idx="1">
                  <c:v>Evropska unija je snažan globalni igrač, visokog standarda života, zasnovana na demokratskim vrijednostima i time prioritet Crne Gore.</c:v>
                </c:pt>
                <c:pt idx="2">
                  <c:v>Proces evropskih integracija sada se intenzivira, jer je na redu primjena usvojenih propisa i standarda.</c:v>
                </c:pt>
                <c:pt idx="3">
                  <c:v>Crna Gora će ulaskom u EU zadržati svoj identitet i dobiti mogućnost odlučivanja o važnim pitanjima.</c:v>
                </c:pt>
                <c:pt idx="4">
                  <c:v>Pomoć iz evropskih fondova već unaprjeđuje život građana.</c:v>
                </c:pt>
              </c:strCache>
            </c:strRef>
          </c:cat>
          <c:val>
            <c:numRef>
              <c:f>'Ključne poruke'!$D$4:$D$8</c:f>
              <c:numCache>
                <c:formatCode>0.0%</c:formatCode>
                <c:ptCount val="5"/>
                <c:pt idx="0">
                  <c:v>0.32200000000000001</c:v>
                </c:pt>
                <c:pt idx="1">
                  <c:v>0.33700000000000002</c:v>
                </c:pt>
                <c:pt idx="2">
                  <c:v>0.36199999999999999</c:v>
                </c:pt>
                <c:pt idx="3">
                  <c:v>0.29099999999999998</c:v>
                </c:pt>
                <c:pt idx="4">
                  <c:v>0.34899999999999998</c:v>
                </c:pt>
              </c:numCache>
            </c:numRef>
          </c:val>
          <c:extLst>
            <c:ext xmlns:c16="http://schemas.microsoft.com/office/drawing/2014/chart" uri="{C3380CC4-5D6E-409C-BE32-E72D297353CC}">
              <c16:uniqueId val="{00000001-49D9-4399-B72F-79FF35EF2A6E}"/>
            </c:ext>
          </c:extLst>
        </c:ser>
        <c:ser>
          <c:idx val="2"/>
          <c:order val="2"/>
          <c:tx>
            <c:strRef>
              <c:f>'Ključne poruke'!$E$3</c:f>
              <c:strCache>
                <c:ptCount val="1"/>
                <c:pt idx="0">
                  <c:v>Donekle se ne slažem</c:v>
                </c:pt>
              </c:strCache>
            </c:strRef>
          </c:tx>
          <c:spPr>
            <a:solidFill>
              <a:schemeClr val="bg1">
                <a:lumMod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'Ključne poruke'!$B$4:$B$8</c:f>
              <c:strCache>
                <c:ptCount val="5"/>
                <c:pt idx="0">
                  <c:v>EU je naše odredište, a kvalitetniji život građana je ključni cilj naših reformi.</c:v>
                </c:pt>
                <c:pt idx="1">
                  <c:v>Evropska unija je snažan globalni igrač, visokog standarda života, zasnovana na demokratskim vrijednostima i time prioritet Crne Gore.</c:v>
                </c:pt>
                <c:pt idx="2">
                  <c:v>Proces evropskih integracija sada se intenzivira, jer je na redu primjena usvojenih propisa i standarda.</c:v>
                </c:pt>
                <c:pt idx="3">
                  <c:v>Crna Gora će ulaskom u EU zadržati svoj identitet i dobiti mogućnost odlučivanja o važnim pitanjima.</c:v>
                </c:pt>
                <c:pt idx="4">
                  <c:v>Pomoć iz evropskih fondova već unaprjeđuje život građana.</c:v>
                </c:pt>
              </c:strCache>
            </c:strRef>
          </c:cat>
          <c:val>
            <c:numRef>
              <c:f>'Ključne poruke'!$E$4:$E$8</c:f>
              <c:numCache>
                <c:formatCode>0.0%</c:formatCode>
                <c:ptCount val="5"/>
                <c:pt idx="0">
                  <c:v>7.6999999999999999E-2</c:v>
                </c:pt>
                <c:pt idx="1">
                  <c:v>9.9000000000000005E-2</c:v>
                </c:pt>
                <c:pt idx="2">
                  <c:v>0.10100000000000001</c:v>
                </c:pt>
                <c:pt idx="3">
                  <c:v>0.158</c:v>
                </c:pt>
                <c:pt idx="4">
                  <c:v>0.11700000000000001</c:v>
                </c:pt>
              </c:numCache>
            </c:numRef>
          </c:val>
          <c:extLst>
            <c:ext xmlns:c16="http://schemas.microsoft.com/office/drawing/2014/chart" uri="{C3380CC4-5D6E-409C-BE32-E72D297353CC}">
              <c16:uniqueId val="{00000002-49D9-4399-B72F-79FF35EF2A6E}"/>
            </c:ext>
          </c:extLst>
        </c:ser>
        <c:ser>
          <c:idx val="3"/>
          <c:order val="3"/>
          <c:tx>
            <c:strRef>
              <c:f>'Ključne poruke'!$F$3</c:f>
              <c:strCache>
                <c:ptCount val="1"/>
                <c:pt idx="0">
                  <c:v>U potpunosti se slažem</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'Ključne poruke'!$B$4:$B$8</c:f>
              <c:strCache>
                <c:ptCount val="5"/>
                <c:pt idx="0">
                  <c:v>EU je naše odredište, a kvalitetniji život građana je ključni cilj naših reformi.</c:v>
                </c:pt>
                <c:pt idx="1">
                  <c:v>Evropska unija je snažan globalni igrač, visokog standarda života, zasnovana na demokratskim vrijednostima i time prioritet Crne Gore.</c:v>
                </c:pt>
                <c:pt idx="2">
                  <c:v>Proces evropskih integracija sada se intenzivira, jer je na redu primjena usvojenih propisa i standarda.</c:v>
                </c:pt>
                <c:pt idx="3">
                  <c:v>Crna Gora će ulaskom u EU zadržati svoj identitet i dobiti mogućnost odlučivanja o važnim pitanjima.</c:v>
                </c:pt>
                <c:pt idx="4">
                  <c:v>Pomoć iz evropskih fondova već unaprjeđuje život građana.</c:v>
                </c:pt>
              </c:strCache>
            </c:strRef>
          </c:cat>
          <c:val>
            <c:numRef>
              <c:f>'Ključne poruke'!$F$4:$F$8</c:f>
              <c:numCache>
                <c:formatCode>0.0%</c:formatCode>
                <c:ptCount val="5"/>
                <c:pt idx="0">
                  <c:v>0.18099999999999999</c:v>
                </c:pt>
                <c:pt idx="1">
                  <c:v>0.17599999999999999</c:v>
                </c:pt>
                <c:pt idx="2">
                  <c:v>0.17100000000000001</c:v>
                </c:pt>
                <c:pt idx="3">
                  <c:v>0.223</c:v>
                </c:pt>
                <c:pt idx="4">
                  <c:v>0.20499999999999999</c:v>
                </c:pt>
              </c:numCache>
            </c:numRef>
          </c:val>
          <c:extLst>
            <c:ext xmlns:c16="http://schemas.microsoft.com/office/drawing/2014/chart" uri="{C3380CC4-5D6E-409C-BE32-E72D297353CC}">
              <c16:uniqueId val="{00000003-49D9-4399-B72F-79FF35EF2A6E}"/>
            </c:ext>
          </c:extLst>
        </c:ser>
        <c:ser>
          <c:idx val="4"/>
          <c:order val="4"/>
          <c:tx>
            <c:strRef>
              <c:f>'Ključne poruke'!$G$3</c:f>
              <c:strCache>
                <c:ptCount val="1"/>
                <c:pt idx="0">
                  <c:v>Ne znam/ Bez odgovora</c:v>
                </c:pt>
              </c:strCache>
            </c:strRef>
          </c:tx>
          <c:spPr>
            <a:solidFill>
              <a:schemeClr val="bg1">
                <a:lumMod val="8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'Ključne poruke'!$B$4:$B$8</c:f>
              <c:strCache>
                <c:ptCount val="5"/>
                <c:pt idx="0">
                  <c:v>EU je naše odredište, a kvalitetniji život građana je ključni cilj naših reformi.</c:v>
                </c:pt>
                <c:pt idx="1">
                  <c:v>Evropska unija je snažan globalni igrač, visokog standarda života, zasnovana na demokratskim vrijednostima i time prioritet Crne Gore.</c:v>
                </c:pt>
                <c:pt idx="2">
                  <c:v>Proces evropskih integracija sada se intenzivira, jer je na redu primjena usvojenih propisa i standarda.</c:v>
                </c:pt>
                <c:pt idx="3">
                  <c:v>Crna Gora će ulaskom u EU zadržati svoj identitet i dobiti mogućnost odlučivanja o važnim pitanjima.</c:v>
                </c:pt>
                <c:pt idx="4">
                  <c:v>Pomoć iz evropskih fondova već unaprjeđuje život građana.</c:v>
                </c:pt>
              </c:strCache>
            </c:strRef>
          </c:cat>
          <c:val>
            <c:numRef>
              <c:f>'Ključne poruke'!$G$4:$G$8</c:f>
              <c:numCache>
                <c:formatCode>0.0%</c:formatCode>
                <c:ptCount val="5"/>
                <c:pt idx="0">
                  <c:v>3.3000000000000002E-2</c:v>
                </c:pt>
                <c:pt idx="1">
                  <c:v>2.9000000000000001E-2</c:v>
                </c:pt>
                <c:pt idx="2">
                  <c:v>7.4999999999999997E-2</c:v>
                </c:pt>
                <c:pt idx="3">
                  <c:v>4.1000000000000002E-2</c:v>
                </c:pt>
                <c:pt idx="4">
                  <c:v>4.5999999999999999E-2</c:v>
                </c:pt>
              </c:numCache>
            </c:numRef>
          </c:val>
          <c:extLst>
            <c:ext xmlns:c16="http://schemas.microsoft.com/office/drawing/2014/chart" uri="{C3380CC4-5D6E-409C-BE32-E72D297353CC}">
              <c16:uniqueId val="{00000004-49D9-4399-B72F-79FF35EF2A6E}"/>
            </c:ext>
          </c:extLst>
        </c:ser>
        <c:dLbls>
          <c:showLegendKey val="0"/>
          <c:showVal val="0"/>
          <c:showCatName val="0"/>
          <c:showSerName val="0"/>
          <c:showPercent val="0"/>
          <c:showBubbleSize val="0"/>
        </c:dLbls>
        <c:gapWidth val="150"/>
        <c:overlap val="100"/>
        <c:axId val="127257600"/>
        <c:axId val="149373696"/>
      </c:barChart>
      <c:catAx>
        <c:axId val="1272576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49373696"/>
        <c:crosses val="autoZero"/>
        <c:auto val="1"/>
        <c:lblAlgn val="ctr"/>
        <c:lblOffset val="100"/>
        <c:noMultiLvlLbl val="0"/>
      </c:catAx>
      <c:valAx>
        <c:axId val="149373696"/>
        <c:scaling>
          <c:orientation val="minMax"/>
          <c:max val="1"/>
        </c:scaling>
        <c:delete val="0"/>
        <c:axPos val="b"/>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sr-Latn-RS"/>
          </a:p>
        </c:txPr>
        <c:crossAx val="127257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noFill/>
      <a:round/>
    </a:ln>
    <a:effectLst/>
  </c:spPr>
  <c:txPr>
    <a:bodyPr/>
    <a:lstStyle/>
    <a:p>
      <a:pPr>
        <a:defRPr/>
      </a:pPr>
      <a:endParaRPr lang="sr-Latn-RS"/>
    </a:p>
  </c:txPr>
  <c:externalData r:id="rId1">
    <c:autoUpdate val="0"/>
  </c:externalData>
  <c:userShapes r:id="rId2"/>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7650EAE-4223-4E45-BF00-962AD8AD19FA}"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sr-Latn-ME"/>
        </a:p>
      </dgm:t>
    </dgm:pt>
    <dgm:pt modelId="{72BCEB58-46DB-4759-9457-63E66ED4B8CF}">
      <dgm:prSet phldrT="[Text]"/>
      <dgm:spPr/>
      <dgm:t>
        <a:bodyPr/>
        <a:lstStyle/>
        <a:p>
          <a:r>
            <a:rPr lang="sr-Latn-ME"/>
            <a:t>GSV - Sektor za informisanje javnosti o EU i procesu pristupanja EU </a:t>
          </a:r>
        </a:p>
      </dgm:t>
    </dgm:pt>
    <dgm:pt modelId="{A39950C4-2568-499F-BEFB-9641F6C6CECE}" type="parTrans" cxnId="{4954D611-FEC2-484A-925A-0D4F1A62F3EB}">
      <dgm:prSet/>
      <dgm:spPr/>
      <dgm:t>
        <a:bodyPr/>
        <a:lstStyle/>
        <a:p>
          <a:endParaRPr lang="sr-Latn-ME"/>
        </a:p>
      </dgm:t>
    </dgm:pt>
    <dgm:pt modelId="{6F665F5F-A26C-465D-B3F5-D3918CEEB5E3}" type="sibTrans" cxnId="{4954D611-FEC2-484A-925A-0D4F1A62F3EB}">
      <dgm:prSet/>
      <dgm:spPr/>
      <dgm:t>
        <a:bodyPr/>
        <a:lstStyle/>
        <a:p>
          <a:endParaRPr lang="sr-Latn-ME"/>
        </a:p>
      </dgm:t>
    </dgm:pt>
    <dgm:pt modelId="{FD790F22-7F8E-4BC9-A475-0E2BB09D1CEC}">
      <dgm:prSet phldrT="[Text]"/>
      <dgm:spPr/>
      <dgm:t>
        <a:bodyPr/>
        <a:lstStyle/>
        <a:p>
          <a:r>
            <a:rPr lang="sr-Latn-ME"/>
            <a:t>Konsultativno tijelo</a:t>
          </a:r>
        </a:p>
      </dgm:t>
    </dgm:pt>
    <dgm:pt modelId="{56A4B452-2926-4A42-B401-46BEB0871AF7}" type="parTrans" cxnId="{6A0916B8-F319-4AEB-B646-CCDE02FB95F3}">
      <dgm:prSet/>
      <dgm:spPr/>
      <dgm:t>
        <a:bodyPr/>
        <a:lstStyle/>
        <a:p>
          <a:endParaRPr lang="sr-Latn-ME"/>
        </a:p>
      </dgm:t>
    </dgm:pt>
    <dgm:pt modelId="{C85D473C-4B0D-4D77-9A0D-64C57AA949BC}" type="sibTrans" cxnId="{6A0916B8-F319-4AEB-B646-CCDE02FB95F3}">
      <dgm:prSet/>
      <dgm:spPr/>
      <dgm:t>
        <a:bodyPr/>
        <a:lstStyle/>
        <a:p>
          <a:endParaRPr lang="sr-Latn-ME"/>
        </a:p>
      </dgm:t>
    </dgm:pt>
    <dgm:pt modelId="{4DC7ECE4-4C71-40EF-8397-9D17B190D847}">
      <dgm:prSet phldrT="[Text]"/>
      <dgm:spPr/>
      <dgm:t>
        <a:bodyPr/>
        <a:lstStyle/>
        <a:p>
          <a:r>
            <a:rPr lang="sr-Latn-ME"/>
            <a:t>Služba za odnose s javnošću Vlade CG / Odjeljenje za odnose s javnošću ministarstava</a:t>
          </a:r>
        </a:p>
      </dgm:t>
    </dgm:pt>
    <dgm:pt modelId="{E058A3A1-FD39-4A15-BF75-253F2FD5C26D}" type="parTrans" cxnId="{41560755-BF24-4AEA-A638-1F83796426DB}">
      <dgm:prSet/>
      <dgm:spPr/>
      <dgm:t>
        <a:bodyPr/>
        <a:lstStyle/>
        <a:p>
          <a:endParaRPr lang="sr-Latn-ME"/>
        </a:p>
      </dgm:t>
    </dgm:pt>
    <dgm:pt modelId="{9BA25CEC-F321-44FE-9E1B-188038971D8A}" type="sibTrans" cxnId="{41560755-BF24-4AEA-A638-1F83796426DB}">
      <dgm:prSet/>
      <dgm:spPr/>
      <dgm:t>
        <a:bodyPr/>
        <a:lstStyle/>
        <a:p>
          <a:endParaRPr lang="sr-Latn-ME"/>
        </a:p>
      </dgm:t>
    </dgm:pt>
    <dgm:pt modelId="{F92240A1-2016-487C-9E42-04D1E6B2A33B}">
      <dgm:prSet/>
      <dgm:spPr/>
      <dgm:t>
        <a:bodyPr/>
        <a:lstStyle/>
        <a:p>
          <a:r>
            <a:rPr lang="sr-Latn-ME"/>
            <a:t>Skupština Crne Gore - Odbor za evropske integracije</a:t>
          </a:r>
        </a:p>
      </dgm:t>
    </dgm:pt>
    <dgm:pt modelId="{B70F7BC1-D355-43CE-99E3-8337E7B8CC41}" type="parTrans" cxnId="{5559D2FD-317C-40FC-8002-6EF234469E01}">
      <dgm:prSet/>
      <dgm:spPr/>
      <dgm:t>
        <a:bodyPr/>
        <a:lstStyle/>
        <a:p>
          <a:endParaRPr lang="sr-Latn-ME"/>
        </a:p>
      </dgm:t>
    </dgm:pt>
    <dgm:pt modelId="{C30EA199-07E7-452D-A145-DCB342E12A9D}" type="sibTrans" cxnId="{5559D2FD-317C-40FC-8002-6EF234469E01}">
      <dgm:prSet/>
      <dgm:spPr/>
      <dgm:t>
        <a:bodyPr/>
        <a:lstStyle/>
        <a:p>
          <a:endParaRPr lang="sr-Latn-ME"/>
        </a:p>
      </dgm:t>
    </dgm:pt>
    <dgm:pt modelId="{D617FE37-ECBE-4ABE-B5F0-F31E9305805C}">
      <dgm:prSet/>
      <dgm:spPr/>
      <dgm:t>
        <a:bodyPr/>
        <a:lstStyle/>
        <a:p>
          <a:r>
            <a:rPr lang="sr-Latn-ME"/>
            <a:t>Lokalne samouprave</a:t>
          </a:r>
        </a:p>
      </dgm:t>
    </dgm:pt>
    <dgm:pt modelId="{DDB0DF59-6E2C-4597-AC04-D7FACD06FF2F}" type="parTrans" cxnId="{01E823A0-1B8D-4635-9075-A8D622B90ECC}">
      <dgm:prSet/>
      <dgm:spPr/>
      <dgm:t>
        <a:bodyPr/>
        <a:lstStyle/>
        <a:p>
          <a:endParaRPr lang="sr-Latn-ME"/>
        </a:p>
      </dgm:t>
    </dgm:pt>
    <dgm:pt modelId="{56BE0408-A022-4310-8AFC-51A7C692BFDE}" type="sibTrans" cxnId="{01E823A0-1B8D-4635-9075-A8D622B90ECC}">
      <dgm:prSet/>
      <dgm:spPr/>
      <dgm:t>
        <a:bodyPr/>
        <a:lstStyle/>
        <a:p>
          <a:endParaRPr lang="sr-Latn-ME"/>
        </a:p>
      </dgm:t>
    </dgm:pt>
    <dgm:pt modelId="{0B7CDA62-8D08-4982-B9BA-ECD225B48182}">
      <dgm:prSet/>
      <dgm:spPr/>
      <dgm:t>
        <a:bodyPr/>
        <a:lstStyle/>
        <a:p>
          <a:r>
            <a:rPr lang="sr-Latn-ME"/>
            <a:t>Organizacije civilnog društva/akademska i poslovna zajednica</a:t>
          </a:r>
        </a:p>
      </dgm:t>
    </dgm:pt>
    <dgm:pt modelId="{F677C7BB-BFC5-4375-ADDF-8E357E1A1D6C}" type="parTrans" cxnId="{53B568CF-ECEA-457B-B8D4-991A03BC4E6F}">
      <dgm:prSet/>
      <dgm:spPr/>
      <dgm:t>
        <a:bodyPr/>
        <a:lstStyle/>
        <a:p>
          <a:endParaRPr lang="sr-Latn-ME"/>
        </a:p>
      </dgm:t>
    </dgm:pt>
    <dgm:pt modelId="{3D3490F7-1D4C-434D-82C8-81D273540E40}" type="sibTrans" cxnId="{53B568CF-ECEA-457B-B8D4-991A03BC4E6F}">
      <dgm:prSet/>
      <dgm:spPr/>
      <dgm:t>
        <a:bodyPr/>
        <a:lstStyle/>
        <a:p>
          <a:endParaRPr lang="sr-Latn-ME"/>
        </a:p>
      </dgm:t>
    </dgm:pt>
    <dgm:pt modelId="{88704B1A-91E9-4F36-90F1-72AFBEC55F6B}">
      <dgm:prSet phldrT="[Text]"/>
      <dgm:spPr/>
      <dgm:t>
        <a:bodyPr/>
        <a:lstStyle/>
        <a:p>
          <a:r>
            <a:rPr lang="sr-Latn-ME"/>
            <a:t>Operativno tijelo</a:t>
          </a:r>
        </a:p>
      </dgm:t>
    </dgm:pt>
    <dgm:pt modelId="{2CF1BDCD-5B58-4596-AAD1-FE8EF1598BA4}" type="parTrans" cxnId="{F970A7CA-A8BA-4DD5-B7C0-5E4E76793691}">
      <dgm:prSet/>
      <dgm:spPr/>
      <dgm:t>
        <a:bodyPr/>
        <a:lstStyle/>
        <a:p>
          <a:endParaRPr lang="sr-Latn-ME"/>
        </a:p>
      </dgm:t>
    </dgm:pt>
    <dgm:pt modelId="{3369E43E-BF84-497E-8EB0-3AAD600E77A4}" type="sibTrans" cxnId="{F970A7CA-A8BA-4DD5-B7C0-5E4E76793691}">
      <dgm:prSet/>
      <dgm:spPr/>
      <dgm:t>
        <a:bodyPr/>
        <a:lstStyle/>
        <a:p>
          <a:endParaRPr lang="sr-Latn-ME"/>
        </a:p>
      </dgm:t>
    </dgm:pt>
    <dgm:pt modelId="{5BD5D7AC-1292-485B-8537-0C14BA34F2DC}" type="pres">
      <dgm:prSet presAssocID="{87650EAE-4223-4E45-BF00-962AD8AD19FA}" presName="diagram" presStyleCnt="0">
        <dgm:presLayoutVars>
          <dgm:chPref val="1"/>
          <dgm:dir/>
          <dgm:animOne val="branch"/>
          <dgm:animLvl val="lvl"/>
          <dgm:resizeHandles val="exact"/>
        </dgm:presLayoutVars>
      </dgm:prSet>
      <dgm:spPr/>
    </dgm:pt>
    <dgm:pt modelId="{D92464AC-0D03-4351-9D2F-52A04B59275A}" type="pres">
      <dgm:prSet presAssocID="{72BCEB58-46DB-4759-9457-63E66ED4B8CF}" presName="root1" presStyleCnt="0"/>
      <dgm:spPr/>
    </dgm:pt>
    <dgm:pt modelId="{D247AC5F-A9C2-4DC0-8835-0D3D64D0A604}" type="pres">
      <dgm:prSet presAssocID="{72BCEB58-46DB-4759-9457-63E66ED4B8CF}" presName="LevelOneTextNode" presStyleLbl="node0" presStyleIdx="0" presStyleCnt="1">
        <dgm:presLayoutVars>
          <dgm:chPref val="3"/>
        </dgm:presLayoutVars>
      </dgm:prSet>
      <dgm:spPr/>
    </dgm:pt>
    <dgm:pt modelId="{608DBCBE-B3C2-4EB8-8199-2B45DF9563E0}" type="pres">
      <dgm:prSet presAssocID="{72BCEB58-46DB-4759-9457-63E66ED4B8CF}" presName="level2hierChild" presStyleCnt="0"/>
      <dgm:spPr/>
    </dgm:pt>
    <dgm:pt modelId="{FE05FB58-9D22-4340-8C14-78AD249AE7A7}" type="pres">
      <dgm:prSet presAssocID="{56A4B452-2926-4A42-B401-46BEB0871AF7}" presName="conn2-1" presStyleLbl="parChTrans1D2" presStyleIdx="0" presStyleCnt="2"/>
      <dgm:spPr/>
    </dgm:pt>
    <dgm:pt modelId="{780C2AAF-6D3E-4C5E-9F14-289A5F3FEB60}" type="pres">
      <dgm:prSet presAssocID="{56A4B452-2926-4A42-B401-46BEB0871AF7}" presName="connTx" presStyleLbl="parChTrans1D2" presStyleIdx="0" presStyleCnt="2"/>
      <dgm:spPr/>
    </dgm:pt>
    <dgm:pt modelId="{F1423BC5-6B63-4957-81E2-11C1FEC49CAD}" type="pres">
      <dgm:prSet presAssocID="{FD790F22-7F8E-4BC9-A475-0E2BB09D1CEC}" presName="root2" presStyleCnt="0"/>
      <dgm:spPr/>
    </dgm:pt>
    <dgm:pt modelId="{A987EA0D-F328-4FA3-A9CC-B938A7E95F8D}" type="pres">
      <dgm:prSet presAssocID="{FD790F22-7F8E-4BC9-A475-0E2BB09D1CEC}" presName="LevelTwoTextNode" presStyleLbl="node2" presStyleIdx="0" presStyleCnt="2">
        <dgm:presLayoutVars>
          <dgm:chPref val="3"/>
        </dgm:presLayoutVars>
      </dgm:prSet>
      <dgm:spPr/>
    </dgm:pt>
    <dgm:pt modelId="{B6899EAD-C935-4F20-9605-3247C9E405EA}" type="pres">
      <dgm:prSet presAssocID="{FD790F22-7F8E-4BC9-A475-0E2BB09D1CEC}" presName="level3hierChild" presStyleCnt="0"/>
      <dgm:spPr/>
    </dgm:pt>
    <dgm:pt modelId="{15671A5A-8626-44CE-9465-888E423A0438}" type="pres">
      <dgm:prSet presAssocID="{2CF1BDCD-5B58-4596-AAD1-FE8EF1598BA4}" presName="conn2-1" presStyleLbl="parChTrans1D2" presStyleIdx="1" presStyleCnt="2"/>
      <dgm:spPr/>
    </dgm:pt>
    <dgm:pt modelId="{C2BD2A80-B8E2-4B1A-BF5C-BD450A141E13}" type="pres">
      <dgm:prSet presAssocID="{2CF1BDCD-5B58-4596-AAD1-FE8EF1598BA4}" presName="connTx" presStyleLbl="parChTrans1D2" presStyleIdx="1" presStyleCnt="2"/>
      <dgm:spPr/>
    </dgm:pt>
    <dgm:pt modelId="{ADC47FC3-004C-4E1A-8DE6-2EBB61E76908}" type="pres">
      <dgm:prSet presAssocID="{88704B1A-91E9-4F36-90F1-72AFBEC55F6B}" presName="root2" presStyleCnt="0"/>
      <dgm:spPr/>
    </dgm:pt>
    <dgm:pt modelId="{0B5113D0-38BA-4306-A921-B7DC91E4CDA4}" type="pres">
      <dgm:prSet presAssocID="{88704B1A-91E9-4F36-90F1-72AFBEC55F6B}" presName="LevelTwoTextNode" presStyleLbl="node2" presStyleIdx="1" presStyleCnt="2">
        <dgm:presLayoutVars>
          <dgm:chPref val="3"/>
        </dgm:presLayoutVars>
      </dgm:prSet>
      <dgm:spPr/>
    </dgm:pt>
    <dgm:pt modelId="{38071BD0-785F-417D-8269-A658FA7F792B}" type="pres">
      <dgm:prSet presAssocID="{88704B1A-91E9-4F36-90F1-72AFBEC55F6B}" presName="level3hierChild" presStyleCnt="0"/>
      <dgm:spPr/>
    </dgm:pt>
    <dgm:pt modelId="{DB282C0A-2C2F-4987-82C7-D62FE09FD6F3}" type="pres">
      <dgm:prSet presAssocID="{E058A3A1-FD39-4A15-BF75-253F2FD5C26D}" presName="conn2-1" presStyleLbl="parChTrans1D3" presStyleIdx="0" presStyleCnt="4"/>
      <dgm:spPr/>
    </dgm:pt>
    <dgm:pt modelId="{9A0054DD-48B9-4ADB-AEB0-370751FABF2F}" type="pres">
      <dgm:prSet presAssocID="{E058A3A1-FD39-4A15-BF75-253F2FD5C26D}" presName="connTx" presStyleLbl="parChTrans1D3" presStyleIdx="0" presStyleCnt="4"/>
      <dgm:spPr/>
    </dgm:pt>
    <dgm:pt modelId="{167C1647-4B7C-4661-B67B-77FCCDA6B503}" type="pres">
      <dgm:prSet presAssocID="{4DC7ECE4-4C71-40EF-8397-9D17B190D847}" presName="root2" presStyleCnt="0"/>
      <dgm:spPr/>
    </dgm:pt>
    <dgm:pt modelId="{CD3CCFD1-70AC-4D07-9807-5B0F31BFBC6D}" type="pres">
      <dgm:prSet presAssocID="{4DC7ECE4-4C71-40EF-8397-9D17B190D847}" presName="LevelTwoTextNode" presStyleLbl="node3" presStyleIdx="0" presStyleCnt="4">
        <dgm:presLayoutVars>
          <dgm:chPref val="3"/>
        </dgm:presLayoutVars>
      </dgm:prSet>
      <dgm:spPr/>
    </dgm:pt>
    <dgm:pt modelId="{4F80A86F-1DAA-44CD-B236-7B9B83BC7E37}" type="pres">
      <dgm:prSet presAssocID="{4DC7ECE4-4C71-40EF-8397-9D17B190D847}" presName="level3hierChild" presStyleCnt="0"/>
      <dgm:spPr/>
    </dgm:pt>
    <dgm:pt modelId="{57038DFA-57E2-4872-93A4-6946F8F10B43}" type="pres">
      <dgm:prSet presAssocID="{B70F7BC1-D355-43CE-99E3-8337E7B8CC41}" presName="conn2-1" presStyleLbl="parChTrans1D3" presStyleIdx="1" presStyleCnt="4"/>
      <dgm:spPr/>
    </dgm:pt>
    <dgm:pt modelId="{57178351-A755-49C7-993E-99A4DC50837E}" type="pres">
      <dgm:prSet presAssocID="{B70F7BC1-D355-43CE-99E3-8337E7B8CC41}" presName="connTx" presStyleLbl="parChTrans1D3" presStyleIdx="1" presStyleCnt="4"/>
      <dgm:spPr/>
    </dgm:pt>
    <dgm:pt modelId="{4237BDB5-F8B6-40E8-BBA2-592D90D96A5A}" type="pres">
      <dgm:prSet presAssocID="{F92240A1-2016-487C-9E42-04D1E6B2A33B}" presName="root2" presStyleCnt="0"/>
      <dgm:spPr/>
    </dgm:pt>
    <dgm:pt modelId="{CE568CE0-465A-47E3-8ED4-BFD77D9C9C5D}" type="pres">
      <dgm:prSet presAssocID="{F92240A1-2016-487C-9E42-04D1E6B2A33B}" presName="LevelTwoTextNode" presStyleLbl="node3" presStyleIdx="1" presStyleCnt="4">
        <dgm:presLayoutVars>
          <dgm:chPref val="3"/>
        </dgm:presLayoutVars>
      </dgm:prSet>
      <dgm:spPr/>
    </dgm:pt>
    <dgm:pt modelId="{9E09769F-B829-4883-B56C-4E7BCC046EA1}" type="pres">
      <dgm:prSet presAssocID="{F92240A1-2016-487C-9E42-04D1E6B2A33B}" presName="level3hierChild" presStyleCnt="0"/>
      <dgm:spPr/>
    </dgm:pt>
    <dgm:pt modelId="{4571DD39-163E-46F3-876F-2CD3293DB6BE}" type="pres">
      <dgm:prSet presAssocID="{DDB0DF59-6E2C-4597-AC04-D7FACD06FF2F}" presName="conn2-1" presStyleLbl="parChTrans1D3" presStyleIdx="2" presStyleCnt="4"/>
      <dgm:spPr/>
    </dgm:pt>
    <dgm:pt modelId="{8F412C0F-AB51-4703-9334-F49F4E8BF0E3}" type="pres">
      <dgm:prSet presAssocID="{DDB0DF59-6E2C-4597-AC04-D7FACD06FF2F}" presName="connTx" presStyleLbl="parChTrans1D3" presStyleIdx="2" presStyleCnt="4"/>
      <dgm:spPr/>
    </dgm:pt>
    <dgm:pt modelId="{237D847F-6702-49F3-8870-726F0E14C2A3}" type="pres">
      <dgm:prSet presAssocID="{D617FE37-ECBE-4ABE-B5F0-F31E9305805C}" presName="root2" presStyleCnt="0"/>
      <dgm:spPr/>
    </dgm:pt>
    <dgm:pt modelId="{E6B1E318-5E97-49A8-8130-B3779700C486}" type="pres">
      <dgm:prSet presAssocID="{D617FE37-ECBE-4ABE-B5F0-F31E9305805C}" presName="LevelTwoTextNode" presStyleLbl="node3" presStyleIdx="2" presStyleCnt="4">
        <dgm:presLayoutVars>
          <dgm:chPref val="3"/>
        </dgm:presLayoutVars>
      </dgm:prSet>
      <dgm:spPr/>
    </dgm:pt>
    <dgm:pt modelId="{01EE243C-B0AF-4F1E-96DA-6FD5B41F53A7}" type="pres">
      <dgm:prSet presAssocID="{D617FE37-ECBE-4ABE-B5F0-F31E9305805C}" presName="level3hierChild" presStyleCnt="0"/>
      <dgm:spPr/>
    </dgm:pt>
    <dgm:pt modelId="{4B41E12C-9842-4E54-AE6F-0756F027ADB3}" type="pres">
      <dgm:prSet presAssocID="{F677C7BB-BFC5-4375-ADDF-8E357E1A1D6C}" presName="conn2-1" presStyleLbl="parChTrans1D3" presStyleIdx="3" presStyleCnt="4"/>
      <dgm:spPr/>
    </dgm:pt>
    <dgm:pt modelId="{2FB08E47-34E0-4F94-B6E0-2121CBB30FD5}" type="pres">
      <dgm:prSet presAssocID="{F677C7BB-BFC5-4375-ADDF-8E357E1A1D6C}" presName="connTx" presStyleLbl="parChTrans1D3" presStyleIdx="3" presStyleCnt="4"/>
      <dgm:spPr/>
    </dgm:pt>
    <dgm:pt modelId="{D9C669C0-9B88-4A8C-940B-E7357C9DF812}" type="pres">
      <dgm:prSet presAssocID="{0B7CDA62-8D08-4982-B9BA-ECD225B48182}" presName="root2" presStyleCnt="0"/>
      <dgm:spPr/>
    </dgm:pt>
    <dgm:pt modelId="{1B4154B8-ADEF-484D-83C0-CE068FD8587C}" type="pres">
      <dgm:prSet presAssocID="{0B7CDA62-8D08-4982-B9BA-ECD225B48182}" presName="LevelTwoTextNode" presStyleLbl="node3" presStyleIdx="3" presStyleCnt="4">
        <dgm:presLayoutVars>
          <dgm:chPref val="3"/>
        </dgm:presLayoutVars>
      </dgm:prSet>
      <dgm:spPr/>
    </dgm:pt>
    <dgm:pt modelId="{1FB9E2A8-C9FC-4337-AA1D-E7EE56183604}" type="pres">
      <dgm:prSet presAssocID="{0B7CDA62-8D08-4982-B9BA-ECD225B48182}" presName="level3hierChild" presStyleCnt="0"/>
      <dgm:spPr/>
    </dgm:pt>
  </dgm:ptLst>
  <dgm:cxnLst>
    <dgm:cxn modelId="{F7EF9E03-583F-4D31-B5B5-229007ECC34A}" type="presOf" srcId="{FD790F22-7F8E-4BC9-A475-0E2BB09D1CEC}" destId="{A987EA0D-F328-4FA3-A9CC-B938A7E95F8D}" srcOrd="0" destOrd="0" presId="urn:microsoft.com/office/officeart/2005/8/layout/hierarchy2"/>
    <dgm:cxn modelId="{C45F0905-9068-47C1-8979-D3237A56E273}" type="presOf" srcId="{DDB0DF59-6E2C-4597-AC04-D7FACD06FF2F}" destId="{4571DD39-163E-46F3-876F-2CD3293DB6BE}" srcOrd="0" destOrd="0" presId="urn:microsoft.com/office/officeart/2005/8/layout/hierarchy2"/>
    <dgm:cxn modelId="{4954D611-FEC2-484A-925A-0D4F1A62F3EB}" srcId="{87650EAE-4223-4E45-BF00-962AD8AD19FA}" destId="{72BCEB58-46DB-4759-9457-63E66ED4B8CF}" srcOrd="0" destOrd="0" parTransId="{A39950C4-2568-499F-BEFB-9641F6C6CECE}" sibTransId="{6F665F5F-A26C-465D-B3F5-D3918CEEB5E3}"/>
    <dgm:cxn modelId="{7CCDC21C-7EF8-4F9D-9F8A-880E3D98CD07}" type="presOf" srcId="{F677C7BB-BFC5-4375-ADDF-8E357E1A1D6C}" destId="{2FB08E47-34E0-4F94-B6E0-2121CBB30FD5}" srcOrd="1" destOrd="0" presId="urn:microsoft.com/office/officeart/2005/8/layout/hierarchy2"/>
    <dgm:cxn modelId="{0CE55D29-787D-4242-A961-A5DF14F27B1D}" type="presOf" srcId="{0B7CDA62-8D08-4982-B9BA-ECD225B48182}" destId="{1B4154B8-ADEF-484D-83C0-CE068FD8587C}" srcOrd="0" destOrd="0" presId="urn:microsoft.com/office/officeart/2005/8/layout/hierarchy2"/>
    <dgm:cxn modelId="{7A1D3C2A-8398-41F8-9922-5D7A988D8D5F}" type="presOf" srcId="{88704B1A-91E9-4F36-90F1-72AFBEC55F6B}" destId="{0B5113D0-38BA-4306-A921-B7DC91E4CDA4}" srcOrd="0" destOrd="0" presId="urn:microsoft.com/office/officeart/2005/8/layout/hierarchy2"/>
    <dgm:cxn modelId="{61BA6430-D06B-4EBE-A997-E380F463ED17}" type="presOf" srcId="{DDB0DF59-6E2C-4597-AC04-D7FACD06FF2F}" destId="{8F412C0F-AB51-4703-9334-F49F4E8BF0E3}" srcOrd="1" destOrd="0" presId="urn:microsoft.com/office/officeart/2005/8/layout/hierarchy2"/>
    <dgm:cxn modelId="{4E21BA5F-AFBB-4188-98C5-08D069CFBE75}" type="presOf" srcId="{E058A3A1-FD39-4A15-BF75-253F2FD5C26D}" destId="{DB282C0A-2C2F-4987-82C7-D62FE09FD6F3}" srcOrd="0" destOrd="0" presId="urn:microsoft.com/office/officeart/2005/8/layout/hierarchy2"/>
    <dgm:cxn modelId="{C6FC8645-A263-47BD-ACA6-69BCBAF8C61A}" type="presOf" srcId="{B70F7BC1-D355-43CE-99E3-8337E7B8CC41}" destId="{57178351-A755-49C7-993E-99A4DC50837E}" srcOrd="1" destOrd="0" presId="urn:microsoft.com/office/officeart/2005/8/layout/hierarchy2"/>
    <dgm:cxn modelId="{EE628F45-D04C-4F24-A33D-7877CDBE2BD7}" type="presOf" srcId="{56A4B452-2926-4A42-B401-46BEB0871AF7}" destId="{FE05FB58-9D22-4340-8C14-78AD249AE7A7}" srcOrd="0" destOrd="0" presId="urn:microsoft.com/office/officeart/2005/8/layout/hierarchy2"/>
    <dgm:cxn modelId="{D18D6769-66EA-49F5-B8F6-79C34E3BF9A4}" type="presOf" srcId="{2CF1BDCD-5B58-4596-AAD1-FE8EF1598BA4}" destId="{C2BD2A80-B8E2-4B1A-BF5C-BD450A141E13}" srcOrd="1" destOrd="0" presId="urn:microsoft.com/office/officeart/2005/8/layout/hierarchy2"/>
    <dgm:cxn modelId="{684E2C4A-FF5A-4C76-9DC3-66FB42B90262}" type="presOf" srcId="{87650EAE-4223-4E45-BF00-962AD8AD19FA}" destId="{5BD5D7AC-1292-485B-8537-0C14BA34F2DC}" srcOrd="0" destOrd="0" presId="urn:microsoft.com/office/officeart/2005/8/layout/hierarchy2"/>
    <dgm:cxn modelId="{92398272-C5B6-4936-9B48-9DB279858DD7}" type="presOf" srcId="{56A4B452-2926-4A42-B401-46BEB0871AF7}" destId="{780C2AAF-6D3E-4C5E-9F14-289A5F3FEB60}" srcOrd="1" destOrd="0" presId="urn:microsoft.com/office/officeart/2005/8/layout/hierarchy2"/>
    <dgm:cxn modelId="{2FFA4174-8090-412E-A182-64C1EF5D8E72}" type="presOf" srcId="{E058A3A1-FD39-4A15-BF75-253F2FD5C26D}" destId="{9A0054DD-48B9-4ADB-AEB0-370751FABF2F}" srcOrd="1" destOrd="0" presId="urn:microsoft.com/office/officeart/2005/8/layout/hierarchy2"/>
    <dgm:cxn modelId="{41560755-BF24-4AEA-A638-1F83796426DB}" srcId="{88704B1A-91E9-4F36-90F1-72AFBEC55F6B}" destId="{4DC7ECE4-4C71-40EF-8397-9D17B190D847}" srcOrd="0" destOrd="0" parTransId="{E058A3A1-FD39-4A15-BF75-253F2FD5C26D}" sibTransId="{9BA25CEC-F321-44FE-9E1B-188038971D8A}"/>
    <dgm:cxn modelId="{D55E5E58-2B1F-4A24-8C99-CB7FB5A1654F}" type="presOf" srcId="{4DC7ECE4-4C71-40EF-8397-9D17B190D847}" destId="{CD3CCFD1-70AC-4D07-9807-5B0F31BFBC6D}" srcOrd="0" destOrd="0" presId="urn:microsoft.com/office/officeart/2005/8/layout/hierarchy2"/>
    <dgm:cxn modelId="{6605E095-E527-4ED8-86F2-42C638F06572}" type="presOf" srcId="{D617FE37-ECBE-4ABE-B5F0-F31E9305805C}" destId="{E6B1E318-5E97-49A8-8130-B3779700C486}" srcOrd="0" destOrd="0" presId="urn:microsoft.com/office/officeart/2005/8/layout/hierarchy2"/>
    <dgm:cxn modelId="{01E823A0-1B8D-4635-9075-A8D622B90ECC}" srcId="{88704B1A-91E9-4F36-90F1-72AFBEC55F6B}" destId="{D617FE37-ECBE-4ABE-B5F0-F31E9305805C}" srcOrd="2" destOrd="0" parTransId="{DDB0DF59-6E2C-4597-AC04-D7FACD06FF2F}" sibTransId="{56BE0408-A022-4310-8AFC-51A7C692BFDE}"/>
    <dgm:cxn modelId="{1FFD7FA7-AD0F-44A2-8D81-9DEB931FD861}" type="presOf" srcId="{F677C7BB-BFC5-4375-ADDF-8E357E1A1D6C}" destId="{4B41E12C-9842-4E54-AE6F-0756F027ADB3}" srcOrd="0" destOrd="0" presId="urn:microsoft.com/office/officeart/2005/8/layout/hierarchy2"/>
    <dgm:cxn modelId="{3BF226B3-C9BE-455A-A9B7-49CEBB9647BD}" type="presOf" srcId="{72BCEB58-46DB-4759-9457-63E66ED4B8CF}" destId="{D247AC5F-A9C2-4DC0-8835-0D3D64D0A604}" srcOrd="0" destOrd="0" presId="urn:microsoft.com/office/officeart/2005/8/layout/hierarchy2"/>
    <dgm:cxn modelId="{6A0916B8-F319-4AEB-B646-CCDE02FB95F3}" srcId="{72BCEB58-46DB-4759-9457-63E66ED4B8CF}" destId="{FD790F22-7F8E-4BC9-A475-0E2BB09D1CEC}" srcOrd="0" destOrd="0" parTransId="{56A4B452-2926-4A42-B401-46BEB0871AF7}" sibTransId="{C85D473C-4B0D-4D77-9A0D-64C57AA949BC}"/>
    <dgm:cxn modelId="{4425FFB8-B20C-46F2-A519-F923001A123E}" type="presOf" srcId="{B70F7BC1-D355-43CE-99E3-8337E7B8CC41}" destId="{57038DFA-57E2-4872-93A4-6946F8F10B43}" srcOrd="0" destOrd="0" presId="urn:microsoft.com/office/officeart/2005/8/layout/hierarchy2"/>
    <dgm:cxn modelId="{249A0EBA-7503-449D-8DDD-8CD03CA3B315}" type="presOf" srcId="{2CF1BDCD-5B58-4596-AAD1-FE8EF1598BA4}" destId="{15671A5A-8626-44CE-9465-888E423A0438}" srcOrd="0" destOrd="0" presId="urn:microsoft.com/office/officeart/2005/8/layout/hierarchy2"/>
    <dgm:cxn modelId="{F970A7CA-A8BA-4DD5-B7C0-5E4E76793691}" srcId="{72BCEB58-46DB-4759-9457-63E66ED4B8CF}" destId="{88704B1A-91E9-4F36-90F1-72AFBEC55F6B}" srcOrd="1" destOrd="0" parTransId="{2CF1BDCD-5B58-4596-AAD1-FE8EF1598BA4}" sibTransId="{3369E43E-BF84-497E-8EB0-3AAD600E77A4}"/>
    <dgm:cxn modelId="{53B568CF-ECEA-457B-B8D4-991A03BC4E6F}" srcId="{88704B1A-91E9-4F36-90F1-72AFBEC55F6B}" destId="{0B7CDA62-8D08-4982-B9BA-ECD225B48182}" srcOrd="3" destOrd="0" parTransId="{F677C7BB-BFC5-4375-ADDF-8E357E1A1D6C}" sibTransId="{3D3490F7-1D4C-434D-82C8-81D273540E40}"/>
    <dgm:cxn modelId="{72F302F5-3FBB-4BA1-9FB1-4D7FEDEE4278}" type="presOf" srcId="{F92240A1-2016-487C-9E42-04D1E6B2A33B}" destId="{CE568CE0-465A-47E3-8ED4-BFD77D9C9C5D}" srcOrd="0" destOrd="0" presId="urn:microsoft.com/office/officeart/2005/8/layout/hierarchy2"/>
    <dgm:cxn modelId="{5559D2FD-317C-40FC-8002-6EF234469E01}" srcId="{88704B1A-91E9-4F36-90F1-72AFBEC55F6B}" destId="{F92240A1-2016-487C-9E42-04D1E6B2A33B}" srcOrd="1" destOrd="0" parTransId="{B70F7BC1-D355-43CE-99E3-8337E7B8CC41}" sibTransId="{C30EA199-07E7-452D-A145-DCB342E12A9D}"/>
    <dgm:cxn modelId="{2CF8D0BE-1BDA-4D3C-97A3-06F5DF858140}" type="presParOf" srcId="{5BD5D7AC-1292-485B-8537-0C14BA34F2DC}" destId="{D92464AC-0D03-4351-9D2F-52A04B59275A}" srcOrd="0" destOrd="0" presId="urn:microsoft.com/office/officeart/2005/8/layout/hierarchy2"/>
    <dgm:cxn modelId="{AF0F57C4-013B-4345-916B-22E46AC38B08}" type="presParOf" srcId="{D92464AC-0D03-4351-9D2F-52A04B59275A}" destId="{D247AC5F-A9C2-4DC0-8835-0D3D64D0A604}" srcOrd="0" destOrd="0" presId="urn:microsoft.com/office/officeart/2005/8/layout/hierarchy2"/>
    <dgm:cxn modelId="{F6D8E82E-7818-4A4D-B15B-056D408962E2}" type="presParOf" srcId="{D92464AC-0D03-4351-9D2F-52A04B59275A}" destId="{608DBCBE-B3C2-4EB8-8199-2B45DF9563E0}" srcOrd="1" destOrd="0" presId="urn:microsoft.com/office/officeart/2005/8/layout/hierarchy2"/>
    <dgm:cxn modelId="{F1B15FED-715E-4A80-B5B6-95B02CAF14C5}" type="presParOf" srcId="{608DBCBE-B3C2-4EB8-8199-2B45DF9563E0}" destId="{FE05FB58-9D22-4340-8C14-78AD249AE7A7}" srcOrd="0" destOrd="0" presId="urn:microsoft.com/office/officeart/2005/8/layout/hierarchy2"/>
    <dgm:cxn modelId="{715932E8-7317-47B8-A7A9-5CB4BB0CF7FA}" type="presParOf" srcId="{FE05FB58-9D22-4340-8C14-78AD249AE7A7}" destId="{780C2AAF-6D3E-4C5E-9F14-289A5F3FEB60}" srcOrd="0" destOrd="0" presId="urn:microsoft.com/office/officeart/2005/8/layout/hierarchy2"/>
    <dgm:cxn modelId="{48816A14-CA4D-4821-A883-5863A7454B75}" type="presParOf" srcId="{608DBCBE-B3C2-4EB8-8199-2B45DF9563E0}" destId="{F1423BC5-6B63-4957-81E2-11C1FEC49CAD}" srcOrd="1" destOrd="0" presId="urn:microsoft.com/office/officeart/2005/8/layout/hierarchy2"/>
    <dgm:cxn modelId="{8FD5A9B1-CB3E-4F53-8C2B-F6DFA359DE16}" type="presParOf" srcId="{F1423BC5-6B63-4957-81E2-11C1FEC49CAD}" destId="{A987EA0D-F328-4FA3-A9CC-B938A7E95F8D}" srcOrd="0" destOrd="0" presId="urn:microsoft.com/office/officeart/2005/8/layout/hierarchy2"/>
    <dgm:cxn modelId="{3FC09CB9-056F-450F-A2D8-D69DE2F6AA8F}" type="presParOf" srcId="{F1423BC5-6B63-4957-81E2-11C1FEC49CAD}" destId="{B6899EAD-C935-4F20-9605-3247C9E405EA}" srcOrd="1" destOrd="0" presId="urn:microsoft.com/office/officeart/2005/8/layout/hierarchy2"/>
    <dgm:cxn modelId="{37A0D3D4-ADBC-4D91-B6AD-0E6A1569D447}" type="presParOf" srcId="{608DBCBE-B3C2-4EB8-8199-2B45DF9563E0}" destId="{15671A5A-8626-44CE-9465-888E423A0438}" srcOrd="2" destOrd="0" presId="urn:microsoft.com/office/officeart/2005/8/layout/hierarchy2"/>
    <dgm:cxn modelId="{27994B28-D2F0-461B-AE1B-9D6DB99ACA09}" type="presParOf" srcId="{15671A5A-8626-44CE-9465-888E423A0438}" destId="{C2BD2A80-B8E2-4B1A-BF5C-BD450A141E13}" srcOrd="0" destOrd="0" presId="urn:microsoft.com/office/officeart/2005/8/layout/hierarchy2"/>
    <dgm:cxn modelId="{45996862-5A9E-4FCD-A3F4-C40C69ACCC77}" type="presParOf" srcId="{608DBCBE-B3C2-4EB8-8199-2B45DF9563E0}" destId="{ADC47FC3-004C-4E1A-8DE6-2EBB61E76908}" srcOrd="3" destOrd="0" presId="urn:microsoft.com/office/officeart/2005/8/layout/hierarchy2"/>
    <dgm:cxn modelId="{435D47C7-61E0-4000-BE16-FA9A35632797}" type="presParOf" srcId="{ADC47FC3-004C-4E1A-8DE6-2EBB61E76908}" destId="{0B5113D0-38BA-4306-A921-B7DC91E4CDA4}" srcOrd="0" destOrd="0" presId="urn:microsoft.com/office/officeart/2005/8/layout/hierarchy2"/>
    <dgm:cxn modelId="{75028E50-599F-41CF-A60C-B4C1BCC70E29}" type="presParOf" srcId="{ADC47FC3-004C-4E1A-8DE6-2EBB61E76908}" destId="{38071BD0-785F-417D-8269-A658FA7F792B}" srcOrd="1" destOrd="0" presId="urn:microsoft.com/office/officeart/2005/8/layout/hierarchy2"/>
    <dgm:cxn modelId="{4CDB4728-3704-4525-AFA5-239EBF4ADBA0}" type="presParOf" srcId="{38071BD0-785F-417D-8269-A658FA7F792B}" destId="{DB282C0A-2C2F-4987-82C7-D62FE09FD6F3}" srcOrd="0" destOrd="0" presId="urn:microsoft.com/office/officeart/2005/8/layout/hierarchy2"/>
    <dgm:cxn modelId="{62A8FBA8-248C-4309-9BFB-892AFEFAA2E5}" type="presParOf" srcId="{DB282C0A-2C2F-4987-82C7-D62FE09FD6F3}" destId="{9A0054DD-48B9-4ADB-AEB0-370751FABF2F}" srcOrd="0" destOrd="0" presId="urn:microsoft.com/office/officeart/2005/8/layout/hierarchy2"/>
    <dgm:cxn modelId="{5EF5DEC3-3533-4E94-BDDF-CCE96B11C0BB}" type="presParOf" srcId="{38071BD0-785F-417D-8269-A658FA7F792B}" destId="{167C1647-4B7C-4661-B67B-77FCCDA6B503}" srcOrd="1" destOrd="0" presId="urn:microsoft.com/office/officeart/2005/8/layout/hierarchy2"/>
    <dgm:cxn modelId="{47B94163-B844-4A59-B8F1-BE7B3A2088FC}" type="presParOf" srcId="{167C1647-4B7C-4661-B67B-77FCCDA6B503}" destId="{CD3CCFD1-70AC-4D07-9807-5B0F31BFBC6D}" srcOrd="0" destOrd="0" presId="urn:microsoft.com/office/officeart/2005/8/layout/hierarchy2"/>
    <dgm:cxn modelId="{0303C5CA-E5D1-4C15-8E34-EE2F06FB2C69}" type="presParOf" srcId="{167C1647-4B7C-4661-B67B-77FCCDA6B503}" destId="{4F80A86F-1DAA-44CD-B236-7B9B83BC7E37}" srcOrd="1" destOrd="0" presId="urn:microsoft.com/office/officeart/2005/8/layout/hierarchy2"/>
    <dgm:cxn modelId="{78B8B39E-CA73-4D42-BAB2-9C06563FF234}" type="presParOf" srcId="{38071BD0-785F-417D-8269-A658FA7F792B}" destId="{57038DFA-57E2-4872-93A4-6946F8F10B43}" srcOrd="2" destOrd="0" presId="urn:microsoft.com/office/officeart/2005/8/layout/hierarchy2"/>
    <dgm:cxn modelId="{FF99833D-1BC4-4972-80B8-D2434FE75A35}" type="presParOf" srcId="{57038DFA-57E2-4872-93A4-6946F8F10B43}" destId="{57178351-A755-49C7-993E-99A4DC50837E}" srcOrd="0" destOrd="0" presId="urn:microsoft.com/office/officeart/2005/8/layout/hierarchy2"/>
    <dgm:cxn modelId="{C7DBAB92-009F-4A3B-8B7B-E83158CDB7FD}" type="presParOf" srcId="{38071BD0-785F-417D-8269-A658FA7F792B}" destId="{4237BDB5-F8B6-40E8-BBA2-592D90D96A5A}" srcOrd="3" destOrd="0" presId="urn:microsoft.com/office/officeart/2005/8/layout/hierarchy2"/>
    <dgm:cxn modelId="{40038DE7-E62A-4B16-BDA1-6F38B6FDAC7F}" type="presParOf" srcId="{4237BDB5-F8B6-40E8-BBA2-592D90D96A5A}" destId="{CE568CE0-465A-47E3-8ED4-BFD77D9C9C5D}" srcOrd="0" destOrd="0" presId="urn:microsoft.com/office/officeart/2005/8/layout/hierarchy2"/>
    <dgm:cxn modelId="{B915D467-17F4-4C6D-BC1B-397D9B4DD457}" type="presParOf" srcId="{4237BDB5-F8B6-40E8-BBA2-592D90D96A5A}" destId="{9E09769F-B829-4883-B56C-4E7BCC046EA1}" srcOrd="1" destOrd="0" presId="urn:microsoft.com/office/officeart/2005/8/layout/hierarchy2"/>
    <dgm:cxn modelId="{59338E34-57AA-4B26-973A-AC96B0E69E07}" type="presParOf" srcId="{38071BD0-785F-417D-8269-A658FA7F792B}" destId="{4571DD39-163E-46F3-876F-2CD3293DB6BE}" srcOrd="4" destOrd="0" presId="urn:microsoft.com/office/officeart/2005/8/layout/hierarchy2"/>
    <dgm:cxn modelId="{49B6548B-53CB-4D3E-BAD2-05AD42F65C6C}" type="presParOf" srcId="{4571DD39-163E-46F3-876F-2CD3293DB6BE}" destId="{8F412C0F-AB51-4703-9334-F49F4E8BF0E3}" srcOrd="0" destOrd="0" presId="urn:microsoft.com/office/officeart/2005/8/layout/hierarchy2"/>
    <dgm:cxn modelId="{8E314768-AA92-444D-AEE7-1631B9D5D985}" type="presParOf" srcId="{38071BD0-785F-417D-8269-A658FA7F792B}" destId="{237D847F-6702-49F3-8870-726F0E14C2A3}" srcOrd="5" destOrd="0" presId="urn:microsoft.com/office/officeart/2005/8/layout/hierarchy2"/>
    <dgm:cxn modelId="{6E793DA2-194F-46B2-A569-9F69640D3065}" type="presParOf" srcId="{237D847F-6702-49F3-8870-726F0E14C2A3}" destId="{E6B1E318-5E97-49A8-8130-B3779700C486}" srcOrd="0" destOrd="0" presId="urn:microsoft.com/office/officeart/2005/8/layout/hierarchy2"/>
    <dgm:cxn modelId="{0C956A7F-4A9E-41D8-84CA-D23F15785AFB}" type="presParOf" srcId="{237D847F-6702-49F3-8870-726F0E14C2A3}" destId="{01EE243C-B0AF-4F1E-96DA-6FD5B41F53A7}" srcOrd="1" destOrd="0" presId="urn:microsoft.com/office/officeart/2005/8/layout/hierarchy2"/>
    <dgm:cxn modelId="{06569787-0AED-4E73-A3DB-AE37A44849C6}" type="presParOf" srcId="{38071BD0-785F-417D-8269-A658FA7F792B}" destId="{4B41E12C-9842-4E54-AE6F-0756F027ADB3}" srcOrd="6" destOrd="0" presId="urn:microsoft.com/office/officeart/2005/8/layout/hierarchy2"/>
    <dgm:cxn modelId="{C3ACF4BD-1DCB-4620-9084-025092378FDC}" type="presParOf" srcId="{4B41E12C-9842-4E54-AE6F-0756F027ADB3}" destId="{2FB08E47-34E0-4F94-B6E0-2121CBB30FD5}" srcOrd="0" destOrd="0" presId="urn:microsoft.com/office/officeart/2005/8/layout/hierarchy2"/>
    <dgm:cxn modelId="{AC7684EF-EE7D-4E21-B920-FFF2D5962DEF}" type="presParOf" srcId="{38071BD0-785F-417D-8269-A658FA7F792B}" destId="{D9C669C0-9B88-4A8C-940B-E7357C9DF812}" srcOrd="7" destOrd="0" presId="urn:microsoft.com/office/officeart/2005/8/layout/hierarchy2"/>
    <dgm:cxn modelId="{39BE1F30-1774-4364-AD47-B2D4BA3ADC37}" type="presParOf" srcId="{D9C669C0-9B88-4A8C-940B-E7357C9DF812}" destId="{1B4154B8-ADEF-484D-83C0-CE068FD8587C}" srcOrd="0" destOrd="0" presId="urn:microsoft.com/office/officeart/2005/8/layout/hierarchy2"/>
    <dgm:cxn modelId="{CBCF1E31-739E-4B5F-985D-6E62578428F7}" type="presParOf" srcId="{D9C669C0-9B88-4A8C-940B-E7357C9DF812}" destId="{1FB9E2A8-C9FC-4337-AA1D-E7EE56183604}" srcOrd="1" destOrd="0" presId="urn:microsoft.com/office/officeart/2005/8/layout/hierarchy2"/>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47AC5F-A9C2-4DC0-8835-0D3D64D0A604}">
      <dsp:nvSpPr>
        <dsp:cNvPr id="0" name=""/>
        <dsp:cNvSpPr/>
      </dsp:nvSpPr>
      <dsp:spPr>
        <a:xfrm>
          <a:off x="366284" y="696927"/>
          <a:ext cx="1210902" cy="60545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sr-Latn-ME" sz="900" kern="1200"/>
            <a:t>GSV - Sektor za informisanje javnosti o EU i procesu pristupanja EU </a:t>
          </a:r>
        </a:p>
      </dsp:txBody>
      <dsp:txXfrm>
        <a:off x="384017" y="714660"/>
        <a:ext cx="1175436" cy="569985"/>
      </dsp:txXfrm>
    </dsp:sp>
    <dsp:sp modelId="{FE05FB58-9D22-4340-8C14-78AD249AE7A7}">
      <dsp:nvSpPr>
        <dsp:cNvPr id="0" name=""/>
        <dsp:cNvSpPr/>
      </dsp:nvSpPr>
      <dsp:spPr>
        <a:xfrm rot="19457599">
          <a:off x="1521121" y="805370"/>
          <a:ext cx="596492" cy="40429"/>
        </a:xfrm>
        <a:custGeom>
          <a:avLst/>
          <a:gdLst/>
          <a:ahLst/>
          <a:cxnLst/>
          <a:rect l="0" t="0" r="0" b="0"/>
          <a:pathLst>
            <a:path>
              <a:moveTo>
                <a:pt x="0" y="20214"/>
              </a:moveTo>
              <a:lnTo>
                <a:pt x="596492" y="202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sr-Latn-ME" sz="500" kern="1200"/>
        </a:p>
      </dsp:txBody>
      <dsp:txXfrm>
        <a:off x="1804455" y="810673"/>
        <a:ext cx="29824" cy="29824"/>
      </dsp:txXfrm>
    </dsp:sp>
    <dsp:sp modelId="{A987EA0D-F328-4FA3-A9CC-B938A7E95F8D}">
      <dsp:nvSpPr>
        <dsp:cNvPr id="0" name=""/>
        <dsp:cNvSpPr/>
      </dsp:nvSpPr>
      <dsp:spPr>
        <a:xfrm>
          <a:off x="2061548" y="348792"/>
          <a:ext cx="1210902" cy="60545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sr-Latn-ME" sz="900" kern="1200"/>
            <a:t>Konsultativno tijelo</a:t>
          </a:r>
        </a:p>
      </dsp:txBody>
      <dsp:txXfrm>
        <a:off x="2079281" y="366525"/>
        <a:ext cx="1175436" cy="569985"/>
      </dsp:txXfrm>
    </dsp:sp>
    <dsp:sp modelId="{15671A5A-8626-44CE-9465-888E423A0438}">
      <dsp:nvSpPr>
        <dsp:cNvPr id="0" name=""/>
        <dsp:cNvSpPr/>
      </dsp:nvSpPr>
      <dsp:spPr>
        <a:xfrm rot="2142401">
          <a:off x="1521121" y="1153505"/>
          <a:ext cx="596492" cy="40429"/>
        </a:xfrm>
        <a:custGeom>
          <a:avLst/>
          <a:gdLst/>
          <a:ahLst/>
          <a:cxnLst/>
          <a:rect l="0" t="0" r="0" b="0"/>
          <a:pathLst>
            <a:path>
              <a:moveTo>
                <a:pt x="0" y="20214"/>
              </a:moveTo>
              <a:lnTo>
                <a:pt x="596492" y="202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sr-Latn-ME" sz="500" kern="1200"/>
        </a:p>
      </dsp:txBody>
      <dsp:txXfrm>
        <a:off x="1804455" y="1158807"/>
        <a:ext cx="29824" cy="29824"/>
      </dsp:txXfrm>
    </dsp:sp>
    <dsp:sp modelId="{0B5113D0-38BA-4306-A921-B7DC91E4CDA4}">
      <dsp:nvSpPr>
        <dsp:cNvPr id="0" name=""/>
        <dsp:cNvSpPr/>
      </dsp:nvSpPr>
      <dsp:spPr>
        <a:xfrm>
          <a:off x="2061548" y="1045061"/>
          <a:ext cx="1210902" cy="60545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sr-Latn-ME" sz="900" kern="1200"/>
            <a:t>Operativno tijelo</a:t>
          </a:r>
        </a:p>
      </dsp:txBody>
      <dsp:txXfrm>
        <a:off x="2079281" y="1062794"/>
        <a:ext cx="1175436" cy="569985"/>
      </dsp:txXfrm>
    </dsp:sp>
    <dsp:sp modelId="{DB282C0A-2C2F-4987-82C7-D62FE09FD6F3}">
      <dsp:nvSpPr>
        <dsp:cNvPr id="0" name=""/>
        <dsp:cNvSpPr/>
      </dsp:nvSpPr>
      <dsp:spPr>
        <a:xfrm rot="17692822">
          <a:off x="2939005" y="805370"/>
          <a:ext cx="1151253" cy="40429"/>
        </a:xfrm>
        <a:custGeom>
          <a:avLst/>
          <a:gdLst/>
          <a:ahLst/>
          <a:cxnLst/>
          <a:rect l="0" t="0" r="0" b="0"/>
          <a:pathLst>
            <a:path>
              <a:moveTo>
                <a:pt x="0" y="20214"/>
              </a:moveTo>
              <a:lnTo>
                <a:pt x="1151253" y="2021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sr-Latn-ME" sz="500" kern="1200"/>
        </a:p>
      </dsp:txBody>
      <dsp:txXfrm>
        <a:off x="3485850" y="796804"/>
        <a:ext cx="57562" cy="57562"/>
      </dsp:txXfrm>
    </dsp:sp>
    <dsp:sp modelId="{CD3CCFD1-70AC-4D07-9807-5B0F31BFBC6D}">
      <dsp:nvSpPr>
        <dsp:cNvPr id="0" name=""/>
        <dsp:cNvSpPr/>
      </dsp:nvSpPr>
      <dsp:spPr>
        <a:xfrm>
          <a:off x="3756812" y="658"/>
          <a:ext cx="1210902" cy="60545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sr-Latn-ME" sz="900" kern="1200"/>
            <a:t>Služba za odnose s javnošću Vlade CG / Odjeljenje za odnose s javnošću ministarstava</a:t>
          </a:r>
        </a:p>
      </dsp:txBody>
      <dsp:txXfrm>
        <a:off x="3774545" y="18391"/>
        <a:ext cx="1175436" cy="569985"/>
      </dsp:txXfrm>
    </dsp:sp>
    <dsp:sp modelId="{57038DFA-57E2-4872-93A4-6946F8F10B43}">
      <dsp:nvSpPr>
        <dsp:cNvPr id="0" name=""/>
        <dsp:cNvSpPr/>
      </dsp:nvSpPr>
      <dsp:spPr>
        <a:xfrm rot="19457599">
          <a:off x="3216385" y="1153505"/>
          <a:ext cx="596492" cy="40429"/>
        </a:xfrm>
        <a:custGeom>
          <a:avLst/>
          <a:gdLst/>
          <a:ahLst/>
          <a:cxnLst/>
          <a:rect l="0" t="0" r="0" b="0"/>
          <a:pathLst>
            <a:path>
              <a:moveTo>
                <a:pt x="0" y="20214"/>
              </a:moveTo>
              <a:lnTo>
                <a:pt x="596492" y="2021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sr-Latn-ME" sz="500" kern="1200"/>
        </a:p>
      </dsp:txBody>
      <dsp:txXfrm>
        <a:off x="3499719" y="1158807"/>
        <a:ext cx="29824" cy="29824"/>
      </dsp:txXfrm>
    </dsp:sp>
    <dsp:sp modelId="{CE568CE0-465A-47E3-8ED4-BFD77D9C9C5D}">
      <dsp:nvSpPr>
        <dsp:cNvPr id="0" name=""/>
        <dsp:cNvSpPr/>
      </dsp:nvSpPr>
      <dsp:spPr>
        <a:xfrm>
          <a:off x="3756812" y="696927"/>
          <a:ext cx="1210902" cy="60545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sr-Latn-ME" sz="900" kern="1200"/>
            <a:t>Skupština Crne Gore - Odbor za evropske integracije</a:t>
          </a:r>
        </a:p>
      </dsp:txBody>
      <dsp:txXfrm>
        <a:off x="3774545" y="714660"/>
        <a:ext cx="1175436" cy="569985"/>
      </dsp:txXfrm>
    </dsp:sp>
    <dsp:sp modelId="{4571DD39-163E-46F3-876F-2CD3293DB6BE}">
      <dsp:nvSpPr>
        <dsp:cNvPr id="0" name=""/>
        <dsp:cNvSpPr/>
      </dsp:nvSpPr>
      <dsp:spPr>
        <a:xfrm rot="2142401">
          <a:off x="3216385" y="1501639"/>
          <a:ext cx="596492" cy="40429"/>
        </a:xfrm>
        <a:custGeom>
          <a:avLst/>
          <a:gdLst/>
          <a:ahLst/>
          <a:cxnLst/>
          <a:rect l="0" t="0" r="0" b="0"/>
          <a:pathLst>
            <a:path>
              <a:moveTo>
                <a:pt x="0" y="20214"/>
              </a:moveTo>
              <a:lnTo>
                <a:pt x="596492" y="2021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sr-Latn-ME" sz="500" kern="1200"/>
        </a:p>
      </dsp:txBody>
      <dsp:txXfrm>
        <a:off x="3499719" y="1506942"/>
        <a:ext cx="29824" cy="29824"/>
      </dsp:txXfrm>
    </dsp:sp>
    <dsp:sp modelId="{E6B1E318-5E97-49A8-8130-B3779700C486}">
      <dsp:nvSpPr>
        <dsp:cNvPr id="0" name=""/>
        <dsp:cNvSpPr/>
      </dsp:nvSpPr>
      <dsp:spPr>
        <a:xfrm>
          <a:off x="3756812" y="1393196"/>
          <a:ext cx="1210902" cy="60545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sr-Latn-ME" sz="900" kern="1200"/>
            <a:t>Lokalne samouprave</a:t>
          </a:r>
        </a:p>
      </dsp:txBody>
      <dsp:txXfrm>
        <a:off x="3774545" y="1410929"/>
        <a:ext cx="1175436" cy="569985"/>
      </dsp:txXfrm>
    </dsp:sp>
    <dsp:sp modelId="{4B41E12C-9842-4E54-AE6F-0756F027ADB3}">
      <dsp:nvSpPr>
        <dsp:cNvPr id="0" name=""/>
        <dsp:cNvSpPr/>
      </dsp:nvSpPr>
      <dsp:spPr>
        <a:xfrm rot="3907178">
          <a:off x="2939005" y="1849774"/>
          <a:ext cx="1151253" cy="40429"/>
        </a:xfrm>
        <a:custGeom>
          <a:avLst/>
          <a:gdLst/>
          <a:ahLst/>
          <a:cxnLst/>
          <a:rect l="0" t="0" r="0" b="0"/>
          <a:pathLst>
            <a:path>
              <a:moveTo>
                <a:pt x="0" y="20214"/>
              </a:moveTo>
              <a:lnTo>
                <a:pt x="1151253" y="2021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sr-Latn-ME" sz="500" kern="1200"/>
        </a:p>
      </dsp:txBody>
      <dsp:txXfrm>
        <a:off x="3485850" y="1841208"/>
        <a:ext cx="57562" cy="57562"/>
      </dsp:txXfrm>
    </dsp:sp>
    <dsp:sp modelId="{1B4154B8-ADEF-484D-83C0-CE068FD8587C}">
      <dsp:nvSpPr>
        <dsp:cNvPr id="0" name=""/>
        <dsp:cNvSpPr/>
      </dsp:nvSpPr>
      <dsp:spPr>
        <a:xfrm>
          <a:off x="3756812" y="2089465"/>
          <a:ext cx="1210902" cy="60545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sr-Latn-ME" sz="900" kern="1200"/>
            <a:t>Organizacije civilnog društva/akademska i poslovna zajednica</a:t>
          </a:r>
        </a:p>
      </dsp:txBody>
      <dsp:txXfrm>
        <a:off x="3774545" y="2107198"/>
        <a:ext cx="1175436" cy="56998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0.71567</cdr:x>
      <cdr:y>0.03472</cdr:y>
    </cdr:from>
    <cdr:to>
      <cdr:x>0.71567</cdr:x>
      <cdr:y>0.78935</cdr:y>
    </cdr:to>
    <cdr:cxnSp macro="">
      <cdr:nvCxnSpPr>
        <cdr:cNvPr id="3" name="Straight Connector 2">
          <a:extLst xmlns:a="http://schemas.openxmlformats.org/drawingml/2006/main">
            <a:ext uri="{FF2B5EF4-FFF2-40B4-BE49-F238E27FC236}">
              <a16:creationId xmlns:a16="http://schemas.microsoft.com/office/drawing/2014/main" id="{93C39304-4B96-7484-F30B-F70A81D39672}"/>
            </a:ext>
          </a:extLst>
        </cdr:cNvPr>
        <cdr:cNvCxnSpPr/>
      </cdr:nvCxnSpPr>
      <cdr:spPr>
        <a:xfrm xmlns:a="http://schemas.openxmlformats.org/drawingml/2006/main">
          <a:off x="5626100" y="95250"/>
          <a:ext cx="0" cy="2070100"/>
        </a:xfrm>
        <a:prstGeom xmlns:a="http://schemas.openxmlformats.org/drawingml/2006/main" prst="line">
          <a:avLst/>
        </a:prstGeom>
        <a:ln xmlns:a="http://schemas.openxmlformats.org/drawingml/2006/main">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TljszeY6Ypzh+JuMp9XWw/PTYhw==">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</go:docsCustomData>
</go:gDocsCustomXmlDataStorage>
</file>

<file path=customXml/itemProps1.xml><?xml version="1.0" encoding="utf-8"?>
<ds:datastoreItem xmlns:ds="http://schemas.openxmlformats.org/officeDocument/2006/customXml" ds:itemID="{C8C5E827-5ABA-4A84-AC84-BFE21B76761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18282</Words>
  <Characters>109880</Characters>
  <Application>Microsoft Office Word</Application>
  <DocSecurity>0</DocSecurity>
  <Lines>1801</Lines>
  <Paragraphs>781</Paragraphs>
  <ScaleCrop>false</ScaleCrop>
  <HeadingPairs>
    <vt:vector size="2" baseType="variant">
      <vt:variant>
        <vt:lpstr>Title</vt:lpstr>
      </vt:variant>
      <vt:variant>
        <vt:i4>1</vt:i4>
      </vt:variant>
    </vt:vector>
  </HeadingPairs>
  <TitlesOfParts>
    <vt:vector size="1" baseType="lpstr">
      <vt:lpstr/>
    </vt:vector>
  </TitlesOfParts>
  <Company>MVPEI</Company>
  <LinksUpToDate>false</LinksUpToDate>
  <CharactersWithSpaces>127381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Olivera Komar</dc:creator>
  <cp:lastModifiedBy>jelena.kulidzan@eu4me.me</cp:lastModifiedBy>
  <cp:revision>2</cp:revision>
  <dcterms:created xsi:type="dcterms:W3CDTF">2025-09-11T08:43:00Z</dcterms:created>
  <dcterms:modified xsi:type="dcterms:W3CDTF">2025-09-11T08:43:00Z</dcterms:modified>
</cp:coreProperties>
</file>