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58" w:rsidRPr="00054996" w:rsidRDefault="0091447C">
      <w:pPr>
        <w:rPr>
          <w:rFonts w:asciiTheme="majorHAnsi" w:hAnsiTheme="majorHAnsi"/>
          <w:color w:val="FF0000"/>
          <w:sz w:val="28"/>
          <w:szCs w:val="28"/>
          <w:lang w:val="hr-HR"/>
        </w:rPr>
      </w:pPr>
      <w:bookmarkStart w:id="0" w:name="_GoBack"/>
      <w:bookmarkEnd w:id="0"/>
      <w:r w:rsidRPr="00054996">
        <w:rPr>
          <w:rFonts w:asciiTheme="majorHAnsi" w:hAnsiTheme="majorHAnsi"/>
          <w:color w:val="FF0000"/>
          <w:sz w:val="28"/>
          <w:szCs w:val="28"/>
          <w:lang w:val="hr-HR"/>
        </w:rPr>
        <w:t xml:space="preserve">Šta </w:t>
      </w:r>
      <w:r w:rsidR="00B35D81" w:rsidRPr="00054996">
        <w:rPr>
          <w:rFonts w:asciiTheme="majorHAnsi" w:hAnsiTheme="majorHAnsi"/>
          <w:color w:val="FF0000"/>
          <w:sz w:val="28"/>
          <w:szCs w:val="28"/>
          <w:lang w:val="hr-HR"/>
        </w:rPr>
        <w:t>je</w:t>
      </w:r>
      <w:r w:rsidRPr="00054996">
        <w:rPr>
          <w:rFonts w:asciiTheme="majorHAnsi" w:hAnsiTheme="majorHAnsi"/>
          <w:color w:val="FF0000"/>
          <w:sz w:val="28"/>
          <w:szCs w:val="28"/>
          <w:lang w:val="hr-HR"/>
        </w:rPr>
        <w:t xml:space="preserve"> IPA</w:t>
      </w:r>
      <w:r w:rsidR="00B35D81" w:rsidRPr="00054996">
        <w:rPr>
          <w:rFonts w:asciiTheme="majorHAnsi" w:hAnsiTheme="majorHAnsi"/>
          <w:color w:val="FF0000"/>
          <w:sz w:val="28"/>
          <w:szCs w:val="28"/>
          <w:lang w:val="hr-HR"/>
        </w:rPr>
        <w:t>?</w:t>
      </w:r>
    </w:p>
    <w:p w:rsidR="00CD1B51" w:rsidRPr="00054996" w:rsidRDefault="00237706" w:rsidP="00CD1B51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</w:pPr>
      <w:r w:rsidRPr="00054996"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  <w:t>Instrument pretpristupne podrške (</w:t>
      </w:r>
      <w:r w:rsidRPr="00054996">
        <w:rPr>
          <w:rFonts w:asciiTheme="majorHAnsi" w:eastAsia="Times New Roman" w:hAnsiTheme="majorHAnsi" w:cs="Arial"/>
          <w:i/>
          <w:color w:val="000000"/>
          <w:sz w:val="28"/>
          <w:szCs w:val="28"/>
          <w:lang w:eastAsia="sr-Latn-CS"/>
        </w:rPr>
        <w:t>Instrument for Pre-Accession Assistance-IPA</w:t>
      </w:r>
      <w:r w:rsidR="00C702CD" w:rsidRPr="00054996"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  <w:t xml:space="preserve">) </w:t>
      </w:r>
      <w:r w:rsidRPr="00054996"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  <w:t>je</w:t>
      </w:r>
      <w:r w:rsidR="00CD1B51" w:rsidRPr="00054996"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  <w:t xml:space="preserve"> zamišljen kao sveobuhvatna podrš</w:t>
      </w:r>
      <w:r w:rsidRPr="00054996"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  <w:t>ka procesu evropske integracije</w:t>
      </w:r>
      <w:r w:rsidR="00C702CD" w:rsidRPr="00054996"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  <w:t xml:space="preserve"> kro</w:t>
      </w:r>
      <w:r w:rsidR="00C702CD" w:rsidRPr="00054996">
        <w:rPr>
          <w:rFonts w:asciiTheme="majorHAnsi" w:eastAsia="Times New Roman" w:hAnsiTheme="majorHAnsi" w:cs="Arial"/>
          <w:color w:val="000000"/>
          <w:sz w:val="28"/>
          <w:szCs w:val="28"/>
          <w:lang w:val="bs-Latn-BA" w:eastAsia="sr-Latn-CS"/>
        </w:rPr>
        <w:t xml:space="preserve">z obezbjeđivanje tehničke, stručne i finansijske podrške </w:t>
      </w:r>
      <w:r w:rsidR="004D124A" w:rsidRPr="00054996">
        <w:rPr>
          <w:rFonts w:asciiTheme="majorHAnsi" w:eastAsia="Times New Roman" w:hAnsiTheme="majorHAnsi" w:cs="Arial"/>
          <w:color w:val="000000"/>
          <w:sz w:val="28"/>
          <w:szCs w:val="28"/>
          <w:lang w:val="bs-Latn-BA" w:eastAsia="sr-Latn-CS"/>
        </w:rPr>
        <w:t>zemljama kandidatima i potencijalnim kandidatima za članstvo u EU</w:t>
      </w:r>
      <w:r w:rsidR="00CD1B51" w:rsidRPr="00054996"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  <w:t>.</w:t>
      </w:r>
      <w:r w:rsidRPr="00054996"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  <w:t xml:space="preserve"> </w:t>
      </w:r>
    </w:p>
    <w:p w:rsidR="00237706" w:rsidRPr="00054996" w:rsidRDefault="00237706" w:rsidP="00237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Georgia"/>
          <w:sz w:val="28"/>
          <w:szCs w:val="28"/>
        </w:rPr>
      </w:pPr>
    </w:p>
    <w:p w:rsidR="00237706" w:rsidRPr="00054996" w:rsidRDefault="00237706" w:rsidP="004D12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YULSwiss"/>
          <w:color w:val="000000"/>
          <w:sz w:val="28"/>
          <w:szCs w:val="28"/>
        </w:rPr>
      </w:pPr>
      <w:r w:rsidRPr="00054996">
        <w:rPr>
          <w:rFonts w:asciiTheme="majorHAnsi" w:hAnsiTheme="majorHAnsi" w:cs="YULSwiss"/>
          <w:color w:val="000000"/>
          <w:sz w:val="28"/>
          <w:szCs w:val="28"/>
        </w:rPr>
        <w:t>IPA u fokusu ima dva glavna prioriteta i to:</w:t>
      </w:r>
    </w:p>
    <w:p w:rsidR="004D124A" w:rsidRPr="00054996" w:rsidRDefault="004D124A" w:rsidP="004D12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YULSwiss"/>
          <w:color w:val="000000"/>
          <w:sz w:val="28"/>
          <w:szCs w:val="28"/>
        </w:rPr>
      </w:pPr>
    </w:p>
    <w:p w:rsidR="00237706" w:rsidRPr="00054996" w:rsidRDefault="00237706" w:rsidP="00237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YULSwiss"/>
          <w:color w:val="000000"/>
          <w:sz w:val="28"/>
          <w:szCs w:val="28"/>
          <w:lang w:val="hr-HR"/>
        </w:rPr>
      </w:pPr>
      <w:r w:rsidRPr="00054996">
        <w:rPr>
          <w:rFonts w:asciiTheme="majorHAnsi" w:hAnsiTheme="majorHAnsi" w:cs="YULSwiss"/>
          <w:color w:val="000000"/>
          <w:sz w:val="28"/>
          <w:szCs w:val="28"/>
          <w:lang w:val="hr-HR"/>
        </w:rPr>
        <w:t>Pomoć zemljama u ispunj</w:t>
      </w:r>
      <w:r w:rsidR="004D124A" w:rsidRPr="00054996">
        <w:rPr>
          <w:rFonts w:asciiTheme="majorHAnsi" w:hAnsiTheme="majorHAnsi" w:cs="YULSwiss"/>
          <w:color w:val="000000"/>
          <w:sz w:val="28"/>
          <w:szCs w:val="28"/>
          <w:lang w:val="hr-HR"/>
        </w:rPr>
        <w:t xml:space="preserve">avanju političkih i ekonomskih </w:t>
      </w:r>
      <w:r w:rsidRPr="00054996">
        <w:rPr>
          <w:rFonts w:asciiTheme="majorHAnsi" w:hAnsiTheme="majorHAnsi" w:cs="YULSwiss"/>
          <w:color w:val="000000"/>
          <w:sz w:val="28"/>
          <w:szCs w:val="28"/>
          <w:lang w:val="hr-HR"/>
        </w:rPr>
        <w:t>kriterijuma koji se odnose na usvajanje pravne tekovine EU, kao i izgradnju administrativnih kapaciteta i jačanje pravosuđa;</w:t>
      </w:r>
    </w:p>
    <w:p w:rsidR="00237706" w:rsidRPr="00054996" w:rsidRDefault="00237706" w:rsidP="00237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YULSwiss"/>
          <w:color w:val="000000"/>
          <w:sz w:val="28"/>
          <w:szCs w:val="28"/>
          <w:lang w:val="hr-HR"/>
        </w:rPr>
      </w:pPr>
      <w:r w:rsidRPr="00054996">
        <w:rPr>
          <w:rFonts w:asciiTheme="majorHAnsi" w:hAnsiTheme="majorHAnsi" w:cs="YULSwiss"/>
          <w:color w:val="000000"/>
          <w:sz w:val="28"/>
          <w:szCs w:val="28"/>
          <w:lang w:val="hr-HR"/>
        </w:rPr>
        <w:t>Pomoć zemljama u procesu priprema za korišćenje strukturnih i kohezionih fondova EU nakon pristupanja Evropskoj uniji.</w:t>
      </w:r>
    </w:p>
    <w:p w:rsidR="00237706" w:rsidRPr="00054996" w:rsidRDefault="00237706" w:rsidP="00237706">
      <w:pPr>
        <w:spacing w:after="0" w:line="240" w:lineRule="auto"/>
        <w:ind w:firstLine="720"/>
        <w:jc w:val="both"/>
        <w:rPr>
          <w:rFonts w:asciiTheme="majorHAnsi" w:hAnsiTheme="majorHAnsi" w:cs="Arial"/>
          <w:sz w:val="28"/>
          <w:szCs w:val="28"/>
          <w:lang w:val="sr-Latn-RS"/>
        </w:rPr>
      </w:pPr>
    </w:p>
    <w:p w:rsidR="00134C25" w:rsidRDefault="0082683E" w:rsidP="00EA00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YULSwiss"/>
          <w:sz w:val="28"/>
          <w:szCs w:val="28"/>
          <w:lang w:val="bs-Latn-BA"/>
        </w:rPr>
      </w:pPr>
      <w:r w:rsidRPr="00054996">
        <w:rPr>
          <w:rFonts w:asciiTheme="majorHAnsi" w:hAnsiTheme="majorHAnsi" w:cs="YULSwiss"/>
          <w:sz w:val="28"/>
          <w:szCs w:val="28"/>
          <w:lang w:val="bs-Latn-BA"/>
        </w:rPr>
        <w:t>Podrška</w:t>
      </w:r>
      <w:r w:rsidR="00237706" w:rsidRPr="00054996">
        <w:rPr>
          <w:rFonts w:asciiTheme="majorHAnsi" w:hAnsiTheme="majorHAnsi" w:cs="YULSwiss"/>
          <w:sz w:val="28"/>
          <w:szCs w:val="28"/>
          <w:lang w:val="bs-Latn-BA"/>
        </w:rPr>
        <w:t xml:space="preserve"> treba da doprinese naporima </w:t>
      </w:r>
      <w:r w:rsidRPr="00054996">
        <w:rPr>
          <w:rFonts w:asciiTheme="majorHAnsi" w:hAnsiTheme="majorHAnsi" w:cs="YULSwiss"/>
          <w:sz w:val="28"/>
          <w:szCs w:val="28"/>
          <w:lang w:val="bs-Latn-BA"/>
        </w:rPr>
        <w:t xml:space="preserve">zemalja kandidata i potencijalnih kandidata </w:t>
      </w:r>
      <w:r w:rsidR="00237706" w:rsidRPr="00054996">
        <w:rPr>
          <w:rFonts w:asciiTheme="majorHAnsi" w:hAnsiTheme="majorHAnsi" w:cs="YULSwiss"/>
          <w:sz w:val="28"/>
          <w:szCs w:val="28"/>
          <w:lang w:val="bs-Latn-BA"/>
        </w:rPr>
        <w:t>u ci</w:t>
      </w:r>
      <w:r w:rsidR="004D124A" w:rsidRPr="00054996">
        <w:rPr>
          <w:rFonts w:asciiTheme="majorHAnsi" w:hAnsiTheme="majorHAnsi" w:cs="YULSwiss"/>
          <w:sz w:val="28"/>
          <w:szCs w:val="28"/>
          <w:lang w:val="bs-Latn-BA"/>
        </w:rPr>
        <w:t>l</w:t>
      </w:r>
      <w:r w:rsidR="00237706" w:rsidRPr="00054996">
        <w:rPr>
          <w:rFonts w:asciiTheme="majorHAnsi" w:hAnsiTheme="majorHAnsi" w:cs="YULSwiss"/>
          <w:sz w:val="28"/>
          <w:szCs w:val="28"/>
          <w:lang w:val="bs-Latn-BA"/>
        </w:rPr>
        <w:t>ju jačanja demokratskih institucija i vladavine prava, reforme državne uprave, reforme privrede, poštovanja ljudskih i manjinskih prava, promocije rodne ravnopravnosti, jačanja civilnog društva, unapređenja regionalne saradnje, kao i dostizanja održivog razvoja i smanjenja siromaštva.</w:t>
      </w:r>
    </w:p>
    <w:p w:rsidR="00EA001E" w:rsidRPr="00EA001E" w:rsidRDefault="00EA001E" w:rsidP="00EA00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YULSwiss"/>
          <w:sz w:val="28"/>
          <w:szCs w:val="28"/>
          <w:lang w:val="bs-Latn-BA"/>
        </w:rPr>
      </w:pPr>
    </w:p>
    <w:p w:rsidR="00134C25" w:rsidRPr="00054996" w:rsidRDefault="00134C25">
      <w:pPr>
        <w:rPr>
          <w:rFonts w:asciiTheme="majorHAnsi" w:hAnsiTheme="majorHAnsi"/>
          <w:color w:val="FF0000"/>
          <w:sz w:val="28"/>
          <w:szCs w:val="28"/>
          <w:lang w:val="hr-HR"/>
        </w:rPr>
      </w:pPr>
      <w:r w:rsidRPr="00054996">
        <w:rPr>
          <w:rFonts w:asciiTheme="majorHAnsi" w:hAnsiTheme="majorHAnsi"/>
          <w:color w:val="FF0000"/>
          <w:sz w:val="28"/>
          <w:szCs w:val="28"/>
          <w:lang w:val="hr-HR"/>
        </w:rPr>
        <w:t>Koja je razlika između IPA I i IPA II</w:t>
      </w:r>
      <w:r w:rsidR="00B35D81" w:rsidRPr="00054996">
        <w:rPr>
          <w:rFonts w:asciiTheme="majorHAnsi" w:hAnsiTheme="majorHAnsi"/>
          <w:color w:val="FF0000"/>
          <w:sz w:val="28"/>
          <w:szCs w:val="28"/>
          <w:lang w:val="hr-HR"/>
        </w:rPr>
        <w:t>?</w:t>
      </w:r>
    </w:p>
    <w:p w:rsidR="00EA001E" w:rsidRDefault="006E1EA7" w:rsidP="00453935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054996">
        <w:rPr>
          <w:rFonts w:asciiTheme="majorHAnsi" w:hAnsiTheme="majorHAnsi"/>
          <w:sz w:val="28"/>
          <w:szCs w:val="28"/>
          <w:lang w:val="hr-HR"/>
        </w:rPr>
        <w:t>Cjelokupno planiranje Ev</w:t>
      </w:r>
      <w:r w:rsidR="00430E49" w:rsidRPr="00054996">
        <w:rPr>
          <w:rFonts w:asciiTheme="majorHAnsi" w:hAnsiTheme="majorHAnsi"/>
          <w:sz w:val="28"/>
          <w:szCs w:val="28"/>
          <w:lang w:val="hr-HR"/>
        </w:rPr>
        <w:t>ropske komisije, kako na strategijsk</w:t>
      </w:r>
      <w:r w:rsidRPr="00054996">
        <w:rPr>
          <w:rFonts w:asciiTheme="majorHAnsi" w:hAnsiTheme="majorHAnsi"/>
          <w:sz w:val="28"/>
          <w:szCs w:val="28"/>
          <w:lang w:val="hr-HR"/>
        </w:rPr>
        <w:t>om tako i finansijskom nivou</w:t>
      </w:r>
      <w:r w:rsidR="00430E49" w:rsidRPr="00054996">
        <w:rPr>
          <w:rFonts w:asciiTheme="majorHAnsi" w:hAnsiTheme="majorHAnsi"/>
          <w:sz w:val="28"/>
          <w:szCs w:val="28"/>
          <w:lang w:val="hr-HR"/>
        </w:rPr>
        <w:t>,</w:t>
      </w:r>
      <w:r w:rsidRPr="00054996">
        <w:rPr>
          <w:rFonts w:asciiTheme="majorHAnsi" w:hAnsiTheme="majorHAnsi"/>
          <w:sz w:val="28"/>
          <w:szCs w:val="28"/>
          <w:lang w:val="hr-HR"/>
        </w:rPr>
        <w:t xml:space="preserve"> </w:t>
      </w:r>
      <w:r w:rsidR="00430E49" w:rsidRPr="00054996">
        <w:rPr>
          <w:rFonts w:asciiTheme="majorHAnsi" w:hAnsiTheme="majorHAnsi"/>
          <w:sz w:val="28"/>
          <w:szCs w:val="28"/>
          <w:lang w:val="hr-HR"/>
        </w:rPr>
        <w:t>odvija se na sedmogodišnjem nivou</w:t>
      </w:r>
      <w:r w:rsidR="004D124A" w:rsidRPr="00054996">
        <w:rPr>
          <w:rFonts w:asciiTheme="majorHAnsi" w:hAnsiTheme="majorHAnsi"/>
          <w:sz w:val="28"/>
          <w:szCs w:val="28"/>
          <w:lang w:val="hr-HR"/>
        </w:rPr>
        <w:t xml:space="preserve">.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Osnovna odlika Ipe I za period 2007-2013 je da </w:t>
      </w:r>
      <w:r w:rsidR="0050052E" w:rsidRPr="00054996">
        <w:rPr>
          <w:rFonts w:asciiTheme="majorHAnsi" w:eastAsia="StagSans-Light" w:hAnsiTheme="majorHAnsi" w:cs="StagSans-Light"/>
          <w:sz w:val="28"/>
          <w:szCs w:val="28"/>
        </w:rPr>
        <w:t>se podrška sprovodi kroz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 5 komponenti</w:t>
      </w:r>
      <w:r w:rsidR="004D124A" w:rsidRPr="00054996">
        <w:rPr>
          <w:rFonts w:asciiTheme="majorHAnsi" w:eastAsia="StagSans-Light" w:hAnsiTheme="majorHAnsi" w:cs="StagSans-Light"/>
          <w:sz w:val="28"/>
          <w:szCs w:val="28"/>
        </w:rPr>
        <w:t>, i to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: 1.</w:t>
      </w:r>
      <w:r w:rsidR="004D124A" w:rsidRPr="00054996">
        <w:rPr>
          <w:rFonts w:asciiTheme="majorHAnsi" w:hAnsiTheme="majorHAnsi"/>
          <w:sz w:val="28"/>
          <w:szCs w:val="28"/>
          <w:lang w:val="hr-HR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Podrška tranziciji i izgradnji institucija; 2. Prekogranična</w:t>
      </w:r>
      <w:r w:rsidR="004D124A" w:rsidRPr="00054996">
        <w:rPr>
          <w:rFonts w:asciiTheme="majorHAnsi" w:hAnsiTheme="majorHAnsi"/>
          <w:sz w:val="28"/>
          <w:szCs w:val="28"/>
          <w:lang w:val="hr-HR"/>
        </w:rPr>
        <w:t xml:space="preserve"> </w:t>
      </w:r>
      <w:r w:rsidR="00E40C21">
        <w:rPr>
          <w:rFonts w:asciiTheme="majorHAnsi" w:eastAsia="StagSans-Light" w:hAnsiTheme="majorHAnsi" w:cs="StagSans-Light"/>
          <w:sz w:val="28"/>
          <w:szCs w:val="28"/>
        </w:rPr>
        <w:t>saradnja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; 3. Regionalni razvoj; 4. Razvoj</w:t>
      </w:r>
      <w:r w:rsidR="004D124A" w:rsidRPr="00054996">
        <w:rPr>
          <w:rFonts w:asciiTheme="majorHAnsi" w:hAnsiTheme="majorHAnsi"/>
          <w:sz w:val="28"/>
          <w:szCs w:val="28"/>
          <w:lang w:val="hr-HR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ljudskih resursa; i 5. </w:t>
      </w:r>
      <w:r w:rsidR="0081117E">
        <w:rPr>
          <w:rFonts w:asciiTheme="majorHAnsi" w:eastAsia="StagSans-Light" w:hAnsiTheme="majorHAnsi" w:cs="StagSans-Light"/>
          <w:sz w:val="28"/>
          <w:szCs w:val="28"/>
        </w:rPr>
        <w:t>Poljoprivreda i r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uralni razvoj.</w:t>
      </w:r>
      <w:r w:rsidR="00B803F3" w:rsidRPr="00054996">
        <w:rPr>
          <w:rFonts w:asciiTheme="majorHAnsi" w:hAnsiTheme="majorHAnsi"/>
          <w:sz w:val="28"/>
          <w:szCs w:val="28"/>
          <w:lang w:val="hr-HR"/>
        </w:rPr>
        <w:t xml:space="preserve"> </w:t>
      </w:r>
    </w:p>
    <w:p w:rsidR="0088683A" w:rsidRPr="00054996" w:rsidRDefault="00B803F3" w:rsidP="00453935">
      <w:pPr>
        <w:jc w:val="both"/>
        <w:rPr>
          <w:rFonts w:asciiTheme="majorHAnsi" w:eastAsia="StagSans-Light" w:hAnsiTheme="majorHAnsi" w:cs="StagSans-Light"/>
          <w:sz w:val="28"/>
          <w:szCs w:val="28"/>
        </w:rPr>
      </w:pPr>
      <w:r w:rsidRPr="00054996">
        <w:rPr>
          <w:rFonts w:asciiTheme="majorHAnsi" w:eastAsia="StagSans-Light" w:hAnsiTheme="majorHAnsi" w:cs="StagSans-Light"/>
          <w:sz w:val="28"/>
          <w:szCs w:val="28"/>
        </w:rPr>
        <w:t>Kada je u pitanju IPA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 II</w:t>
      </w:r>
      <w:r w:rsidRPr="00054996">
        <w:rPr>
          <w:rFonts w:asciiTheme="majorHAnsi" w:eastAsia="StagSans-Light" w:hAnsiTheme="majorHAnsi" w:cs="StagSans-Light"/>
          <w:sz w:val="28"/>
          <w:szCs w:val="28"/>
        </w:rPr>
        <w:t xml:space="preserve"> za period 2014-2020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 u narednih 7 godina </w:t>
      </w:r>
      <w:r w:rsidRPr="00054996">
        <w:rPr>
          <w:rFonts w:asciiTheme="majorHAnsi" w:eastAsia="StagSans-Light" w:hAnsiTheme="majorHAnsi" w:cs="StagSans-Light"/>
          <w:sz w:val="28"/>
          <w:szCs w:val="28"/>
        </w:rPr>
        <w:t>mijenja se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 fokus</w:t>
      </w:r>
      <w:r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696ED4" w:rsidRPr="00054996">
        <w:rPr>
          <w:rFonts w:asciiTheme="majorHAnsi" w:eastAsia="StagSans-Light" w:hAnsiTheme="majorHAnsi" w:cs="StagSans-Light"/>
          <w:sz w:val="28"/>
          <w:szCs w:val="28"/>
        </w:rPr>
        <w:t>na način da sada</w:t>
      </w:r>
      <w:r w:rsidR="00EA001E">
        <w:rPr>
          <w:rFonts w:asciiTheme="majorHAnsi" w:eastAsia="StagSans-Light" w:hAnsiTheme="majorHAnsi" w:cs="StagSans-Light"/>
          <w:sz w:val="28"/>
          <w:szCs w:val="28"/>
        </w:rPr>
        <w:t>,</w:t>
      </w:r>
      <w:r w:rsidR="00696ED4"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54636A" w:rsidRPr="00054996">
        <w:rPr>
          <w:rFonts w:asciiTheme="majorHAnsi" w:eastAsia="StagSans-Light" w:hAnsiTheme="majorHAnsi" w:cs="StagSans-Light"/>
          <w:sz w:val="28"/>
          <w:szCs w:val="28"/>
        </w:rPr>
        <w:t>umjesto komponenti</w:t>
      </w:r>
      <w:r w:rsidR="00EA001E">
        <w:rPr>
          <w:rFonts w:asciiTheme="majorHAnsi" w:eastAsia="StagSans-Light" w:hAnsiTheme="majorHAnsi" w:cs="StagSans-Light"/>
          <w:sz w:val="28"/>
          <w:szCs w:val="28"/>
        </w:rPr>
        <w:t>,</w:t>
      </w:r>
      <w:r w:rsidR="0054636A" w:rsidRPr="00054996">
        <w:rPr>
          <w:rFonts w:asciiTheme="majorHAnsi" w:eastAsia="StagSans-Light" w:hAnsiTheme="majorHAnsi" w:cs="StagSans-Light"/>
          <w:sz w:val="28"/>
          <w:szCs w:val="28"/>
        </w:rPr>
        <w:t xml:space="preserve"> IPA pruža podršku u definisanim</w:t>
      </w:r>
      <w:r w:rsidR="00762F1D" w:rsidRPr="00054996">
        <w:rPr>
          <w:rFonts w:asciiTheme="majorHAnsi" w:eastAsia="StagSans-Light" w:hAnsiTheme="majorHAnsi" w:cs="StagSans-Light"/>
          <w:sz w:val="28"/>
          <w:szCs w:val="28"/>
        </w:rPr>
        <w:t xml:space="preserve"> sektorima. </w:t>
      </w:r>
      <w:r w:rsidR="00453935" w:rsidRPr="00054996">
        <w:rPr>
          <w:rFonts w:asciiTheme="majorHAnsi" w:eastAsia="StagSans-Light" w:hAnsiTheme="majorHAnsi" w:cs="StagSans-Light"/>
          <w:sz w:val="28"/>
          <w:szCs w:val="28"/>
        </w:rPr>
        <w:t>Evropska komisija će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 u narednih sedam godina podržati</w:t>
      </w:r>
      <w:r w:rsidR="00453935"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akcije u </w:t>
      </w:r>
      <w:r w:rsidR="009C365C" w:rsidRPr="00054996">
        <w:rPr>
          <w:rFonts w:asciiTheme="majorHAnsi" w:eastAsia="StagSans-Light" w:hAnsiTheme="majorHAnsi" w:cs="StagSans-Light"/>
          <w:sz w:val="28"/>
          <w:szCs w:val="28"/>
        </w:rPr>
        <w:t>sektorima koji su blisko po</w:t>
      </w:r>
      <w:r w:rsidR="00A13C2B">
        <w:rPr>
          <w:rFonts w:asciiTheme="majorHAnsi" w:eastAsia="StagSans-Light" w:hAnsiTheme="majorHAnsi" w:cs="StagSans-Light"/>
          <w:sz w:val="28"/>
          <w:szCs w:val="28"/>
        </w:rPr>
        <w:t>vezani sa Strategijom</w:t>
      </w:r>
      <w:r w:rsidR="00E40C21">
        <w:rPr>
          <w:rFonts w:asciiTheme="majorHAnsi" w:eastAsia="StagSans-Light" w:hAnsiTheme="majorHAnsi" w:cs="StagSans-Light"/>
          <w:sz w:val="28"/>
          <w:szCs w:val="28"/>
        </w:rPr>
        <w:t xml:space="preserve"> proširenja</w:t>
      </w:r>
      <w:r w:rsidR="009C365C" w:rsidRPr="00054996">
        <w:rPr>
          <w:rFonts w:asciiTheme="majorHAnsi" w:eastAsia="StagSans-Light" w:hAnsiTheme="majorHAnsi" w:cs="StagSans-Light"/>
          <w:sz w:val="28"/>
          <w:szCs w:val="28"/>
        </w:rPr>
        <w:t>, i to</w:t>
      </w:r>
      <w:r w:rsidR="00EA001E">
        <w:rPr>
          <w:rFonts w:asciiTheme="majorHAnsi" w:eastAsia="StagSans-Light" w:hAnsiTheme="majorHAnsi" w:cs="StagSans-Light"/>
          <w:sz w:val="28"/>
          <w:szCs w:val="28"/>
        </w:rPr>
        <w:t>: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 xml:space="preserve"> 1. Demokratija i upravljanje;</w:t>
      </w:r>
      <w:r w:rsidR="00453935"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2. Vladavina prava i temeljna prava; 3.</w:t>
      </w:r>
      <w:r w:rsidR="00453935"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Životna sredina; 4. Saobraćaj; 5. Konkurentnost</w:t>
      </w:r>
      <w:r w:rsidR="00453935"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i inovacije; 6. Zapošljavanje, socijalna politika i</w:t>
      </w:r>
      <w:r w:rsidR="00453935"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razvoj ljudskih resursa; 7. Poljoprivreda i ruralni</w:t>
      </w:r>
      <w:r w:rsidR="00453935"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razvoj i 8.</w:t>
      </w:r>
      <w:r w:rsidR="00453935" w:rsidRPr="00054996">
        <w:rPr>
          <w:rFonts w:asciiTheme="majorHAnsi" w:eastAsia="StagSans-Light" w:hAnsiTheme="majorHAnsi" w:cs="StagSans-Light"/>
          <w:sz w:val="28"/>
          <w:szCs w:val="28"/>
        </w:rPr>
        <w:t xml:space="preserve"> </w:t>
      </w:r>
      <w:r w:rsidR="0088683A" w:rsidRPr="00054996">
        <w:rPr>
          <w:rFonts w:asciiTheme="majorHAnsi" w:eastAsia="StagSans-Light" w:hAnsiTheme="majorHAnsi" w:cs="StagSans-Light"/>
          <w:sz w:val="28"/>
          <w:szCs w:val="28"/>
        </w:rPr>
        <w:t>Prekogranična i teritorijalna saradnja.</w:t>
      </w:r>
    </w:p>
    <w:p w:rsidR="00387659" w:rsidRPr="00054996" w:rsidRDefault="00387659" w:rsidP="0038765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54996">
        <w:rPr>
          <w:rFonts w:asciiTheme="majorHAnsi" w:hAnsiTheme="majorHAnsi"/>
          <w:sz w:val="28"/>
          <w:szCs w:val="28"/>
        </w:rPr>
        <w:lastRenderedPageBreak/>
        <w:t>Mijenja se i struktura koja će se baviti programiranje</w:t>
      </w:r>
      <w:r w:rsidR="006D3453" w:rsidRPr="00054996">
        <w:rPr>
          <w:rFonts w:asciiTheme="majorHAnsi" w:hAnsiTheme="majorHAnsi"/>
          <w:sz w:val="28"/>
          <w:szCs w:val="28"/>
        </w:rPr>
        <w:t>m, te će stoga</w:t>
      </w:r>
      <w:r w:rsidRPr="00054996">
        <w:rPr>
          <w:rFonts w:asciiTheme="majorHAnsi" w:hAnsiTheme="majorHAnsi"/>
          <w:sz w:val="28"/>
          <w:szCs w:val="28"/>
        </w:rPr>
        <w:t xml:space="preserve"> „Akcije“ (što je novi termin za „Projekte“) biti usmjerene na oblasti u kojima se jasno definisani zajednički cilj može ostvariti koz istovremeno djelovanje više partnera. </w:t>
      </w:r>
    </w:p>
    <w:p w:rsidR="00C02BB2" w:rsidRPr="00054996" w:rsidRDefault="00C02BB2" w:rsidP="0038765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A001E" w:rsidRDefault="009C365C" w:rsidP="0038765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54996">
        <w:rPr>
          <w:rFonts w:asciiTheme="majorHAnsi" w:hAnsiTheme="majorHAnsi"/>
          <w:sz w:val="28"/>
          <w:szCs w:val="28"/>
        </w:rPr>
        <w:t>Dakle, najvažnij</w:t>
      </w:r>
      <w:r w:rsidR="00C02BB2" w:rsidRPr="00054996">
        <w:rPr>
          <w:rFonts w:asciiTheme="majorHAnsi" w:hAnsiTheme="majorHAnsi"/>
          <w:sz w:val="28"/>
          <w:szCs w:val="28"/>
        </w:rPr>
        <w:t xml:space="preserve">a novina je strategijski fokus, koji bi trebalo da osigura efikasnost, održivost i usmjerenost na rezultatima. Konačno, veći značaj će biti posvećen </w:t>
      </w:r>
      <w:r w:rsidR="004E1ED9" w:rsidRPr="00054996">
        <w:rPr>
          <w:rFonts w:asciiTheme="majorHAnsi" w:hAnsiTheme="majorHAnsi"/>
          <w:sz w:val="28"/>
          <w:szCs w:val="28"/>
        </w:rPr>
        <w:t>mjerenju učinka, te će na taj način moći da se procijeni do koje mjere su postignuti očekivani rezultati.</w:t>
      </w:r>
      <w:r w:rsidR="009C0C11" w:rsidRPr="00054996">
        <w:rPr>
          <w:rFonts w:asciiTheme="majorHAnsi" w:hAnsiTheme="majorHAnsi"/>
          <w:sz w:val="28"/>
          <w:szCs w:val="28"/>
        </w:rPr>
        <w:t xml:space="preserve"> </w:t>
      </w:r>
    </w:p>
    <w:p w:rsidR="009C365C" w:rsidRPr="00054996" w:rsidRDefault="00C02BB2" w:rsidP="0038765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54996">
        <w:rPr>
          <w:rFonts w:asciiTheme="majorHAnsi" w:hAnsiTheme="majorHAnsi"/>
          <w:sz w:val="28"/>
          <w:szCs w:val="28"/>
        </w:rPr>
        <w:t xml:space="preserve"> </w:t>
      </w:r>
    </w:p>
    <w:p w:rsidR="0091447C" w:rsidRPr="00EA001E" w:rsidRDefault="0091447C">
      <w:pPr>
        <w:rPr>
          <w:rFonts w:asciiTheme="majorHAnsi" w:hAnsiTheme="majorHAnsi"/>
          <w:color w:val="FF0000"/>
          <w:sz w:val="28"/>
          <w:szCs w:val="28"/>
          <w:lang w:val="hr-HR"/>
        </w:rPr>
      </w:pPr>
      <w:r w:rsidRPr="00EA001E">
        <w:rPr>
          <w:rFonts w:asciiTheme="majorHAnsi" w:hAnsiTheme="majorHAnsi"/>
          <w:color w:val="FF0000"/>
          <w:sz w:val="28"/>
          <w:szCs w:val="28"/>
          <w:lang w:val="hr-HR"/>
        </w:rPr>
        <w:t xml:space="preserve">Ko </w:t>
      </w:r>
      <w:r w:rsidR="006A2E24" w:rsidRPr="00EA001E">
        <w:rPr>
          <w:rFonts w:asciiTheme="majorHAnsi" w:hAnsiTheme="majorHAnsi"/>
          <w:color w:val="FF0000"/>
          <w:sz w:val="28"/>
          <w:szCs w:val="28"/>
          <w:lang w:val="hr-HR"/>
        </w:rPr>
        <w:t>su korisnici</w:t>
      </w:r>
      <w:r w:rsidRPr="00EA001E">
        <w:rPr>
          <w:rFonts w:asciiTheme="majorHAnsi" w:hAnsiTheme="majorHAnsi"/>
          <w:color w:val="FF0000"/>
          <w:sz w:val="28"/>
          <w:szCs w:val="28"/>
          <w:lang w:val="hr-HR"/>
        </w:rPr>
        <w:t xml:space="preserve"> sredstava iz pretpristupne podrške</w:t>
      </w:r>
      <w:r w:rsidR="00B35D81" w:rsidRPr="00EA001E">
        <w:rPr>
          <w:rFonts w:asciiTheme="majorHAnsi" w:hAnsiTheme="majorHAnsi"/>
          <w:color w:val="FF0000"/>
          <w:sz w:val="28"/>
          <w:szCs w:val="28"/>
          <w:lang w:val="hr-HR"/>
        </w:rPr>
        <w:t>?</w:t>
      </w:r>
    </w:p>
    <w:p w:rsidR="00EA001E" w:rsidRDefault="00431CDC" w:rsidP="00EA001E">
      <w:pPr>
        <w:jc w:val="both"/>
        <w:rPr>
          <w:rFonts w:asciiTheme="majorHAnsi" w:hAnsiTheme="majorHAnsi"/>
          <w:sz w:val="28"/>
          <w:szCs w:val="28"/>
          <w:lang w:eastAsia="sr-Latn-CS"/>
        </w:rPr>
      </w:pPr>
      <w:r w:rsidRPr="00EA001E">
        <w:rPr>
          <w:rFonts w:asciiTheme="majorHAnsi" w:hAnsiTheme="majorHAnsi"/>
          <w:sz w:val="28"/>
          <w:szCs w:val="28"/>
          <w:lang w:eastAsia="sr-Latn-CS"/>
        </w:rPr>
        <w:t>Direktni korisnici sredstava iz Ipe su institucije nep</w:t>
      </w:r>
      <w:r w:rsidR="0020613E" w:rsidRPr="00EA001E">
        <w:rPr>
          <w:rFonts w:asciiTheme="majorHAnsi" w:hAnsiTheme="majorHAnsi"/>
          <w:sz w:val="28"/>
          <w:szCs w:val="28"/>
          <w:lang w:eastAsia="sr-Latn-CS"/>
        </w:rPr>
        <w:t>rofitnog karaktera, kao što su ministarstva i organi državne uprave</w:t>
      </w:r>
      <w:r w:rsidRPr="00EA001E">
        <w:rPr>
          <w:rFonts w:asciiTheme="majorHAnsi" w:hAnsiTheme="majorHAnsi"/>
          <w:sz w:val="28"/>
          <w:szCs w:val="28"/>
          <w:lang w:eastAsia="sr-Latn-CS"/>
        </w:rPr>
        <w:t xml:space="preserve">, opštine, nevladine organizacije, </w:t>
      </w:r>
      <w:r w:rsidR="0020613E" w:rsidRPr="00EA001E">
        <w:rPr>
          <w:rFonts w:asciiTheme="majorHAnsi" w:hAnsiTheme="majorHAnsi"/>
          <w:sz w:val="28"/>
          <w:szCs w:val="28"/>
          <w:lang w:eastAsia="sr-Latn-CS"/>
        </w:rPr>
        <w:t xml:space="preserve">asocijacije i udruženja, </w:t>
      </w:r>
      <w:r w:rsidRPr="00EA001E">
        <w:rPr>
          <w:rFonts w:asciiTheme="majorHAnsi" w:hAnsiTheme="majorHAnsi"/>
          <w:sz w:val="28"/>
          <w:szCs w:val="28"/>
          <w:lang w:eastAsia="sr-Latn-CS"/>
        </w:rPr>
        <w:t xml:space="preserve">univerziteti, škole, bolnice, </w:t>
      </w:r>
      <w:r w:rsidR="0020613E" w:rsidRPr="00EA001E">
        <w:rPr>
          <w:rFonts w:asciiTheme="majorHAnsi" w:hAnsiTheme="majorHAnsi"/>
          <w:sz w:val="28"/>
          <w:szCs w:val="28"/>
          <w:lang w:eastAsia="sr-Latn-CS"/>
        </w:rPr>
        <w:t xml:space="preserve">institucije kulture, </w:t>
      </w:r>
      <w:r w:rsidRPr="00EA001E">
        <w:rPr>
          <w:rFonts w:asciiTheme="majorHAnsi" w:hAnsiTheme="majorHAnsi"/>
          <w:sz w:val="28"/>
          <w:szCs w:val="28"/>
          <w:lang w:eastAsia="sr-Latn-CS"/>
        </w:rPr>
        <w:t>istraživački centri, itd.</w:t>
      </w:r>
      <w:r w:rsidR="003F4762" w:rsidRPr="00EA001E">
        <w:rPr>
          <w:rFonts w:asciiTheme="majorHAnsi" w:hAnsiTheme="majorHAnsi"/>
          <w:sz w:val="28"/>
          <w:szCs w:val="28"/>
          <w:lang w:eastAsia="sr-Latn-CS"/>
        </w:rPr>
        <w:t xml:space="preserve"> Dosadašnje iskustvo korišćenja fondova je pokazalo da su sprovodene aktivnosti doprinijele ne samo jačanju kapaciteta institucija i usaglašavanju</w:t>
      </w:r>
      <w:r w:rsidR="003C7345" w:rsidRPr="00EA001E">
        <w:rPr>
          <w:rFonts w:asciiTheme="majorHAnsi" w:hAnsiTheme="majorHAnsi"/>
          <w:sz w:val="28"/>
          <w:szCs w:val="28"/>
          <w:lang w:eastAsia="sr-Latn-CS"/>
        </w:rPr>
        <w:t xml:space="preserve"> zakonodavstva, već i konkretn</w:t>
      </w:r>
      <w:r w:rsidR="003F4762" w:rsidRPr="00EA001E">
        <w:rPr>
          <w:rFonts w:asciiTheme="majorHAnsi" w:hAnsiTheme="majorHAnsi"/>
          <w:sz w:val="28"/>
          <w:szCs w:val="28"/>
          <w:lang w:eastAsia="sr-Latn-CS"/>
        </w:rPr>
        <w:t>im rezultatima</w:t>
      </w:r>
      <w:r w:rsidR="003C7345" w:rsidRPr="00EA001E">
        <w:rPr>
          <w:rFonts w:asciiTheme="majorHAnsi" w:hAnsiTheme="majorHAnsi"/>
          <w:sz w:val="28"/>
          <w:szCs w:val="28"/>
          <w:lang w:eastAsia="sr-Latn-CS"/>
        </w:rPr>
        <w:t xml:space="preserve"> u različitim oblastima od značaja za život građana.</w:t>
      </w:r>
      <w:r w:rsidR="006D2406" w:rsidRPr="00EA001E">
        <w:rPr>
          <w:rFonts w:asciiTheme="majorHAnsi" w:hAnsiTheme="majorHAnsi"/>
          <w:sz w:val="28"/>
          <w:szCs w:val="28"/>
          <w:lang w:eastAsia="sr-Latn-CS"/>
        </w:rPr>
        <w:t xml:space="preserve"> Dakle, krajnji korisnici dostupnih sredstava su građani Crne Gore.</w:t>
      </w:r>
    </w:p>
    <w:p w:rsidR="00EA001E" w:rsidRDefault="00EA001E" w:rsidP="00EA001E">
      <w:pPr>
        <w:pStyle w:val="NoSpacing"/>
        <w:rPr>
          <w:lang w:val="hr-HR"/>
        </w:rPr>
      </w:pPr>
    </w:p>
    <w:p w:rsidR="0091447C" w:rsidRPr="00EA001E" w:rsidRDefault="0091447C" w:rsidP="00EA001E">
      <w:pPr>
        <w:jc w:val="both"/>
        <w:rPr>
          <w:rFonts w:asciiTheme="majorHAnsi" w:hAnsiTheme="majorHAnsi"/>
          <w:sz w:val="28"/>
          <w:szCs w:val="28"/>
          <w:lang w:eastAsia="sr-Latn-CS"/>
        </w:rPr>
      </w:pPr>
      <w:r w:rsidRPr="00EA001E">
        <w:rPr>
          <w:rFonts w:asciiTheme="majorHAnsi" w:hAnsiTheme="majorHAnsi"/>
          <w:color w:val="FF0000"/>
          <w:sz w:val="28"/>
          <w:szCs w:val="28"/>
          <w:lang w:val="hr-HR"/>
        </w:rPr>
        <w:t>U kojim oblastima EU podržava reforme Crne Gore kroz sredstva Ipe</w:t>
      </w:r>
      <w:r w:rsidR="00B35D81" w:rsidRPr="00EA001E">
        <w:rPr>
          <w:rFonts w:asciiTheme="majorHAnsi" w:hAnsiTheme="majorHAnsi"/>
          <w:color w:val="FF0000"/>
          <w:sz w:val="28"/>
          <w:szCs w:val="28"/>
          <w:lang w:val="hr-HR"/>
        </w:rPr>
        <w:t>?</w:t>
      </w:r>
    </w:p>
    <w:p w:rsidR="006D4E38" w:rsidRPr="00E52357" w:rsidRDefault="00B43361" w:rsidP="00750336">
      <w:pPr>
        <w:jc w:val="both"/>
        <w:rPr>
          <w:rFonts w:asciiTheme="majorHAnsi" w:hAnsiTheme="majorHAnsi"/>
          <w:color w:val="000000" w:themeColor="text1"/>
          <w:sz w:val="28"/>
          <w:szCs w:val="28"/>
          <w:lang w:val="bs-Latn-BA"/>
        </w:rPr>
      </w:pPr>
      <w:r w:rsidRPr="00054996">
        <w:rPr>
          <w:rFonts w:asciiTheme="majorHAnsi" w:hAnsiTheme="majorHAnsi"/>
          <w:color w:val="000000" w:themeColor="text1"/>
          <w:sz w:val="28"/>
          <w:szCs w:val="28"/>
          <w:lang w:val="bs-Latn-BA"/>
        </w:rPr>
        <w:t xml:space="preserve">Dosadašnja </w:t>
      </w:r>
      <w:r w:rsidR="00E40C21">
        <w:rPr>
          <w:rFonts w:asciiTheme="majorHAnsi" w:hAnsiTheme="majorHAnsi"/>
          <w:color w:val="000000" w:themeColor="text1"/>
          <w:sz w:val="28"/>
          <w:szCs w:val="28"/>
          <w:lang w:val="bs-Latn-BA"/>
        </w:rPr>
        <w:t xml:space="preserve">dostupna </w:t>
      </w:r>
      <w:r w:rsidRPr="00054996">
        <w:rPr>
          <w:rFonts w:asciiTheme="majorHAnsi" w:hAnsiTheme="majorHAnsi"/>
          <w:color w:val="000000" w:themeColor="text1"/>
          <w:sz w:val="28"/>
          <w:szCs w:val="28"/>
          <w:lang w:val="bs-Latn-BA"/>
        </w:rPr>
        <w:t xml:space="preserve">sredstva su, u najvećoj mjeri, iskorištena za podršku usklađivanja zakonodavstva, daljoj zaštiti životne sredine, </w:t>
      </w:r>
      <w:r w:rsidR="006D4E38">
        <w:rPr>
          <w:rFonts w:asciiTheme="majorHAnsi" w:hAnsiTheme="majorHAnsi"/>
          <w:color w:val="000000" w:themeColor="text1"/>
          <w:sz w:val="28"/>
          <w:szCs w:val="28"/>
          <w:lang w:val="bs-Latn-BA"/>
        </w:rPr>
        <w:t>unapređenju saobraćaja,</w:t>
      </w:r>
      <w:r w:rsidR="0096584C">
        <w:rPr>
          <w:rFonts w:asciiTheme="majorHAnsi" w:hAnsiTheme="majorHAnsi"/>
          <w:color w:val="000000" w:themeColor="text1"/>
          <w:sz w:val="28"/>
          <w:szCs w:val="28"/>
          <w:lang w:val="bs-Latn-BA"/>
        </w:rPr>
        <w:t xml:space="preserve"> jačanja</w:t>
      </w:r>
      <w:r w:rsidRPr="00054996">
        <w:rPr>
          <w:rFonts w:asciiTheme="majorHAnsi" w:hAnsiTheme="majorHAnsi"/>
          <w:color w:val="000000" w:themeColor="text1"/>
          <w:sz w:val="28"/>
          <w:szCs w:val="28"/>
          <w:lang w:val="bs-Latn-BA"/>
        </w:rPr>
        <w:t xml:space="preserve"> oblasti pravde i unutrašnjih poslova, reforme javne uprave, socijalnog razvoja, </w:t>
      </w:r>
      <w:r w:rsidR="00523056">
        <w:rPr>
          <w:rFonts w:asciiTheme="majorHAnsi" w:hAnsiTheme="majorHAnsi"/>
          <w:color w:val="000000" w:themeColor="text1"/>
          <w:sz w:val="28"/>
          <w:szCs w:val="28"/>
          <w:lang w:val="bs-Latn-BA"/>
        </w:rPr>
        <w:t xml:space="preserve">ljudskih prava, </w:t>
      </w:r>
      <w:r w:rsidRPr="00054996">
        <w:rPr>
          <w:rFonts w:asciiTheme="majorHAnsi" w:hAnsiTheme="majorHAnsi"/>
          <w:color w:val="000000" w:themeColor="text1"/>
          <w:sz w:val="28"/>
          <w:szCs w:val="28"/>
          <w:lang w:val="bs-Latn-BA"/>
        </w:rPr>
        <w:t>poljoprivrede i ruralnog razvoja, kao i za prekogranične i transnacionalne projekte saradnje.</w:t>
      </w:r>
      <w:r w:rsidR="006D4E38">
        <w:rPr>
          <w:rFonts w:asciiTheme="majorHAnsi" w:hAnsiTheme="majorHAnsi"/>
          <w:color w:val="000000" w:themeColor="text1"/>
          <w:sz w:val="28"/>
          <w:szCs w:val="28"/>
          <w:lang w:val="bs-Latn-BA"/>
        </w:rPr>
        <w:t xml:space="preserve"> U narednih sedam godina podrška će biti usmjerena na osam </w:t>
      </w:r>
      <w:r w:rsidR="00E52357">
        <w:rPr>
          <w:rFonts w:asciiTheme="majorHAnsi" w:hAnsiTheme="majorHAnsi"/>
          <w:color w:val="000000" w:themeColor="text1"/>
          <w:sz w:val="28"/>
          <w:szCs w:val="28"/>
          <w:lang w:val="bs-Latn-BA"/>
        </w:rPr>
        <w:t>identifikovanih</w:t>
      </w:r>
      <w:r w:rsidR="006D4E38">
        <w:rPr>
          <w:rFonts w:asciiTheme="majorHAnsi" w:hAnsiTheme="majorHAnsi"/>
          <w:color w:val="000000" w:themeColor="text1"/>
          <w:sz w:val="28"/>
          <w:szCs w:val="28"/>
          <w:lang w:val="bs-Latn-BA"/>
        </w:rPr>
        <w:t xml:space="preserve"> sektora.</w:t>
      </w:r>
    </w:p>
    <w:p w:rsidR="0091447C" w:rsidRPr="00054996" w:rsidRDefault="00B35D81" w:rsidP="00E52357">
      <w:pPr>
        <w:jc w:val="both"/>
        <w:rPr>
          <w:rFonts w:asciiTheme="majorHAnsi" w:hAnsiTheme="majorHAnsi"/>
          <w:color w:val="FF0000"/>
          <w:sz w:val="28"/>
          <w:szCs w:val="28"/>
          <w:lang w:val="hr-HR"/>
        </w:rPr>
      </w:pPr>
      <w:r w:rsidRPr="00054996">
        <w:rPr>
          <w:rFonts w:asciiTheme="majorHAnsi" w:hAnsiTheme="majorHAnsi"/>
          <w:color w:val="FF0000"/>
          <w:sz w:val="28"/>
          <w:szCs w:val="28"/>
          <w:lang w:val="hr-HR"/>
        </w:rPr>
        <w:t>Da li Crna Gora</w:t>
      </w:r>
      <w:r w:rsidR="0091447C" w:rsidRPr="00054996">
        <w:rPr>
          <w:rFonts w:asciiTheme="majorHAnsi" w:hAnsiTheme="majorHAnsi"/>
          <w:color w:val="FF0000"/>
          <w:sz w:val="28"/>
          <w:szCs w:val="28"/>
          <w:lang w:val="hr-HR"/>
        </w:rPr>
        <w:t xml:space="preserve"> ima kapaciteta da </w:t>
      </w:r>
      <w:r w:rsidR="00E52357">
        <w:rPr>
          <w:rFonts w:asciiTheme="majorHAnsi" w:hAnsiTheme="majorHAnsi"/>
          <w:color w:val="FF0000"/>
          <w:sz w:val="28"/>
          <w:szCs w:val="28"/>
          <w:lang w:val="hr-HR"/>
        </w:rPr>
        <w:t>iskoristi</w:t>
      </w:r>
      <w:r w:rsidR="0091447C" w:rsidRPr="00054996">
        <w:rPr>
          <w:rFonts w:asciiTheme="majorHAnsi" w:hAnsiTheme="majorHAnsi"/>
          <w:color w:val="FF0000"/>
          <w:sz w:val="28"/>
          <w:szCs w:val="28"/>
          <w:lang w:val="hr-HR"/>
        </w:rPr>
        <w:t xml:space="preserve"> sredstva koja su joj na raspolaganju</w:t>
      </w:r>
      <w:r w:rsidRPr="00054996">
        <w:rPr>
          <w:rFonts w:asciiTheme="majorHAnsi" w:hAnsiTheme="majorHAnsi"/>
          <w:color w:val="FF0000"/>
          <w:sz w:val="28"/>
          <w:szCs w:val="28"/>
          <w:lang w:val="hr-HR"/>
        </w:rPr>
        <w:t>?</w:t>
      </w:r>
    </w:p>
    <w:p w:rsidR="00BE6229" w:rsidRPr="00054996" w:rsidRDefault="00BE6229" w:rsidP="00BE6229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BE6229">
        <w:rPr>
          <w:rFonts w:asciiTheme="majorHAnsi" w:hAnsiTheme="majorHAnsi"/>
          <w:sz w:val="28"/>
          <w:szCs w:val="28"/>
        </w:rPr>
        <w:t xml:space="preserve">Crna Gora koristi sredstva iz Instrumenta pretpristupne podrške (IPA) od 2007. </w:t>
      </w:r>
      <w:r w:rsidR="002C34F8">
        <w:rPr>
          <w:rFonts w:asciiTheme="majorHAnsi" w:hAnsiTheme="majorHAnsi"/>
          <w:sz w:val="28"/>
          <w:szCs w:val="28"/>
        </w:rPr>
        <w:t>g</w:t>
      </w:r>
      <w:r w:rsidRPr="00BE6229">
        <w:rPr>
          <w:rFonts w:asciiTheme="majorHAnsi" w:hAnsiTheme="majorHAnsi"/>
          <w:sz w:val="28"/>
          <w:szCs w:val="28"/>
        </w:rPr>
        <w:t>odine</w:t>
      </w:r>
      <w:r w:rsidR="002C34F8">
        <w:rPr>
          <w:rFonts w:asciiTheme="majorHAnsi" w:hAnsiTheme="majorHAnsi"/>
          <w:sz w:val="28"/>
          <w:szCs w:val="28"/>
        </w:rPr>
        <w:t>.</w:t>
      </w:r>
      <w:r w:rsidRPr="00BE622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 w:cs="Helvetica"/>
          <w:bCs/>
          <w:color w:val="0C000F"/>
          <w:sz w:val="28"/>
          <w:szCs w:val="28"/>
          <w:lang w:val="bs-Latn-BA"/>
        </w:rPr>
        <w:t>T</w:t>
      </w:r>
      <w:r w:rsidRPr="00054996">
        <w:rPr>
          <w:rFonts w:asciiTheme="majorHAnsi" w:hAnsiTheme="majorHAnsi" w:cs="Helvetica"/>
          <w:color w:val="0C000F"/>
          <w:sz w:val="28"/>
          <w:szCs w:val="28"/>
          <w:lang w:val="bs-Latn-BA"/>
        </w:rPr>
        <w:t xml:space="preserve">okom proteklih sedam godina, institucije i organizacije u Crnoj </w:t>
      </w:r>
      <w:r w:rsidRPr="00054996">
        <w:rPr>
          <w:rFonts w:asciiTheme="majorHAnsi" w:hAnsiTheme="majorHAnsi" w:cs="Helvetica"/>
          <w:color w:val="0C000F"/>
          <w:sz w:val="28"/>
          <w:szCs w:val="28"/>
          <w:lang w:val="bs-Latn-BA"/>
        </w:rPr>
        <w:lastRenderedPageBreak/>
        <w:t>Gori su, kroz snaženje saradnje i razvoj vještina i praktičkih znanja, unaprijedile svoje sposobnosti</w:t>
      </w:r>
      <w:r w:rsidRPr="00054996">
        <w:rPr>
          <w:rFonts w:asciiTheme="majorHAnsi" w:hAnsiTheme="majorHAnsi"/>
          <w:sz w:val="28"/>
          <w:szCs w:val="28"/>
          <w:lang w:val="bs-Latn-BA"/>
        </w:rPr>
        <w:t xml:space="preserve"> za ispunjavanje obaveza iz procesa pristupanja. </w:t>
      </w:r>
    </w:p>
    <w:p w:rsidR="00BE6229" w:rsidRDefault="00BE6229" w:rsidP="00BE6229">
      <w:pPr>
        <w:jc w:val="both"/>
        <w:rPr>
          <w:rFonts w:asciiTheme="majorHAnsi" w:hAnsiTheme="majorHAnsi"/>
          <w:sz w:val="28"/>
          <w:szCs w:val="28"/>
        </w:rPr>
      </w:pPr>
      <w:r w:rsidRPr="00BE6229">
        <w:rPr>
          <w:rFonts w:asciiTheme="majorHAnsi" w:hAnsiTheme="majorHAnsi"/>
          <w:sz w:val="28"/>
          <w:szCs w:val="28"/>
        </w:rPr>
        <w:t>Ovo nije bio jednostavan z</w:t>
      </w:r>
      <w:r w:rsidR="002C34F8">
        <w:rPr>
          <w:rFonts w:asciiTheme="majorHAnsi" w:hAnsiTheme="majorHAnsi"/>
          <w:sz w:val="28"/>
          <w:szCs w:val="28"/>
        </w:rPr>
        <w:t xml:space="preserve">adatak, naročito imajući u vidu </w:t>
      </w:r>
      <w:r w:rsidRPr="00BE6229">
        <w:rPr>
          <w:rFonts w:asciiTheme="majorHAnsi" w:hAnsiTheme="majorHAnsi"/>
          <w:sz w:val="28"/>
          <w:szCs w:val="28"/>
        </w:rPr>
        <w:t>složenost</w:t>
      </w:r>
      <w:r>
        <w:rPr>
          <w:rFonts w:asciiTheme="majorHAnsi" w:hAnsiTheme="majorHAnsi"/>
          <w:sz w:val="28"/>
          <w:szCs w:val="28"/>
        </w:rPr>
        <w:t xml:space="preserve"> instrumenta i procedura. Međutim, važno je nagla</w:t>
      </w:r>
      <w:r w:rsidR="002C34F8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iti </w:t>
      </w:r>
      <w:r w:rsidRPr="00BE6229">
        <w:rPr>
          <w:rFonts w:asciiTheme="majorHAnsi" w:hAnsiTheme="majorHAnsi"/>
          <w:sz w:val="28"/>
          <w:szCs w:val="28"/>
        </w:rPr>
        <w:t>da smo uspjeli da, kroz projekte i programe, isplaniramo utrošak svih raspoloživih s</w:t>
      </w:r>
      <w:r>
        <w:rPr>
          <w:rFonts w:asciiTheme="majorHAnsi" w:hAnsiTheme="majorHAnsi"/>
          <w:sz w:val="28"/>
          <w:szCs w:val="28"/>
        </w:rPr>
        <w:t xml:space="preserve">redstava, te da </w:t>
      </w:r>
      <w:r w:rsidRPr="00BE6229">
        <w:rPr>
          <w:rFonts w:asciiTheme="majorHAnsi" w:hAnsiTheme="majorHAnsi"/>
          <w:sz w:val="28"/>
          <w:szCs w:val="28"/>
        </w:rPr>
        <w:t>nije zabilježen nijedan slučaj</w:t>
      </w:r>
      <w:r w:rsidR="00A96B86">
        <w:rPr>
          <w:rFonts w:asciiTheme="majorHAnsi" w:hAnsiTheme="majorHAnsi"/>
          <w:sz w:val="28"/>
          <w:szCs w:val="28"/>
        </w:rPr>
        <w:t xml:space="preserve"> nenamjenskog utroška sredstava.</w:t>
      </w:r>
    </w:p>
    <w:p w:rsidR="00A96B86" w:rsidRDefault="00A96B86" w:rsidP="00BE6229">
      <w:pPr>
        <w:jc w:val="both"/>
        <w:rPr>
          <w:rFonts w:asciiTheme="majorHAnsi" w:hAnsiTheme="majorHAnsi"/>
          <w:sz w:val="28"/>
          <w:szCs w:val="28"/>
        </w:rPr>
      </w:pPr>
      <w:r w:rsidRPr="00A96B86">
        <w:rPr>
          <w:rFonts w:asciiTheme="majorHAnsi" w:hAnsiTheme="majorHAnsi"/>
          <w:sz w:val="28"/>
          <w:szCs w:val="28"/>
        </w:rPr>
        <w:t xml:space="preserve">Evropska komisija je dodijelila Crnoj Gori </w:t>
      </w:r>
      <w:r>
        <w:rPr>
          <w:rFonts w:asciiTheme="majorHAnsi" w:hAnsiTheme="majorHAnsi"/>
          <w:sz w:val="28"/>
          <w:szCs w:val="28"/>
        </w:rPr>
        <w:t>245 miliona eura</w:t>
      </w:r>
      <w:r w:rsidRPr="00A96B86">
        <w:rPr>
          <w:rFonts w:asciiTheme="majorHAnsi" w:hAnsiTheme="majorHAnsi"/>
          <w:sz w:val="28"/>
          <w:szCs w:val="28"/>
        </w:rPr>
        <w:t xml:space="preserve"> bespovratne finansijske podrške, za finansijski period 2007-2013, za svih pet komponenti Ipe, odnosno u prosjeku oko </w:t>
      </w:r>
      <w:r>
        <w:rPr>
          <w:rFonts w:asciiTheme="majorHAnsi" w:hAnsiTheme="majorHAnsi"/>
          <w:sz w:val="28"/>
          <w:szCs w:val="28"/>
        </w:rPr>
        <w:t>35 miliona eura</w:t>
      </w:r>
      <w:r w:rsidRPr="00A96B86">
        <w:rPr>
          <w:rFonts w:asciiTheme="majorHAnsi" w:hAnsiTheme="majorHAnsi"/>
          <w:sz w:val="28"/>
          <w:szCs w:val="28"/>
        </w:rPr>
        <w:t xml:space="preserve"> godišnje. </w:t>
      </w:r>
    </w:p>
    <w:p w:rsidR="00BE6229" w:rsidRPr="00BE6229" w:rsidRDefault="00BE6229" w:rsidP="00BE6229">
      <w:pPr>
        <w:jc w:val="both"/>
        <w:rPr>
          <w:rFonts w:asciiTheme="majorHAnsi" w:hAnsiTheme="majorHAnsi"/>
          <w:sz w:val="28"/>
          <w:szCs w:val="28"/>
        </w:rPr>
      </w:pPr>
      <w:r w:rsidRPr="00054996">
        <w:rPr>
          <w:rFonts w:asciiTheme="majorHAnsi" w:hAnsiTheme="majorHAnsi"/>
          <w:sz w:val="28"/>
          <w:szCs w:val="28"/>
          <w:lang w:val="bs-Latn-BA"/>
        </w:rPr>
        <w:t xml:space="preserve">Znanje i iskustvo koje stičemo u sprovođenju projekata predstavlja dobru i temeljnu </w:t>
      </w:r>
      <w:r w:rsidR="00E50C29">
        <w:rPr>
          <w:rFonts w:asciiTheme="majorHAnsi" w:hAnsiTheme="majorHAnsi"/>
          <w:sz w:val="28"/>
          <w:szCs w:val="28"/>
          <w:lang w:val="bs-Latn-BA"/>
        </w:rPr>
        <w:t>osnovu</w:t>
      </w:r>
      <w:r w:rsidR="002C34F8">
        <w:rPr>
          <w:rFonts w:asciiTheme="majorHAnsi" w:hAnsiTheme="majorHAnsi"/>
          <w:sz w:val="28"/>
          <w:szCs w:val="28"/>
          <w:lang w:val="bs-Latn-BA"/>
        </w:rPr>
        <w:t xml:space="preserve"> za uspješnu realizaciju budućih projekata</w:t>
      </w:r>
      <w:r w:rsidRPr="00054996">
        <w:rPr>
          <w:rFonts w:asciiTheme="majorHAnsi" w:hAnsiTheme="majorHAnsi"/>
          <w:sz w:val="28"/>
          <w:szCs w:val="28"/>
          <w:lang w:val="bs-Latn-BA"/>
        </w:rPr>
        <w:t>.</w:t>
      </w:r>
    </w:p>
    <w:p w:rsidR="00BE105B" w:rsidRPr="00BE105B" w:rsidRDefault="00BE105B" w:rsidP="00BE105B">
      <w:pPr>
        <w:jc w:val="both"/>
        <w:rPr>
          <w:rFonts w:asciiTheme="majorHAnsi" w:hAnsiTheme="majorHAnsi"/>
          <w:sz w:val="28"/>
          <w:szCs w:val="28"/>
          <w:lang w:val="bs-Latn-BA"/>
        </w:rPr>
      </w:pPr>
      <w:r>
        <w:rPr>
          <w:rFonts w:asciiTheme="majorHAnsi" w:hAnsiTheme="majorHAnsi"/>
          <w:sz w:val="28"/>
          <w:szCs w:val="28"/>
          <w:lang w:val="bs-Latn-BA"/>
        </w:rPr>
        <w:t>T</w:t>
      </w:r>
      <w:r w:rsidRPr="00BE105B">
        <w:rPr>
          <w:rFonts w:asciiTheme="majorHAnsi" w:hAnsiTheme="majorHAnsi"/>
          <w:sz w:val="28"/>
          <w:szCs w:val="28"/>
          <w:lang w:val="bs-Latn-BA"/>
        </w:rPr>
        <w:t xml:space="preserve">abelarni prikaz stanja po programskim godinama: </w:t>
      </w:r>
    </w:p>
    <w:tbl>
      <w:tblPr>
        <w:tblW w:w="9132" w:type="dxa"/>
        <w:jc w:val="center"/>
        <w:tblInd w:w="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double" w:sz="4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457"/>
        <w:gridCol w:w="1803"/>
        <w:gridCol w:w="1803"/>
        <w:gridCol w:w="1323"/>
        <w:gridCol w:w="1803"/>
        <w:gridCol w:w="1189"/>
      </w:tblGrid>
      <w:tr w:rsidR="00BE105B" w:rsidRPr="00CB0247" w:rsidTr="00D760DF">
        <w:trPr>
          <w:jc w:val="center"/>
        </w:trPr>
        <w:tc>
          <w:tcPr>
            <w:tcW w:w="2253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Programska</w:t>
            </w:r>
          </w:p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godina</w:t>
            </w:r>
          </w:p>
        </w:tc>
        <w:tc>
          <w:tcPr>
            <w:tcW w:w="1449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DBE5F1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Alocirano</w:t>
            </w:r>
          </w:p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(EUR)</w:t>
            </w:r>
          </w:p>
        </w:tc>
        <w:tc>
          <w:tcPr>
            <w:tcW w:w="141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DBE5F1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 xml:space="preserve">Ugovoreno </w:t>
            </w:r>
          </w:p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bs-Latn-BA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(EUR)</w:t>
            </w:r>
          </w:p>
        </w:tc>
        <w:tc>
          <w:tcPr>
            <w:tcW w:w="1316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Ugovoreno</w:t>
            </w:r>
          </w:p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(%)</w:t>
            </w:r>
          </w:p>
        </w:tc>
        <w:tc>
          <w:tcPr>
            <w:tcW w:w="1333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DBE5F1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Isplaćeno</w:t>
            </w:r>
          </w:p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(EUR)</w:t>
            </w:r>
          </w:p>
        </w:tc>
        <w:tc>
          <w:tcPr>
            <w:tcW w:w="1364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Isplaćeno</w:t>
            </w:r>
          </w:p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(%)</w:t>
            </w:r>
          </w:p>
        </w:tc>
      </w:tr>
      <w:tr w:rsidR="00BE105B" w:rsidRPr="00CB0247" w:rsidTr="00D760DF">
        <w:trPr>
          <w:jc w:val="center"/>
        </w:trPr>
        <w:tc>
          <w:tcPr>
            <w:tcW w:w="2253" w:type="dxa"/>
            <w:tcBorders>
              <w:top w:val="single" w:sz="18" w:space="0" w:color="0070C0"/>
              <w:bottom w:val="double" w:sz="4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IPA 07</w:t>
            </w:r>
          </w:p>
        </w:tc>
        <w:tc>
          <w:tcPr>
            <w:tcW w:w="1449" w:type="dxa"/>
            <w:tcBorders>
              <w:top w:val="single" w:sz="18" w:space="0" w:color="0070C0"/>
            </w:tcBorders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lang w:val="sl-SI"/>
              </w:rPr>
              <w:t>23.870.504,00</w:t>
            </w:r>
          </w:p>
        </w:tc>
        <w:tc>
          <w:tcPr>
            <w:tcW w:w="1417" w:type="dxa"/>
            <w:tcBorders>
              <w:top w:val="single" w:sz="18" w:space="0" w:color="0070C0"/>
            </w:tcBorders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color w:val="000000"/>
              </w:rPr>
              <w:t>23.345.694</w:t>
            </w:r>
            <w:r>
              <w:rPr>
                <w:rFonts w:asciiTheme="majorHAnsi" w:hAnsiTheme="majorHAnsi"/>
                <w:color w:val="000000"/>
              </w:rPr>
              <w:t>,64</w:t>
            </w:r>
          </w:p>
        </w:tc>
        <w:tc>
          <w:tcPr>
            <w:tcW w:w="1316" w:type="dxa"/>
            <w:tcBorders>
              <w:top w:val="single" w:sz="18" w:space="0" w:color="0070C0"/>
            </w:tcBorders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97.8</w:t>
            </w:r>
          </w:p>
        </w:tc>
        <w:tc>
          <w:tcPr>
            <w:tcW w:w="1333" w:type="dxa"/>
            <w:tcBorders>
              <w:top w:val="single" w:sz="18" w:space="0" w:color="0070C0"/>
            </w:tcBorders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23.301.285</w:t>
            </w:r>
            <w:r>
              <w:rPr>
                <w:rFonts w:asciiTheme="majorHAnsi" w:hAnsiTheme="majorHAnsi"/>
                <w:color w:val="000000"/>
              </w:rPr>
              <w:t>,01</w:t>
            </w:r>
          </w:p>
        </w:tc>
        <w:tc>
          <w:tcPr>
            <w:tcW w:w="1364" w:type="dxa"/>
            <w:tcBorders>
              <w:top w:val="single" w:sz="18" w:space="0" w:color="0070C0"/>
            </w:tcBorders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97.6</w:t>
            </w:r>
          </w:p>
        </w:tc>
      </w:tr>
      <w:tr w:rsidR="00BE105B" w:rsidRPr="00CB0247" w:rsidTr="00D760DF">
        <w:trPr>
          <w:jc w:val="center"/>
        </w:trPr>
        <w:tc>
          <w:tcPr>
            <w:tcW w:w="2253" w:type="dxa"/>
            <w:tcBorders>
              <w:top w:val="double" w:sz="4" w:space="0" w:color="0070C0"/>
              <w:bottom w:val="double" w:sz="4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IPA 08</w:t>
            </w:r>
          </w:p>
        </w:tc>
        <w:tc>
          <w:tcPr>
            <w:tcW w:w="1449" w:type="dxa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lang w:val="sl-SI"/>
              </w:rPr>
              <w:t>26.800.000,00</w:t>
            </w:r>
          </w:p>
        </w:tc>
        <w:tc>
          <w:tcPr>
            <w:tcW w:w="1417" w:type="dxa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lang w:val="sl-SI"/>
              </w:rPr>
              <w:t>26.017.399</w:t>
            </w:r>
            <w:r>
              <w:rPr>
                <w:rFonts w:asciiTheme="majorHAnsi" w:hAnsiTheme="majorHAnsi"/>
                <w:lang w:val="sl-SI"/>
              </w:rPr>
              <w:t>,30</w:t>
            </w:r>
          </w:p>
        </w:tc>
        <w:tc>
          <w:tcPr>
            <w:tcW w:w="1316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97.1</w:t>
            </w:r>
          </w:p>
        </w:tc>
        <w:tc>
          <w:tcPr>
            <w:tcW w:w="1333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2</w:t>
            </w:r>
            <w:r>
              <w:rPr>
                <w:rFonts w:asciiTheme="majorHAnsi" w:hAnsiTheme="majorHAnsi"/>
                <w:color w:val="000000"/>
              </w:rPr>
              <w:t>6.483.347,95</w:t>
            </w:r>
          </w:p>
        </w:tc>
        <w:tc>
          <w:tcPr>
            <w:tcW w:w="1364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98.8</w:t>
            </w:r>
          </w:p>
        </w:tc>
      </w:tr>
      <w:tr w:rsidR="00BE105B" w:rsidRPr="00CB0247" w:rsidTr="00D760DF">
        <w:trPr>
          <w:jc w:val="center"/>
        </w:trPr>
        <w:tc>
          <w:tcPr>
            <w:tcW w:w="2253" w:type="dxa"/>
            <w:tcBorders>
              <w:top w:val="double" w:sz="4" w:space="0" w:color="0070C0"/>
              <w:bottom w:val="double" w:sz="4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IPA 09</w:t>
            </w:r>
          </w:p>
        </w:tc>
        <w:tc>
          <w:tcPr>
            <w:tcW w:w="1449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28.432.179,00</w:t>
            </w:r>
          </w:p>
        </w:tc>
        <w:tc>
          <w:tcPr>
            <w:tcW w:w="1417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28.013.281</w:t>
            </w:r>
            <w:r>
              <w:rPr>
                <w:rFonts w:asciiTheme="majorHAnsi" w:hAnsiTheme="majorHAnsi"/>
                <w:color w:val="000000"/>
              </w:rPr>
              <w:t>,11</w:t>
            </w:r>
          </w:p>
        </w:tc>
        <w:tc>
          <w:tcPr>
            <w:tcW w:w="1316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98.5</w:t>
            </w:r>
          </w:p>
        </w:tc>
        <w:tc>
          <w:tcPr>
            <w:tcW w:w="1333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27.277.84</w:t>
            </w:r>
            <w:r>
              <w:rPr>
                <w:rFonts w:asciiTheme="majorHAnsi" w:hAnsiTheme="majorHAnsi"/>
                <w:color w:val="000000"/>
              </w:rPr>
              <w:t>7,86</w:t>
            </w:r>
          </w:p>
        </w:tc>
        <w:tc>
          <w:tcPr>
            <w:tcW w:w="1364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95.9</w:t>
            </w:r>
          </w:p>
        </w:tc>
      </w:tr>
      <w:tr w:rsidR="00BE105B" w:rsidRPr="00CB0247" w:rsidTr="00D760DF">
        <w:trPr>
          <w:jc w:val="center"/>
        </w:trPr>
        <w:tc>
          <w:tcPr>
            <w:tcW w:w="2253" w:type="dxa"/>
            <w:tcBorders>
              <w:top w:val="double" w:sz="4" w:space="0" w:color="0070C0"/>
              <w:bottom w:val="double" w:sz="4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IPA 10</w:t>
            </w:r>
          </w:p>
        </w:tc>
        <w:tc>
          <w:tcPr>
            <w:tcW w:w="1449" w:type="dxa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lang w:val="sl-SI"/>
              </w:rPr>
              <w:t>28.638.823,00</w:t>
            </w:r>
          </w:p>
        </w:tc>
        <w:tc>
          <w:tcPr>
            <w:tcW w:w="1417" w:type="dxa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lang w:val="sl-SI"/>
              </w:rPr>
              <w:t>28.455.213</w:t>
            </w:r>
            <w:r>
              <w:rPr>
                <w:rFonts w:asciiTheme="majorHAnsi" w:hAnsiTheme="majorHAnsi"/>
                <w:lang w:val="sl-SI"/>
              </w:rPr>
              <w:t>,44</w:t>
            </w:r>
          </w:p>
        </w:tc>
        <w:tc>
          <w:tcPr>
            <w:tcW w:w="1316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99.4</w:t>
            </w:r>
          </w:p>
        </w:tc>
        <w:tc>
          <w:tcPr>
            <w:tcW w:w="1333" w:type="dxa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lang w:val="sl-SI"/>
              </w:rPr>
              <w:t>24.74</w:t>
            </w:r>
            <w:r>
              <w:rPr>
                <w:rFonts w:asciiTheme="majorHAnsi" w:hAnsiTheme="majorHAnsi"/>
                <w:lang w:val="sl-SI"/>
              </w:rPr>
              <w:t>2.060,96</w:t>
            </w:r>
          </w:p>
        </w:tc>
        <w:tc>
          <w:tcPr>
            <w:tcW w:w="1364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86.4</w:t>
            </w:r>
          </w:p>
        </w:tc>
      </w:tr>
      <w:tr w:rsidR="00BE105B" w:rsidRPr="00CB0247" w:rsidTr="00D760DF">
        <w:trPr>
          <w:jc w:val="center"/>
        </w:trPr>
        <w:tc>
          <w:tcPr>
            <w:tcW w:w="2253" w:type="dxa"/>
            <w:tcBorders>
              <w:top w:val="double" w:sz="4" w:space="0" w:color="0070C0"/>
              <w:bottom w:val="double" w:sz="4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IPA 11</w:t>
            </w:r>
          </w:p>
        </w:tc>
        <w:tc>
          <w:tcPr>
            <w:tcW w:w="1449" w:type="dxa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lang w:val="sl-SI"/>
              </w:rPr>
              <w:t>26.493.599,00</w:t>
            </w:r>
          </w:p>
        </w:tc>
        <w:tc>
          <w:tcPr>
            <w:tcW w:w="1417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CB024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091.615,97</w:t>
            </w:r>
          </w:p>
        </w:tc>
        <w:tc>
          <w:tcPr>
            <w:tcW w:w="1316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</w:rPr>
            </w:pPr>
            <w:r w:rsidRPr="005B6809">
              <w:rPr>
                <w:rFonts w:asciiTheme="majorHAnsi" w:hAnsiTheme="majorHAnsi"/>
              </w:rPr>
              <w:t>87.2</w:t>
            </w:r>
          </w:p>
        </w:tc>
        <w:tc>
          <w:tcPr>
            <w:tcW w:w="1333" w:type="dxa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CB0247">
              <w:rPr>
                <w:rFonts w:asciiTheme="majorHAnsi" w:hAnsiTheme="majorHAnsi"/>
                <w:lang w:val="sl-SI"/>
              </w:rPr>
              <w:t>12.</w:t>
            </w:r>
            <w:r>
              <w:rPr>
                <w:rFonts w:asciiTheme="majorHAnsi" w:hAnsiTheme="majorHAnsi"/>
                <w:lang w:val="sl-SI"/>
              </w:rPr>
              <w:t>481.222,31</w:t>
            </w:r>
          </w:p>
        </w:tc>
        <w:tc>
          <w:tcPr>
            <w:tcW w:w="1364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47.1</w:t>
            </w:r>
          </w:p>
        </w:tc>
      </w:tr>
      <w:tr w:rsidR="00BE105B" w:rsidRPr="00CB0247" w:rsidTr="00D760DF">
        <w:trPr>
          <w:jc w:val="center"/>
        </w:trPr>
        <w:tc>
          <w:tcPr>
            <w:tcW w:w="2253" w:type="dxa"/>
            <w:tcBorders>
              <w:top w:val="double" w:sz="4" w:space="0" w:color="0070C0"/>
              <w:bottom w:val="double" w:sz="4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IPA 12*</w:t>
            </w:r>
          </w:p>
        </w:tc>
        <w:tc>
          <w:tcPr>
            <w:tcW w:w="1449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17.804.779</w:t>
            </w:r>
            <w:r>
              <w:rPr>
                <w:rFonts w:asciiTheme="majorHAnsi" w:hAnsiTheme="majorHAnsi"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11.163.23</w:t>
            </w:r>
            <w:r>
              <w:rPr>
                <w:rFonts w:asciiTheme="majorHAnsi" w:hAnsiTheme="majorHAnsi"/>
                <w:color w:val="000000"/>
              </w:rPr>
              <w:t>6,63</w:t>
            </w:r>
          </w:p>
        </w:tc>
        <w:tc>
          <w:tcPr>
            <w:tcW w:w="1316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62.7</w:t>
            </w:r>
          </w:p>
        </w:tc>
        <w:tc>
          <w:tcPr>
            <w:tcW w:w="1333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5.468.66</w:t>
            </w:r>
            <w:r>
              <w:rPr>
                <w:rFonts w:asciiTheme="majorHAnsi" w:hAnsiTheme="majorHAnsi"/>
                <w:color w:val="000000"/>
              </w:rPr>
              <w:t>8,86</w:t>
            </w:r>
          </w:p>
        </w:tc>
        <w:tc>
          <w:tcPr>
            <w:tcW w:w="1364" w:type="dxa"/>
            <w:vAlign w:val="center"/>
          </w:tcPr>
          <w:p w:rsidR="00BE105B" w:rsidRPr="005B6809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5B6809">
              <w:rPr>
                <w:rFonts w:asciiTheme="majorHAnsi" w:hAnsiTheme="majorHAnsi"/>
                <w:color w:val="000000"/>
              </w:rPr>
              <w:t>30.7</w:t>
            </w:r>
          </w:p>
        </w:tc>
      </w:tr>
      <w:tr w:rsidR="00BE105B" w:rsidRPr="00CB0247" w:rsidTr="00D760DF">
        <w:trPr>
          <w:jc w:val="center"/>
        </w:trPr>
        <w:tc>
          <w:tcPr>
            <w:tcW w:w="2253" w:type="dxa"/>
            <w:tcBorders>
              <w:top w:val="double" w:sz="4" w:space="0" w:color="0070C0"/>
              <w:bottom w:val="double" w:sz="4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CB0247">
              <w:rPr>
                <w:rFonts w:asciiTheme="majorHAnsi" w:hAnsiTheme="majorHAnsi"/>
                <w:b/>
                <w:lang w:val="sl-SI"/>
              </w:rPr>
              <w:t>IPA 13*</w:t>
            </w:r>
          </w:p>
        </w:tc>
        <w:tc>
          <w:tcPr>
            <w:tcW w:w="1449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13.131.056,00</w:t>
            </w:r>
          </w:p>
        </w:tc>
        <w:tc>
          <w:tcPr>
            <w:tcW w:w="1417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3.7</w:t>
            </w:r>
            <w:r>
              <w:rPr>
                <w:rFonts w:asciiTheme="majorHAnsi" w:hAnsiTheme="majorHAnsi"/>
                <w:color w:val="000000"/>
              </w:rPr>
              <w:t>16.437,17</w:t>
            </w:r>
          </w:p>
        </w:tc>
        <w:tc>
          <w:tcPr>
            <w:tcW w:w="1316" w:type="dxa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28.3</w:t>
            </w:r>
          </w:p>
        </w:tc>
        <w:tc>
          <w:tcPr>
            <w:tcW w:w="1333" w:type="dxa"/>
            <w:vAlign w:val="center"/>
          </w:tcPr>
          <w:p w:rsidR="00BE105B" w:rsidRPr="00CB0247" w:rsidRDefault="00BE105B" w:rsidP="00D760DF">
            <w:pPr>
              <w:jc w:val="center"/>
              <w:rPr>
                <w:rFonts w:asciiTheme="majorHAnsi" w:hAnsiTheme="majorHAnsi"/>
                <w:color w:val="000000"/>
              </w:rPr>
            </w:pPr>
            <w:r w:rsidRPr="00CB0247">
              <w:rPr>
                <w:rFonts w:asciiTheme="majorHAnsi" w:hAnsiTheme="majorHAnsi"/>
                <w:color w:val="000000"/>
              </w:rPr>
              <w:t>2.4</w:t>
            </w:r>
            <w:r>
              <w:rPr>
                <w:rFonts w:asciiTheme="majorHAnsi" w:hAnsiTheme="majorHAnsi"/>
                <w:color w:val="000000"/>
              </w:rPr>
              <w:t>75.952,01</w:t>
            </w:r>
          </w:p>
        </w:tc>
        <w:tc>
          <w:tcPr>
            <w:tcW w:w="1364" w:type="dxa"/>
            <w:vAlign w:val="center"/>
          </w:tcPr>
          <w:p w:rsidR="00BE105B" w:rsidRPr="005B6809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lang w:val="sl-SI"/>
              </w:rPr>
            </w:pPr>
            <w:r w:rsidRPr="005B6809">
              <w:rPr>
                <w:rFonts w:asciiTheme="majorHAnsi" w:hAnsiTheme="majorHAnsi"/>
                <w:lang w:val="sl-SI"/>
              </w:rPr>
              <w:t>18.9</w:t>
            </w:r>
          </w:p>
        </w:tc>
      </w:tr>
      <w:tr w:rsidR="00BE105B" w:rsidRPr="00CB0247" w:rsidTr="00D760DF">
        <w:trPr>
          <w:jc w:val="center"/>
        </w:trPr>
        <w:tc>
          <w:tcPr>
            <w:tcW w:w="2253" w:type="dxa"/>
            <w:tcBorders>
              <w:top w:val="double" w:sz="4" w:space="0" w:color="0070C0"/>
              <w:bottom w:val="single" w:sz="18" w:space="0" w:color="0070C0"/>
            </w:tcBorders>
            <w:shd w:val="clear" w:color="auto" w:fill="DBE5F1"/>
            <w:vAlign w:val="center"/>
          </w:tcPr>
          <w:p w:rsidR="00BE105B" w:rsidRPr="00CB0247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>
              <w:rPr>
                <w:rFonts w:asciiTheme="majorHAnsi" w:hAnsiTheme="majorHAnsi"/>
                <w:b/>
                <w:lang w:val="sl-SI"/>
              </w:rPr>
              <w:t>UKUPNO:</w:t>
            </w:r>
          </w:p>
        </w:tc>
        <w:tc>
          <w:tcPr>
            <w:tcW w:w="1449" w:type="dxa"/>
            <w:vAlign w:val="center"/>
          </w:tcPr>
          <w:p w:rsidR="00BE105B" w:rsidRPr="003A6144" w:rsidRDefault="00BE105B" w:rsidP="00D760DF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3A6144">
              <w:rPr>
                <w:rFonts w:asciiTheme="majorHAnsi" w:hAnsiTheme="majorHAnsi"/>
                <w:b/>
                <w:color w:val="000000"/>
              </w:rPr>
              <w:t>165.170.940,00</w:t>
            </w:r>
          </w:p>
        </w:tc>
        <w:tc>
          <w:tcPr>
            <w:tcW w:w="1417" w:type="dxa"/>
            <w:vAlign w:val="center"/>
          </w:tcPr>
          <w:p w:rsidR="00BE105B" w:rsidRPr="003A6144" w:rsidRDefault="00BE105B" w:rsidP="00D760DF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3A6144">
              <w:rPr>
                <w:rFonts w:asciiTheme="majorHAnsi" w:hAnsiTheme="majorHAnsi"/>
                <w:b/>
                <w:color w:val="000000"/>
              </w:rPr>
              <w:t>143.802.877,26</w:t>
            </w:r>
          </w:p>
        </w:tc>
        <w:tc>
          <w:tcPr>
            <w:tcW w:w="1316" w:type="dxa"/>
            <w:vAlign w:val="center"/>
          </w:tcPr>
          <w:p w:rsidR="00BE105B" w:rsidRPr="003A6144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3A6144">
              <w:rPr>
                <w:rFonts w:asciiTheme="majorHAnsi" w:hAnsiTheme="majorHAnsi"/>
                <w:b/>
                <w:lang w:val="sl-SI"/>
              </w:rPr>
              <w:t>87.1</w:t>
            </w:r>
          </w:p>
        </w:tc>
        <w:tc>
          <w:tcPr>
            <w:tcW w:w="1333" w:type="dxa"/>
            <w:vAlign w:val="center"/>
          </w:tcPr>
          <w:p w:rsidR="00BE105B" w:rsidRPr="003A6144" w:rsidRDefault="00BE105B" w:rsidP="00D760DF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3A6144">
              <w:rPr>
                <w:rFonts w:asciiTheme="majorHAnsi" w:hAnsiTheme="majorHAnsi"/>
                <w:b/>
                <w:color w:val="000000"/>
              </w:rPr>
              <w:t>122.230.384,96</w:t>
            </w:r>
          </w:p>
        </w:tc>
        <w:tc>
          <w:tcPr>
            <w:tcW w:w="1364" w:type="dxa"/>
            <w:vAlign w:val="center"/>
          </w:tcPr>
          <w:p w:rsidR="00BE105B" w:rsidRPr="003A6144" w:rsidRDefault="00BE105B" w:rsidP="00D760DF">
            <w:pPr>
              <w:spacing w:before="60" w:after="60"/>
              <w:jc w:val="center"/>
              <w:rPr>
                <w:rFonts w:asciiTheme="majorHAnsi" w:hAnsiTheme="majorHAnsi"/>
                <w:b/>
                <w:lang w:val="sl-SI"/>
              </w:rPr>
            </w:pPr>
            <w:r w:rsidRPr="003A6144">
              <w:rPr>
                <w:rFonts w:asciiTheme="majorHAnsi" w:hAnsiTheme="majorHAnsi"/>
                <w:b/>
                <w:lang w:val="sl-SI"/>
              </w:rPr>
              <w:t>74.0</w:t>
            </w:r>
          </w:p>
        </w:tc>
      </w:tr>
    </w:tbl>
    <w:p w:rsidR="00BE105B" w:rsidRPr="00CB0247" w:rsidRDefault="00BE105B" w:rsidP="00BE105B">
      <w:pPr>
        <w:jc w:val="both"/>
        <w:rPr>
          <w:rFonts w:asciiTheme="majorHAnsi" w:hAnsiTheme="majorHAnsi"/>
          <w:lang w:val="sl-SI"/>
        </w:rPr>
      </w:pPr>
      <w:r w:rsidRPr="00CB0247">
        <w:rPr>
          <w:rFonts w:asciiTheme="majorHAnsi" w:hAnsiTheme="majorHAnsi"/>
          <w:lang w:val="sl-SI"/>
        </w:rPr>
        <w:t>* Alokacije za 2012 i 2013 uključuju ukupne sum</w:t>
      </w:r>
      <w:r>
        <w:rPr>
          <w:rFonts w:asciiTheme="majorHAnsi" w:hAnsiTheme="majorHAnsi"/>
          <w:lang w:val="sl-SI"/>
        </w:rPr>
        <w:t>e</w:t>
      </w:r>
      <w:r w:rsidRPr="00CB0247">
        <w:rPr>
          <w:rFonts w:asciiTheme="majorHAnsi" w:hAnsiTheme="majorHAnsi"/>
          <w:lang w:val="sl-SI"/>
        </w:rPr>
        <w:t xml:space="preserve"> za ove godine, tj. iznose iz Nacionalnog programa za 2012 i 2013, Nacionalne programe za 2012 i 2013 dio 2 i doda</w:t>
      </w:r>
      <w:r>
        <w:rPr>
          <w:rFonts w:asciiTheme="majorHAnsi" w:hAnsiTheme="majorHAnsi"/>
          <w:lang w:val="sl-SI"/>
        </w:rPr>
        <w:t>tak na Nacionalni program</w:t>
      </w:r>
      <w:r w:rsidRPr="00CB0247">
        <w:rPr>
          <w:rFonts w:asciiTheme="majorHAnsi" w:hAnsiTheme="majorHAnsi"/>
          <w:lang w:val="sl-SI"/>
        </w:rPr>
        <w:t xml:space="preserve"> 2013.</w:t>
      </w:r>
    </w:p>
    <w:p w:rsidR="001E0CDA" w:rsidRDefault="001E0CDA">
      <w:pPr>
        <w:rPr>
          <w:rFonts w:asciiTheme="majorHAnsi" w:hAnsiTheme="majorHAnsi"/>
          <w:color w:val="FF0000"/>
          <w:sz w:val="28"/>
          <w:szCs w:val="28"/>
          <w:lang w:val="hr-HR"/>
        </w:rPr>
      </w:pPr>
      <w:r>
        <w:rPr>
          <w:rFonts w:asciiTheme="majorHAnsi" w:hAnsiTheme="majorHAnsi"/>
          <w:color w:val="FF0000"/>
          <w:sz w:val="28"/>
          <w:szCs w:val="28"/>
          <w:lang w:val="hr-HR"/>
        </w:rPr>
        <w:t>Šta su programi prekogranične saradnje</w:t>
      </w:r>
      <w:r w:rsidR="00FA3C2D">
        <w:rPr>
          <w:rFonts w:asciiTheme="majorHAnsi" w:hAnsiTheme="majorHAnsi"/>
          <w:color w:val="FF0000"/>
          <w:sz w:val="28"/>
          <w:szCs w:val="28"/>
          <w:lang w:val="hr-HR"/>
        </w:rPr>
        <w:t>?</w:t>
      </w:r>
    </w:p>
    <w:p w:rsidR="00936AE3" w:rsidRPr="00BC0F95" w:rsidRDefault="00730820" w:rsidP="00936AE3">
      <w:pPr>
        <w:jc w:val="both"/>
        <w:rPr>
          <w:rFonts w:asciiTheme="majorHAnsi" w:hAnsiTheme="majorHAnsi"/>
          <w:sz w:val="28"/>
          <w:szCs w:val="28"/>
          <w:lang w:val="sl-SI"/>
        </w:rPr>
      </w:pPr>
      <w:r w:rsidRPr="001E2115">
        <w:rPr>
          <w:rFonts w:asciiTheme="majorHAnsi" w:hAnsiTheme="majorHAnsi"/>
          <w:sz w:val="28"/>
          <w:szCs w:val="28"/>
        </w:rPr>
        <w:t xml:space="preserve">Programi prekogranične saradnje su instrument Evropske unije za pružanje podrške saradnji institucija i organizacija u pograničnim oblastima susjednih </w:t>
      </w:r>
      <w:r w:rsidRPr="001E2115">
        <w:rPr>
          <w:rFonts w:asciiTheme="majorHAnsi" w:hAnsiTheme="majorHAnsi"/>
          <w:sz w:val="28"/>
          <w:szCs w:val="28"/>
        </w:rPr>
        <w:lastRenderedPageBreak/>
        <w:t xml:space="preserve">država. Sprovođenjem ovih programa stvaraju se lični kontakti </w:t>
      </w:r>
      <w:r w:rsidR="00E74F43" w:rsidRPr="001E2115">
        <w:rPr>
          <w:rFonts w:asciiTheme="majorHAnsi" w:hAnsiTheme="majorHAnsi"/>
          <w:sz w:val="28"/>
          <w:szCs w:val="28"/>
        </w:rPr>
        <w:t>i vez</w:t>
      </w:r>
      <w:r w:rsidRPr="001E2115">
        <w:rPr>
          <w:rFonts w:asciiTheme="majorHAnsi" w:hAnsiTheme="majorHAnsi"/>
          <w:sz w:val="28"/>
          <w:szCs w:val="28"/>
        </w:rPr>
        <w:t>e među ljudima s obje strane granice, što predstavlja dobar osnov za dalju saradnju i razvoj. Takođe, stiče se dragocjeno iskustvo u korišćenju fondova Evropske unije.</w:t>
      </w:r>
      <w:r w:rsidR="003752C0" w:rsidRPr="001E2115">
        <w:rPr>
          <w:rFonts w:asciiTheme="majorHAnsi" w:hAnsiTheme="majorHAnsi"/>
          <w:sz w:val="28"/>
          <w:szCs w:val="28"/>
        </w:rPr>
        <w:t xml:space="preserve"> </w:t>
      </w:r>
      <w:r w:rsidR="00E74F43" w:rsidRPr="001E2115">
        <w:rPr>
          <w:rFonts w:asciiTheme="majorHAnsi" w:hAnsiTheme="majorHAnsi"/>
          <w:sz w:val="28"/>
          <w:szCs w:val="28"/>
          <w:lang w:val="sl-SI"/>
        </w:rPr>
        <w:t>Cilj je unapređenje dobrosusjedskih odnosa, saradnje među ljudima, zajednicama i institucijama, s ciljem održivog razvoja, stabilnosti i prosperiteta u zajedničkom interesu stanovnika s obje strane granice.</w:t>
      </w:r>
    </w:p>
    <w:p w:rsidR="003A0B2A" w:rsidRPr="003A0B2A" w:rsidRDefault="00936AE3" w:rsidP="003A0B2A">
      <w:pPr>
        <w:jc w:val="both"/>
        <w:rPr>
          <w:rFonts w:asciiTheme="majorHAnsi" w:hAnsiTheme="majorHAnsi" w:cs="Arial"/>
          <w:bCs/>
          <w:sz w:val="28"/>
          <w:szCs w:val="28"/>
          <w:lang w:val="sl-SI"/>
        </w:rPr>
      </w:pPr>
      <w:r w:rsidRPr="00936AE3">
        <w:rPr>
          <w:rFonts w:asciiTheme="majorHAnsi" w:hAnsiTheme="majorHAnsi"/>
          <w:sz w:val="28"/>
          <w:szCs w:val="28"/>
          <w:lang w:val="sl-SI"/>
        </w:rPr>
        <w:t xml:space="preserve">Crna Gora, </w:t>
      </w:r>
      <w:r w:rsidR="003A0B2A">
        <w:rPr>
          <w:rFonts w:asciiTheme="majorHAnsi" w:hAnsiTheme="majorHAnsi"/>
          <w:sz w:val="28"/>
          <w:szCs w:val="28"/>
          <w:lang w:val="sl-SI"/>
        </w:rPr>
        <w:t xml:space="preserve">Kroz II komponentu Ipe, učestvuje u osam programa, i to </w:t>
      </w:r>
      <w:r w:rsidR="003A0B2A" w:rsidRPr="003A0B2A">
        <w:rPr>
          <w:rFonts w:asciiTheme="majorHAnsi" w:hAnsiTheme="majorHAnsi" w:cs="Arial"/>
          <w:bCs/>
          <w:sz w:val="28"/>
          <w:szCs w:val="28"/>
          <w:lang w:val="sl-SI"/>
        </w:rPr>
        <w:t>pet bilateralnih programa (s Albanijom, Bosnom i Hercegovinom, Hrvatskom, Kosovom i Srbijom); IPA Jadranskom prekograničnom programu (IPA Adriatic CBC) i dva transnacionalna programa - Jugoistočna Evropa (SEE) i Mediteranski program (MED).</w:t>
      </w:r>
    </w:p>
    <w:p w:rsidR="001F6856" w:rsidRDefault="003A0B2A" w:rsidP="001F6856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Kroz ove programe finansiraju se mali</w:t>
      </w:r>
      <w:r w:rsidR="003752C0" w:rsidRPr="003A0B2A">
        <w:rPr>
          <w:rFonts w:asciiTheme="majorHAnsi" w:hAnsiTheme="majorHAnsi" w:cs="Arial"/>
          <w:sz w:val="28"/>
          <w:szCs w:val="28"/>
        </w:rPr>
        <w:t xml:space="preserve"> infrastrukturni projekti, </w:t>
      </w:r>
      <w:r>
        <w:rPr>
          <w:rFonts w:asciiTheme="majorHAnsi" w:hAnsiTheme="majorHAnsi" w:cs="Arial"/>
          <w:sz w:val="28"/>
          <w:szCs w:val="28"/>
        </w:rPr>
        <w:t xml:space="preserve">te </w:t>
      </w:r>
      <w:r w:rsidR="003752C0" w:rsidRPr="003A0B2A">
        <w:rPr>
          <w:rFonts w:asciiTheme="majorHAnsi" w:hAnsiTheme="majorHAnsi" w:cs="Arial"/>
          <w:sz w:val="28"/>
          <w:szCs w:val="28"/>
        </w:rPr>
        <w:t xml:space="preserve">projekti </w:t>
      </w:r>
      <w:r>
        <w:rPr>
          <w:rFonts w:asciiTheme="majorHAnsi" w:hAnsiTheme="majorHAnsi" w:cs="Arial"/>
          <w:sz w:val="28"/>
          <w:szCs w:val="28"/>
        </w:rPr>
        <w:t xml:space="preserve">u oblasti </w:t>
      </w:r>
      <w:r w:rsidR="003752C0" w:rsidRPr="003A0B2A">
        <w:rPr>
          <w:rFonts w:asciiTheme="majorHAnsi" w:hAnsiTheme="majorHAnsi" w:cs="Arial"/>
          <w:sz w:val="28"/>
          <w:szCs w:val="28"/>
        </w:rPr>
        <w:t xml:space="preserve">ekonomske saradnje, zaštite životne sredine, turizma, </w:t>
      </w:r>
      <w:r w:rsidR="00E74F43" w:rsidRPr="003A0B2A">
        <w:rPr>
          <w:rFonts w:asciiTheme="majorHAnsi" w:hAnsiTheme="majorHAnsi" w:cs="Arial"/>
          <w:sz w:val="28"/>
          <w:szCs w:val="28"/>
        </w:rPr>
        <w:t xml:space="preserve">poljoprivrede, </w:t>
      </w:r>
      <w:r w:rsidR="003752C0" w:rsidRPr="003A0B2A">
        <w:rPr>
          <w:rFonts w:asciiTheme="majorHAnsi" w:hAnsiTheme="majorHAnsi" w:cs="Arial"/>
          <w:sz w:val="28"/>
          <w:szCs w:val="28"/>
        </w:rPr>
        <w:t>kulture, obrazovanja, zapošljavanja</w:t>
      </w:r>
      <w:r w:rsidR="00E74F43" w:rsidRPr="003A0B2A">
        <w:rPr>
          <w:rFonts w:asciiTheme="majorHAnsi" w:hAnsiTheme="majorHAnsi" w:cs="Arial"/>
          <w:sz w:val="28"/>
          <w:szCs w:val="28"/>
        </w:rPr>
        <w:t>, socijalne kohezije</w:t>
      </w:r>
      <w:r w:rsidR="003752C0" w:rsidRPr="003A0B2A">
        <w:rPr>
          <w:rFonts w:asciiTheme="majorHAnsi" w:hAnsiTheme="majorHAnsi" w:cs="Arial"/>
          <w:sz w:val="28"/>
          <w:szCs w:val="28"/>
        </w:rPr>
        <w:t xml:space="preserve"> itd</w:t>
      </w:r>
      <w:r w:rsidR="00E74F43" w:rsidRPr="003A0B2A">
        <w:rPr>
          <w:rFonts w:asciiTheme="majorHAnsi" w:hAnsiTheme="majorHAnsi" w:cs="Arial"/>
          <w:sz w:val="28"/>
          <w:szCs w:val="28"/>
        </w:rPr>
        <w:t>. Sredstva su bespovratna</w:t>
      </w:r>
      <w:r w:rsidR="00091AAE" w:rsidRPr="003A0B2A">
        <w:rPr>
          <w:rFonts w:asciiTheme="majorHAnsi" w:hAnsiTheme="majorHAnsi" w:cs="Arial"/>
          <w:sz w:val="28"/>
          <w:szCs w:val="28"/>
        </w:rPr>
        <w:t xml:space="preserve"> uz obavezu korisnika da sufinansira 15% od ukupne vrijednosti projekta. </w:t>
      </w:r>
      <w:r w:rsidR="00CA2518">
        <w:rPr>
          <w:rFonts w:asciiTheme="majorHAnsi" w:hAnsiTheme="majorHAnsi" w:cs="Arial"/>
          <w:sz w:val="28"/>
          <w:szCs w:val="28"/>
        </w:rPr>
        <w:t>Sredst</w:t>
      </w:r>
      <w:r w:rsidR="00091AAE" w:rsidRPr="003A0B2A">
        <w:rPr>
          <w:rFonts w:asciiTheme="majorHAnsi" w:hAnsiTheme="majorHAnsi" w:cs="Arial"/>
          <w:sz w:val="28"/>
          <w:szCs w:val="28"/>
        </w:rPr>
        <w:t>va</w:t>
      </w:r>
      <w:r w:rsidR="00CA2518">
        <w:rPr>
          <w:rFonts w:asciiTheme="majorHAnsi" w:hAnsiTheme="majorHAnsi" w:cs="Arial"/>
          <w:sz w:val="28"/>
          <w:szCs w:val="28"/>
        </w:rPr>
        <w:t xml:space="preserve"> se dodjeljuju</w:t>
      </w:r>
      <w:r w:rsidR="00091AAE" w:rsidRPr="003A0B2A">
        <w:rPr>
          <w:rFonts w:asciiTheme="majorHAnsi" w:hAnsiTheme="majorHAnsi" w:cs="Arial"/>
          <w:sz w:val="28"/>
          <w:szCs w:val="28"/>
        </w:rPr>
        <w:t xml:space="preserve"> putem javnih poziva. </w:t>
      </w:r>
    </w:p>
    <w:p w:rsidR="00E50C29" w:rsidRPr="008B3895" w:rsidRDefault="00E50C29" w:rsidP="00E50C29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 Narrow"/>
          <w:sz w:val="28"/>
          <w:szCs w:val="28"/>
          <w:lang w:val="bs-Latn-BA"/>
        </w:rPr>
      </w:pPr>
      <w:r w:rsidRPr="008B3895">
        <w:rPr>
          <w:rFonts w:ascii="Cambria" w:hAnsi="Cambria" w:cs="Arial Narrow"/>
          <w:sz w:val="28"/>
          <w:szCs w:val="28"/>
          <w:lang w:val="bs-Latn-BA"/>
        </w:rPr>
        <w:t>U okviru finansijske perspektive 2014-2020, Crna Gora će učestvovati u devet prekograničnih i transnacionalnih  programa:</w:t>
      </w:r>
    </w:p>
    <w:p w:rsidR="00E50C29" w:rsidRPr="008B3895" w:rsidRDefault="00E50C29" w:rsidP="00E50C2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Cs/>
          <w:sz w:val="28"/>
          <w:szCs w:val="28"/>
          <w:lang w:val="bs-Latn-BA"/>
        </w:rPr>
      </w:pPr>
      <w:r w:rsidRPr="008B3895">
        <w:rPr>
          <w:rFonts w:ascii="Cambria" w:hAnsi="Cambria" w:cs="Arial"/>
          <w:bCs/>
          <w:sz w:val="28"/>
          <w:szCs w:val="28"/>
          <w:lang w:val="bs-Latn-BA"/>
        </w:rPr>
        <w:t>četiri bilateralna programa (s Albanijom, Bosnom i Hercegovinom, Kosovom i Srbijom);</w:t>
      </w:r>
    </w:p>
    <w:p w:rsidR="00E50C29" w:rsidRPr="008B3895" w:rsidRDefault="00E50C29" w:rsidP="00E50C2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Cs/>
          <w:sz w:val="28"/>
          <w:szCs w:val="28"/>
          <w:lang w:val="bs-Latn-BA"/>
        </w:rPr>
      </w:pPr>
      <w:r w:rsidRPr="008B3895">
        <w:rPr>
          <w:rFonts w:ascii="Cambria" w:hAnsi="Cambria" w:cs="Arial"/>
          <w:bCs/>
          <w:sz w:val="28"/>
          <w:szCs w:val="28"/>
          <w:lang w:val="bs-Latn-BA"/>
        </w:rPr>
        <w:t>dva trilateralna programa (Hrvatska – Bosna i Hercegovina – Crna Gora i Italija – Albanija – Crna Gora);</w:t>
      </w:r>
    </w:p>
    <w:p w:rsidR="00E50C29" w:rsidRPr="008B3895" w:rsidRDefault="00E50C29" w:rsidP="00E50C2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Cs/>
          <w:sz w:val="28"/>
          <w:szCs w:val="28"/>
          <w:lang w:val="bs-Latn-BA"/>
        </w:rPr>
      </w:pPr>
      <w:r w:rsidRPr="008B3895">
        <w:rPr>
          <w:rFonts w:ascii="Cambria" w:hAnsi="Cambria" w:cs="Arial"/>
          <w:bCs/>
          <w:sz w:val="28"/>
          <w:szCs w:val="28"/>
          <w:lang w:val="bs-Latn-BA"/>
        </w:rPr>
        <w:t>tri transnacionalna programa (Dunavskom, Mediteranskom i Jadransko-jonskom programu).</w:t>
      </w:r>
    </w:p>
    <w:p w:rsidR="00F60D28" w:rsidRPr="003C1F44" w:rsidRDefault="00E12787" w:rsidP="007E4B9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lang w:eastAsia="sr-Latn-CS"/>
        </w:rPr>
      </w:pPr>
      <w:r w:rsidRPr="003C1F44">
        <w:rPr>
          <w:rFonts w:asciiTheme="majorHAnsi" w:eastAsia="Times New Roman" w:hAnsiTheme="majorHAnsi" w:cs="Arial"/>
          <w:color w:val="FF0000"/>
          <w:sz w:val="28"/>
          <w:szCs w:val="28"/>
          <w:lang w:eastAsia="sr-Latn-CS"/>
        </w:rPr>
        <w:t>Šta su Programi Unije?</w:t>
      </w:r>
    </w:p>
    <w:p w:rsidR="00505141" w:rsidRDefault="003C1F44" w:rsidP="003C1F44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</w:pP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Programi Unije (European Union Programmes) predstavljaju zajedničke aktivnosti u cilju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 unapređenja</w:t>
      </w: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 saradnje između država članica EU,  u oblastima koje se tiču zajedničkih politika. Iako prvenstveno namjenjeni državama članicama, određeni programi dostupni su u okviru pretpristupne podrške i državama koje se nalaze u procesu evropske integracije. Kroz učešće, države u pretpristupnoj fazi imaju priliku da se upoznaju s modalitetima saradnje u </w:t>
      </w: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lastRenderedPageBreak/>
        <w:t xml:space="preserve">sektorskim politikama EU i iskoriste dostupnu podršku za realizaciju nacionalnih i međunarodnih projekata. </w:t>
      </w:r>
    </w:p>
    <w:p w:rsidR="003C1F44" w:rsidRDefault="003C1F44" w:rsidP="003C1F44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</w:pP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Za Crnu Goru učešće u Programima Unije predstavlja značajan korak u ispunjavanju kriterijuma za pristupanje EU u oblastima nauke, kulture, obrazovanja, zapošljavan</w:t>
      </w:r>
      <w:r w:rsidR="00505141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ja, preduzetništva i inovacija. </w:t>
      </w: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Programi Unije omogućavaju aktivno učešće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državnih institucija i ustanova, privatnog sektora, nevladinih organizacija i institucija civilnog društva</w:t>
      </w: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, čime se dodatno snaži njihova uloga u procesu pristupanja EU. Pored toga učešće u ovim programima podstiče institucije da u narednom periodu ulože napore za dodatno unapređenje i očuvanje administrativnih kapaciteta i održavanje kontakata i unapređenje saradnje unutar EU mreža, uspostavl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jenih kroz učešće u Programima U</w:t>
      </w: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nije.</w:t>
      </w:r>
    </w:p>
    <w:p w:rsidR="00356E03" w:rsidRDefault="00356E03" w:rsidP="00356E0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Arial"/>
          <w:sz w:val="28"/>
          <w:szCs w:val="28"/>
          <w:lang w:val="bs-Latn-BA"/>
        </w:rPr>
      </w:pP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Crna Gora je u periodu 2007-2013 učestvovala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u sedam Programa U</w:t>
      </w: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nije</w:t>
      </w:r>
      <w:r w:rsidRPr="002E6738">
        <w:rPr>
          <w:rFonts w:asciiTheme="majorHAnsi" w:eastAsia="Times New Roman" w:hAnsiTheme="majorHAnsi" w:cs="Arial"/>
          <w:noProof/>
          <w:sz w:val="28"/>
          <w:szCs w:val="28"/>
          <w:lang w:val="hr-HR"/>
        </w:rPr>
        <w:t xml:space="preserve"> za koje je finansijska podrška za plaćanje dijela godišnjeg učešća obezbijeđena iz </w:t>
      </w:r>
      <w:r>
        <w:rPr>
          <w:rFonts w:asciiTheme="majorHAnsi" w:eastAsia="Times New Roman" w:hAnsiTheme="majorHAnsi" w:cs="Arial"/>
          <w:noProof/>
          <w:sz w:val="28"/>
          <w:szCs w:val="28"/>
          <w:lang w:val="hr-HR"/>
        </w:rPr>
        <w:t xml:space="preserve">sredstava </w:t>
      </w:r>
      <w:r w:rsidRPr="00F641FA">
        <w:rPr>
          <w:rFonts w:asciiTheme="majorHAnsi" w:eastAsia="Times New Roman" w:hAnsiTheme="majorHAnsi" w:cs="Arial"/>
          <w:noProof/>
          <w:sz w:val="28"/>
          <w:szCs w:val="28"/>
          <w:lang w:val="hr-HR"/>
        </w:rPr>
        <w:t>Instrumenta pretpristupne podrške (IPA)</w:t>
      </w:r>
      <w:r w:rsidR="00A825EB">
        <w:rPr>
          <w:rFonts w:asciiTheme="majorHAnsi" w:eastAsia="Times New Roman" w:hAnsiTheme="majorHAnsi" w:cs="Arial"/>
          <w:noProof/>
          <w:sz w:val="28"/>
          <w:szCs w:val="28"/>
          <w:lang w:val="hr-HR"/>
        </w:rPr>
        <w:t xml:space="preserve">, i to </w:t>
      </w:r>
      <w:r w:rsidRPr="002E6738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:</w:t>
      </w:r>
      <w:r w:rsidRPr="00356E03">
        <w:rPr>
          <w:rFonts w:asciiTheme="majorHAnsi" w:eastAsia="Times New Roman" w:hAnsiTheme="majorHAnsi" w:cs="Arial"/>
          <w:sz w:val="28"/>
          <w:szCs w:val="28"/>
          <w:lang w:val="bs-Latn-BA"/>
        </w:rPr>
        <w:t>Sedmi okvirni program EU za istraživanje, tehnološki razvoj i ogledne aktivnosti 2007-2013;</w:t>
      </w:r>
      <w:r w:rsidRPr="00356E03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 </w:t>
      </w:r>
      <w:r w:rsidRPr="00356E03">
        <w:rPr>
          <w:rFonts w:asciiTheme="majorHAnsi" w:eastAsia="Times New Roman" w:hAnsiTheme="majorHAnsi" w:cs="Arial"/>
          <w:sz w:val="28"/>
          <w:szCs w:val="28"/>
          <w:lang w:val="bs-Latn-BA"/>
        </w:rPr>
        <w:t>Okvirni program za preduzetništvo i inovacije</w:t>
      </w:r>
      <w:r w:rsidRPr="00356E03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; </w:t>
      </w:r>
      <w:r w:rsidRPr="00356E03">
        <w:rPr>
          <w:rFonts w:asciiTheme="majorHAnsi" w:eastAsia="Times New Roman" w:hAnsiTheme="majorHAnsi" w:cs="Arial"/>
          <w:sz w:val="28"/>
          <w:szCs w:val="28"/>
          <w:lang w:val="bs-Latn-BA"/>
        </w:rPr>
        <w:t>Program podrške ICT politici;</w:t>
      </w:r>
      <w:r w:rsidRPr="00356E03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 </w:t>
      </w:r>
      <w:r w:rsidRPr="00356E03">
        <w:rPr>
          <w:rFonts w:asciiTheme="majorHAnsi" w:eastAsia="Times New Roman" w:hAnsiTheme="majorHAnsi" w:cs="Arial"/>
          <w:sz w:val="28"/>
          <w:szCs w:val="28"/>
          <w:lang w:val="bs-Latn-BA"/>
        </w:rPr>
        <w:t>Kultura 2013</w:t>
      </w:r>
      <w:r w:rsidR="00B97CEF">
        <w:rPr>
          <w:rFonts w:asciiTheme="majorHAnsi" w:eastAsia="Times New Roman" w:hAnsiTheme="majorHAnsi" w:cs="Arial"/>
          <w:sz w:val="28"/>
          <w:szCs w:val="28"/>
          <w:lang w:val="bs-Latn-BA"/>
        </w:rPr>
        <w:t>;</w:t>
      </w:r>
      <w:r w:rsidRPr="00356E03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 </w:t>
      </w:r>
      <w:r w:rsidRPr="00356E03">
        <w:rPr>
          <w:rFonts w:asciiTheme="majorHAnsi" w:eastAsia="Times New Roman" w:hAnsiTheme="majorHAnsi" w:cs="Arial"/>
          <w:sz w:val="28"/>
          <w:szCs w:val="28"/>
          <w:lang w:val="bs-Latn-BA"/>
        </w:rPr>
        <w:t>Carine 2013</w:t>
      </w:r>
      <w:r w:rsidR="00B97CEF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;</w:t>
      </w:r>
      <w:r w:rsidRPr="00356E03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 </w:t>
      </w:r>
      <w:r w:rsidRPr="00356E03">
        <w:rPr>
          <w:rFonts w:asciiTheme="majorHAnsi" w:eastAsia="Times New Roman" w:hAnsiTheme="majorHAnsi" w:cs="Arial"/>
          <w:sz w:val="28"/>
          <w:szCs w:val="28"/>
          <w:lang w:val="bs-Latn-BA"/>
        </w:rPr>
        <w:t>Evropa za građane</w:t>
      </w:r>
      <w:r w:rsidRPr="00356E03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>;</w:t>
      </w:r>
      <w:r w:rsidR="00B97CEF"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  <w:t xml:space="preserve"> </w:t>
      </w:r>
      <w:r w:rsidRPr="00356E03">
        <w:rPr>
          <w:rFonts w:asciiTheme="majorHAnsi" w:eastAsia="Times New Roman" w:hAnsiTheme="majorHAnsi" w:cs="Arial"/>
          <w:sz w:val="28"/>
          <w:szCs w:val="28"/>
          <w:lang w:val="bs-Latn-BA"/>
        </w:rPr>
        <w:t>Program cjeloživotnog učenja.</w:t>
      </w:r>
    </w:p>
    <w:p w:rsidR="00B97CEF" w:rsidRPr="006A04E1" w:rsidRDefault="00C17918" w:rsidP="006A04E1">
      <w:pPr>
        <w:spacing w:after="0" w:line="240" w:lineRule="auto"/>
        <w:jc w:val="both"/>
        <w:rPr>
          <w:rFonts w:asciiTheme="majorHAnsi" w:eastAsia="Times New Roman" w:hAnsiTheme="majorHAnsi" w:cs="Arial"/>
          <w:noProof/>
          <w:sz w:val="28"/>
          <w:szCs w:val="28"/>
          <w:lang w:val="bs-Latn-BA"/>
        </w:rPr>
      </w:pPr>
      <w:r w:rsidRPr="002E6738">
        <w:rPr>
          <w:rFonts w:asciiTheme="majorHAnsi" w:eastAsia="Times New Roman" w:hAnsiTheme="majorHAnsi" w:cs="Arial"/>
          <w:noProof/>
          <w:sz w:val="28"/>
          <w:szCs w:val="28"/>
          <w:lang w:val="bs-Latn-BA"/>
        </w:rPr>
        <w:t>Programi Unije u kojima će Crna Gora učestvovati u periodu 2014-2020, za koje će biti obezbjeđena finansijska podrška iz Ipe su:</w:t>
      </w:r>
      <w:r w:rsidR="006A04E1">
        <w:rPr>
          <w:rFonts w:asciiTheme="majorHAnsi" w:eastAsia="Times New Roman" w:hAnsiTheme="majorHAnsi" w:cs="Arial"/>
          <w:noProof/>
          <w:sz w:val="28"/>
          <w:szCs w:val="28"/>
          <w:lang w:val="bs-Latn-BA"/>
        </w:rPr>
        <w:t xml:space="preserve"> </w:t>
      </w:r>
      <w:r w:rsidRPr="002E6738">
        <w:rPr>
          <w:rFonts w:asciiTheme="majorHAnsi" w:eastAsia="Times New Roman" w:hAnsiTheme="majorHAnsi" w:cs="Arial"/>
          <w:noProof/>
          <w:sz w:val="28"/>
          <w:szCs w:val="28"/>
        </w:rPr>
        <w:t>Horizont 2020</w:t>
      </w:r>
      <w:r>
        <w:rPr>
          <w:rFonts w:asciiTheme="majorHAnsi" w:eastAsia="Times New Roman" w:hAnsiTheme="majorHAnsi" w:cs="Arial"/>
          <w:noProof/>
          <w:sz w:val="28"/>
          <w:szCs w:val="28"/>
        </w:rPr>
        <w:t xml:space="preserve">; </w:t>
      </w:r>
      <w:r w:rsidRPr="002E6738">
        <w:rPr>
          <w:rFonts w:asciiTheme="majorHAnsi" w:eastAsia="Times New Roman" w:hAnsiTheme="majorHAnsi" w:cs="Arial"/>
          <w:noProof/>
          <w:sz w:val="28"/>
          <w:szCs w:val="28"/>
          <w:lang w:val="da-DK"/>
        </w:rPr>
        <w:t>Kreativna Evropa</w:t>
      </w:r>
      <w:r>
        <w:rPr>
          <w:rFonts w:asciiTheme="majorHAnsi" w:eastAsia="Times New Roman" w:hAnsiTheme="majorHAnsi" w:cs="Arial"/>
          <w:noProof/>
          <w:sz w:val="28"/>
          <w:szCs w:val="28"/>
          <w:lang w:val="da-DK"/>
        </w:rPr>
        <w:t xml:space="preserve">; </w:t>
      </w:r>
      <w:r w:rsidRPr="002E6738">
        <w:rPr>
          <w:rFonts w:asciiTheme="majorHAnsi" w:eastAsia="Times New Roman" w:hAnsiTheme="majorHAnsi" w:cs="Arial"/>
          <w:noProof/>
          <w:sz w:val="28"/>
          <w:szCs w:val="28"/>
          <w:lang w:val="da-DK"/>
        </w:rPr>
        <w:t>Erasmus +</w:t>
      </w:r>
      <w:r>
        <w:rPr>
          <w:rFonts w:asciiTheme="majorHAnsi" w:eastAsia="Times New Roman" w:hAnsiTheme="majorHAnsi" w:cs="Arial"/>
          <w:noProof/>
          <w:sz w:val="28"/>
          <w:szCs w:val="28"/>
          <w:lang w:val="da-DK"/>
        </w:rPr>
        <w:t xml:space="preserve">; </w:t>
      </w:r>
      <w:r w:rsidRPr="002E6738">
        <w:rPr>
          <w:rFonts w:asciiTheme="majorHAnsi" w:eastAsia="Times New Roman" w:hAnsiTheme="majorHAnsi" w:cs="Arial"/>
          <w:noProof/>
          <w:sz w:val="28"/>
          <w:szCs w:val="28"/>
          <w:lang w:val="da-DK"/>
        </w:rPr>
        <w:t>Cosme</w:t>
      </w:r>
      <w:r>
        <w:rPr>
          <w:rFonts w:asciiTheme="majorHAnsi" w:eastAsia="Times New Roman" w:hAnsiTheme="majorHAnsi" w:cs="Arial"/>
          <w:noProof/>
          <w:sz w:val="28"/>
          <w:szCs w:val="28"/>
          <w:lang w:val="da-DK"/>
        </w:rPr>
        <w:t xml:space="preserve">; </w:t>
      </w:r>
      <w:r w:rsidRPr="002E6738">
        <w:rPr>
          <w:rFonts w:asciiTheme="majorHAnsi" w:eastAsia="Times New Roman" w:hAnsiTheme="majorHAnsi" w:cs="Arial"/>
          <w:noProof/>
          <w:sz w:val="28"/>
          <w:szCs w:val="28"/>
        </w:rPr>
        <w:t>Evropa za građane</w:t>
      </w:r>
      <w:r>
        <w:rPr>
          <w:rFonts w:asciiTheme="majorHAnsi" w:eastAsia="Times New Roman" w:hAnsiTheme="majorHAnsi" w:cs="Arial"/>
          <w:noProof/>
          <w:sz w:val="28"/>
          <w:szCs w:val="28"/>
        </w:rPr>
        <w:t xml:space="preserve">; </w:t>
      </w:r>
      <w:r w:rsidRPr="002E6738">
        <w:rPr>
          <w:rFonts w:asciiTheme="majorHAnsi" w:eastAsia="Times New Roman" w:hAnsiTheme="majorHAnsi" w:cs="Arial"/>
          <w:noProof/>
          <w:sz w:val="28"/>
          <w:szCs w:val="28"/>
          <w:lang w:val="da-DK"/>
        </w:rPr>
        <w:t>Evropski program za zapošljavanje i socijalne inovacije (EaSI)</w:t>
      </w:r>
      <w:r>
        <w:rPr>
          <w:rFonts w:asciiTheme="majorHAnsi" w:eastAsia="Times New Roman" w:hAnsiTheme="majorHAnsi" w:cs="Arial"/>
          <w:noProof/>
          <w:sz w:val="28"/>
          <w:szCs w:val="28"/>
          <w:lang w:val="da-DK"/>
        </w:rPr>
        <w:t xml:space="preserve">; </w:t>
      </w:r>
      <w:r w:rsidRPr="002E6738">
        <w:rPr>
          <w:rFonts w:asciiTheme="majorHAnsi" w:eastAsia="Times New Roman" w:hAnsiTheme="majorHAnsi" w:cs="Arial"/>
          <w:noProof/>
          <w:sz w:val="28"/>
          <w:szCs w:val="28"/>
        </w:rPr>
        <w:t xml:space="preserve">Carine </w:t>
      </w:r>
      <w:r>
        <w:rPr>
          <w:rFonts w:asciiTheme="majorHAnsi" w:eastAsia="Times New Roman" w:hAnsiTheme="majorHAnsi" w:cs="Arial"/>
          <w:noProof/>
          <w:sz w:val="28"/>
          <w:szCs w:val="28"/>
        </w:rPr>
        <w:t xml:space="preserve">2020; </w:t>
      </w:r>
      <w:r w:rsidRPr="002E6738">
        <w:rPr>
          <w:rFonts w:asciiTheme="majorHAnsi" w:eastAsia="Times New Roman" w:hAnsiTheme="majorHAnsi" w:cs="Arial"/>
          <w:noProof/>
          <w:sz w:val="28"/>
          <w:szCs w:val="28"/>
        </w:rPr>
        <w:t>Fiskalis</w:t>
      </w:r>
      <w:r>
        <w:rPr>
          <w:rFonts w:asciiTheme="majorHAnsi" w:eastAsia="Times New Roman" w:hAnsiTheme="majorHAnsi" w:cs="Arial"/>
          <w:noProof/>
          <w:sz w:val="28"/>
          <w:szCs w:val="28"/>
        </w:rPr>
        <w:t xml:space="preserve"> 2020.</w:t>
      </w:r>
    </w:p>
    <w:p w:rsidR="00356E03" w:rsidRPr="002E6738" w:rsidRDefault="00356E03" w:rsidP="00356E0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</w:pPr>
    </w:p>
    <w:p w:rsidR="00356E03" w:rsidRPr="002E6738" w:rsidRDefault="00356E03" w:rsidP="003C1F44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val="bs-Latn-BA"/>
        </w:rPr>
      </w:pPr>
    </w:p>
    <w:p w:rsidR="00E12787" w:rsidRPr="00054996" w:rsidRDefault="00E12787" w:rsidP="007E4B9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sr-Latn-CS"/>
        </w:rPr>
      </w:pPr>
    </w:p>
    <w:p w:rsidR="0091447C" w:rsidRPr="00054996" w:rsidRDefault="0091447C">
      <w:pPr>
        <w:rPr>
          <w:rFonts w:asciiTheme="majorHAnsi" w:hAnsiTheme="majorHAnsi"/>
          <w:sz w:val="28"/>
          <w:szCs w:val="28"/>
          <w:lang w:val="hr-HR"/>
        </w:rPr>
      </w:pPr>
    </w:p>
    <w:p w:rsidR="0091447C" w:rsidRPr="00054996" w:rsidRDefault="0091447C">
      <w:pPr>
        <w:rPr>
          <w:rFonts w:asciiTheme="majorHAnsi" w:hAnsiTheme="majorHAnsi"/>
          <w:sz w:val="28"/>
          <w:szCs w:val="28"/>
          <w:lang w:val="hr-HR"/>
        </w:rPr>
      </w:pPr>
    </w:p>
    <w:sectPr w:rsidR="0091447C" w:rsidRPr="0005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LSwis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San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529"/>
    <w:multiLevelType w:val="hybridMultilevel"/>
    <w:tmpl w:val="00EA5C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57877"/>
    <w:multiLevelType w:val="hybridMultilevel"/>
    <w:tmpl w:val="9D30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C"/>
    <w:rsid w:val="0002015A"/>
    <w:rsid w:val="00054996"/>
    <w:rsid w:val="00091AAE"/>
    <w:rsid w:val="00134C25"/>
    <w:rsid w:val="00141148"/>
    <w:rsid w:val="001E0CDA"/>
    <w:rsid w:val="001E2115"/>
    <w:rsid w:val="001F6856"/>
    <w:rsid w:val="0020613E"/>
    <w:rsid w:val="00225415"/>
    <w:rsid w:val="00237706"/>
    <w:rsid w:val="002C34F8"/>
    <w:rsid w:val="00356E03"/>
    <w:rsid w:val="003752C0"/>
    <w:rsid w:val="00387659"/>
    <w:rsid w:val="003A0B2A"/>
    <w:rsid w:val="003C1F44"/>
    <w:rsid w:val="003C7345"/>
    <w:rsid w:val="003F4762"/>
    <w:rsid w:val="00403D1A"/>
    <w:rsid w:val="00430E49"/>
    <w:rsid w:val="00431CDC"/>
    <w:rsid w:val="00441B1F"/>
    <w:rsid w:val="00453935"/>
    <w:rsid w:val="004D124A"/>
    <w:rsid w:val="004E1ED9"/>
    <w:rsid w:val="0050052E"/>
    <w:rsid w:val="00505141"/>
    <w:rsid w:val="00523056"/>
    <w:rsid w:val="0054636A"/>
    <w:rsid w:val="00631163"/>
    <w:rsid w:val="00696ED4"/>
    <w:rsid w:val="006A04E1"/>
    <w:rsid w:val="006A2E24"/>
    <w:rsid w:val="006A3556"/>
    <w:rsid w:val="006C3236"/>
    <w:rsid w:val="006D2406"/>
    <w:rsid w:val="006D3453"/>
    <w:rsid w:val="006D4E38"/>
    <w:rsid w:val="006E1EA7"/>
    <w:rsid w:val="00730820"/>
    <w:rsid w:val="00750336"/>
    <w:rsid w:val="00762F1D"/>
    <w:rsid w:val="007706E9"/>
    <w:rsid w:val="00783B1A"/>
    <w:rsid w:val="007860E9"/>
    <w:rsid w:val="007E4B9F"/>
    <w:rsid w:val="0081117E"/>
    <w:rsid w:val="0082683E"/>
    <w:rsid w:val="0088683A"/>
    <w:rsid w:val="00906B18"/>
    <w:rsid w:val="0091447C"/>
    <w:rsid w:val="00933A1A"/>
    <w:rsid w:val="00936AE3"/>
    <w:rsid w:val="0096584C"/>
    <w:rsid w:val="009C0C11"/>
    <w:rsid w:val="009C365C"/>
    <w:rsid w:val="009D2996"/>
    <w:rsid w:val="00A13C2B"/>
    <w:rsid w:val="00A825EB"/>
    <w:rsid w:val="00A96B86"/>
    <w:rsid w:val="00B047CA"/>
    <w:rsid w:val="00B120A7"/>
    <w:rsid w:val="00B12C01"/>
    <w:rsid w:val="00B13E37"/>
    <w:rsid w:val="00B35D81"/>
    <w:rsid w:val="00B43361"/>
    <w:rsid w:val="00B803F3"/>
    <w:rsid w:val="00B97CEF"/>
    <w:rsid w:val="00BB67D3"/>
    <w:rsid w:val="00BC0F95"/>
    <w:rsid w:val="00BE105B"/>
    <w:rsid w:val="00BE6229"/>
    <w:rsid w:val="00BF4F28"/>
    <w:rsid w:val="00C02BB2"/>
    <w:rsid w:val="00C17918"/>
    <w:rsid w:val="00C4573C"/>
    <w:rsid w:val="00C702CD"/>
    <w:rsid w:val="00C916B3"/>
    <w:rsid w:val="00CA2518"/>
    <w:rsid w:val="00CD1B51"/>
    <w:rsid w:val="00CE5DD5"/>
    <w:rsid w:val="00D85AB3"/>
    <w:rsid w:val="00D8752C"/>
    <w:rsid w:val="00DA1726"/>
    <w:rsid w:val="00DA6E9B"/>
    <w:rsid w:val="00DB6BD0"/>
    <w:rsid w:val="00DF02AE"/>
    <w:rsid w:val="00E04B72"/>
    <w:rsid w:val="00E12787"/>
    <w:rsid w:val="00E40C21"/>
    <w:rsid w:val="00E50C29"/>
    <w:rsid w:val="00E52357"/>
    <w:rsid w:val="00E74F43"/>
    <w:rsid w:val="00EA001E"/>
    <w:rsid w:val="00F35958"/>
    <w:rsid w:val="00F60D28"/>
    <w:rsid w:val="00F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B9F"/>
    <w:rPr>
      <w:color w:val="787F87"/>
      <w:u w:val="single"/>
    </w:rPr>
  </w:style>
  <w:style w:type="character" w:styleId="Strong">
    <w:name w:val="Strong"/>
    <w:basedOn w:val="DefaultParagraphFont"/>
    <w:uiPriority w:val="22"/>
    <w:qFormat/>
    <w:rsid w:val="007E4B9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3770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37706"/>
  </w:style>
  <w:style w:type="paragraph" w:styleId="Header">
    <w:name w:val="header"/>
    <w:basedOn w:val="Normal"/>
    <w:link w:val="HeaderChar"/>
    <w:uiPriority w:val="99"/>
    <w:rsid w:val="00E74F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4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EA001E"/>
    <w:pPr>
      <w:spacing w:after="0" w:line="240" w:lineRule="auto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B9F"/>
    <w:rPr>
      <w:color w:val="787F87"/>
      <w:u w:val="single"/>
    </w:rPr>
  </w:style>
  <w:style w:type="character" w:styleId="Strong">
    <w:name w:val="Strong"/>
    <w:basedOn w:val="DefaultParagraphFont"/>
    <w:uiPriority w:val="22"/>
    <w:qFormat/>
    <w:rsid w:val="007E4B9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3770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37706"/>
  </w:style>
  <w:style w:type="paragraph" w:styleId="Header">
    <w:name w:val="header"/>
    <w:basedOn w:val="Normal"/>
    <w:link w:val="HeaderChar"/>
    <w:uiPriority w:val="99"/>
    <w:rsid w:val="00E74F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4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EA001E"/>
    <w:pPr>
      <w:spacing w:after="0" w:line="240" w:lineRule="auto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5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87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8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22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8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boskovic</dc:creator>
  <cp:lastModifiedBy>GEN</cp:lastModifiedBy>
  <cp:revision>2</cp:revision>
  <dcterms:created xsi:type="dcterms:W3CDTF">2015-01-26T11:26:00Z</dcterms:created>
  <dcterms:modified xsi:type="dcterms:W3CDTF">2015-01-26T11:26:00Z</dcterms:modified>
</cp:coreProperties>
</file>