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C1395" w14:textId="77777777" w:rsidR="001B6596" w:rsidRDefault="00992FF8" w:rsidP="00F579F5">
      <w:pPr>
        <w:pStyle w:val="Naslov"/>
        <w:rPr>
          <w:lang w:val="sr-Latn-ME"/>
        </w:rPr>
      </w:pPr>
      <w:r>
        <w:rPr>
          <w:lang w:val="sr-Latn-ME"/>
        </w:rPr>
        <w:t xml:space="preserve">Prioritetna oblast </w:t>
      </w:r>
      <w:r w:rsidR="001B6596">
        <w:rPr>
          <w:lang w:val="sr-Latn-ME"/>
        </w:rPr>
        <w:t>04 – Kultura, turizam i mediji</w:t>
      </w:r>
    </w:p>
    <w:p w14:paraId="1B361F6A" w14:textId="014CCB9E" w:rsidR="0087152E" w:rsidRPr="00F579F5" w:rsidRDefault="00F579F5" w:rsidP="001B6596">
      <w:pPr>
        <w:pStyle w:val="Podnaslov"/>
        <w:rPr>
          <w:lang w:val="sr-Latn-ME"/>
        </w:rPr>
      </w:pPr>
      <w:r w:rsidRPr="00F579F5">
        <w:rPr>
          <w:lang w:val="sr-Latn-ME"/>
        </w:rPr>
        <w:t>Priprema Strateškog planskog dokumenta Crne Gore za potrebe korišćenja EU fondova</w:t>
      </w:r>
    </w:p>
    <w:p w14:paraId="6B615FC9" w14:textId="64BD18D5" w:rsidR="00F579F5" w:rsidRPr="00C704CD" w:rsidRDefault="5207EACD" w:rsidP="5207EACD">
      <w:pPr>
        <w:pStyle w:val="Naslov1"/>
        <w:rPr>
          <w:lang w:val="sr-Latn-ME"/>
        </w:rPr>
      </w:pPr>
      <w:r w:rsidRPr="5207EACD">
        <w:rPr>
          <w:lang w:val="sr-Latn-ME"/>
        </w:rPr>
        <w:t>Uvod i važnost</w:t>
      </w:r>
    </w:p>
    <w:p w14:paraId="26782773" w14:textId="796311FC" w:rsidR="1742E3AE" w:rsidRDefault="1742E3AE" w:rsidP="1742E3AE">
      <w:pPr>
        <w:jc w:val="both"/>
        <w:rPr>
          <w:rFonts w:ascii="Aptos" w:eastAsia="Aptos" w:hAnsi="Aptos" w:cs="Aptos"/>
          <w:color w:val="000000" w:themeColor="text1"/>
          <w:lang w:val="sr-Latn-ME"/>
        </w:rPr>
      </w:pPr>
      <w:r w:rsidRPr="1742E3AE">
        <w:rPr>
          <w:rFonts w:ascii="Aptos" w:eastAsia="Aptos" w:hAnsi="Aptos" w:cs="Aptos"/>
          <w:color w:val="000000" w:themeColor="text1"/>
          <w:sz w:val="24"/>
          <w:lang w:val="sr-Latn-ME"/>
        </w:rPr>
        <w:t>Situaciona analiza predstavlja analitičku osnovu za pripremu Strateškog planskog dokumenta Crne Gore za potrebe korišćenja fondova Evropske unije u okviru budućeg Nacionalnog i regionalnog partnerskog plana. Njena svrha je da, na sistematičan i na dokazima zasnovan način, identifikuje glavne razvojne izazove, potrebe, ciljne grupe, razvojne nejednakosti i investiciona uska grla u okviru predmetne oblasti politike, uzimajući u obzir ekonomske, socijalne, teritorijalne i, gdje je relevantno, ekološke dimenzije razvoja.</w:t>
      </w:r>
    </w:p>
    <w:p w14:paraId="46530884" w14:textId="53050D66" w:rsidR="1742E3AE" w:rsidRDefault="1742E3AE" w:rsidP="1742E3AE">
      <w:pPr>
        <w:jc w:val="both"/>
        <w:rPr>
          <w:rFonts w:ascii="Aptos" w:eastAsia="Aptos" w:hAnsi="Aptos" w:cs="Aptos"/>
          <w:color w:val="000000" w:themeColor="text1"/>
          <w:lang w:val="sr-Latn-ME"/>
        </w:rPr>
      </w:pPr>
      <w:r w:rsidRPr="1742E3AE">
        <w:rPr>
          <w:rFonts w:ascii="Aptos" w:eastAsia="Aptos" w:hAnsi="Aptos" w:cs="Aptos"/>
          <w:color w:val="000000" w:themeColor="text1"/>
          <w:sz w:val="24"/>
          <w:lang w:val="sr-Latn-ME"/>
        </w:rPr>
        <w:t>Značaj situacione analize dodatno proizlazi iz činjenice da je Strateški planski dokument prepoznat od strane Evropske komisije kao jedan od ključnih elemenata za ispunjenje mjerila za zatvaranje Poglavlja 22 – Regionalna politika i koordinacija strukturnih instrumenata, konkretno mjerila 2. Evropska komisija očekuje dostavljanje sveobuhvatnog, sažetog i kvalitetnog nacrta strateškog planskog dokumenta, koji u kontekstu finansijske perspektive 2021–2027 odgovara logici „Partnership Agreement“, a koji treba da obuhvati stratešku analizu, uključujući izazove, potrebe i ciljne grupe, odabrane prioritete i ciljeve, glavne očekivane rezultate, planirane tematske cjeline i izvore finansiranja, mehanizme za obezbjeđivanje usklađenosti sa relevantnim prioritetima i strategijama Evropske unije, kao i okvir upravljanja u skladu sa Evropskim kodeksom ponašanja o partnerstvu.</w:t>
      </w:r>
    </w:p>
    <w:p w14:paraId="691AC91B" w14:textId="6C9ADCC3" w:rsidR="1742E3AE" w:rsidRDefault="1742E3AE" w:rsidP="1742E3AE">
      <w:pPr>
        <w:jc w:val="both"/>
        <w:rPr>
          <w:rFonts w:ascii="Aptos" w:eastAsia="Aptos" w:hAnsi="Aptos" w:cs="Aptos"/>
          <w:color w:val="000000" w:themeColor="text1"/>
          <w:lang w:val="sr-Latn-ME"/>
        </w:rPr>
      </w:pPr>
      <w:r w:rsidRPr="1742E3AE">
        <w:rPr>
          <w:rFonts w:ascii="Aptos" w:eastAsia="Aptos" w:hAnsi="Aptos" w:cs="Aptos"/>
          <w:color w:val="000000" w:themeColor="text1"/>
          <w:sz w:val="24"/>
          <w:lang w:val="sr-Latn-ME"/>
        </w:rPr>
        <w:t>U tom smislu, situaciona analiza ne služi samo kao opis postojećeg stanja, već kao polazna tačka za definisanje prioritetnih pravaca djelovanja, očekivanih rezultata i budućih reformskih i investicionih intervencija. U skladu sa metodološkim pristupom za izradu Strateškog planskog dokumenta, razvojni izazovi se posmatraju kao problemi koji zahtijevaju javnopolitički odgovor, a ne kao unaprijed definisane mjere ili rješenja. Zbog toga analiza mora da poveže raspoložive statističke i administrativne podatke, nalaze nacionalnih strateških dokumenata, relevantne međunarodne i EU izvore, kao i uvide ključnih institucija i partnera.</w:t>
      </w:r>
    </w:p>
    <w:p w14:paraId="1CFDDCE8" w14:textId="384404A9" w:rsidR="1742E3AE" w:rsidRDefault="1742E3AE" w:rsidP="1742E3AE">
      <w:pPr>
        <w:jc w:val="both"/>
        <w:rPr>
          <w:rFonts w:ascii="Aptos" w:eastAsia="Aptos" w:hAnsi="Aptos" w:cs="Aptos"/>
          <w:color w:val="000000" w:themeColor="text1"/>
          <w:lang w:val="sr-Latn-ME"/>
        </w:rPr>
      </w:pPr>
      <w:r w:rsidRPr="1742E3AE">
        <w:rPr>
          <w:rFonts w:ascii="Aptos" w:eastAsia="Aptos" w:hAnsi="Aptos" w:cs="Aptos"/>
          <w:color w:val="000000" w:themeColor="text1"/>
          <w:sz w:val="24"/>
          <w:lang w:val="sr-Latn-ME"/>
        </w:rPr>
        <w:t xml:space="preserve">Situaciona analiza istovremeno ima i važnu funkciju u obezbjeđivanju usklađenosti budućeg strateškog dokumenta sa prioritetima Evropske unije, pravnom tekovinom EU i programskim okvirom za period nakon 2027. godine. Kroz pregled međunarodnog i nacionalnog strateškog i pravnog okvira, planiranih reformi i ključnih pokazatelja, analiza </w:t>
      </w:r>
      <w:r w:rsidRPr="1742E3AE">
        <w:rPr>
          <w:rFonts w:ascii="Aptos" w:eastAsia="Aptos" w:hAnsi="Aptos" w:cs="Aptos"/>
          <w:color w:val="000000" w:themeColor="text1"/>
          <w:sz w:val="24"/>
          <w:lang w:val="sr-Latn-ME"/>
        </w:rPr>
        <w:lastRenderedPageBreak/>
        <w:t>omogućava da se predmetna oblast politike sagleda u širem razvojnom i pristupnom kontekstu, uključujući doprinos pametnom, održivom i inkluzivnom rastu, ekonomskoj, socijalnoj i teritorijalnoj koheziji, kao i smanjenju razvojnih dispariteta.</w:t>
      </w:r>
    </w:p>
    <w:p w14:paraId="38C99BE1" w14:textId="249E6E47" w:rsidR="1742E3AE" w:rsidRDefault="5207EACD" w:rsidP="5207EACD">
      <w:pPr>
        <w:jc w:val="both"/>
        <w:rPr>
          <w:rFonts w:ascii="Aptos" w:eastAsia="Aptos" w:hAnsi="Aptos" w:cs="Aptos"/>
          <w:color w:val="000000" w:themeColor="text1"/>
          <w:lang w:val="sr-Latn-ME"/>
        </w:rPr>
      </w:pPr>
      <w:r w:rsidRPr="5207EACD">
        <w:rPr>
          <w:rFonts w:ascii="Aptos" w:eastAsia="Aptos" w:hAnsi="Aptos" w:cs="Aptos"/>
          <w:color w:val="000000" w:themeColor="text1"/>
          <w:sz w:val="24"/>
          <w:lang w:val="sr-Latn-ME"/>
        </w:rPr>
        <w:t>Pored toga, situaciona analiza je važan alat za strukturiranje dijaloga unutar radnih grupa i sa širim krugom partnera. Njome se obezbjeđuje zajednička analitička osnova za SWOT razmatranje, validaciju nalaza i identifikaciju dugog spiska razvojnih izazova, koji će u narednim koracima biti prioritizovani. Na taj način, situaciona analiza doprinosi transparentnom, participativnom i metodološki utemeljenom procesu planiranja, u skladu sa principom partnerstva i višerazinskog upravljanja.</w:t>
      </w:r>
    </w:p>
    <w:p w14:paraId="68AAD0E9" w14:textId="4791CA14" w:rsidR="00F579F5" w:rsidRDefault="00F579F5" w:rsidP="00F579F5">
      <w:pPr>
        <w:pStyle w:val="Naslov1"/>
        <w:rPr>
          <w:lang w:val="sr-Latn-ME"/>
        </w:rPr>
      </w:pPr>
      <w:r>
        <w:rPr>
          <w:lang w:val="sr-Latn-ME"/>
        </w:rPr>
        <w:t>Opis prioritetnih područja unutar RG</w:t>
      </w:r>
    </w:p>
    <w:tbl>
      <w:tblPr>
        <w:tblStyle w:val="Svijetlatablicareetke1-isticanje4"/>
        <w:tblpPr w:leftFromText="180" w:rightFromText="180" w:vertAnchor="text" w:horzAnchor="margin" w:tblpY="217"/>
        <w:tblW w:w="5000" w:type="pct"/>
        <w:tblLook w:val="04A0" w:firstRow="1" w:lastRow="0" w:firstColumn="1" w:lastColumn="0" w:noHBand="0" w:noVBand="1"/>
      </w:tblPr>
      <w:tblGrid>
        <w:gridCol w:w="1615"/>
        <w:gridCol w:w="2249"/>
        <w:gridCol w:w="2072"/>
        <w:gridCol w:w="3126"/>
      </w:tblGrid>
      <w:tr w:rsidR="00C704CD" w:rsidRPr="00257AA7" w14:paraId="5D086623" w14:textId="77777777" w:rsidTr="00992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14:paraId="0CADBF93" w14:textId="77777777" w:rsidR="00C704CD" w:rsidRPr="00257AA7" w:rsidRDefault="00C704CD" w:rsidP="00C704CD">
            <w:pPr>
              <w:rPr>
                <w:b w:val="0"/>
                <w:sz w:val="18"/>
                <w:szCs w:val="18"/>
                <w:lang w:val="sr-Latn-ME"/>
              </w:rPr>
            </w:pPr>
            <w:r w:rsidRPr="00257AA7">
              <w:rPr>
                <w:sz w:val="18"/>
                <w:szCs w:val="18"/>
                <w:lang w:val="sr-Latn-ME"/>
              </w:rPr>
              <w:t>Kod prioritetne oblasti nivo 1</w:t>
            </w:r>
          </w:p>
        </w:tc>
        <w:tc>
          <w:tcPr>
            <w:tcW w:w="1241" w:type="pct"/>
          </w:tcPr>
          <w:p w14:paraId="009B303D" w14:textId="77777777" w:rsidR="00C704CD" w:rsidRPr="00257AA7" w:rsidRDefault="00C704CD" w:rsidP="00C704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val="sr-Latn-ME"/>
              </w:rPr>
            </w:pPr>
            <w:r w:rsidRPr="00257AA7">
              <w:rPr>
                <w:sz w:val="18"/>
                <w:szCs w:val="18"/>
                <w:lang w:val="sr-Latn-ME"/>
              </w:rPr>
              <w:t>Naziv  prioritetne oblasti nivo 1</w:t>
            </w:r>
          </w:p>
        </w:tc>
        <w:tc>
          <w:tcPr>
            <w:tcW w:w="1143" w:type="pct"/>
          </w:tcPr>
          <w:p w14:paraId="5C9652B9" w14:textId="77777777" w:rsidR="00C704CD" w:rsidRPr="00257AA7" w:rsidRDefault="00C704CD" w:rsidP="00C704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val="sr-Latn-ME"/>
              </w:rPr>
            </w:pPr>
            <w:r w:rsidRPr="00257AA7">
              <w:rPr>
                <w:sz w:val="18"/>
                <w:szCs w:val="18"/>
                <w:lang w:val="sr-Latn-ME"/>
              </w:rPr>
              <w:t>Kod  prioritetne oblasti nivo 2</w:t>
            </w:r>
          </w:p>
        </w:tc>
        <w:tc>
          <w:tcPr>
            <w:tcW w:w="1725" w:type="pct"/>
          </w:tcPr>
          <w:p w14:paraId="0DF076C0" w14:textId="77777777" w:rsidR="00C704CD" w:rsidRPr="00257AA7" w:rsidRDefault="00C704CD" w:rsidP="00C704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val="sr-Latn-ME"/>
              </w:rPr>
            </w:pPr>
            <w:r w:rsidRPr="00257AA7">
              <w:rPr>
                <w:sz w:val="18"/>
                <w:szCs w:val="18"/>
                <w:lang w:val="sr-Latn-ME"/>
              </w:rPr>
              <w:t>Naziv  prioritetne oblasti nivo 2</w:t>
            </w:r>
          </w:p>
        </w:tc>
      </w:tr>
      <w:tr w:rsidR="00C704CD" w:rsidRPr="00257AA7" w14:paraId="02B43683" w14:textId="77777777" w:rsidTr="00992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14:paraId="1489823A" w14:textId="77777777" w:rsidR="00C704CD" w:rsidRPr="00F87C56" w:rsidRDefault="00C704CD" w:rsidP="00C704CD">
            <w:pPr>
              <w:rPr>
                <w:b w:val="0"/>
                <w:sz w:val="18"/>
                <w:szCs w:val="18"/>
                <w:lang w:val="sr-Latn-ME"/>
              </w:rPr>
            </w:pPr>
            <w:r w:rsidRPr="00F87C56">
              <w:rPr>
                <w:sz w:val="18"/>
                <w:szCs w:val="18"/>
                <w:lang w:val="sr-Latn-ME"/>
              </w:rPr>
              <w:t>4</w:t>
            </w:r>
          </w:p>
        </w:tc>
        <w:tc>
          <w:tcPr>
            <w:tcW w:w="1241" w:type="pct"/>
          </w:tcPr>
          <w:p w14:paraId="7A559F71" w14:textId="77777777" w:rsidR="00C704CD" w:rsidRPr="00F87C56" w:rsidRDefault="00C704CD" w:rsidP="00C70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  <w:r w:rsidRPr="00F87C56">
              <w:rPr>
                <w:b/>
                <w:sz w:val="18"/>
                <w:szCs w:val="18"/>
                <w:lang w:val="sr-Latn-ME"/>
              </w:rPr>
              <w:t>Kultura, turizam i mediji</w:t>
            </w:r>
          </w:p>
        </w:tc>
        <w:tc>
          <w:tcPr>
            <w:tcW w:w="1143" w:type="pct"/>
          </w:tcPr>
          <w:p w14:paraId="41D2B0FB" w14:textId="77777777" w:rsidR="00C704CD" w:rsidRPr="00F87C56" w:rsidRDefault="00C704CD" w:rsidP="00C70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  <w:r w:rsidRPr="00F87C56">
              <w:rPr>
                <w:b/>
                <w:sz w:val="18"/>
                <w:szCs w:val="18"/>
                <w:lang w:val="sr-Latn-ME"/>
              </w:rPr>
              <w:t>4.11</w:t>
            </w:r>
          </w:p>
        </w:tc>
        <w:tc>
          <w:tcPr>
            <w:tcW w:w="1725" w:type="pct"/>
          </w:tcPr>
          <w:p w14:paraId="4ADC5BA2" w14:textId="77777777" w:rsidR="00C704CD" w:rsidRPr="00F87C56" w:rsidRDefault="00C704CD" w:rsidP="00C70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  <w:r w:rsidRPr="00F87C56">
              <w:rPr>
                <w:b/>
                <w:sz w:val="18"/>
                <w:szCs w:val="18"/>
                <w:lang w:val="sr-Latn-ME"/>
              </w:rPr>
              <w:t>Kultura i kreativne industrije</w:t>
            </w:r>
          </w:p>
        </w:tc>
      </w:tr>
      <w:tr w:rsidR="00C704CD" w:rsidRPr="00257AA7" w14:paraId="074ADCDE" w14:textId="77777777" w:rsidTr="00992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14:paraId="569BFF34" w14:textId="77777777" w:rsidR="00C704CD" w:rsidRPr="00F87C56" w:rsidRDefault="00C704CD" w:rsidP="00C704CD">
            <w:pPr>
              <w:rPr>
                <w:b w:val="0"/>
                <w:sz w:val="18"/>
                <w:szCs w:val="18"/>
                <w:lang w:val="sr-Latn-ME"/>
              </w:rPr>
            </w:pPr>
          </w:p>
        </w:tc>
        <w:tc>
          <w:tcPr>
            <w:tcW w:w="1241" w:type="pct"/>
          </w:tcPr>
          <w:p w14:paraId="399A4FE6" w14:textId="77777777" w:rsidR="00C704CD" w:rsidRPr="00F87C56" w:rsidRDefault="00C704CD" w:rsidP="00C70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</w:p>
        </w:tc>
        <w:tc>
          <w:tcPr>
            <w:tcW w:w="1143" w:type="pct"/>
          </w:tcPr>
          <w:p w14:paraId="6FF80B82" w14:textId="77777777" w:rsidR="00C704CD" w:rsidRPr="00F87C56" w:rsidRDefault="00C704CD" w:rsidP="00C70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  <w:r w:rsidRPr="00F87C56">
              <w:rPr>
                <w:b/>
                <w:sz w:val="18"/>
                <w:szCs w:val="18"/>
                <w:lang w:val="sr-Latn-ME"/>
              </w:rPr>
              <w:t>4.12</w:t>
            </w:r>
          </w:p>
        </w:tc>
        <w:tc>
          <w:tcPr>
            <w:tcW w:w="1725" w:type="pct"/>
          </w:tcPr>
          <w:p w14:paraId="19DE7C14" w14:textId="77777777" w:rsidR="00C704CD" w:rsidRPr="00F87C56" w:rsidRDefault="00C704CD" w:rsidP="00C70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  <w:r w:rsidRPr="00F87C56">
              <w:rPr>
                <w:b/>
                <w:sz w:val="18"/>
                <w:szCs w:val="18"/>
                <w:lang w:val="sr-Latn-ME"/>
              </w:rPr>
              <w:t>Mediji</w:t>
            </w:r>
          </w:p>
        </w:tc>
      </w:tr>
      <w:tr w:rsidR="00C704CD" w:rsidRPr="00257AA7" w14:paraId="1560E309" w14:textId="77777777" w:rsidTr="00992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14:paraId="5E07DCB4" w14:textId="77777777" w:rsidR="00C704CD" w:rsidRPr="00F87C56" w:rsidRDefault="00C704CD" w:rsidP="00C704CD">
            <w:pPr>
              <w:rPr>
                <w:b w:val="0"/>
                <w:sz w:val="18"/>
                <w:szCs w:val="18"/>
                <w:lang w:val="sr-Latn-ME"/>
              </w:rPr>
            </w:pPr>
          </w:p>
        </w:tc>
        <w:tc>
          <w:tcPr>
            <w:tcW w:w="1241" w:type="pct"/>
          </w:tcPr>
          <w:p w14:paraId="6EAADE19" w14:textId="77777777" w:rsidR="00C704CD" w:rsidRPr="00F87C56" w:rsidRDefault="00C704CD" w:rsidP="00C70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</w:p>
        </w:tc>
        <w:tc>
          <w:tcPr>
            <w:tcW w:w="1143" w:type="pct"/>
          </w:tcPr>
          <w:p w14:paraId="2C1756D3" w14:textId="77777777" w:rsidR="00C704CD" w:rsidRPr="00F87C56" w:rsidRDefault="00C704CD" w:rsidP="00C70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  <w:r w:rsidRPr="00F87C56">
              <w:rPr>
                <w:b/>
                <w:sz w:val="18"/>
                <w:szCs w:val="18"/>
                <w:lang w:val="sr-Latn-ME"/>
              </w:rPr>
              <w:t>4.05</w:t>
            </w:r>
          </w:p>
        </w:tc>
        <w:tc>
          <w:tcPr>
            <w:tcW w:w="1725" w:type="pct"/>
          </w:tcPr>
          <w:p w14:paraId="166AAC4E" w14:textId="77777777" w:rsidR="00C704CD" w:rsidRPr="00F87C56" w:rsidRDefault="00C704CD" w:rsidP="00C70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  <w:r w:rsidRPr="00F87C56">
              <w:rPr>
                <w:b/>
                <w:sz w:val="18"/>
                <w:szCs w:val="18"/>
                <w:lang w:val="sr-Latn-ME"/>
              </w:rPr>
              <w:t>Reforme</w:t>
            </w:r>
          </w:p>
        </w:tc>
      </w:tr>
      <w:tr w:rsidR="00C704CD" w:rsidRPr="00257AA7" w14:paraId="64F5258B" w14:textId="77777777" w:rsidTr="00992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14:paraId="40F29AAC" w14:textId="77777777" w:rsidR="00C704CD" w:rsidRPr="00F87C56" w:rsidRDefault="00C704CD" w:rsidP="00C704CD">
            <w:pPr>
              <w:rPr>
                <w:b w:val="0"/>
                <w:sz w:val="18"/>
                <w:szCs w:val="18"/>
                <w:lang w:val="sr-Latn-ME"/>
              </w:rPr>
            </w:pPr>
          </w:p>
        </w:tc>
        <w:tc>
          <w:tcPr>
            <w:tcW w:w="1241" w:type="pct"/>
          </w:tcPr>
          <w:p w14:paraId="3624A07C" w14:textId="77777777" w:rsidR="00C704CD" w:rsidRPr="00F87C56" w:rsidRDefault="00C704CD" w:rsidP="00C70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</w:p>
        </w:tc>
        <w:tc>
          <w:tcPr>
            <w:tcW w:w="1143" w:type="pct"/>
          </w:tcPr>
          <w:p w14:paraId="362D9362" w14:textId="77777777" w:rsidR="00C704CD" w:rsidRPr="00F87C56" w:rsidRDefault="00C704CD" w:rsidP="00C70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  <w:r w:rsidRPr="00F87C56">
              <w:rPr>
                <w:b/>
                <w:sz w:val="18"/>
                <w:szCs w:val="18"/>
                <w:lang w:val="sr-Latn-ME"/>
              </w:rPr>
              <w:t>4.13</w:t>
            </w:r>
          </w:p>
        </w:tc>
        <w:tc>
          <w:tcPr>
            <w:tcW w:w="1725" w:type="pct"/>
          </w:tcPr>
          <w:p w14:paraId="0D7BE461" w14:textId="77777777" w:rsidR="00C704CD" w:rsidRPr="00F87C56" w:rsidRDefault="00C704CD" w:rsidP="00C70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  <w:r w:rsidRPr="00F87C56">
              <w:rPr>
                <w:b/>
                <w:sz w:val="18"/>
                <w:szCs w:val="18"/>
                <w:lang w:val="sr-Latn-ME"/>
              </w:rPr>
              <w:t>Turizam</w:t>
            </w:r>
          </w:p>
        </w:tc>
      </w:tr>
    </w:tbl>
    <w:p w14:paraId="1B481561" w14:textId="79F40DD6" w:rsidR="00F579F5" w:rsidRDefault="4D780C90" w:rsidP="00F579F5">
      <w:pPr>
        <w:pStyle w:val="Naslov1"/>
        <w:rPr>
          <w:lang w:val="sr-Latn-ME"/>
        </w:rPr>
      </w:pPr>
      <w:r w:rsidRPr="4D780C90">
        <w:rPr>
          <w:lang w:val="sr-Latn-ME"/>
        </w:rPr>
        <w:t>Situacijska analiza</w:t>
      </w:r>
    </w:p>
    <w:p w14:paraId="370D6FC9" w14:textId="1D4ACB31" w:rsidR="00F579F5" w:rsidRDefault="00F87C56" w:rsidP="00F579F5">
      <w:pPr>
        <w:pStyle w:val="Naslov2"/>
        <w:rPr>
          <w:lang w:val="sr-Latn-ME"/>
        </w:rPr>
      </w:pPr>
      <w:r>
        <w:rPr>
          <w:lang w:val="sr-Latn-ME"/>
        </w:rPr>
        <w:t>Prioritetno područje nivo</w:t>
      </w:r>
      <w:r w:rsidR="00F579F5">
        <w:rPr>
          <w:lang w:val="sr-Latn-ME"/>
        </w:rPr>
        <w:t xml:space="preserve"> 1</w:t>
      </w:r>
    </w:p>
    <w:p w14:paraId="1D92423F" w14:textId="49447B50" w:rsidR="00C95CE8" w:rsidRPr="00C95CE8" w:rsidRDefault="4D780C90" w:rsidP="00E65CC5">
      <w:pPr>
        <w:jc w:val="both"/>
        <w:rPr>
          <w:lang w:val="sr-Latn-ME"/>
        </w:rPr>
      </w:pPr>
      <w:r w:rsidRPr="4D780C90">
        <w:rPr>
          <w:lang w:val="sr-Latn-ME"/>
        </w:rPr>
        <w:t xml:space="preserve">Prioritetno područje </w:t>
      </w:r>
      <w:r w:rsidRPr="4D780C90">
        <w:rPr>
          <w:b/>
          <w:bCs/>
          <w:lang w:val="sr-Latn-ME"/>
        </w:rPr>
        <w:t>Kultura, turizam i mediji</w:t>
      </w:r>
      <w:r w:rsidRPr="4D780C90">
        <w:rPr>
          <w:lang w:val="sr-Latn-ME"/>
        </w:rPr>
        <w:t xml:space="preserve"> obuhvata tri sadržinski povezane, ali funkcionalno različite cjeline javne politike: razvoj kulture i kreativnih sektora, razvoj i održivost medijskog sistema, te razvoj konkurentnog i održivog turizma. U okviru metodološkog okvira, ovo područje je operacionalizovano kroz intervenciona polja koja se odnose na kreativne, kulturne i umjetničke aktivnosti i usluge, fizičku regeneraciju i sigurnost javnih prostora, reforme u oblasti kulture, turizma i medija, zaštitu, razvoj i promociju kulturne baštine i turističkih usluga, kao i finansijsku podršku turizmu i održivom turizmu.</w:t>
      </w:r>
    </w:p>
    <w:p w14:paraId="2F99FE97" w14:textId="633B93E9" w:rsidR="00C95CE8" w:rsidRPr="00C95CE8" w:rsidRDefault="00C95CE8" w:rsidP="00E65CC5">
      <w:pPr>
        <w:jc w:val="both"/>
        <w:rPr>
          <w:lang w:val="sr-Latn-ME"/>
        </w:rPr>
      </w:pPr>
      <w:r w:rsidRPr="00C95CE8">
        <w:rPr>
          <w:lang w:val="sr-Latn-ME"/>
        </w:rPr>
        <w:t>Sa stanovišta procesa pristupanja Evropskoj uniji, ovo prioritetno područje je prije svega vezano za Poglavlje 10 – Digitalna transformacija i mediji i Poglavlje 26 – Obrazovanje i kultura, dok je turizam, iako nema posebno pregovaračko poglavlje, povezan sa širim skupom politika koje obuhvataju industrijsku politiku, unutrašnje tržište, transport, životnu sredinu, digitalizaciju i regionalnu politiku. U Izvještaju Evropske komisije za 2025. godinu ova oblast je posmatrana u okviru Klastera 3 – Konkurentnost i inkluzivni rast, pri čemu su poglavlja 10 i 26 među poglavljima koja su već privremeno zatvorena.</w:t>
      </w:r>
    </w:p>
    <w:p w14:paraId="6B14ECF0" w14:textId="416FC8C0" w:rsidR="00F579F5" w:rsidRPr="00F579F5" w:rsidRDefault="00C95CE8" w:rsidP="00E65CC5">
      <w:pPr>
        <w:jc w:val="both"/>
        <w:rPr>
          <w:lang w:val="sr-Latn-ME"/>
        </w:rPr>
      </w:pPr>
      <w:r w:rsidRPr="00C95CE8">
        <w:rPr>
          <w:lang w:val="sr-Latn-ME"/>
        </w:rPr>
        <w:t>Za Crnu Goru je o</w:t>
      </w:r>
      <w:r w:rsidR="00E65CC5">
        <w:rPr>
          <w:lang w:val="sr-Latn-ME"/>
        </w:rPr>
        <w:t>vo prioritetno područje</w:t>
      </w:r>
      <w:r w:rsidRPr="00C95CE8">
        <w:rPr>
          <w:lang w:val="sr-Latn-ME"/>
        </w:rPr>
        <w:t xml:space="preserve"> posebno važno iz najmanje tri razloga. Prvo, kultura i kreativni sektori imaju rastući značaj za identitet, koheziju, međunarodnu vidljivost i lokalni razvoj. Drugo, mediji su ključni za demokratski poredak, kvalitet informisanja i otpornost na dezinformacije. Treće, turizam ostaje jedna od najvažnijih privrednih grana, ali njegov budući razvoj mora biti više usmjeren na kvalitet, diverzifikaciju, digitalizaciju i održivost. U tom smislu, objedinjeno posmatranje kulture, turizma i medija omogućava da se bolje prepoznaju </w:t>
      </w:r>
      <w:r w:rsidRPr="00C95CE8">
        <w:rPr>
          <w:lang w:val="sr-Latn-ME"/>
        </w:rPr>
        <w:lastRenderedPageBreak/>
        <w:t>međusobne veze između kulturne baštine, kreativne produkcije, promocije destinacije, medijske vidljivost</w:t>
      </w:r>
      <w:r>
        <w:rPr>
          <w:lang w:val="sr-Latn-ME"/>
        </w:rPr>
        <w:t>i i lokalnog ekonomskog razvoja</w:t>
      </w:r>
      <w:r w:rsidR="00E65CC5">
        <w:rPr>
          <w:lang w:val="sr-Latn-ME"/>
        </w:rPr>
        <w:t>.</w:t>
      </w:r>
    </w:p>
    <w:p w14:paraId="496280FB" w14:textId="28B028EF" w:rsidR="00F579F5" w:rsidRDefault="00F579F5" w:rsidP="00F579F5">
      <w:pPr>
        <w:pStyle w:val="Naslov3"/>
        <w:rPr>
          <w:lang w:val="sr-Latn-ME"/>
        </w:rPr>
      </w:pPr>
      <w:r>
        <w:rPr>
          <w:lang w:val="sr-Latn-ME"/>
        </w:rPr>
        <w:t>Međunarodni i EU Strateški i pravni okvir</w:t>
      </w:r>
    </w:p>
    <w:p w14:paraId="0944C2C1" w14:textId="787549FC" w:rsidR="00C95CE8" w:rsidRPr="00C95CE8" w:rsidRDefault="00C95CE8" w:rsidP="00E65CC5">
      <w:pPr>
        <w:jc w:val="both"/>
        <w:rPr>
          <w:lang w:val="sr-Latn-ME"/>
        </w:rPr>
      </w:pPr>
      <w:r w:rsidRPr="00C95CE8">
        <w:rPr>
          <w:lang w:val="sr-Latn-ME"/>
        </w:rPr>
        <w:t>Međunarodni i evropski okvir za ovo prioritetno područje je višeslojan, jer kultura, mediji i turizam nijesu uređeni jednim jedinstvenim instrumentom, već kombinacijom sektorskih politika, programa podrške i regulatornih akata.</w:t>
      </w:r>
    </w:p>
    <w:p w14:paraId="6ED90A1C" w14:textId="77777777" w:rsidR="00C95CE8" w:rsidRPr="00C95CE8" w:rsidRDefault="00C95CE8" w:rsidP="00E65CC5">
      <w:pPr>
        <w:jc w:val="both"/>
        <w:rPr>
          <w:lang w:val="sr-Latn-ME"/>
        </w:rPr>
      </w:pPr>
      <w:r w:rsidRPr="00C95CE8">
        <w:rPr>
          <w:lang w:val="sr-Latn-ME"/>
        </w:rPr>
        <w:t xml:space="preserve">U dijelu </w:t>
      </w:r>
      <w:r w:rsidRPr="00E65CC5">
        <w:rPr>
          <w:b/>
          <w:lang w:val="sr-Latn-ME"/>
        </w:rPr>
        <w:t>medija</w:t>
      </w:r>
      <w:r w:rsidRPr="00C95CE8">
        <w:rPr>
          <w:lang w:val="sr-Latn-ME"/>
        </w:rPr>
        <w:t>, ključni pravni okvir Evropske unije čini Direktiva o audiovizuelnim medijskim uslugama (AVMSD), odnosno Direktiva 2010/13/EU, izmijenjena Direktivom (EU) 2018/1808. Ovaj okvir uređuje osnovna pravila za audiovizuelne medijske usluge, uključujući zaštitu maloljetnika, zabranu govora mržnje, transparentnost pružalaca usluga, pristupačnost za osobe sa invaliditetom i pravila za audiovizuelne komercijalne komunikacije.</w:t>
      </w:r>
    </w:p>
    <w:p w14:paraId="395A6F92" w14:textId="77777777" w:rsidR="00C95CE8" w:rsidRPr="00C95CE8" w:rsidRDefault="00C95CE8" w:rsidP="00E65CC5">
      <w:pPr>
        <w:jc w:val="both"/>
        <w:rPr>
          <w:lang w:val="sr-Latn-ME"/>
        </w:rPr>
      </w:pPr>
      <w:r w:rsidRPr="00C95CE8">
        <w:rPr>
          <w:lang w:val="sr-Latn-ME"/>
        </w:rPr>
        <w:t>Noviji i politički veoma važan okvir predstavlja Evropski akt o slobodi medija (European Media Freedom Act, EMFA), odnosno Uredba (EU) 2024/1083, kojom se uspostavlja zajednički okvir za medijske usluge na unutrašnjem tržištu, sa naglaskom na uredničku nezavisnost, transparentnost vlasništva, zaštitu izvora, javne medijske servise i transparentnost mjerenja publike i raspodjele javnog oglašavanja. Ovaj akt je posebno relevantan za dalju harmonizaciju crnogorskog medijskog zakonodavstva.</w:t>
      </w:r>
    </w:p>
    <w:p w14:paraId="3959B98F" w14:textId="1845E839" w:rsidR="00C95CE8" w:rsidRPr="00C95CE8" w:rsidRDefault="00C95CE8" w:rsidP="00E65CC5">
      <w:pPr>
        <w:jc w:val="both"/>
        <w:rPr>
          <w:lang w:val="sr-Latn-ME"/>
        </w:rPr>
      </w:pPr>
      <w:r w:rsidRPr="00C95CE8">
        <w:rPr>
          <w:lang w:val="sr-Latn-ME"/>
        </w:rPr>
        <w:t xml:space="preserve">Crna Gora je u ovoj oblasti trenutno na dobrom nivou pripremljenosti, </w:t>
      </w:r>
      <w:r w:rsidR="00E65CC5">
        <w:rPr>
          <w:lang w:val="sr-Latn-ME"/>
        </w:rPr>
        <w:t>međutim i</w:t>
      </w:r>
      <w:r w:rsidRPr="00C95CE8">
        <w:rPr>
          <w:lang w:val="sr-Latn-ME"/>
        </w:rPr>
        <w:t xml:space="preserve">zvještaj Evropske komisije za 2025. godinu jasno </w:t>
      </w:r>
      <w:r w:rsidR="00E65CC5">
        <w:rPr>
          <w:lang w:val="sr-Latn-ME"/>
        </w:rPr>
        <w:t>ukazuju</w:t>
      </w:r>
      <w:r w:rsidRPr="00C95CE8">
        <w:rPr>
          <w:lang w:val="sr-Latn-ME"/>
        </w:rPr>
        <w:t xml:space="preserve"> da je fokus sada sa formalnog usvajanja pravnog okvira prešao na njegovu efektivnu primjenu. </w:t>
      </w:r>
      <w:r w:rsidR="00E65CC5">
        <w:rPr>
          <w:lang w:val="sr-Latn-ME"/>
        </w:rPr>
        <w:t>Posebno se</w:t>
      </w:r>
      <w:r w:rsidRPr="00C95CE8">
        <w:rPr>
          <w:lang w:val="sr-Latn-ME"/>
        </w:rPr>
        <w:t xml:space="preserve"> insistira na tome da Crna Gora obezbijedi punu primjenu medijskih zakona usvojenih 2024. godine, zaštiti nezavisnost regulatora i dalje uskladi nacionalno zakonodavstvo sa EMFA. Istovremeno, u širem digitalno-medijskom pros</w:t>
      </w:r>
      <w:r w:rsidR="00E65CC5">
        <w:rPr>
          <w:lang w:val="sr-Latn-ME"/>
        </w:rPr>
        <w:t>toru Evropska k</w:t>
      </w:r>
      <w:r w:rsidRPr="00C95CE8">
        <w:rPr>
          <w:lang w:val="sr-Latn-ME"/>
        </w:rPr>
        <w:t>omisija ukazuje i na potrebu daljeg usklađivanja sa NIS2, pravilima o digitalnom identitetu, DSA/DMA i budućim AI okvirom, što znači da je medijski sektor u crnogorskom kontekstu sve više povezan sa širim pravilima EU za digitalno tržište i informacioni prostor.</w:t>
      </w:r>
    </w:p>
    <w:p w14:paraId="77459356" w14:textId="4CEA867B" w:rsidR="00C95CE8" w:rsidRPr="00C95CE8" w:rsidRDefault="00C95CE8" w:rsidP="00E65CC5">
      <w:pPr>
        <w:jc w:val="both"/>
        <w:rPr>
          <w:lang w:val="sr-Latn-ME"/>
        </w:rPr>
      </w:pPr>
      <w:r w:rsidRPr="00C95CE8">
        <w:rPr>
          <w:lang w:val="sr-Latn-ME"/>
        </w:rPr>
        <w:t xml:space="preserve">U dijelu </w:t>
      </w:r>
      <w:r w:rsidRPr="00E65CC5">
        <w:rPr>
          <w:b/>
          <w:lang w:val="sr-Latn-ME"/>
        </w:rPr>
        <w:t>kulture i kreativnih sektora</w:t>
      </w:r>
      <w:r w:rsidRPr="00C95CE8">
        <w:rPr>
          <w:lang w:val="sr-Latn-ME"/>
        </w:rPr>
        <w:t>, centralni evropski finansijski i programski okvir predstavlja Program Kreativna Evropa 2021–2027, uspostavljen Uredbom (EU) 2021/818. Program je vodeći instrument EU za podršku kulturnim i audiovizuelnim sektorima i usmjeren je na kulturnu raznolikost, transnacionalnu saradnju, mobilnost umjetnika i profesionalaca, jačanje konkurentnosti sektora i podršku medijskom pluralizmu kroz međusektorsku komponentu.</w:t>
      </w:r>
    </w:p>
    <w:p w14:paraId="4332420D" w14:textId="0FD644E4" w:rsidR="00C95CE8" w:rsidRPr="00C95CE8" w:rsidRDefault="00C95CE8" w:rsidP="00E65CC5">
      <w:pPr>
        <w:jc w:val="both"/>
        <w:rPr>
          <w:lang w:val="sr-Latn-ME"/>
        </w:rPr>
      </w:pPr>
      <w:r w:rsidRPr="00C95CE8">
        <w:rPr>
          <w:lang w:val="sr-Latn-ME"/>
        </w:rPr>
        <w:t xml:space="preserve">Strateški okvir za evropsku kulturnu saradnju trenutno određuje EU Work Plan for Culture 2023–2026, koji kulturu tretira kao horizontalno područje relevantno za demokratiju, društvenu koheziju, inovacije i održivi razvoj. Evropska komisija je u novembru 2025. dodatno predstavila i Culture Compass for Europe, kao novi strateški pravac za buduće oblikovanje evropskih politika u oblasti kulture i kreativnih sektora. </w:t>
      </w:r>
      <w:r w:rsidR="00E65CC5">
        <w:rPr>
          <w:lang w:val="sr-Latn-ME"/>
        </w:rPr>
        <w:t>Ova dokument predstavlja okvir za</w:t>
      </w:r>
      <w:r w:rsidRPr="00C95CE8">
        <w:rPr>
          <w:lang w:val="sr-Latn-ME"/>
        </w:rPr>
        <w:t xml:space="preserve"> buduć</w:t>
      </w:r>
      <w:r w:rsidR="00E65CC5">
        <w:rPr>
          <w:lang w:val="sr-Latn-ME"/>
        </w:rPr>
        <w:t>i pravac</w:t>
      </w:r>
      <w:r w:rsidRPr="00C95CE8">
        <w:rPr>
          <w:lang w:val="sr-Latn-ME"/>
        </w:rPr>
        <w:t xml:space="preserve"> EU politike, ali glavni operativni referentni okvir i dalje ostaje EU Work Plan for Culture 2023–2026 i Creative Europe.</w:t>
      </w:r>
    </w:p>
    <w:p w14:paraId="212B1329" w14:textId="1D87D4AB" w:rsidR="00C95CE8" w:rsidRDefault="00C95CE8" w:rsidP="000209B5">
      <w:pPr>
        <w:jc w:val="both"/>
        <w:rPr>
          <w:lang w:val="sr-Latn-ME"/>
        </w:rPr>
      </w:pPr>
      <w:r w:rsidRPr="00C95CE8">
        <w:rPr>
          <w:lang w:val="sr-Latn-ME"/>
        </w:rPr>
        <w:t xml:space="preserve">U kulturnom dijelu, status Crne Gore u odnosu na EU inicijative je relativno povoljan: Evropska komisija konstatuje da Crna Gora u potpunosti učestvuje u programu Kreativna Evropa, da je ratifikovala UNESCO Konvenciju iz 2005. godine i da je Nikšić izabran za Evropsku prijestonicu kulture 2030. godine. Dodatno, Crna Gora nastoji da kulturu pozicionira i u širem evropskom i </w:t>
      </w:r>
      <w:r w:rsidRPr="00C95CE8">
        <w:rPr>
          <w:lang w:val="sr-Latn-ME"/>
        </w:rPr>
        <w:lastRenderedPageBreak/>
        <w:t>regionalnom kontekstu, uključujući predsjedavanje Berlinskim procesom i organizovanje ministarskog foruma o kreativnoj ekonomiji. To pokazuje da je položaj Crne Gore u odnosu na evropske kulturne inicijative trenutno jači u domenu programskog učešća, međunarodne kulturne saradnje i simboličke integracije u evropski kulturni prostor, nego u domenu klasičnog regulatornog usklađivanja, jer je acquis u ovoj oblasti ograničeniji.</w:t>
      </w:r>
    </w:p>
    <w:p w14:paraId="3BE96254" w14:textId="6B19B4D9" w:rsidR="000209B5" w:rsidRPr="00C95CE8" w:rsidRDefault="000209B5" w:rsidP="000209B5">
      <w:pPr>
        <w:jc w:val="both"/>
        <w:rPr>
          <w:lang w:val="sr-Latn-ME"/>
        </w:rPr>
      </w:pPr>
      <w:r w:rsidRPr="000209B5">
        <w:rPr>
          <w:lang w:val="sr-Latn-ME"/>
        </w:rPr>
        <w:t>Od međunarodnih okv</w:t>
      </w:r>
      <w:r>
        <w:rPr>
          <w:lang w:val="sr-Latn-ME"/>
        </w:rPr>
        <w:t xml:space="preserve">ira, za oblast kulture </w:t>
      </w:r>
      <w:r w:rsidRPr="000209B5">
        <w:rPr>
          <w:lang w:val="sr-Latn-ME"/>
        </w:rPr>
        <w:t>ostaju relevantni i UNESCO Konvencija o zaštiti i promociji raznolikosti kulturnih izraza iz 2005. godine, koja afirmiše kulturnu raznolikost kao razvojni i javnopolitički cilj, kao i Faro konvencija Savjeta Evrope, koja kulturnu baštinu postavlja u vezu sa ljudskim pravima, demokratijom i učešćem zajednica. Ovi dokumenti su posebno korisni za dio strateškog dokumenta koji povezuje kulturnu baštinu, lokalni razvoj i društvenu koheziju.</w:t>
      </w:r>
    </w:p>
    <w:p w14:paraId="0C8ACA63" w14:textId="08247F94" w:rsidR="00C95CE8" w:rsidRPr="00C95CE8" w:rsidRDefault="00C95CE8" w:rsidP="000209B5">
      <w:pPr>
        <w:jc w:val="both"/>
        <w:rPr>
          <w:lang w:val="sr-Latn-ME"/>
        </w:rPr>
      </w:pPr>
      <w:r w:rsidRPr="00C95CE8">
        <w:rPr>
          <w:lang w:val="sr-Latn-ME"/>
        </w:rPr>
        <w:t xml:space="preserve">U dijelu </w:t>
      </w:r>
      <w:r w:rsidRPr="000209B5">
        <w:rPr>
          <w:b/>
          <w:lang w:val="sr-Latn-ME"/>
        </w:rPr>
        <w:t>turizma</w:t>
      </w:r>
      <w:r w:rsidRPr="00C95CE8">
        <w:rPr>
          <w:lang w:val="sr-Latn-ME"/>
        </w:rPr>
        <w:t>, EU nema zasebno, samostalno pregovaračko poglav</w:t>
      </w:r>
      <w:r w:rsidR="000209B5">
        <w:rPr>
          <w:lang w:val="sr-Latn-ME"/>
        </w:rPr>
        <w:t>lje niti jedinstven „</w:t>
      </w:r>
      <w:r w:rsidRPr="00C95CE8">
        <w:rPr>
          <w:lang w:val="sr-Latn-ME"/>
        </w:rPr>
        <w:t>acquis”. Umjesto toga, evropski okvir se oslanja na koordinaciju politika i zajedničke strateške pravce. Najvažniji referentni dokumenti su European Agenda for Tourism 2030, usvojena kroz zaključke Savjeta, i Transition Pathway for Tourism, kojim se turizam usmjerava ka zelenoj i digitalnoj tranziciji, većoj otpornosti, razvoju vještina i boljem upravljanju destinacijama. Ti dokumenti su posebno važni za zemlje kandidate jer ukazuju da budući razvoj turizma u EU više nije fokusiran samo na rast prometa, već na održivost, otpornost, kvalitet usluge i podatkovno zasnovano upravljanje.</w:t>
      </w:r>
    </w:p>
    <w:p w14:paraId="22A34F34" w14:textId="108E6970" w:rsidR="00C95CE8" w:rsidRPr="00C95CE8" w:rsidRDefault="4D780C90" w:rsidP="4D780C90">
      <w:pPr>
        <w:jc w:val="both"/>
        <w:rPr>
          <w:lang w:val="sr-Latn-ME"/>
        </w:rPr>
      </w:pPr>
      <w:r w:rsidRPr="4D780C90">
        <w:rPr>
          <w:lang w:val="sr-Latn-ME"/>
        </w:rPr>
        <w:t>U slučaju Crne Gore, turizam se u pristupnom procesu prati prvenstveno kroz Poglavlje 20 – Preduzetništvo i industrijska politika, koje je takođe privremeno zatvoreno u decembru 2024. godine. Položaj Crne Gore prema EU inicijativama u turizmu se prije svega mjeri kroz sposobnost da nacionalne politike turizma uskladi sa širim evropskim pravcima konkurentnosti, održivosti, digitalizacije i upravljanja destinacijama.</w:t>
      </w:r>
    </w:p>
    <w:p w14:paraId="096F3D65" w14:textId="78754DA8" w:rsidR="00F579F5" w:rsidRDefault="00F579F5" w:rsidP="00F579F5">
      <w:pPr>
        <w:pStyle w:val="Naslov3"/>
        <w:rPr>
          <w:lang w:val="sr-Latn-ME"/>
        </w:rPr>
      </w:pPr>
      <w:r>
        <w:rPr>
          <w:lang w:val="sr-Latn-ME"/>
        </w:rPr>
        <w:t>Crnogorski strateški i pravni okvir</w:t>
      </w:r>
    </w:p>
    <w:p w14:paraId="20C8D264" w14:textId="543BE2F7" w:rsidR="00C95CE8" w:rsidRPr="00C95CE8" w:rsidRDefault="4D780C90" w:rsidP="000209B5">
      <w:pPr>
        <w:jc w:val="both"/>
        <w:rPr>
          <w:lang w:val="sr-Latn-ME"/>
        </w:rPr>
      </w:pPr>
      <w:r w:rsidRPr="4D780C90">
        <w:rPr>
          <w:lang w:val="sr-Latn-ME"/>
        </w:rPr>
        <w:t>Crnogorski strateški i pravni okvir za prioritetno područje kultura, turizam i mediji zasniva se na kombinaciji važećih sektorskih strategija, krovnih razvojnih dokumenata i zakonodavnog okvira koji se dalje usklađuje kroz Program pristupanja Crne Gore Evropskoj uniji 2026–2027. PPCG izričito potvrđuje da se obaveze planiraju kroz strateški i zakonodavni okvir po pregovaračkim poglavljima, što je za ovu oblast posebno važno u dijelu poglavlja 10, 20 i 26.</w:t>
      </w:r>
    </w:p>
    <w:p w14:paraId="42777CA4" w14:textId="187EFA92" w:rsidR="00C95CE8" w:rsidRPr="00C95CE8" w:rsidRDefault="4D780C90" w:rsidP="000209B5">
      <w:pPr>
        <w:jc w:val="both"/>
        <w:rPr>
          <w:lang w:val="sr-Latn-ME"/>
        </w:rPr>
      </w:pPr>
      <w:r w:rsidRPr="4D780C90">
        <w:rPr>
          <w:lang w:val="sr-Latn-ME"/>
        </w:rPr>
        <w:t xml:space="preserve">U oblasti kulture, osnovni strateški dokument predstavlja Nacionalni program razvoja kulture Crne Gore 2023–2027, koji uspostavlja dugoročni okvir kulturne politike i izričito povezuje razvoj kulture sa unapređenjem zakonsko-regulatornog okvira, jačanjem institucionalnih kapaciteta, zaštitom i održivim korišćenjem kulturne baštine, razvojem kulturnih i kreativnih industrija i jačanjem međunarodne saradnje. </w:t>
      </w:r>
    </w:p>
    <w:p w14:paraId="707F0CB2" w14:textId="29F9D1A8" w:rsidR="00C95CE8" w:rsidRPr="00C95CE8" w:rsidRDefault="4D780C90" w:rsidP="000209B5">
      <w:pPr>
        <w:jc w:val="both"/>
        <w:rPr>
          <w:lang w:val="sr-Latn-ME"/>
        </w:rPr>
      </w:pPr>
      <w:r w:rsidRPr="4D780C90">
        <w:rPr>
          <w:lang w:val="sr-Latn-ME"/>
        </w:rPr>
        <w:t xml:space="preserve">Ključni pravni okvir u kulturi čini prije svega Zakon o kulturi kao krovni zakon, uz posebne propise iz užih oblasti, prije svega Zakon o zaštiti kulturnih dobara i Zakon o arhivskoj djelatnosti. Iz Programa rada Vlade za 2026. godinu jasno se vidi da je u toku dalja modernizacija ovog normativnog okvira: planiran je Predlog zakona o kulturi, uz obrazloženje da se postojeći zakonski model pokazao neadekvatnim u odnosu na trendove u kulturi i potrebu redefinisanja pojedinih pravnih instituta, kao i Predlog zakona o izmjenama i dopunama Zakona o zaštiti kulturnih dobara, </w:t>
      </w:r>
      <w:r w:rsidRPr="4D780C90">
        <w:rPr>
          <w:lang w:val="sr-Latn-ME"/>
        </w:rPr>
        <w:lastRenderedPageBreak/>
        <w:t xml:space="preserve">radi otklanjanja uočenih nedostataka u primjeni i dodatnog usklađivanja sa pravnom tekovinom EU. </w:t>
      </w:r>
    </w:p>
    <w:p w14:paraId="6D941739" w14:textId="77777777" w:rsidR="00C95CE8" w:rsidRPr="00C95CE8" w:rsidRDefault="4D780C90" w:rsidP="000209B5">
      <w:pPr>
        <w:jc w:val="both"/>
        <w:rPr>
          <w:lang w:val="sr-Latn-ME"/>
        </w:rPr>
      </w:pPr>
      <w:r w:rsidRPr="4D780C90">
        <w:rPr>
          <w:lang w:val="sr-Latn-ME"/>
        </w:rPr>
        <w:t>Pored toga, iz nacionalnog programa razvoja kulture vidi se da je kulturni sektor povezan i sa širim intersektorskim dokumentima, naročito sa Nacionalnom strategijom održivog razvoja do 2030. godine i Strategijom pametne specijalizacije, koja među prioritetima razvoja prepoznaje održivi i zdravstveni turizam i ICT, što je važno za vezu kulture, kreativnih industrija i inovacija.</w:t>
      </w:r>
    </w:p>
    <w:p w14:paraId="2A921B0C" w14:textId="77777777" w:rsidR="00C95CE8" w:rsidRPr="00C95CE8" w:rsidRDefault="4D780C90" w:rsidP="000209B5">
      <w:pPr>
        <w:jc w:val="both"/>
        <w:rPr>
          <w:lang w:val="sr-Latn-ME"/>
        </w:rPr>
      </w:pPr>
      <w:r w:rsidRPr="4D780C90">
        <w:rPr>
          <w:lang w:val="sr-Latn-ME"/>
        </w:rPr>
        <w:t>U oblasti medija, osnovni strateški dokument je Medijska strategija Crne Gore 2023–2027, koja postavlja okvir za unapređenje slobode izražavanja i slobode medija, transparentnosti medijskog vlasništva, medijskog pluralizma, održivosti medija, položaja novinara i medijske pismenosti. Sama Strategija izričito navodi da je povezana sa pregovaračkim poglavljima 10 i 23 i da predstavlja instrument za realizaciju preporuka iz izvještaja Evropske komisije i za dalje usklađivanje sa evropskom regulativom, posebno sa AVMSD.</w:t>
      </w:r>
    </w:p>
    <w:p w14:paraId="0991AFA5" w14:textId="1A351E32" w:rsidR="00C95CE8" w:rsidRPr="00C95CE8" w:rsidRDefault="4D780C90" w:rsidP="000209B5">
      <w:pPr>
        <w:jc w:val="both"/>
        <w:rPr>
          <w:lang w:val="sr-Latn-ME"/>
        </w:rPr>
      </w:pPr>
      <w:r w:rsidRPr="4D780C90">
        <w:rPr>
          <w:lang w:val="sr-Latn-ME"/>
        </w:rPr>
        <w:t>Temelj medijskog pravnog okvira čine Zakon o medijima, Zakon o javnom medijskom servisu Crne Gore i Zakon o audiovizuelnim medijskim uslugama. Strateški dokument ih tretira kao centralne propise za transparentnost vlasništva, pluralizam, samoregulaciju i jačanje nezavisnosti javnog servisa i regulatora. U širem digitalno-medijskom segmentu, normativni okvir se dalje nadograđuje i kroz propise koji nijesu usko medijski, ali su za sektor relevantni. U tom smislu, iz Programa rada Vlade za 2026. godinu vidi se priprema zakona o sprovođenju Uredbe (EU) 2022/2065 o digitalnim uslugama (DSA), te da je Vlada usvojila Predlog zakona o izmjenama i dopunama Zakona o elektronskim komunikacijama, radi daljeg usklađivanja sa pravnom tekovinom EU, posebno u oblasti rominga i NIS2. To pokazuje da se crnogorski okvir za medije i digitalni informacioni prostor razvija paralelno i međusobno povezano.</w:t>
      </w:r>
    </w:p>
    <w:p w14:paraId="2A252746" w14:textId="5CD50B4F" w:rsidR="00C95CE8" w:rsidRPr="00C95CE8" w:rsidRDefault="4D780C90" w:rsidP="000209B5">
      <w:pPr>
        <w:jc w:val="both"/>
        <w:rPr>
          <w:lang w:val="sr-Latn-ME"/>
        </w:rPr>
      </w:pPr>
      <w:r w:rsidRPr="4D780C90">
        <w:rPr>
          <w:lang w:val="sr-Latn-ME"/>
        </w:rPr>
        <w:t>U oblasti turizma, strateški okvir čine prije svega sektorski razvojni dokumenti Ministarstva turizma. Ključni rad u ovoj oblasti se zasniva na Strategiji razvoja turizma Crne Gore, a u toku su aktivnosti na izradi dodatnih programskih dokumenata, uključujući Program razvoja ljudskih resursa u turizmu. Za turizam su posebno važni i Program razvoja ruralnog turizma 2023–2025, kao i Program podsticajnih mjera u oblasti turizma za 2025. godinu, koji operacionalizuju politiku diverzifikacije ponude, razvoja ruralnog turizma, podrške manifestacijama, digitalizacije i unapređenja kvaliteta turističkih usluga.</w:t>
      </w:r>
    </w:p>
    <w:p w14:paraId="075883E8" w14:textId="0E306948" w:rsidR="00C95CE8" w:rsidRPr="00C95CE8" w:rsidRDefault="4D780C90" w:rsidP="000209B5">
      <w:pPr>
        <w:jc w:val="both"/>
        <w:rPr>
          <w:lang w:val="sr-Latn-ME"/>
        </w:rPr>
      </w:pPr>
      <w:r w:rsidRPr="4D780C90">
        <w:rPr>
          <w:lang w:val="sr-Latn-ME"/>
        </w:rPr>
        <w:t>Krovni pravni okvir u turizmu čini Zakon o turizmu i ugostiteljstvu, koji uz prateće propise predstavlja osnovu za vršenje normativnih, razvojnih i inspekcijskih poslova u oblasti turizma i ugostiteljstva. Za naredni period predviđa se dalje unapređenje strateškog i pravnog okvira kroz novu Strategiju razvoja turizma Crne Gore 2027–2036 sa Akcionim planom 2027–2028, kao i donošenje novog Zakona o turizmu i ugostiteljstvu i Zakona o planinskim stazama. Time je jasno da se i turistički sektor nalazi u fazi daljeg strateškog i zakonodavnog preoblikovanja.</w:t>
      </w:r>
    </w:p>
    <w:p w14:paraId="2BF24737" w14:textId="7AE224EB" w:rsidR="0021066E" w:rsidRPr="00F579F5" w:rsidRDefault="4D780C90" w:rsidP="00484A03">
      <w:pPr>
        <w:jc w:val="both"/>
        <w:rPr>
          <w:lang w:val="sr-Latn-ME"/>
        </w:rPr>
      </w:pPr>
      <w:r w:rsidRPr="4D780C90">
        <w:rPr>
          <w:lang w:val="sr-Latn-ME"/>
        </w:rPr>
        <w:t>Posmatrano cjelovito, crnogorski strateški i pravni okvir za oblast kulture, turizma i medija karakterišu tri paralelna procesa: postojanje važećih sektorskih strategija, dalja normativna modernizacija ključnih zakona i sve snažnije povezivanje nacionalnog okvira sa obavezama iz pregovaračkog procesa sa Evropskom unijom. U kulturi je težište na novom krovnom zakonu i izmjenama propisa o kulturnim dobrima i arhivskoj djelatnosti; u medijima na konsolidaciji medijskog zakonodavstva i njegovom povezivanju sa širim digitalnim acquis-em; a u turizmu na pripremi nove generacije strateških i zakonskih rješenja za dugoročniji i održiviji razvoj sektora.</w:t>
      </w:r>
    </w:p>
    <w:p w14:paraId="42164ED2" w14:textId="18B0C8DF" w:rsidR="00F579F5" w:rsidRDefault="00F579F5" w:rsidP="00F579F5">
      <w:pPr>
        <w:pStyle w:val="Naslov3"/>
        <w:rPr>
          <w:lang w:val="sr-Latn-ME"/>
        </w:rPr>
      </w:pPr>
      <w:r>
        <w:rPr>
          <w:lang w:val="sr-Latn-ME"/>
        </w:rPr>
        <w:lastRenderedPageBreak/>
        <w:t>Planirane i trenutne reforme</w:t>
      </w:r>
    </w:p>
    <w:p w14:paraId="20A052DC" w14:textId="27A12E08" w:rsidR="00C95CE8" w:rsidRPr="00C95CE8" w:rsidRDefault="00C95CE8" w:rsidP="00197522">
      <w:pPr>
        <w:jc w:val="both"/>
        <w:rPr>
          <w:lang w:val="sr-Latn-ME"/>
        </w:rPr>
      </w:pPr>
      <w:r w:rsidRPr="00C95CE8">
        <w:rPr>
          <w:lang w:val="sr-Latn-ME"/>
        </w:rPr>
        <w:t>Planirane i trenutne reforme u prioritetnom području kultura, turizam i mediji</w:t>
      </w:r>
      <w:r w:rsidR="00197522">
        <w:rPr>
          <w:lang w:val="sr-Latn-ME"/>
        </w:rPr>
        <w:t xml:space="preserve"> se prije svega vezuju za sektorske strateške dokumente, a manje za Reformsku agendu Crne Gore ili Program ekonomskih reformi, gdje se eventualne reforme mogu tumačiti posredno, kroz horizontalne reforme koje utiču na uslove razvoja ovih sektora.</w:t>
      </w:r>
    </w:p>
    <w:p w14:paraId="6BC18D3D" w14:textId="714B91D9" w:rsidR="00C95CE8" w:rsidRPr="00C95CE8" w:rsidRDefault="00C95CE8" w:rsidP="00197522">
      <w:pPr>
        <w:jc w:val="both"/>
        <w:rPr>
          <w:lang w:val="sr-Latn-ME"/>
        </w:rPr>
      </w:pPr>
      <w:r w:rsidRPr="00C95CE8">
        <w:rPr>
          <w:lang w:val="sr-Latn-ME"/>
        </w:rPr>
        <w:t>U oblasti kulture, reformski prioriteti su u najvećoj mjeri normativni i institucionalni. Program rada Vlade za 2026. predviđa Predlog zakona o kulturi kao krovni reformski zahvat, uz jasno obrazloženje da se postojeći zakonski model pokazao neadekvatnim u odnosu na trendove u kulturi i potrebu redefinisanja pojedinih pravnih instituta</w:t>
      </w:r>
      <w:r w:rsidR="00197522">
        <w:rPr>
          <w:lang w:val="sr-Latn-ME"/>
        </w:rPr>
        <w:t xml:space="preserve">.Takođe, predviđen je i </w:t>
      </w:r>
      <w:r w:rsidRPr="00C95CE8">
        <w:rPr>
          <w:lang w:val="sr-Latn-ME"/>
        </w:rPr>
        <w:t>nastavak sprovođenja Programa zaštite i očuvanja kulturnih dobara, kao i dalje normativne i programske aktivnosti povezane sa savremenim upravljanjem kulturnom baštinom i njenim održivim korišćenjem. To potvrđuje da se reformski pravac u kulturi trenutno kreće ka modernizaciji krovnog zakonskog okvira, jačanju upravljanja kulturnom baštinom i preciznijem definisanju instrumenata kulturne politike.</w:t>
      </w:r>
    </w:p>
    <w:p w14:paraId="6E4F4D60" w14:textId="2DCB7C51" w:rsidR="00C95CE8" w:rsidRPr="00C95CE8" w:rsidRDefault="00E542D2" w:rsidP="00197522">
      <w:pPr>
        <w:jc w:val="both"/>
        <w:rPr>
          <w:lang w:val="sr-Latn-ME"/>
        </w:rPr>
      </w:pPr>
      <w:r>
        <w:rPr>
          <w:lang w:val="sr-Latn-ME"/>
        </w:rPr>
        <w:t>Izvještaj</w:t>
      </w:r>
      <w:r w:rsidR="00C95CE8" w:rsidRPr="00C95CE8">
        <w:rPr>
          <w:lang w:val="sr-Latn-ME"/>
        </w:rPr>
        <w:t xml:space="preserve"> Ministarstva kulture i medija za 2025. godi</w:t>
      </w:r>
      <w:r>
        <w:rPr>
          <w:lang w:val="sr-Latn-ME"/>
        </w:rPr>
        <w:t>nu ukazuju da se aktivnosti u oblasti kulture i medija vezuju</w:t>
      </w:r>
      <w:r w:rsidR="00C95CE8" w:rsidRPr="00C95CE8">
        <w:rPr>
          <w:lang w:val="sr-Latn-ME"/>
        </w:rPr>
        <w:t xml:space="preserve"> za dva cilja Srednjoročnog programa rada Vlade: „Slobodni mediji – objektivno informisano društvo” i „Kultura kao način života”, te eksplicitno ukazuje da je i dalje potrebno raditi na inoviranju pravnog okvira u oblasti kulture i na razvoju podsticajnih kulturnih politika. Drugim riječima, reformski fokus u kulturi nije na izolovanim pojedinačnim projektima, već na sređivanju sistemskog okvira.</w:t>
      </w:r>
    </w:p>
    <w:p w14:paraId="1D251BCB" w14:textId="726CEBE4" w:rsidR="00C95CE8" w:rsidRPr="00C95CE8" w:rsidRDefault="00C95CE8" w:rsidP="00197522">
      <w:pPr>
        <w:jc w:val="both"/>
        <w:rPr>
          <w:lang w:val="sr-Latn-ME"/>
        </w:rPr>
      </w:pPr>
      <w:r w:rsidRPr="00C95CE8">
        <w:rPr>
          <w:lang w:val="sr-Latn-ME"/>
        </w:rPr>
        <w:t>U oblasti medija, reformski pravac je prije svega vezan za implementaciju novog medijskog zakonodavstva i dalje usklađivanje sa pravnom tekovinom EU. Medijska strategija Crne Gore 2023–2027 sama polazi od potrebe da se poboljša zakonska koherentnost, sprovođenje propisa, transparentnost finansiranja i vlasništva, te ojača nezavisnost i održivost medijskog sistema.</w:t>
      </w:r>
    </w:p>
    <w:p w14:paraId="50A9617E" w14:textId="54D5EBF0" w:rsidR="00C95CE8" w:rsidRPr="00C95CE8" w:rsidRDefault="00C95CE8" w:rsidP="00197522">
      <w:pPr>
        <w:jc w:val="both"/>
        <w:rPr>
          <w:lang w:val="sr-Latn-ME"/>
        </w:rPr>
      </w:pPr>
      <w:r w:rsidRPr="00C95CE8">
        <w:rPr>
          <w:lang w:val="sr-Latn-ME"/>
        </w:rPr>
        <w:t xml:space="preserve">Dodatno, u oblasti medija </w:t>
      </w:r>
      <w:r w:rsidR="00E542D2">
        <w:rPr>
          <w:lang w:val="sr-Latn-ME"/>
        </w:rPr>
        <w:t xml:space="preserve">je </w:t>
      </w:r>
      <w:r w:rsidRPr="00C95CE8">
        <w:rPr>
          <w:lang w:val="sr-Latn-ME"/>
        </w:rPr>
        <w:t>prioritet i dalje efektivna implementacija medijskih zakona i dalje usklađivanje sa zakonodavstvom EU, uz jačanje slobode medija i sigurnosnog ambijenta za zaposlene u medijima.</w:t>
      </w:r>
      <w:r w:rsidR="00E542D2">
        <w:rPr>
          <w:lang w:val="sr-Latn-ME"/>
        </w:rPr>
        <w:t xml:space="preserve"> Dakle,</w:t>
      </w:r>
      <w:r w:rsidRPr="00C95CE8">
        <w:rPr>
          <w:lang w:val="sr-Latn-ME"/>
        </w:rPr>
        <w:t xml:space="preserve"> težište reforme ostaje na njegovoj primjeni, regulatornoj dosljednosti i daljoj evropskoj harmonizaciji.</w:t>
      </w:r>
    </w:p>
    <w:p w14:paraId="6E3AD75B" w14:textId="665BE2DA" w:rsidR="00C95CE8" w:rsidRPr="00C95CE8" w:rsidRDefault="00C95CE8" w:rsidP="00197522">
      <w:pPr>
        <w:jc w:val="both"/>
        <w:rPr>
          <w:lang w:val="sr-Latn-ME"/>
        </w:rPr>
      </w:pPr>
      <w:r w:rsidRPr="00C95CE8">
        <w:rPr>
          <w:lang w:val="sr-Latn-ME"/>
        </w:rPr>
        <w:t xml:space="preserve">U oblasti turizma, reformski prioriteti </w:t>
      </w:r>
      <w:r w:rsidR="00E542D2">
        <w:rPr>
          <w:lang w:val="sr-Latn-ME"/>
        </w:rPr>
        <w:t>se ogledaju u izradi Strategije</w:t>
      </w:r>
      <w:r w:rsidRPr="00C95CE8">
        <w:rPr>
          <w:lang w:val="sr-Latn-ME"/>
        </w:rPr>
        <w:t xml:space="preserve"> razvoja turizma Crne Gore 2027–2036 sa Akcionim planom za period 2027–2028, kao </w:t>
      </w:r>
      <w:r w:rsidR="00E542D2">
        <w:rPr>
          <w:lang w:val="sr-Latn-ME"/>
        </w:rPr>
        <w:t>pripremi</w:t>
      </w:r>
      <w:r w:rsidRPr="00C95CE8">
        <w:rPr>
          <w:lang w:val="sr-Latn-ME"/>
        </w:rPr>
        <w:t xml:space="preserve"> nov</w:t>
      </w:r>
      <w:r w:rsidR="00E542D2">
        <w:rPr>
          <w:lang w:val="sr-Latn-ME"/>
        </w:rPr>
        <w:t>og</w:t>
      </w:r>
      <w:r w:rsidRPr="00C95CE8">
        <w:rPr>
          <w:lang w:val="sr-Latn-ME"/>
        </w:rPr>
        <w:t xml:space="preserve"> Zakon</w:t>
      </w:r>
      <w:r w:rsidR="00E542D2">
        <w:rPr>
          <w:lang w:val="sr-Latn-ME"/>
        </w:rPr>
        <w:t>a</w:t>
      </w:r>
      <w:r w:rsidRPr="00C95CE8">
        <w:rPr>
          <w:lang w:val="sr-Latn-ME"/>
        </w:rPr>
        <w:t xml:space="preserve"> o turizmu i ugostiteljstvu, što pokazuje da sektor ulazi u novu fazu strateškog i normativnog oblikovanja.</w:t>
      </w:r>
    </w:p>
    <w:p w14:paraId="4D82267C" w14:textId="18447D48" w:rsidR="00C95CE8" w:rsidRPr="00C95CE8" w:rsidRDefault="00E542D2" w:rsidP="00197522">
      <w:pPr>
        <w:jc w:val="both"/>
        <w:rPr>
          <w:lang w:val="sr-Latn-ME"/>
        </w:rPr>
      </w:pPr>
      <w:r>
        <w:rPr>
          <w:lang w:val="sr-Latn-ME"/>
        </w:rPr>
        <w:t>Reformski zahvati su vidljivi u oblasti digitalizacije</w:t>
      </w:r>
      <w:r w:rsidR="00C95CE8" w:rsidRPr="00C95CE8">
        <w:rPr>
          <w:lang w:val="sr-Latn-ME"/>
        </w:rPr>
        <w:t xml:space="preserve"> turističkog sektora, uključujući pokretanje procesa uspostavljanja Turističkog informacionog sistema (TIS), jačanje projektnih k</w:t>
      </w:r>
      <w:r>
        <w:rPr>
          <w:lang w:val="sr-Latn-ME"/>
        </w:rPr>
        <w:t>apaciteta i aktivnosti usmjerenih</w:t>
      </w:r>
      <w:r w:rsidR="00C95CE8" w:rsidRPr="00C95CE8">
        <w:rPr>
          <w:lang w:val="sr-Latn-ME"/>
        </w:rPr>
        <w:t xml:space="preserve"> na digitalnu transformaciju i energetsku efikasnost</w:t>
      </w:r>
      <w:r>
        <w:rPr>
          <w:lang w:val="sr-Latn-ME"/>
        </w:rPr>
        <w:t xml:space="preserve"> u turizmu. Uz to, Ministarstvo, kroz svoje izvještaje, </w:t>
      </w:r>
      <w:r w:rsidR="00C95CE8" w:rsidRPr="00C95CE8">
        <w:rPr>
          <w:lang w:val="sr-Latn-ME"/>
        </w:rPr>
        <w:t>navodi realizaciju aktivnosti iz akcionih planova za strategiju razvoja turizma i za ruralni, kulturni i zdravstveni turizam, što pokazuje da se reformski proces u turizmu već odvija kroz diverzifikaciju turističkog proizvoda i podizanje kvaliteta upravljanja destinacijom.</w:t>
      </w:r>
    </w:p>
    <w:p w14:paraId="6A260DE7" w14:textId="67D8975C" w:rsidR="00C95CE8" w:rsidRPr="00C95CE8" w:rsidRDefault="00E542D2" w:rsidP="00197522">
      <w:pPr>
        <w:jc w:val="both"/>
        <w:rPr>
          <w:lang w:val="sr-Latn-ME"/>
        </w:rPr>
      </w:pPr>
      <w:r>
        <w:rPr>
          <w:lang w:val="sr-Latn-ME"/>
        </w:rPr>
        <w:t>Dodatan,</w:t>
      </w:r>
      <w:r w:rsidR="00C95CE8" w:rsidRPr="00C95CE8">
        <w:rPr>
          <w:lang w:val="sr-Latn-ME"/>
        </w:rPr>
        <w:t xml:space="preserve"> reformski signal daju i dokumenti koji se odnose na ruralni turizam. Program razvoja ruralnog turizma 2023–2025 sa ažuriranim akcionim planom 2024–2025 jasno pokazuje da su u </w:t>
      </w:r>
      <w:r w:rsidR="00C95CE8" w:rsidRPr="00C95CE8">
        <w:rPr>
          <w:lang w:val="sr-Latn-ME"/>
        </w:rPr>
        <w:lastRenderedPageBreak/>
        <w:t xml:space="preserve">fokusu digitalizacija i promocija, uključujući unapređenje mobilne aplikacije i vebsajta za ruralni turizam, promotivne kampanje i podršku udruživanju aktera u sektoru. </w:t>
      </w:r>
    </w:p>
    <w:p w14:paraId="72C66FB3" w14:textId="70EF9988" w:rsidR="00F579F5" w:rsidRDefault="00E542D2" w:rsidP="00E542D2">
      <w:pPr>
        <w:jc w:val="both"/>
        <w:rPr>
          <w:lang w:val="sr-Latn-ME"/>
        </w:rPr>
      </w:pPr>
      <w:r w:rsidRPr="00E542D2">
        <w:rPr>
          <w:lang w:val="sr-Latn-ME"/>
        </w:rPr>
        <w:t>U Programu ekonomskih reformi 2026–2028 turizam nije obuhvaćen posebnom reformskom mjerom, uključujući ni mjeru koja bi se eksplicitno odnosila na zeleni ili održivi turizam. U odnosu na raniji programski okvir, u kojem je postojala reformska mjera „Održivi zeleni turizam”, aktuelni PER pitanja turizma tretira posredno, kroz šire prioritete konkurentnosti, digitalizacije i zelene tranzicije.</w:t>
      </w:r>
    </w:p>
    <w:p w14:paraId="7A68DA1B" w14:textId="7136D31A" w:rsidR="0021066E" w:rsidRDefault="4D780C90" w:rsidP="4D780C90">
      <w:pPr>
        <w:pStyle w:val="Naslov2"/>
        <w:rPr>
          <w:lang w:val="sr-Latn-ME"/>
        </w:rPr>
      </w:pPr>
      <w:r w:rsidRPr="4D780C90">
        <w:rPr>
          <w:lang w:val="sr-Latn-ME"/>
        </w:rPr>
        <w:t>Ključni indikatori</w:t>
      </w:r>
    </w:p>
    <w:tbl>
      <w:tblPr>
        <w:tblStyle w:val="Svijetlatablicareetke1-isticanje4"/>
        <w:tblW w:w="9062" w:type="dxa"/>
        <w:tblLook w:val="04A0" w:firstRow="1" w:lastRow="0" w:firstColumn="1" w:lastColumn="0" w:noHBand="0" w:noVBand="1"/>
      </w:tblPr>
      <w:tblGrid>
        <w:gridCol w:w="1400"/>
        <w:gridCol w:w="3041"/>
        <w:gridCol w:w="953"/>
        <w:gridCol w:w="1290"/>
        <w:gridCol w:w="2378"/>
      </w:tblGrid>
      <w:tr w:rsidR="009722B6" w:rsidRPr="00992FF8" w14:paraId="6A240713" w14:textId="77777777" w:rsidTr="00992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hideMark/>
          </w:tcPr>
          <w:p w14:paraId="3880F2BC" w14:textId="77777777" w:rsidR="009722B6" w:rsidRPr="00992FF8" w:rsidRDefault="009722B6" w:rsidP="009722B6">
            <w:pPr>
              <w:rPr>
                <w:b w:val="0"/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Oblast</w:t>
            </w:r>
          </w:p>
        </w:tc>
        <w:tc>
          <w:tcPr>
            <w:tcW w:w="3041" w:type="dxa"/>
            <w:hideMark/>
          </w:tcPr>
          <w:p w14:paraId="45ECF8D4" w14:textId="77777777" w:rsidR="009722B6" w:rsidRPr="00992FF8" w:rsidRDefault="009722B6" w:rsidP="009722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Indikator</w:t>
            </w:r>
          </w:p>
        </w:tc>
        <w:tc>
          <w:tcPr>
            <w:tcW w:w="953" w:type="dxa"/>
            <w:hideMark/>
          </w:tcPr>
          <w:p w14:paraId="2F12B163" w14:textId="77777777" w:rsidR="009722B6" w:rsidRPr="00992FF8" w:rsidRDefault="009722B6" w:rsidP="009722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EU-27</w:t>
            </w:r>
          </w:p>
        </w:tc>
        <w:tc>
          <w:tcPr>
            <w:tcW w:w="1290" w:type="dxa"/>
            <w:hideMark/>
          </w:tcPr>
          <w:p w14:paraId="7B2BEAAB" w14:textId="77777777" w:rsidR="009722B6" w:rsidRPr="00992FF8" w:rsidRDefault="009722B6" w:rsidP="009722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Crna Gora</w:t>
            </w:r>
          </w:p>
        </w:tc>
        <w:tc>
          <w:tcPr>
            <w:tcW w:w="2378" w:type="dxa"/>
            <w:hideMark/>
          </w:tcPr>
          <w:p w14:paraId="5ED69BCE" w14:textId="77777777" w:rsidR="009722B6" w:rsidRPr="00992FF8" w:rsidRDefault="009722B6" w:rsidP="009722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Izvor</w:t>
            </w:r>
          </w:p>
        </w:tc>
      </w:tr>
      <w:tr w:rsidR="009722B6" w:rsidRPr="00992FF8" w14:paraId="7C86BD3A" w14:textId="77777777" w:rsidTr="00992FF8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hideMark/>
          </w:tcPr>
          <w:p w14:paraId="03304A8F" w14:textId="77777777" w:rsidR="009722B6" w:rsidRPr="00992FF8" w:rsidRDefault="009722B6" w:rsidP="009722B6">
            <w:pPr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Kultura</w:t>
            </w:r>
          </w:p>
        </w:tc>
        <w:tc>
          <w:tcPr>
            <w:tcW w:w="3041" w:type="dxa"/>
            <w:hideMark/>
          </w:tcPr>
          <w:p w14:paraId="6EA8FD94" w14:textId="77777777" w:rsidR="009722B6" w:rsidRPr="00992FF8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Udio izdataka domaćinstava za kulturu u ukupnoj potrošnji domaćinstava, 2020</w:t>
            </w:r>
          </w:p>
        </w:tc>
        <w:tc>
          <w:tcPr>
            <w:tcW w:w="953" w:type="dxa"/>
            <w:hideMark/>
          </w:tcPr>
          <w:p w14:paraId="6415085B" w14:textId="77777777" w:rsidR="009722B6" w:rsidRPr="00992FF8" w:rsidRDefault="009722B6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2,7%</w:t>
            </w:r>
          </w:p>
        </w:tc>
        <w:tc>
          <w:tcPr>
            <w:tcW w:w="1290" w:type="dxa"/>
            <w:hideMark/>
          </w:tcPr>
          <w:p w14:paraId="15EE8A11" w14:textId="77777777" w:rsidR="009722B6" w:rsidRPr="00992FF8" w:rsidRDefault="009722B6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0,9%</w:t>
            </w:r>
          </w:p>
        </w:tc>
        <w:tc>
          <w:tcPr>
            <w:tcW w:w="2378" w:type="dxa"/>
            <w:hideMark/>
          </w:tcPr>
          <w:p w14:paraId="7B335D14" w14:textId="77777777" w:rsidR="009722B6" w:rsidRPr="00992FF8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Eurostat – Culture statistics – household expenditure on culture</w:t>
            </w:r>
          </w:p>
        </w:tc>
      </w:tr>
      <w:tr w:rsidR="009722B6" w:rsidRPr="00992FF8" w14:paraId="4F177EF1" w14:textId="77777777" w:rsidTr="00992FF8">
        <w:trPr>
          <w:trHeight w:val="10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hideMark/>
          </w:tcPr>
          <w:p w14:paraId="581648BD" w14:textId="77777777" w:rsidR="009722B6" w:rsidRPr="00992FF8" w:rsidRDefault="009722B6" w:rsidP="009722B6">
            <w:pPr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Kultura</w:t>
            </w:r>
          </w:p>
        </w:tc>
        <w:tc>
          <w:tcPr>
            <w:tcW w:w="3041" w:type="dxa"/>
            <w:hideMark/>
          </w:tcPr>
          <w:p w14:paraId="69F15F70" w14:textId="77777777" w:rsidR="009722B6" w:rsidRPr="00992FF8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Udio osoba koje su pročitale najmanje jednu knjigu u prethodnih 12 mjeseci, 2022</w:t>
            </w:r>
          </w:p>
        </w:tc>
        <w:tc>
          <w:tcPr>
            <w:tcW w:w="953" w:type="dxa"/>
            <w:hideMark/>
          </w:tcPr>
          <w:p w14:paraId="6BE7314A" w14:textId="77777777" w:rsidR="009722B6" w:rsidRPr="00992FF8" w:rsidRDefault="009722B6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52,8%</w:t>
            </w:r>
          </w:p>
        </w:tc>
        <w:tc>
          <w:tcPr>
            <w:tcW w:w="1290" w:type="dxa"/>
            <w:hideMark/>
          </w:tcPr>
          <w:p w14:paraId="1F5AC96A" w14:textId="77777777" w:rsidR="009722B6" w:rsidRPr="00992FF8" w:rsidRDefault="009722B6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64,6%</w:t>
            </w:r>
          </w:p>
        </w:tc>
        <w:tc>
          <w:tcPr>
            <w:tcW w:w="2378" w:type="dxa"/>
            <w:hideMark/>
          </w:tcPr>
          <w:p w14:paraId="78ED9FC7" w14:textId="77777777" w:rsidR="009722B6" w:rsidRPr="00992FF8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Eurostat – Culture statistics – cultural participation (ilc_scp27)</w:t>
            </w:r>
          </w:p>
        </w:tc>
      </w:tr>
      <w:tr w:rsidR="009722B6" w:rsidRPr="00992FF8" w14:paraId="46F968F8" w14:textId="77777777" w:rsidTr="00992FF8">
        <w:trPr>
          <w:trHeight w:val="10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hideMark/>
          </w:tcPr>
          <w:p w14:paraId="536DC1E2" w14:textId="77777777" w:rsidR="009722B6" w:rsidRPr="00992FF8" w:rsidRDefault="009722B6" w:rsidP="009722B6">
            <w:pPr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Mediji</w:t>
            </w:r>
          </w:p>
        </w:tc>
        <w:tc>
          <w:tcPr>
            <w:tcW w:w="3041" w:type="dxa"/>
            <w:hideMark/>
          </w:tcPr>
          <w:p w14:paraId="34B3EF3E" w14:textId="77777777" w:rsidR="009722B6" w:rsidRPr="00992FF8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Udio domaćinstava sa pristupom internetu kod kuće, 2024</w:t>
            </w:r>
          </w:p>
        </w:tc>
        <w:tc>
          <w:tcPr>
            <w:tcW w:w="953" w:type="dxa"/>
            <w:hideMark/>
          </w:tcPr>
          <w:p w14:paraId="75EDE5D4" w14:textId="77777777" w:rsidR="009722B6" w:rsidRPr="00992FF8" w:rsidRDefault="009722B6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94,1%</w:t>
            </w:r>
          </w:p>
        </w:tc>
        <w:tc>
          <w:tcPr>
            <w:tcW w:w="1290" w:type="dxa"/>
            <w:hideMark/>
          </w:tcPr>
          <w:p w14:paraId="4296DAB8" w14:textId="77777777" w:rsidR="009722B6" w:rsidRPr="00992FF8" w:rsidRDefault="009722B6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84,5%</w:t>
            </w:r>
          </w:p>
        </w:tc>
        <w:tc>
          <w:tcPr>
            <w:tcW w:w="2378" w:type="dxa"/>
            <w:hideMark/>
          </w:tcPr>
          <w:p w14:paraId="3051A37B" w14:textId="77777777" w:rsidR="009722B6" w:rsidRPr="00992FF8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Eurostat – Technology in enlargement countries – digital transformation</w:t>
            </w:r>
          </w:p>
        </w:tc>
      </w:tr>
      <w:tr w:rsidR="009722B6" w:rsidRPr="00992FF8" w14:paraId="23056DEB" w14:textId="77777777" w:rsidTr="00992FF8">
        <w:trPr>
          <w:trHeight w:val="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hideMark/>
          </w:tcPr>
          <w:p w14:paraId="693CD047" w14:textId="77777777" w:rsidR="009722B6" w:rsidRPr="00992FF8" w:rsidRDefault="009722B6" w:rsidP="009722B6">
            <w:pPr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Mediji</w:t>
            </w:r>
          </w:p>
        </w:tc>
        <w:tc>
          <w:tcPr>
            <w:tcW w:w="3041" w:type="dxa"/>
            <w:hideMark/>
          </w:tcPr>
          <w:p w14:paraId="5D0F19FE" w14:textId="77777777" w:rsidR="009722B6" w:rsidRPr="00992FF8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Udio dnevnih korisnika interneta, 2024</w:t>
            </w:r>
          </w:p>
        </w:tc>
        <w:tc>
          <w:tcPr>
            <w:tcW w:w="953" w:type="dxa"/>
            <w:hideMark/>
          </w:tcPr>
          <w:p w14:paraId="27651C30" w14:textId="77777777" w:rsidR="009722B6" w:rsidRPr="00992FF8" w:rsidRDefault="009722B6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88,3%</w:t>
            </w:r>
          </w:p>
        </w:tc>
        <w:tc>
          <w:tcPr>
            <w:tcW w:w="1290" w:type="dxa"/>
            <w:hideMark/>
          </w:tcPr>
          <w:p w14:paraId="6CF71B07" w14:textId="77777777" w:rsidR="009722B6" w:rsidRPr="00992FF8" w:rsidRDefault="009722B6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87,2%</w:t>
            </w:r>
          </w:p>
        </w:tc>
        <w:tc>
          <w:tcPr>
            <w:tcW w:w="2378" w:type="dxa"/>
            <w:hideMark/>
          </w:tcPr>
          <w:p w14:paraId="5ED4C138" w14:textId="77777777" w:rsidR="009722B6" w:rsidRPr="00992FF8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Eurostat – Technology in enlargement countries – digital transformation</w:t>
            </w:r>
          </w:p>
        </w:tc>
      </w:tr>
      <w:tr w:rsidR="009722B6" w:rsidRPr="00992FF8" w14:paraId="53AA9A3B" w14:textId="77777777" w:rsidTr="00992FF8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hideMark/>
          </w:tcPr>
          <w:p w14:paraId="22568B6B" w14:textId="77777777" w:rsidR="009722B6" w:rsidRPr="00992FF8" w:rsidRDefault="009722B6" w:rsidP="009722B6">
            <w:pPr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Mediji</w:t>
            </w:r>
          </w:p>
        </w:tc>
        <w:tc>
          <w:tcPr>
            <w:tcW w:w="3041" w:type="dxa"/>
            <w:hideMark/>
          </w:tcPr>
          <w:p w14:paraId="6D2F4071" w14:textId="77777777" w:rsidR="009722B6" w:rsidRPr="00992FF8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Udio internet korisnika koji čitaju online news sajtove / online novine / magazine, 2024</w:t>
            </w:r>
          </w:p>
        </w:tc>
        <w:tc>
          <w:tcPr>
            <w:tcW w:w="953" w:type="dxa"/>
            <w:hideMark/>
          </w:tcPr>
          <w:p w14:paraId="48C80E36" w14:textId="77777777" w:rsidR="009722B6" w:rsidRPr="00992FF8" w:rsidRDefault="009722B6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70,0%</w:t>
            </w:r>
          </w:p>
        </w:tc>
        <w:tc>
          <w:tcPr>
            <w:tcW w:w="1290" w:type="dxa"/>
            <w:hideMark/>
          </w:tcPr>
          <w:p w14:paraId="3DD5FB78" w14:textId="77777777" w:rsidR="009722B6" w:rsidRPr="00992FF8" w:rsidRDefault="009722B6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46,95%</w:t>
            </w:r>
          </w:p>
        </w:tc>
        <w:tc>
          <w:tcPr>
            <w:tcW w:w="2378" w:type="dxa"/>
            <w:hideMark/>
          </w:tcPr>
          <w:p w14:paraId="551CF9DE" w14:textId="77777777" w:rsidR="009722B6" w:rsidRPr="00992FF8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Eurostat – Culture statistics – use of ICT for cultural purposes</w:t>
            </w:r>
          </w:p>
        </w:tc>
      </w:tr>
      <w:tr w:rsidR="009722B6" w:rsidRPr="00992FF8" w14:paraId="708D8D5A" w14:textId="77777777" w:rsidTr="00992FF8">
        <w:trPr>
          <w:trHeight w:val="10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hideMark/>
          </w:tcPr>
          <w:p w14:paraId="52EBA871" w14:textId="77777777" w:rsidR="009722B6" w:rsidRPr="00992FF8" w:rsidRDefault="009722B6" w:rsidP="009722B6">
            <w:pPr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Turizam</w:t>
            </w:r>
          </w:p>
        </w:tc>
        <w:tc>
          <w:tcPr>
            <w:tcW w:w="3041" w:type="dxa"/>
            <w:hideMark/>
          </w:tcPr>
          <w:p w14:paraId="35A9DD2E" w14:textId="77777777" w:rsidR="009722B6" w:rsidRPr="00992FF8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Doprinos turizma BDP-u, 2023 (ukupan doprinos Travel &amp; Tourism sektora)</w:t>
            </w:r>
          </w:p>
        </w:tc>
        <w:tc>
          <w:tcPr>
            <w:tcW w:w="953" w:type="dxa"/>
            <w:hideMark/>
          </w:tcPr>
          <w:p w14:paraId="5096F74A" w14:textId="77777777" w:rsidR="009722B6" w:rsidRPr="00992FF8" w:rsidRDefault="009722B6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oko 10% BDP-a</w:t>
            </w:r>
          </w:p>
        </w:tc>
        <w:tc>
          <w:tcPr>
            <w:tcW w:w="1290" w:type="dxa"/>
            <w:hideMark/>
          </w:tcPr>
          <w:p w14:paraId="4A99B9F5" w14:textId="77777777" w:rsidR="009722B6" w:rsidRPr="00992FF8" w:rsidRDefault="009722B6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29,1% BDP-a</w:t>
            </w:r>
          </w:p>
        </w:tc>
        <w:tc>
          <w:tcPr>
            <w:tcW w:w="2378" w:type="dxa"/>
            <w:hideMark/>
          </w:tcPr>
          <w:p w14:paraId="067FD150" w14:textId="77777777" w:rsidR="009722B6" w:rsidRPr="00992FF8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WTTC, Economic Impact Research</w:t>
            </w:r>
          </w:p>
        </w:tc>
      </w:tr>
      <w:tr w:rsidR="009722B6" w:rsidRPr="00992FF8" w14:paraId="1474CB43" w14:textId="77777777" w:rsidTr="00992FF8">
        <w:trPr>
          <w:trHeight w:val="1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hideMark/>
          </w:tcPr>
          <w:p w14:paraId="0174A4BE" w14:textId="77777777" w:rsidR="009722B6" w:rsidRPr="00992FF8" w:rsidRDefault="009722B6" w:rsidP="009722B6">
            <w:pPr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Turizam</w:t>
            </w:r>
          </w:p>
        </w:tc>
        <w:tc>
          <w:tcPr>
            <w:tcW w:w="3041" w:type="dxa"/>
            <w:hideMark/>
          </w:tcPr>
          <w:p w14:paraId="72E0C7FD" w14:textId="77777777" w:rsidR="009722B6" w:rsidRPr="00992FF8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Turistički kapacitet / intenzitet smještaja (bed places per 1.000 stanovnika)</w:t>
            </w:r>
          </w:p>
        </w:tc>
        <w:tc>
          <w:tcPr>
            <w:tcW w:w="953" w:type="dxa"/>
            <w:hideMark/>
          </w:tcPr>
          <w:p w14:paraId="3465333E" w14:textId="77777777" w:rsidR="009722B6" w:rsidRPr="00992FF8" w:rsidRDefault="009722B6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27</w:t>
            </w:r>
          </w:p>
        </w:tc>
        <w:tc>
          <w:tcPr>
            <w:tcW w:w="1290" w:type="dxa"/>
            <w:hideMark/>
          </w:tcPr>
          <w:p w14:paraId="296B99FB" w14:textId="77777777" w:rsidR="009722B6" w:rsidRPr="00992FF8" w:rsidRDefault="009722B6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58</w:t>
            </w:r>
          </w:p>
        </w:tc>
        <w:tc>
          <w:tcPr>
            <w:tcW w:w="2378" w:type="dxa"/>
            <w:hideMark/>
          </w:tcPr>
          <w:p w14:paraId="1FFEFE76" w14:textId="77777777" w:rsidR="009722B6" w:rsidRPr="00992FF8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Eurostat – Statistics on tourism for the enlargement countries</w:t>
            </w:r>
          </w:p>
        </w:tc>
      </w:tr>
      <w:tr w:rsidR="009722B6" w:rsidRPr="00992FF8" w14:paraId="157CC0D2" w14:textId="77777777" w:rsidTr="00992FF8">
        <w:trPr>
          <w:trHeight w:val="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hideMark/>
          </w:tcPr>
          <w:p w14:paraId="5FA68D60" w14:textId="77777777" w:rsidR="009722B6" w:rsidRPr="00992FF8" w:rsidRDefault="009722B6" w:rsidP="009722B6">
            <w:pPr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Turizam</w:t>
            </w:r>
          </w:p>
        </w:tc>
        <w:tc>
          <w:tcPr>
            <w:tcW w:w="3041" w:type="dxa"/>
            <w:hideMark/>
          </w:tcPr>
          <w:p w14:paraId="138A7305" w14:textId="77777777" w:rsidR="009722B6" w:rsidRPr="00992FF8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Turistički intenzitet: broj noćenja u hotelima i sličnom smještaju po stanovniku, 2018</w:t>
            </w:r>
          </w:p>
        </w:tc>
        <w:tc>
          <w:tcPr>
            <w:tcW w:w="953" w:type="dxa"/>
            <w:hideMark/>
          </w:tcPr>
          <w:p w14:paraId="416B43CF" w14:textId="77777777" w:rsidR="009722B6" w:rsidRPr="00992FF8" w:rsidRDefault="009722B6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4,0</w:t>
            </w:r>
          </w:p>
        </w:tc>
        <w:tc>
          <w:tcPr>
            <w:tcW w:w="1290" w:type="dxa"/>
            <w:hideMark/>
          </w:tcPr>
          <w:p w14:paraId="4B15307E" w14:textId="77777777" w:rsidR="009722B6" w:rsidRPr="00992FF8" w:rsidRDefault="009722B6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6,1</w:t>
            </w:r>
          </w:p>
        </w:tc>
        <w:tc>
          <w:tcPr>
            <w:tcW w:w="2378" w:type="dxa"/>
            <w:hideMark/>
          </w:tcPr>
          <w:p w14:paraId="06F238E1" w14:textId="77777777" w:rsidR="009722B6" w:rsidRPr="00992FF8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Eurostat – Statistics on tourism for the enlargement countries</w:t>
            </w:r>
          </w:p>
        </w:tc>
      </w:tr>
      <w:tr w:rsidR="009722B6" w:rsidRPr="00992FF8" w14:paraId="03E613E1" w14:textId="77777777" w:rsidTr="00992FF8">
        <w:trPr>
          <w:trHeight w:val="1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hideMark/>
          </w:tcPr>
          <w:p w14:paraId="6DFDEACA" w14:textId="77777777" w:rsidR="009722B6" w:rsidRPr="00992FF8" w:rsidRDefault="009722B6" w:rsidP="009722B6">
            <w:pPr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Turizam</w:t>
            </w:r>
          </w:p>
        </w:tc>
        <w:tc>
          <w:tcPr>
            <w:tcW w:w="3041" w:type="dxa"/>
            <w:hideMark/>
          </w:tcPr>
          <w:p w14:paraId="4125318E" w14:textId="77777777" w:rsidR="009722B6" w:rsidRPr="00992FF8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Prosječan broj noćenja po dolasku u hotelima i sličnom smještaju, 2018</w:t>
            </w:r>
          </w:p>
        </w:tc>
        <w:tc>
          <w:tcPr>
            <w:tcW w:w="953" w:type="dxa"/>
            <w:hideMark/>
          </w:tcPr>
          <w:p w14:paraId="4AEAFD43" w14:textId="77777777" w:rsidR="009722B6" w:rsidRPr="00992FF8" w:rsidRDefault="009722B6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2,5</w:t>
            </w:r>
          </w:p>
        </w:tc>
        <w:tc>
          <w:tcPr>
            <w:tcW w:w="1290" w:type="dxa"/>
            <w:hideMark/>
          </w:tcPr>
          <w:p w14:paraId="3402C3AA" w14:textId="77777777" w:rsidR="009722B6" w:rsidRPr="00992FF8" w:rsidRDefault="009722B6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3,7</w:t>
            </w:r>
          </w:p>
        </w:tc>
        <w:tc>
          <w:tcPr>
            <w:tcW w:w="2378" w:type="dxa"/>
            <w:hideMark/>
          </w:tcPr>
          <w:p w14:paraId="69191FCE" w14:textId="77777777" w:rsidR="009722B6" w:rsidRPr="00992FF8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Eurostat – Statistics on tourism for the enlargement countries</w:t>
            </w:r>
          </w:p>
        </w:tc>
      </w:tr>
      <w:tr w:rsidR="009722B6" w:rsidRPr="00992FF8" w14:paraId="401B07EC" w14:textId="77777777" w:rsidTr="00992FF8">
        <w:trPr>
          <w:trHeight w:val="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hideMark/>
          </w:tcPr>
          <w:p w14:paraId="2C9563C0" w14:textId="77777777" w:rsidR="009722B6" w:rsidRPr="00992FF8" w:rsidRDefault="009722B6" w:rsidP="009722B6">
            <w:pPr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lastRenderedPageBreak/>
              <w:t>Turizam</w:t>
            </w:r>
          </w:p>
        </w:tc>
        <w:tc>
          <w:tcPr>
            <w:tcW w:w="3041" w:type="dxa"/>
            <w:hideMark/>
          </w:tcPr>
          <w:p w14:paraId="7A207B63" w14:textId="77777777" w:rsidR="009722B6" w:rsidRPr="00992FF8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Broj dolazaka nerezidenata u hotele i sličan smještaj na 1.000 stanovnika, 2018</w:t>
            </w:r>
          </w:p>
        </w:tc>
        <w:tc>
          <w:tcPr>
            <w:tcW w:w="953" w:type="dxa"/>
            <w:hideMark/>
          </w:tcPr>
          <w:p w14:paraId="4B2A7F79" w14:textId="77777777" w:rsidR="009722B6" w:rsidRPr="00992FF8" w:rsidRDefault="009722B6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688</w:t>
            </w:r>
          </w:p>
        </w:tc>
        <w:tc>
          <w:tcPr>
            <w:tcW w:w="1290" w:type="dxa"/>
            <w:hideMark/>
          </w:tcPr>
          <w:p w14:paraId="38691E33" w14:textId="77777777" w:rsidR="009722B6" w:rsidRPr="00992FF8" w:rsidRDefault="009722B6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1.467</w:t>
            </w:r>
          </w:p>
        </w:tc>
        <w:tc>
          <w:tcPr>
            <w:tcW w:w="2378" w:type="dxa"/>
            <w:hideMark/>
          </w:tcPr>
          <w:p w14:paraId="33B84AD1" w14:textId="77777777" w:rsidR="009722B6" w:rsidRPr="00992FF8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Eurostat – Statistics on tourism for the enlargement countries</w:t>
            </w:r>
          </w:p>
        </w:tc>
      </w:tr>
      <w:tr w:rsidR="009722B6" w:rsidRPr="00992FF8" w14:paraId="40281457" w14:textId="77777777" w:rsidTr="00992FF8">
        <w:trPr>
          <w:trHeight w:val="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hideMark/>
          </w:tcPr>
          <w:p w14:paraId="680BB3F6" w14:textId="77777777" w:rsidR="009722B6" w:rsidRPr="00992FF8" w:rsidRDefault="009722B6" w:rsidP="009722B6">
            <w:pPr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Turizam / širi razvojni kontekst</w:t>
            </w:r>
          </w:p>
        </w:tc>
        <w:tc>
          <w:tcPr>
            <w:tcW w:w="3041" w:type="dxa"/>
            <w:hideMark/>
          </w:tcPr>
          <w:p w14:paraId="2403CC4B" w14:textId="77777777" w:rsidR="009722B6" w:rsidRPr="00992FF8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BDP po stanovniku u PPS, 2023 (EU-27 = 100)</w:t>
            </w:r>
          </w:p>
        </w:tc>
        <w:tc>
          <w:tcPr>
            <w:tcW w:w="953" w:type="dxa"/>
            <w:hideMark/>
          </w:tcPr>
          <w:p w14:paraId="40C1309D" w14:textId="77777777" w:rsidR="009722B6" w:rsidRPr="00992FF8" w:rsidRDefault="009722B6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100</w:t>
            </w:r>
          </w:p>
        </w:tc>
        <w:tc>
          <w:tcPr>
            <w:tcW w:w="1290" w:type="dxa"/>
            <w:hideMark/>
          </w:tcPr>
          <w:p w14:paraId="4E72C8EE" w14:textId="77777777" w:rsidR="009722B6" w:rsidRPr="00992FF8" w:rsidRDefault="009722B6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52</w:t>
            </w:r>
          </w:p>
        </w:tc>
        <w:tc>
          <w:tcPr>
            <w:tcW w:w="2378" w:type="dxa"/>
            <w:hideMark/>
          </w:tcPr>
          <w:p w14:paraId="249340C2" w14:textId="77777777" w:rsidR="009722B6" w:rsidRPr="00992FF8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Evropska komisija, Montenegro Report 2024</w:t>
            </w:r>
          </w:p>
        </w:tc>
      </w:tr>
    </w:tbl>
    <w:p w14:paraId="74161693" w14:textId="77777777" w:rsidR="009722B6" w:rsidRDefault="009722B6" w:rsidP="0021066E">
      <w:pPr>
        <w:rPr>
          <w:lang w:val="sr-Latn-ME"/>
        </w:rPr>
      </w:pPr>
    </w:p>
    <w:p w14:paraId="0E6CECA8" w14:textId="77777777" w:rsidR="009722B6" w:rsidRPr="0021066E" w:rsidRDefault="009722B6" w:rsidP="0021066E">
      <w:pPr>
        <w:rPr>
          <w:lang w:val="sr-Latn-ME"/>
        </w:rPr>
      </w:pPr>
    </w:p>
    <w:p w14:paraId="55AE590B" w14:textId="77777777" w:rsidR="0021066E" w:rsidRDefault="4D780C90" w:rsidP="0021066E">
      <w:pPr>
        <w:pStyle w:val="Naslov2"/>
        <w:rPr>
          <w:lang w:val="sr-Latn-ME"/>
        </w:rPr>
      </w:pPr>
      <w:r w:rsidRPr="4D780C90">
        <w:rPr>
          <w:lang w:val="sr-Latn-ME"/>
        </w:rPr>
        <w:t>Tematske cjeline</w:t>
      </w:r>
    </w:p>
    <w:tbl>
      <w:tblPr>
        <w:tblStyle w:val="Svijetlatablicareetke1-isticanje4"/>
        <w:tblW w:w="5000" w:type="pct"/>
        <w:tblLook w:val="04A0" w:firstRow="1" w:lastRow="0" w:firstColumn="1" w:lastColumn="0" w:noHBand="0" w:noVBand="1"/>
      </w:tblPr>
      <w:tblGrid>
        <w:gridCol w:w="2695"/>
        <w:gridCol w:w="6367"/>
      </w:tblGrid>
      <w:tr w:rsidR="0021066E" w:rsidRPr="00992FF8" w14:paraId="4B4FD3E9" w14:textId="77777777" w:rsidTr="00992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pct"/>
          </w:tcPr>
          <w:p w14:paraId="7A00D1A1" w14:textId="77777777" w:rsidR="0021066E" w:rsidRPr="00992FF8" w:rsidRDefault="4D780C90" w:rsidP="4D780C90">
            <w:pPr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Kod tematske cjeline</w:t>
            </w:r>
          </w:p>
        </w:tc>
        <w:tc>
          <w:tcPr>
            <w:tcW w:w="3513" w:type="pct"/>
          </w:tcPr>
          <w:p w14:paraId="0C76F98A" w14:textId="77777777" w:rsidR="0021066E" w:rsidRPr="00992FF8" w:rsidRDefault="4D780C90" w:rsidP="4D780C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Naziv tematske cjeline</w:t>
            </w:r>
          </w:p>
        </w:tc>
      </w:tr>
      <w:tr w:rsidR="0021066E" w:rsidRPr="00992FF8" w14:paraId="6A3F0558" w14:textId="77777777" w:rsidTr="00992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pct"/>
          </w:tcPr>
          <w:p w14:paraId="50817500" w14:textId="13A235D3" w:rsidR="0021066E" w:rsidRPr="00992FF8" w:rsidRDefault="4D780C90" w:rsidP="4D780C90">
            <w:pPr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[PA2]-4.1</w:t>
            </w:r>
          </w:p>
        </w:tc>
        <w:tc>
          <w:tcPr>
            <w:tcW w:w="3513" w:type="pct"/>
          </w:tcPr>
          <w:p w14:paraId="1172554C" w14:textId="7472050A" w:rsidR="0021066E" w:rsidRPr="00992FF8" w:rsidRDefault="4D780C90" w:rsidP="4D780C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Upravljanje, reformski i institucionalni okvir</w:t>
            </w:r>
          </w:p>
        </w:tc>
      </w:tr>
      <w:tr w:rsidR="0021066E" w:rsidRPr="00992FF8" w14:paraId="651EB7EB" w14:textId="77777777" w:rsidTr="00992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pct"/>
          </w:tcPr>
          <w:p w14:paraId="0EBCFEC7" w14:textId="06194CC1" w:rsidR="0021066E" w:rsidRPr="00992FF8" w:rsidRDefault="4D780C90" w:rsidP="4D780C90">
            <w:pPr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[PA2]-4.2</w:t>
            </w:r>
          </w:p>
        </w:tc>
        <w:tc>
          <w:tcPr>
            <w:tcW w:w="3513" w:type="pct"/>
          </w:tcPr>
          <w:p w14:paraId="0386CACC" w14:textId="2F9A0F83" w:rsidR="0021066E" w:rsidRPr="00992FF8" w:rsidRDefault="4D780C90" w:rsidP="4D780C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Kultura, kreativni sektori, baština i javni prostori</w:t>
            </w:r>
          </w:p>
        </w:tc>
      </w:tr>
      <w:tr w:rsidR="00FD3A1A" w:rsidRPr="00992FF8" w14:paraId="5107B154" w14:textId="77777777" w:rsidTr="00992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pct"/>
          </w:tcPr>
          <w:p w14:paraId="01AC5623" w14:textId="55BFEE90" w:rsidR="00FD3A1A" w:rsidRPr="00992FF8" w:rsidRDefault="4D780C90" w:rsidP="4D780C90">
            <w:pPr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[PA2]-4.3</w:t>
            </w:r>
          </w:p>
        </w:tc>
        <w:tc>
          <w:tcPr>
            <w:tcW w:w="3513" w:type="pct"/>
          </w:tcPr>
          <w:p w14:paraId="4B7134E9" w14:textId="46E026F1" w:rsidR="00FD3A1A" w:rsidRPr="00992FF8" w:rsidRDefault="4D780C90" w:rsidP="4D780C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Mediji, informisanje i medijska pismenost</w:t>
            </w:r>
          </w:p>
        </w:tc>
      </w:tr>
      <w:tr w:rsidR="00FD3A1A" w:rsidRPr="00992FF8" w14:paraId="39355B59" w14:textId="77777777" w:rsidTr="00992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pct"/>
          </w:tcPr>
          <w:p w14:paraId="5162DEC2" w14:textId="133F343E" w:rsidR="00FD3A1A" w:rsidRPr="00992FF8" w:rsidRDefault="4D780C90" w:rsidP="4D780C90">
            <w:pPr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[PA2]-4.4</w:t>
            </w:r>
          </w:p>
        </w:tc>
        <w:tc>
          <w:tcPr>
            <w:tcW w:w="3513" w:type="pct"/>
          </w:tcPr>
          <w:p w14:paraId="5908947D" w14:textId="29EDF330" w:rsidR="00FD3A1A" w:rsidRPr="00992FF8" w:rsidRDefault="4D780C90" w:rsidP="4D780C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Audiovizuelni sektor i dostupnost sadržaja</w:t>
            </w:r>
          </w:p>
        </w:tc>
      </w:tr>
      <w:tr w:rsidR="00FD3A1A" w:rsidRPr="00992FF8" w14:paraId="4705FA0E" w14:textId="77777777" w:rsidTr="00992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pct"/>
          </w:tcPr>
          <w:p w14:paraId="77F69786" w14:textId="4A041EAA" w:rsidR="00FD3A1A" w:rsidRPr="00992FF8" w:rsidRDefault="4D780C90" w:rsidP="4D780C90">
            <w:pPr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[PA2]-4.5</w:t>
            </w:r>
          </w:p>
        </w:tc>
        <w:tc>
          <w:tcPr>
            <w:tcW w:w="3513" w:type="pct"/>
          </w:tcPr>
          <w:p w14:paraId="4A1FF4FA" w14:textId="7E409032" w:rsidR="00FD3A1A" w:rsidRPr="00992FF8" w:rsidRDefault="4D780C90" w:rsidP="4D780C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992FF8">
              <w:rPr>
                <w:sz w:val="16"/>
                <w:szCs w:val="16"/>
                <w:lang w:val="sr-Latn-ME"/>
              </w:rPr>
              <w:t>Održivi, diverzifikovani i cjelogodišnji turizam</w:t>
            </w:r>
          </w:p>
        </w:tc>
      </w:tr>
    </w:tbl>
    <w:p w14:paraId="66829AF8" w14:textId="77777777" w:rsidR="0021066E" w:rsidRDefault="0021066E" w:rsidP="0021066E">
      <w:pPr>
        <w:rPr>
          <w:lang w:val="sr-Latn-ME"/>
        </w:rPr>
      </w:pPr>
    </w:p>
    <w:p w14:paraId="07955243" w14:textId="208FC29C" w:rsidR="00FD3A1A" w:rsidRPr="00FD3A1A" w:rsidRDefault="00FD3A1A" w:rsidP="00FD3A1A">
      <w:pPr>
        <w:jc w:val="both"/>
        <w:rPr>
          <w:lang w:val="sr-Latn-ME"/>
        </w:rPr>
      </w:pPr>
      <w:r w:rsidRPr="00FD3A1A">
        <w:rPr>
          <w:lang w:val="sr-Latn-ME"/>
        </w:rPr>
        <w:t>Tematske cjeline su postavljene tako da objedine sadržinski bliske intervencije, iz</w:t>
      </w:r>
      <w:r>
        <w:rPr>
          <w:lang w:val="sr-Latn-ME"/>
        </w:rPr>
        <w:t>bjegnu preveliku fragmentaciju, te</w:t>
      </w:r>
      <w:r w:rsidRPr="00FD3A1A">
        <w:rPr>
          <w:lang w:val="sr-Latn-ME"/>
        </w:rPr>
        <w:t xml:space="preserve"> omoguće sagledavanje međusobnih veza između kulture, medija i turizma.</w:t>
      </w:r>
    </w:p>
    <w:p w14:paraId="06817C6E" w14:textId="7E85F6A6" w:rsidR="00FD3A1A" w:rsidRPr="00FD3A1A" w:rsidRDefault="4D780C90" w:rsidP="4D780C90">
      <w:pPr>
        <w:jc w:val="both"/>
        <w:rPr>
          <w:b/>
          <w:bCs/>
          <w:lang w:val="sr-Latn-ME"/>
        </w:rPr>
      </w:pPr>
      <w:r w:rsidRPr="4D780C90">
        <w:rPr>
          <w:b/>
          <w:bCs/>
          <w:lang w:val="sr-Latn-ME"/>
        </w:rPr>
        <w:t>[PA2]4.1 Upravljanje, reformski i institucionalni okvir</w:t>
      </w:r>
    </w:p>
    <w:p w14:paraId="308F4242" w14:textId="77777777" w:rsidR="00FD3A1A" w:rsidRPr="00FD3A1A" w:rsidRDefault="00FD3A1A" w:rsidP="00FD3A1A">
      <w:pPr>
        <w:jc w:val="both"/>
        <w:rPr>
          <w:lang w:val="sr-Latn-ME"/>
        </w:rPr>
      </w:pPr>
      <w:r w:rsidRPr="00FD3A1A">
        <w:rPr>
          <w:lang w:val="sr-Latn-ME"/>
        </w:rPr>
        <w:t>Ova tematska cjelina obuhvata horizontalna pitanja strateškog planiranja, zakonodavnog i regulatornog okvira, institucionalne organizacije, administrativnih kapaciteta, upravljanja politikama i sprovođenja reformi u kulturi, medijima i turizmu. Njeno izdvajanje je opravdano činjenicom da je u EU kodifikaciji posebno prepoznato interventno polje 92 – Culture, tourism and media reforms, dok nacionalni dokumenti pokazuju da su inoviranje pravnog okvira, jačanje kapaciteta i unapređenje upravljanja zajednički preduslov za razvoj u sva tri sektora.</w:t>
      </w:r>
    </w:p>
    <w:p w14:paraId="70C38BDC" w14:textId="73A2D319" w:rsidR="00FD3A1A" w:rsidRPr="00FD3A1A" w:rsidRDefault="4D780C90" w:rsidP="4D780C90">
      <w:pPr>
        <w:jc w:val="both"/>
        <w:rPr>
          <w:b/>
          <w:bCs/>
          <w:lang w:val="sr-Latn-ME"/>
        </w:rPr>
      </w:pPr>
      <w:r w:rsidRPr="4D780C90">
        <w:rPr>
          <w:b/>
          <w:bCs/>
          <w:lang w:val="sr-Latn-ME"/>
        </w:rPr>
        <w:t>[PA2]4.2 Kultura, kreativni sektori, baština i javni prostori</w:t>
      </w:r>
    </w:p>
    <w:p w14:paraId="675A8AB7" w14:textId="4629B0B1" w:rsidR="00FD3A1A" w:rsidRPr="00FD3A1A" w:rsidRDefault="00FD3A1A" w:rsidP="00FD3A1A">
      <w:pPr>
        <w:jc w:val="both"/>
        <w:rPr>
          <w:lang w:val="sr-Latn-ME"/>
        </w:rPr>
      </w:pPr>
      <w:r w:rsidRPr="00FD3A1A">
        <w:rPr>
          <w:lang w:val="sr-Latn-ME"/>
        </w:rPr>
        <w:t xml:space="preserve">Ova cjelina objedinjuje kulturno-umjetničko stvaralaštvo, kulturne i kreativne industrije, razvoj publike, zaštitu i valorizaciju kulturne baštine, kao i regeneraciju i bezbjednost javnih prostora sa kulturnom i urbanom funkcijom. Takvo objedinjavanje odgovara logici interventnih polja </w:t>
      </w:r>
      <w:r w:rsidRPr="00FD3A1A">
        <w:rPr>
          <w:i/>
          <w:lang w:val="sr-Latn-ME"/>
        </w:rPr>
        <w:t>87 – Creative, cultural and arts activities and services, 88 – Physical regeneration and security of public spaces i dijela polja 93 – Protection, development and promotion of cultural heritage and tourism services</w:t>
      </w:r>
      <w:r w:rsidRPr="00FD3A1A">
        <w:rPr>
          <w:lang w:val="sr-Latn-ME"/>
        </w:rPr>
        <w:t>. Izbor ove cjeline zasniva se na činjenici da su u crnogorskom kontekstu stvaralaštvo, kulturna baština i javni prostori međusobno snažno povezani kao resurs identiteta, lokalnog razvoja i atraktivnosti mjesta.</w:t>
      </w:r>
    </w:p>
    <w:p w14:paraId="17887C7A" w14:textId="7396D6D1" w:rsidR="00FD3A1A" w:rsidRPr="00FD3A1A" w:rsidRDefault="4D780C90" w:rsidP="4D780C90">
      <w:pPr>
        <w:jc w:val="both"/>
        <w:rPr>
          <w:b/>
          <w:bCs/>
          <w:lang w:val="sr-Latn-ME"/>
        </w:rPr>
      </w:pPr>
      <w:r w:rsidRPr="4D780C90">
        <w:rPr>
          <w:b/>
          <w:bCs/>
          <w:lang w:val="sr-Latn-ME"/>
        </w:rPr>
        <w:t>[PA2]4.3 Mediji, informisanje i medijska pismenost</w:t>
      </w:r>
    </w:p>
    <w:p w14:paraId="6A1C20AC" w14:textId="77777777" w:rsidR="00FD3A1A" w:rsidRPr="00FD3A1A" w:rsidRDefault="00FD3A1A" w:rsidP="00FD3A1A">
      <w:pPr>
        <w:jc w:val="both"/>
        <w:rPr>
          <w:lang w:val="sr-Latn-ME"/>
        </w:rPr>
      </w:pPr>
      <w:r w:rsidRPr="00FD3A1A">
        <w:rPr>
          <w:lang w:val="sr-Latn-ME"/>
        </w:rPr>
        <w:t xml:space="preserve">Ova tematska cjelina obuhvata slobodu i pluralizam medija, pristup vijestima, održivost i transparentnost medijskog tržišta, borbu protiv dezinformacija i razvoj medijske pismenosti. Njome se pokrivaju interventna polja </w:t>
      </w:r>
      <w:r w:rsidRPr="00FD3A1A">
        <w:rPr>
          <w:i/>
          <w:lang w:val="sr-Latn-ME"/>
        </w:rPr>
        <w:t>89 – Media freedom and pluralism, media viability, and access to news content i 90 – Enhance detection and countering of disinformation and media literacy</w:t>
      </w:r>
      <w:r w:rsidRPr="00FD3A1A">
        <w:rPr>
          <w:lang w:val="sr-Latn-ME"/>
        </w:rPr>
        <w:t xml:space="preserve">. Njeno izdvajanje opravdano je time što se u Medijskoj strategiji upravo ova pitanja </w:t>
      </w:r>
      <w:r w:rsidRPr="00FD3A1A">
        <w:rPr>
          <w:lang w:val="sr-Latn-ME"/>
        </w:rPr>
        <w:lastRenderedPageBreak/>
        <w:t>prepoznaju kao centralni razvojni izazovi medijskog sistema, uz snažnu vezu sa demokratskim standardima, pravom na informisanje i otpornošću društva na manipulativne sadržaje.</w:t>
      </w:r>
    </w:p>
    <w:p w14:paraId="281D9BBF" w14:textId="7DC33B0C" w:rsidR="00FD3A1A" w:rsidRPr="00FD3A1A" w:rsidRDefault="00FD3A1A" w:rsidP="00FD3A1A">
      <w:pPr>
        <w:jc w:val="both"/>
        <w:rPr>
          <w:b/>
          <w:lang w:val="sr-Latn-ME"/>
        </w:rPr>
      </w:pPr>
      <w:r w:rsidRPr="00FD3A1A">
        <w:rPr>
          <w:b/>
          <w:lang w:val="sr-Latn-ME"/>
        </w:rPr>
        <w:t>[PA2]-4.4 Audiovizuelni sektor i dostupnost sadržaja</w:t>
      </w:r>
    </w:p>
    <w:p w14:paraId="20710EC1" w14:textId="7DC0F6E8" w:rsidR="00FD3A1A" w:rsidRPr="00FD3A1A" w:rsidRDefault="4D780C90" w:rsidP="00FD3A1A">
      <w:pPr>
        <w:jc w:val="both"/>
        <w:rPr>
          <w:lang w:val="sr-Latn-ME"/>
        </w:rPr>
      </w:pPr>
      <w:r w:rsidRPr="4D780C90">
        <w:rPr>
          <w:lang w:val="sr-Latn-ME"/>
        </w:rPr>
        <w:t xml:space="preserve">Ova cjelina obuhvata stvaranje, produkciju, distribuciju i dostupnost audiovizuelnih djela i drugih medijskih i zabavnih sadržaja, uključujući podršku domaćoj produkciji, cirkulaciji djela i pristupu publike sadržajima od kulturnog i javnog interesa. Tematski odgovara interventnom polju </w:t>
      </w:r>
      <w:r w:rsidRPr="4D780C90">
        <w:rPr>
          <w:i/>
          <w:iCs/>
          <w:lang w:val="sr-Latn-ME"/>
        </w:rPr>
        <w:t>91 – Media and entertainment: support creation, circulation and access to audiovisual works.</w:t>
      </w:r>
      <w:r w:rsidRPr="4D780C90">
        <w:rPr>
          <w:lang w:val="sr-Latn-ME"/>
        </w:rPr>
        <w:t xml:space="preserve"> Njeno posebno izdvajanje je korisno jer audiovizuelni sektor ima specifičnu razvojnu logiku, različitu i od klasičnih pitanja slobode medija i od šire kulturne politike, a istovremeno je povezan i sa kreativnim industrijama i sa međunarodnim programima podrške.</w:t>
      </w:r>
    </w:p>
    <w:p w14:paraId="2C4FC1CE" w14:textId="72BB0FEA" w:rsidR="00FD3A1A" w:rsidRPr="00FD3A1A" w:rsidRDefault="4D780C90" w:rsidP="4D780C90">
      <w:pPr>
        <w:jc w:val="both"/>
        <w:rPr>
          <w:b/>
          <w:bCs/>
          <w:lang w:val="sr-Latn-ME"/>
        </w:rPr>
      </w:pPr>
      <w:r w:rsidRPr="4D780C90">
        <w:rPr>
          <w:b/>
          <w:bCs/>
          <w:lang w:val="sr-Latn-ME"/>
        </w:rPr>
        <w:t>[PA2]4.5 Održivi, diverzifikovani i cjelogodišnji turizam</w:t>
      </w:r>
    </w:p>
    <w:p w14:paraId="0ACABE73" w14:textId="77777777" w:rsidR="00FD3A1A" w:rsidRPr="00FD3A1A" w:rsidRDefault="00FD3A1A" w:rsidP="00FD3A1A">
      <w:pPr>
        <w:jc w:val="both"/>
        <w:rPr>
          <w:lang w:val="sr-Latn-ME"/>
        </w:rPr>
      </w:pPr>
      <w:r w:rsidRPr="00FD3A1A">
        <w:rPr>
          <w:lang w:val="sr-Latn-ME"/>
        </w:rPr>
        <w:t xml:space="preserve">Ova tematska cjelina obuhvata razvoj i diverzifikaciju turističkog proizvoda i usluga, kulturni, ruralni, manifestacioni i druge selektivne oblike turizma, finansijsku podršku sektoru, održivost turističkih aktivnosti, digitalizaciju i upravljanje destinacijom. Njome se funkcionalno pokrivaju interventna polja </w:t>
      </w:r>
      <w:r w:rsidRPr="00FD3A1A">
        <w:rPr>
          <w:i/>
          <w:lang w:val="sr-Latn-ME"/>
        </w:rPr>
        <w:t>93 – Protection, development and promotion of cultural heritage and tourism services (excluding infrastructures), 94 – Tourism financial support i 95 – Tourism financial support for sustainable tourism activities.</w:t>
      </w:r>
      <w:r w:rsidRPr="00FD3A1A">
        <w:rPr>
          <w:lang w:val="sr-Latn-ME"/>
        </w:rPr>
        <w:t xml:space="preserve"> Izbor ove cjeline zasniva se na činjenici da se turizam u nacionalnim dokumentima sve više posmatra kroz kvalitet, sezonalnost, održivost, regionalnu disperziju i povezivanje sa kulturnim i prirodnim resursima, a ne samo kroz obim turističkog prometa.</w:t>
      </w:r>
    </w:p>
    <w:p w14:paraId="3CB8CDA5" w14:textId="77777777" w:rsidR="00F579F5" w:rsidRPr="00F579F5" w:rsidRDefault="00F579F5" w:rsidP="00F579F5">
      <w:pPr>
        <w:rPr>
          <w:lang w:val="sr-Latn-ME"/>
        </w:rPr>
      </w:pPr>
    </w:p>
    <w:p w14:paraId="44BBD0D9" w14:textId="3558CD90" w:rsidR="00F579F5" w:rsidRPr="00F579F5" w:rsidRDefault="4D780C90" w:rsidP="4D780C90">
      <w:pPr>
        <w:pStyle w:val="Naslov2"/>
        <w:rPr>
          <w:lang w:val="sr-Latn-ME"/>
        </w:rPr>
      </w:pPr>
      <w:r w:rsidRPr="4D780C90">
        <w:rPr>
          <w:lang w:val="sr-Latn-ME"/>
        </w:rPr>
        <w:t>Indikativna lista razvojnih izazova</w:t>
      </w:r>
    </w:p>
    <w:tbl>
      <w:tblPr>
        <w:tblStyle w:val="Svijetlatablicareetke1-isticanje4"/>
        <w:tblW w:w="9062" w:type="dxa"/>
        <w:tblLook w:val="04A0" w:firstRow="1" w:lastRow="0" w:firstColumn="1" w:lastColumn="0" w:noHBand="0" w:noVBand="1"/>
      </w:tblPr>
      <w:tblGrid>
        <w:gridCol w:w="2205"/>
        <w:gridCol w:w="2445"/>
        <w:gridCol w:w="4412"/>
      </w:tblGrid>
      <w:tr w:rsidR="006A777D" w:rsidRPr="006A777D" w14:paraId="55D437C7" w14:textId="77777777" w:rsidTr="00992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</w:tcPr>
          <w:p w14:paraId="4CD6CE29" w14:textId="77777777" w:rsidR="006A777D" w:rsidRPr="006A777D" w:rsidRDefault="006A777D" w:rsidP="006A777D">
            <w:pPr>
              <w:spacing w:after="160" w:line="278" w:lineRule="auto"/>
              <w:rPr>
                <w:b w:val="0"/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Kod razvojnog izazova</w:t>
            </w:r>
          </w:p>
        </w:tc>
        <w:tc>
          <w:tcPr>
            <w:tcW w:w="2445" w:type="dxa"/>
          </w:tcPr>
          <w:p w14:paraId="67AFCE5D" w14:textId="77777777" w:rsidR="006A777D" w:rsidRPr="006A777D" w:rsidRDefault="006A777D" w:rsidP="006A777D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Naziv razvojnog izazova</w:t>
            </w:r>
          </w:p>
        </w:tc>
        <w:tc>
          <w:tcPr>
            <w:tcW w:w="4412" w:type="dxa"/>
          </w:tcPr>
          <w:p w14:paraId="5E8CACF6" w14:textId="77777777" w:rsidR="006A777D" w:rsidRPr="006A777D" w:rsidRDefault="006A777D" w:rsidP="006A777D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Obrazloženje</w:t>
            </w:r>
          </w:p>
        </w:tc>
      </w:tr>
      <w:tr w:rsidR="006A777D" w:rsidRPr="004D256F" w14:paraId="209FC17A" w14:textId="77777777" w:rsidTr="00992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</w:tcPr>
          <w:p w14:paraId="496CA209" w14:textId="77777777" w:rsidR="006A777D" w:rsidRPr="006A777D" w:rsidRDefault="006A777D" w:rsidP="006A777D">
            <w:pPr>
              <w:spacing w:after="160" w:line="278" w:lineRule="auto"/>
              <w:jc w:val="both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4.05-1.1</w:t>
            </w:r>
          </w:p>
        </w:tc>
        <w:tc>
          <w:tcPr>
            <w:tcW w:w="2445" w:type="dxa"/>
          </w:tcPr>
          <w:p w14:paraId="67911DD1" w14:textId="77777777" w:rsidR="006A777D" w:rsidRPr="006A777D" w:rsidRDefault="006A777D" w:rsidP="006A777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Ograničeni institucionalni i administrativni kapaciteti</w:t>
            </w:r>
          </w:p>
        </w:tc>
        <w:tc>
          <w:tcPr>
            <w:tcW w:w="4412" w:type="dxa"/>
          </w:tcPr>
          <w:p w14:paraId="4531C001" w14:textId="77777777" w:rsidR="006A777D" w:rsidRPr="006A777D" w:rsidRDefault="006A777D" w:rsidP="006A777D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Sektori kulture, medija i turizma i dalje zavise od jačanja institucionalnih i administrativnih kapaciteta za planiranje, sprovođenje politika, međuresornu koordinaciju, praćenje rezultata i korišćenje EU i drugih međunarodnih sredstava. To ograničava kvalitet implementacije reformi i razvojnih intervencija.</w:t>
            </w:r>
          </w:p>
        </w:tc>
      </w:tr>
      <w:tr w:rsidR="006A777D" w:rsidRPr="00992FF8" w14:paraId="7A43726C" w14:textId="77777777" w:rsidTr="00992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</w:tcPr>
          <w:p w14:paraId="2BCE3A5E" w14:textId="77777777" w:rsidR="006A777D" w:rsidRPr="006A777D" w:rsidRDefault="006A777D" w:rsidP="006A777D">
            <w:pPr>
              <w:spacing w:after="160" w:line="278" w:lineRule="auto"/>
              <w:jc w:val="both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4.05-1.2</w:t>
            </w:r>
          </w:p>
        </w:tc>
        <w:tc>
          <w:tcPr>
            <w:tcW w:w="2445" w:type="dxa"/>
          </w:tcPr>
          <w:p w14:paraId="21A1E1D8" w14:textId="77777777" w:rsidR="006A777D" w:rsidRPr="006A777D" w:rsidRDefault="006A777D" w:rsidP="006A777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Nedovoljno razvijen sistem praćenja, evaluacije i upravljanja podacima</w:t>
            </w:r>
          </w:p>
        </w:tc>
        <w:tc>
          <w:tcPr>
            <w:tcW w:w="4412" w:type="dxa"/>
          </w:tcPr>
          <w:p w14:paraId="5A61F010" w14:textId="77777777" w:rsidR="006A777D" w:rsidRPr="006A777D" w:rsidRDefault="006A777D" w:rsidP="006A777D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U sva tri sektora postoji potreba za jačim sistemom indikatora, redovnim praćenjem učinaka i boljom povezanošću administrativnih i statističkih izvora. Ograničena raspoloživost i uporedivost podataka otežava donošenje odluka zasnovanih na dokazima i kvalitetno programiranje mjera.</w:t>
            </w:r>
          </w:p>
        </w:tc>
      </w:tr>
      <w:tr w:rsidR="006A777D" w:rsidRPr="00992FF8" w14:paraId="67343194" w14:textId="77777777" w:rsidTr="00992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</w:tcPr>
          <w:p w14:paraId="0889868F" w14:textId="77777777" w:rsidR="006A777D" w:rsidRPr="006A777D" w:rsidRDefault="006A777D" w:rsidP="006A777D">
            <w:pPr>
              <w:spacing w:after="160" w:line="278" w:lineRule="auto"/>
              <w:jc w:val="both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4.05-1.3</w:t>
            </w:r>
          </w:p>
        </w:tc>
        <w:tc>
          <w:tcPr>
            <w:tcW w:w="2445" w:type="dxa"/>
          </w:tcPr>
          <w:p w14:paraId="1EFBD007" w14:textId="77777777" w:rsidR="006A777D" w:rsidRPr="006A777D" w:rsidRDefault="006A777D" w:rsidP="006A777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Spora i neravnomjerna implementacija strateškog i zakonodavnog okvira</w:t>
            </w:r>
          </w:p>
        </w:tc>
        <w:tc>
          <w:tcPr>
            <w:tcW w:w="4412" w:type="dxa"/>
          </w:tcPr>
          <w:p w14:paraId="3D68593C" w14:textId="77777777" w:rsidR="006A777D" w:rsidRPr="006A777D" w:rsidRDefault="006A777D" w:rsidP="006A777D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U svim sektorima prisutna je potreba za efikasnijom primjenom usvojenih strategija i zakona, kao i za završetkom započetih normativnih reformi. Razvojni iskoraci često zavise od dinamike donošenja podzakonskih akata, međuinstitucionalne saradnje i stvarne primjene propisa u praksi.</w:t>
            </w:r>
          </w:p>
        </w:tc>
      </w:tr>
      <w:tr w:rsidR="006A777D" w:rsidRPr="00992FF8" w14:paraId="4339DB20" w14:textId="77777777" w:rsidTr="00992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</w:tcPr>
          <w:p w14:paraId="585EF25A" w14:textId="77777777" w:rsidR="006A777D" w:rsidRPr="006A777D" w:rsidRDefault="006A777D" w:rsidP="006A777D">
            <w:pPr>
              <w:spacing w:after="160" w:line="278" w:lineRule="auto"/>
              <w:jc w:val="both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lastRenderedPageBreak/>
              <w:t>4.05-1.4</w:t>
            </w:r>
          </w:p>
        </w:tc>
        <w:tc>
          <w:tcPr>
            <w:tcW w:w="2445" w:type="dxa"/>
          </w:tcPr>
          <w:p w14:paraId="4D843CA3" w14:textId="77777777" w:rsidR="006A777D" w:rsidRPr="006A777D" w:rsidRDefault="006A777D" w:rsidP="006A777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Nedovoljna međuresorna koordinacija i partnersko upravljanje</w:t>
            </w:r>
          </w:p>
        </w:tc>
        <w:tc>
          <w:tcPr>
            <w:tcW w:w="4412" w:type="dxa"/>
          </w:tcPr>
          <w:p w14:paraId="6517202A" w14:textId="77777777" w:rsidR="006A777D" w:rsidRPr="006A777D" w:rsidRDefault="006A777D" w:rsidP="006A777D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Kultura, mediji i turizam imaju izražen međusektorski karakter, ali saradnja između resora, lokalnih samouprava, javnih ustanova, privatnog sektora i civilnog društva nije uvijek dovoljno strukturirana. To umanjuje mogućnost integrisanih razvojnih rješenja i slabije povezuje javne politike sa teritorijalnim potrebama.</w:t>
            </w:r>
          </w:p>
        </w:tc>
      </w:tr>
      <w:tr w:rsidR="006A777D" w:rsidRPr="00992FF8" w14:paraId="65229DBE" w14:textId="77777777" w:rsidTr="00992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</w:tcPr>
          <w:p w14:paraId="1D983BBC" w14:textId="77777777" w:rsidR="006A777D" w:rsidRPr="006A777D" w:rsidRDefault="006A777D" w:rsidP="006A777D">
            <w:pPr>
              <w:spacing w:after="160" w:line="278" w:lineRule="auto"/>
              <w:jc w:val="both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4.11-2.1</w:t>
            </w:r>
          </w:p>
        </w:tc>
        <w:tc>
          <w:tcPr>
            <w:tcW w:w="2445" w:type="dxa"/>
          </w:tcPr>
          <w:p w14:paraId="74385E5B" w14:textId="77777777" w:rsidR="006A777D" w:rsidRPr="006A777D" w:rsidRDefault="006A777D" w:rsidP="006A777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Nedovoljna konkurentnost kulturnih i kreativnih sektora</w:t>
            </w:r>
          </w:p>
        </w:tc>
        <w:tc>
          <w:tcPr>
            <w:tcW w:w="4412" w:type="dxa"/>
          </w:tcPr>
          <w:p w14:paraId="3188B8B4" w14:textId="77777777" w:rsidR="006A777D" w:rsidRPr="006A777D" w:rsidRDefault="006A777D" w:rsidP="006A777D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Kulturni i kreativni sektori imaju razvojni potencijal, ali ga ograničavaju slaba tržišna održivost, mali obim ulaganja, ograničen pristup finansiranju i nedovoljno razvijeni poslovni i izvozni kapaciteti. To usporava profesionalizaciju sektora i njegov veći doprinos zapošljavanju i lokalnom razvoju.</w:t>
            </w:r>
          </w:p>
        </w:tc>
      </w:tr>
      <w:tr w:rsidR="006A777D" w:rsidRPr="00992FF8" w14:paraId="08524852" w14:textId="77777777" w:rsidTr="00992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</w:tcPr>
          <w:p w14:paraId="7C0A5F61" w14:textId="77777777" w:rsidR="006A777D" w:rsidRPr="006A777D" w:rsidRDefault="006A777D" w:rsidP="006A777D">
            <w:pPr>
              <w:spacing w:after="160" w:line="278" w:lineRule="auto"/>
              <w:jc w:val="both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4.11-2.2</w:t>
            </w:r>
          </w:p>
        </w:tc>
        <w:tc>
          <w:tcPr>
            <w:tcW w:w="2445" w:type="dxa"/>
          </w:tcPr>
          <w:p w14:paraId="34FA18E1" w14:textId="77777777" w:rsidR="006A777D" w:rsidRPr="006A777D" w:rsidRDefault="006A777D" w:rsidP="006A777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Neravnomjerna dostupnost kulturnih sadržaja i infrastrukture</w:t>
            </w:r>
          </w:p>
        </w:tc>
        <w:tc>
          <w:tcPr>
            <w:tcW w:w="4412" w:type="dxa"/>
          </w:tcPr>
          <w:p w14:paraId="79994754" w14:textId="77777777" w:rsidR="006A777D" w:rsidRPr="006A777D" w:rsidRDefault="006A777D" w:rsidP="006A777D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Dostupnost kulturnih programa, ustanova i savremene kulturne infrastrukture i dalje je teritorijalno neujednačena. Van glavnih urbanih centara slabija je dostupnost sadržaja, što utiče na razvoj publike, kulturne participacije i ravnomjerniji teritorijalni razvoj kulture.</w:t>
            </w:r>
          </w:p>
        </w:tc>
      </w:tr>
      <w:tr w:rsidR="006A777D" w:rsidRPr="00992FF8" w14:paraId="1CE9EBD4" w14:textId="77777777" w:rsidTr="00992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</w:tcPr>
          <w:p w14:paraId="57AD2D5B" w14:textId="77777777" w:rsidR="006A777D" w:rsidRPr="006A777D" w:rsidRDefault="006A777D" w:rsidP="006A777D">
            <w:pPr>
              <w:spacing w:after="160" w:line="278" w:lineRule="auto"/>
              <w:jc w:val="both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4.11-2.3</w:t>
            </w:r>
          </w:p>
        </w:tc>
        <w:tc>
          <w:tcPr>
            <w:tcW w:w="2445" w:type="dxa"/>
          </w:tcPr>
          <w:p w14:paraId="29B1E569" w14:textId="77777777" w:rsidR="006A777D" w:rsidRPr="006A777D" w:rsidRDefault="006A777D" w:rsidP="006A777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Nedovoljno razvijeni kapaciteti za razvoj publike i međunarodnu vidljivost</w:t>
            </w:r>
          </w:p>
        </w:tc>
        <w:tc>
          <w:tcPr>
            <w:tcW w:w="4412" w:type="dxa"/>
          </w:tcPr>
          <w:p w14:paraId="28BAAF75" w14:textId="77777777" w:rsidR="006A777D" w:rsidRPr="006A777D" w:rsidRDefault="006A777D" w:rsidP="006A777D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Iako postoji napredak u kulturnoj ponudi, i dalje je potrebno sistematski razvijati publiku, posebno mlade i publiku van glavnih centara, kao i jačati međunarodnu promociju domaćeg stvaralaštva. Ograničeni kapaciteti za međunarodno umrežavanje i korišćenje fondova smanjuju vidljivost sektora.</w:t>
            </w:r>
          </w:p>
        </w:tc>
      </w:tr>
      <w:tr w:rsidR="006A777D" w:rsidRPr="00992FF8" w14:paraId="2A412BAE" w14:textId="77777777" w:rsidTr="00992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</w:tcPr>
          <w:p w14:paraId="5508F310" w14:textId="77777777" w:rsidR="006A777D" w:rsidRPr="006A777D" w:rsidRDefault="006A777D" w:rsidP="006A777D">
            <w:pPr>
              <w:spacing w:after="160" w:line="278" w:lineRule="auto"/>
              <w:jc w:val="both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4.11-2.4</w:t>
            </w:r>
          </w:p>
        </w:tc>
        <w:tc>
          <w:tcPr>
            <w:tcW w:w="2445" w:type="dxa"/>
          </w:tcPr>
          <w:p w14:paraId="53619EDA" w14:textId="77777777" w:rsidR="006A777D" w:rsidRPr="006A777D" w:rsidRDefault="006A777D" w:rsidP="006A777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Ograničena valorizacija kulturne baštine i javnih prostora za razvojne svrhe</w:t>
            </w:r>
          </w:p>
        </w:tc>
        <w:tc>
          <w:tcPr>
            <w:tcW w:w="4412" w:type="dxa"/>
          </w:tcPr>
          <w:p w14:paraId="6317FC91" w14:textId="77777777" w:rsidR="006A777D" w:rsidRPr="006A777D" w:rsidRDefault="006A777D" w:rsidP="006A777D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Kulturna baština i javni prostori predstavljaju važan razvojni resurs, ali njihov potencijal nije u potpunosti iskorišćen kroz savremenu prezentaciju, interpretaciju, kulturne sadržaje i povezivanje sa lokalnim razvojem i turizmom. Poseban izazov ostaje ravnomjeran tretman i održivo upravljanje dobrima na teritoriji cijele države.</w:t>
            </w:r>
          </w:p>
        </w:tc>
      </w:tr>
      <w:tr w:rsidR="006A777D" w:rsidRPr="00992FF8" w14:paraId="61B25071" w14:textId="77777777" w:rsidTr="00992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</w:tcPr>
          <w:p w14:paraId="2135865C" w14:textId="77777777" w:rsidR="006A777D" w:rsidRPr="006A777D" w:rsidRDefault="006A777D" w:rsidP="006A777D">
            <w:pPr>
              <w:spacing w:after="160" w:line="278" w:lineRule="auto"/>
              <w:jc w:val="both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4.12-3.1</w:t>
            </w:r>
          </w:p>
        </w:tc>
        <w:tc>
          <w:tcPr>
            <w:tcW w:w="2445" w:type="dxa"/>
          </w:tcPr>
          <w:p w14:paraId="1D702A3A" w14:textId="77777777" w:rsidR="006A777D" w:rsidRPr="006A777D" w:rsidRDefault="006A777D" w:rsidP="006A777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Ograničena održivost i otpornost medijskog tržišta</w:t>
            </w:r>
          </w:p>
        </w:tc>
        <w:tc>
          <w:tcPr>
            <w:tcW w:w="4412" w:type="dxa"/>
          </w:tcPr>
          <w:p w14:paraId="7310AC63" w14:textId="77777777" w:rsidR="006A777D" w:rsidRPr="006A777D" w:rsidRDefault="006A777D" w:rsidP="006A777D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Medijski sektor i dalje karakterišu strukturne slabosti tržišta, visoka osjetljivost na političke i ekonomske uticaje i ograničena finansijska održivost dijela medija. Takav okvir otežava razvoj pluralističkog i profesionalnog medijskog sistema i povećava ranjivost na tržišne i institucionalne pritiske.</w:t>
            </w:r>
          </w:p>
        </w:tc>
      </w:tr>
      <w:tr w:rsidR="006A777D" w:rsidRPr="00992FF8" w14:paraId="6C655764" w14:textId="77777777" w:rsidTr="00992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</w:tcPr>
          <w:p w14:paraId="10C4F045" w14:textId="77777777" w:rsidR="006A777D" w:rsidRPr="006A777D" w:rsidRDefault="006A777D" w:rsidP="006A777D">
            <w:pPr>
              <w:spacing w:after="160" w:line="278" w:lineRule="auto"/>
              <w:jc w:val="both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4.12-3.2</w:t>
            </w:r>
          </w:p>
        </w:tc>
        <w:tc>
          <w:tcPr>
            <w:tcW w:w="2445" w:type="dxa"/>
          </w:tcPr>
          <w:p w14:paraId="6E424C26" w14:textId="77777777" w:rsidR="006A777D" w:rsidRPr="006A777D" w:rsidRDefault="006A777D" w:rsidP="006A777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Nedovoljno konsolidovan sistem zaštite medijskih sloboda i profesionalnih standarda</w:t>
            </w:r>
          </w:p>
        </w:tc>
        <w:tc>
          <w:tcPr>
            <w:tcW w:w="4412" w:type="dxa"/>
          </w:tcPr>
          <w:p w14:paraId="007039C8" w14:textId="77777777" w:rsidR="006A777D" w:rsidRPr="006A777D" w:rsidRDefault="006A777D" w:rsidP="006A777D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I dalje je potrebno jačati slobodu medija, sigurnost novinara i dosljednu primjenu regulatornog i samoregulatornog okvira. Ograničenja u profesionalnim standardima, povjerenju i zaštiti novinara negativno utiču na kvalitet javnog informisanja i demokratsku funkciju medija.</w:t>
            </w:r>
          </w:p>
        </w:tc>
      </w:tr>
      <w:tr w:rsidR="006A777D" w:rsidRPr="00992FF8" w14:paraId="471B9EA6" w14:textId="77777777" w:rsidTr="00992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</w:tcPr>
          <w:p w14:paraId="06D677D7" w14:textId="77777777" w:rsidR="006A777D" w:rsidRPr="006A777D" w:rsidRDefault="006A777D" w:rsidP="006A777D">
            <w:pPr>
              <w:spacing w:after="160" w:line="278" w:lineRule="auto"/>
              <w:jc w:val="both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4.12-3.3</w:t>
            </w:r>
          </w:p>
        </w:tc>
        <w:tc>
          <w:tcPr>
            <w:tcW w:w="2445" w:type="dxa"/>
          </w:tcPr>
          <w:p w14:paraId="6CC03052" w14:textId="77777777" w:rsidR="006A777D" w:rsidRPr="006A777D" w:rsidRDefault="006A777D" w:rsidP="006A777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Nizak nivo medijske pismenosti i ranjivost na dezinformacije</w:t>
            </w:r>
          </w:p>
        </w:tc>
        <w:tc>
          <w:tcPr>
            <w:tcW w:w="4412" w:type="dxa"/>
          </w:tcPr>
          <w:p w14:paraId="240AA2FE" w14:textId="77777777" w:rsidR="006A777D" w:rsidRPr="006A777D" w:rsidRDefault="006A777D" w:rsidP="006A777D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 xml:space="preserve">Digitalno okruženje povećava dostupnost informacija, ali i izloženost manipulativnim sadržajima, govoru mržnje i dezinformacijama. Nedovoljno razvijeni kapaciteti društva za kritičko tumačenje medijskih </w:t>
            </w:r>
            <w:r w:rsidRPr="006A777D">
              <w:rPr>
                <w:noProof/>
                <w:sz w:val="18"/>
                <w:szCs w:val="18"/>
                <w:lang w:val="sr-Latn-ME"/>
              </w:rPr>
              <w:lastRenderedPageBreak/>
              <w:t>sadržaja ograničavaju otpornost informacionog prostora i kvalitet javne komunikacije.</w:t>
            </w:r>
          </w:p>
        </w:tc>
      </w:tr>
      <w:tr w:rsidR="006A777D" w:rsidRPr="00992FF8" w14:paraId="31E270E1" w14:textId="77777777" w:rsidTr="00992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</w:tcPr>
          <w:p w14:paraId="09A21EE0" w14:textId="77777777" w:rsidR="006A777D" w:rsidRPr="006A777D" w:rsidRDefault="006A777D" w:rsidP="006A777D">
            <w:pPr>
              <w:spacing w:after="160" w:line="278" w:lineRule="auto"/>
              <w:jc w:val="both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lastRenderedPageBreak/>
              <w:t>4.12-3.4</w:t>
            </w:r>
          </w:p>
        </w:tc>
        <w:tc>
          <w:tcPr>
            <w:tcW w:w="2445" w:type="dxa"/>
          </w:tcPr>
          <w:p w14:paraId="2B871F50" w14:textId="77777777" w:rsidR="006A777D" w:rsidRPr="006A777D" w:rsidRDefault="006A777D" w:rsidP="006A777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Ograničena dostupnost kvalitetnih i raznovrsnih sadržaja od javnog interesa</w:t>
            </w:r>
          </w:p>
        </w:tc>
        <w:tc>
          <w:tcPr>
            <w:tcW w:w="4412" w:type="dxa"/>
          </w:tcPr>
          <w:p w14:paraId="79C912C8" w14:textId="77777777" w:rsidR="006A777D" w:rsidRPr="006A777D" w:rsidRDefault="006A777D" w:rsidP="006A777D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Potrebno je dalje jačati produkciju i distribuciju kvalitetnih informativnih, obrazovnih, kulturnih i audiovizuelnih sadržaja od javnog interesa. Poseban izazov ostaje dostupnost takvih sadržaja različitim grupama stanovništva i njihova ravnomjernija prisutnost van dominantnih tržišnih i centralizovanih tokova.</w:t>
            </w:r>
          </w:p>
        </w:tc>
      </w:tr>
      <w:tr w:rsidR="006A777D" w:rsidRPr="004D256F" w14:paraId="32EA0FF4" w14:textId="77777777" w:rsidTr="00992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</w:tcPr>
          <w:p w14:paraId="571122B5" w14:textId="77777777" w:rsidR="006A777D" w:rsidRPr="006A777D" w:rsidRDefault="006A777D" w:rsidP="006A777D">
            <w:pPr>
              <w:spacing w:after="160" w:line="278" w:lineRule="auto"/>
              <w:jc w:val="both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4.12-4.1</w:t>
            </w:r>
          </w:p>
        </w:tc>
        <w:tc>
          <w:tcPr>
            <w:tcW w:w="2445" w:type="dxa"/>
          </w:tcPr>
          <w:p w14:paraId="476D51B8" w14:textId="77777777" w:rsidR="006A777D" w:rsidRPr="006A777D" w:rsidRDefault="006A777D" w:rsidP="006A777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Nedovoljno razvijen domaći audiovizuelni sektor</w:t>
            </w:r>
          </w:p>
        </w:tc>
        <w:tc>
          <w:tcPr>
            <w:tcW w:w="4412" w:type="dxa"/>
          </w:tcPr>
          <w:p w14:paraId="47E4E320" w14:textId="77777777" w:rsidR="006A777D" w:rsidRPr="006A777D" w:rsidRDefault="006A777D" w:rsidP="006A777D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Audiovizuelni sektor ima potencijal za kulturni i ekonomski doprinos, ali ga ograničavaju mali produkcioni kapaciteti, ograničeni izvori finansiranja, slaba međunarodna cirkulacija djela i nedovoljno razvijena distribucija. To utiče na obim domaće produkcije i na dostupnost nacionalnih djela publici.</w:t>
            </w:r>
          </w:p>
        </w:tc>
      </w:tr>
      <w:tr w:rsidR="006A777D" w:rsidRPr="00992FF8" w14:paraId="025CEE3B" w14:textId="77777777" w:rsidTr="00992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</w:tcPr>
          <w:p w14:paraId="5872C880" w14:textId="77777777" w:rsidR="006A777D" w:rsidRPr="006A777D" w:rsidRDefault="006A777D" w:rsidP="006A777D">
            <w:pPr>
              <w:spacing w:after="160" w:line="278" w:lineRule="auto"/>
              <w:jc w:val="both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4.12-4.2</w:t>
            </w:r>
          </w:p>
        </w:tc>
        <w:tc>
          <w:tcPr>
            <w:tcW w:w="2445" w:type="dxa"/>
          </w:tcPr>
          <w:p w14:paraId="4682AD91" w14:textId="77777777" w:rsidR="006A777D" w:rsidRPr="006A777D" w:rsidRDefault="006A777D" w:rsidP="006A777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Ograničen pristup i cirkulacija audiovizuelnih djela</w:t>
            </w:r>
          </w:p>
        </w:tc>
        <w:tc>
          <w:tcPr>
            <w:tcW w:w="4412" w:type="dxa"/>
          </w:tcPr>
          <w:p w14:paraId="1E497011" w14:textId="77777777" w:rsidR="006A777D" w:rsidRPr="006A777D" w:rsidRDefault="006A777D" w:rsidP="006A777D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Dostupnost domaćih i evropskih audiovizuelnih sadržaja i dalje je neravnomjerna, posebno van većih centara i u sredinama sa skromnijom infrastrukturom i ponudom. Iako postoje pozitivni pomaci, potrebno je dalje širiti mrežu pristupa i mehanizme distribucije ka različitim publikama.</w:t>
            </w:r>
          </w:p>
        </w:tc>
      </w:tr>
      <w:tr w:rsidR="006A777D" w:rsidRPr="00992FF8" w14:paraId="6882A352" w14:textId="77777777" w:rsidTr="00992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</w:tcPr>
          <w:p w14:paraId="422C0DCC" w14:textId="77777777" w:rsidR="006A777D" w:rsidRPr="006A777D" w:rsidRDefault="006A777D" w:rsidP="006A777D">
            <w:pPr>
              <w:spacing w:after="160" w:line="278" w:lineRule="auto"/>
              <w:jc w:val="both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4.12-4.3</w:t>
            </w:r>
          </w:p>
        </w:tc>
        <w:tc>
          <w:tcPr>
            <w:tcW w:w="2445" w:type="dxa"/>
          </w:tcPr>
          <w:p w14:paraId="2F1A2613" w14:textId="77777777" w:rsidR="006A777D" w:rsidRPr="006A777D" w:rsidRDefault="006A777D" w:rsidP="006A777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Nedovoljna povezanost audiovizuelnog sektora sa kreativnim industrijama i međunarodnim programima</w:t>
            </w:r>
          </w:p>
        </w:tc>
        <w:tc>
          <w:tcPr>
            <w:tcW w:w="4412" w:type="dxa"/>
          </w:tcPr>
          <w:p w14:paraId="19338504" w14:textId="77777777" w:rsidR="006A777D" w:rsidRPr="006A777D" w:rsidRDefault="006A777D" w:rsidP="006A777D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Audiovizuelni sektor još ne koristi u dovoljnoj mjeri mogućnosti međunarodnog umrežavanja, koprodukcije i finansiranja kroz evropske i druge programe. Slabija povezanost sa širim kreativnim ekosistemom ograničava inovacije, tržišni plasman i jačanje međunarodne konkurentnosti.</w:t>
            </w:r>
          </w:p>
        </w:tc>
      </w:tr>
      <w:tr w:rsidR="006A777D" w:rsidRPr="00992FF8" w14:paraId="62817270" w14:textId="77777777" w:rsidTr="00992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</w:tcPr>
          <w:p w14:paraId="76C07BD1" w14:textId="77777777" w:rsidR="006A777D" w:rsidRPr="006A777D" w:rsidRDefault="006A777D" w:rsidP="006A777D">
            <w:pPr>
              <w:spacing w:after="160" w:line="278" w:lineRule="auto"/>
              <w:jc w:val="both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4.13-5.1</w:t>
            </w:r>
          </w:p>
        </w:tc>
        <w:tc>
          <w:tcPr>
            <w:tcW w:w="2445" w:type="dxa"/>
          </w:tcPr>
          <w:p w14:paraId="515B0ADE" w14:textId="77777777" w:rsidR="006A777D" w:rsidRPr="006A777D" w:rsidRDefault="006A777D" w:rsidP="006A777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Visoka sezonalnost i nedovoljna diverzifikacija turističke ponude</w:t>
            </w:r>
          </w:p>
        </w:tc>
        <w:tc>
          <w:tcPr>
            <w:tcW w:w="4412" w:type="dxa"/>
          </w:tcPr>
          <w:p w14:paraId="2CBCCFED" w14:textId="77777777" w:rsidR="006A777D" w:rsidRPr="006A777D" w:rsidRDefault="006A777D" w:rsidP="006A777D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Uprkos rastu turističkog prometa, razvoj turizma i dalje je snažno oslonjen na sezonske tokove i ograničen broj dominantnih proizvoda i područja. To smanjuje otpornost sektora, povećava pritisak u vršnim periodima i ograničava ravnomjernije korišćenje turističkih potencijala tokom cijele godine.</w:t>
            </w:r>
          </w:p>
        </w:tc>
      </w:tr>
      <w:tr w:rsidR="006A777D" w:rsidRPr="00992FF8" w14:paraId="39B5CB74" w14:textId="77777777" w:rsidTr="00992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</w:tcPr>
          <w:p w14:paraId="1B102D7F" w14:textId="77777777" w:rsidR="006A777D" w:rsidRPr="006A777D" w:rsidRDefault="006A777D" w:rsidP="006A777D">
            <w:pPr>
              <w:spacing w:after="160" w:line="278" w:lineRule="auto"/>
              <w:jc w:val="both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4.13-5.2</w:t>
            </w:r>
          </w:p>
        </w:tc>
        <w:tc>
          <w:tcPr>
            <w:tcW w:w="2445" w:type="dxa"/>
          </w:tcPr>
          <w:p w14:paraId="56AE2FCF" w14:textId="77777777" w:rsidR="006A777D" w:rsidRPr="006A777D" w:rsidRDefault="006A777D" w:rsidP="006A777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Izražena zavisnost od stranog tržišta i ograničeno domaće učešće</w:t>
            </w:r>
          </w:p>
        </w:tc>
        <w:tc>
          <w:tcPr>
            <w:tcW w:w="4412" w:type="dxa"/>
          </w:tcPr>
          <w:p w14:paraId="736D0DC2" w14:textId="77777777" w:rsidR="006A777D" w:rsidRPr="006A777D" w:rsidRDefault="006A777D" w:rsidP="006A777D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Struktura noćenja pokazuje izrazitu dominaciju stranih turista, dok je učešće domaćeg turizma vrlo nisko. Takva struktura povećava osjetljivost sektora na spoljne šokove, promjene potražnje i geopolitičke ili ekonomske poremećaje na emitivnim tržištima.</w:t>
            </w:r>
          </w:p>
        </w:tc>
      </w:tr>
      <w:tr w:rsidR="006A777D" w:rsidRPr="00992FF8" w14:paraId="6B9013B8" w14:textId="77777777" w:rsidTr="00992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</w:tcPr>
          <w:p w14:paraId="0E4B0446" w14:textId="77777777" w:rsidR="006A777D" w:rsidRPr="006A777D" w:rsidRDefault="006A777D" w:rsidP="006A777D">
            <w:pPr>
              <w:spacing w:after="160" w:line="278" w:lineRule="auto"/>
              <w:jc w:val="both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4.13-5.3</w:t>
            </w:r>
          </w:p>
        </w:tc>
        <w:tc>
          <w:tcPr>
            <w:tcW w:w="2445" w:type="dxa"/>
          </w:tcPr>
          <w:p w14:paraId="6EEFB0D1" w14:textId="77777777" w:rsidR="006A777D" w:rsidRPr="006A777D" w:rsidRDefault="006A777D" w:rsidP="006A777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Nedovoljno razvijen održivi i teritorijalno uravnotežen turizam</w:t>
            </w:r>
          </w:p>
        </w:tc>
        <w:tc>
          <w:tcPr>
            <w:tcW w:w="4412" w:type="dxa"/>
          </w:tcPr>
          <w:p w14:paraId="7C5F3563" w14:textId="77777777" w:rsidR="006A777D" w:rsidRPr="006A777D" w:rsidRDefault="006A777D" w:rsidP="006A777D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Postoji potreba za snažnijim razvojem ruralnog, kulturnog, zdravstvenog, manifestacionog i drugih selektivnih oblika turizma, kao i za ravnomjernijom regionalnom raspodjelom koristi od turizma. Bez toga turistički razvoj ostaje prostorno koncentrisan i slabije doprinosi sjeveru i unutrašnjosti zemlje.</w:t>
            </w:r>
          </w:p>
        </w:tc>
      </w:tr>
      <w:tr w:rsidR="006A777D" w:rsidRPr="00992FF8" w14:paraId="2DD58CED" w14:textId="77777777" w:rsidTr="00992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</w:tcPr>
          <w:p w14:paraId="11516452" w14:textId="77777777" w:rsidR="006A777D" w:rsidRPr="006A777D" w:rsidRDefault="006A777D" w:rsidP="006A777D">
            <w:pPr>
              <w:spacing w:after="160" w:line="278" w:lineRule="auto"/>
              <w:jc w:val="both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4.13-5.4</w:t>
            </w:r>
          </w:p>
        </w:tc>
        <w:tc>
          <w:tcPr>
            <w:tcW w:w="2445" w:type="dxa"/>
          </w:tcPr>
          <w:p w14:paraId="7A82559B" w14:textId="77777777" w:rsidR="006A777D" w:rsidRPr="006A777D" w:rsidRDefault="006A777D" w:rsidP="006A777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Ograničeni efekti digitalizacije i upravljanja destinacijom</w:t>
            </w:r>
          </w:p>
        </w:tc>
        <w:tc>
          <w:tcPr>
            <w:tcW w:w="4412" w:type="dxa"/>
          </w:tcPr>
          <w:p w14:paraId="751B27DF" w14:textId="77777777" w:rsidR="006A777D" w:rsidRPr="006A777D" w:rsidRDefault="006A777D" w:rsidP="006A777D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 xml:space="preserve">Iako su započeti važni procesi, uključujući turistički informacioni sistem i digitalne alate promocije, upravljanje destinacijom i dalje zahtijeva jače korišćenje podataka, digitalnih rješenja i koordinisanih modela upravljanja. To je važno za efikasniju </w:t>
            </w:r>
            <w:r w:rsidRPr="006A777D">
              <w:rPr>
                <w:noProof/>
                <w:sz w:val="18"/>
                <w:szCs w:val="18"/>
                <w:lang w:val="sr-Latn-ME"/>
              </w:rPr>
              <w:lastRenderedPageBreak/>
              <w:t>promociju, bolje usmjeravanje ponude i održivost sektora.</w:t>
            </w:r>
          </w:p>
        </w:tc>
      </w:tr>
      <w:tr w:rsidR="006A777D" w:rsidRPr="00992FF8" w14:paraId="52EDD0CA" w14:textId="77777777" w:rsidTr="00992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</w:tcPr>
          <w:p w14:paraId="748C1DC3" w14:textId="77777777" w:rsidR="006A777D" w:rsidRPr="006A777D" w:rsidRDefault="006A777D" w:rsidP="006A777D">
            <w:pPr>
              <w:spacing w:after="160" w:line="278" w:lineRule="auto"/>
              <w:jc w:val="both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lastRenderedPageBreak/>
              <w:t>4.13-5.5</w:t>
            </w:r>
          </w:p>
        </w:tc>
        <w:tc>
          <w:tcPr>
            <w:tcW w:w="2445" w:type="dxa"/>
          </w:tcPr>
          <w:p w14:paraId="3E5EAE7C" w14:textId="77777777" w:rsidR="006A777D" w:rsidRPr="006A777D" w:rsidRDefault="006A777D" w:rsidP="006A777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Nedovoljno ciljano korišćenje finansijske podrške za održivi turizam</w:t>
            </w:r>
          </w:p>
        </w:tc>
        <w:tc>
          <w:tcPr>
            <w:tcW w:w="4412" w:type="dxa"/>
          </w:tcPr>
          <w:p w14:paraId="5158B392" w14:textId="77777777" w:rsidR="006A777D" w:rsidRPr="006A777D" w:rsidRDefault="006A777D" w:rsidP="006A777D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Latn-ME"/>
              </w:rPr>
            </w:pPr>
            <w:r w:rsidRPr="006A777D">
              <w:rPr>
                <w:noProof/>
                <w:sz w:val="18"/>
                <w:szCs w:val="18"/>
                <w:lang w:val="sr-Latn-ME"/>
              </w:rPr>
              <w:t>Postoje programi podsticaja i finansijske podrške, ali ostaje izazov da se sredstva još snažnije usmjere ka održivim, inovativnim i cjelogodišnjim turističkim aktivnostima sa većom dodatom vrijednošću. Posebno je važno povezati podršku sa kvalitetom ponude, lokalnim lancima vrijednosti i zaštitom resursa.</w:t>
            </w:r>
          </w:p>
        </w:tc>
      </w:tr>
    </w:tbl>
    <w:p w14:paraId="48FA5DBB" w14:textId="77777777" w:rsidR="00F579F5" w:rsidRDefault="00F579F5" w:rsidP="00F579F5">
      <w:pPr>
        <w:rPr>
          <w:lang w:val="sr-Latn-ME"/>
        </w:rPr>
      </w:pPr>
    </w:p>
    <w:p w14:paraId="303FF31B" w14:textId="59F0F64C" w:rsidR="00644D3B" w:rsidRPr="00644D3B" w:rsidRDefault="00644D3B" w:rsidP="00992FF8">
      <w:pPr>
        <w:pStyle w:val="Naslov1"/>
        <w:rPr>
          <w:lang w:val="sr-Latn-ME"/>
        </w:rPr>
      </w:pPr>
      <w:r w:rsidRPr="00644D3B">
        <w:rPr>
          <w:lang w:val="sr-Latn-ME"/>
        </w:rPr>
        <w:t>Lista referenci</w:t>
      </w:r>
    </w:p>
    <w:p w14:paraId="4AE06D76" w14:textId="2A2DE7FC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lang w:val="sr-Latn-ME"/>
        </w:rPr>
        <w:t>E</w:t>
      </w:r>
      <w:r w:rsidRPr="4D780C90">
        <w:rPr>
          <w:sz w:val="20"/>
          <w:szCs w:val="20"/>
          <w:lang w:val="sr-Latn-ME"/>
        </w:rPr>
        <w:t>uropean Commission. Culture Compass for Europe. 2025.</w:t>
      </w:r>
    </w:p>
    <w:p w14:paraId="4A23D9AD" w14:textId="3E296DDD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European Commission. EU Work Plan for Culture 2023–2026. 2023.</w:t>
      </w:r>
    </w:p>
    <w:p w14:paraId="4FE70A7E" w14:textId="56687D6B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European Commission. European Agenda for Tourism 2030. 2024.</w:t>
      </w:r>
    </w:p>
    <w:p w14:paraId="73C558B5" w14:textId="01A04C50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European Commission. Izvještaj o Crnoj Gori za 2025. godinu. 2025.</w:t>
      </w:r>
    </w:p>
    <w:p w14:paraId="2CECE7E4" w14:textId="7D9C55C0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European Commission. Montenegro Report 2024. 2024.</w:t>
      </w:r>
    </w:p>
    <w:p w14:paraId="79205EA8" w14:textId="7192ABE5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European Commission. Transition Pathway for Tourism. 2022.</w:t>
      </w:r>
    </w:p>
    <w:p w14:paraId="4169D976" w14:textId="22D97365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European Parliament and Council of the European Union. Direktiva 2010/13/EU o audiovizuelnim medijskim uslugama. 2010.</w:t>
      </w:r>
    </w:p>
    <w:p w14:paraId="66BF8EEA" w14:textId="0B2C9F45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European Parliament and Council of the European Union. Direktiva (EU) 2018/1808 o izmjenama Direktive 2010/13/EU o audiovizuelnim medijskim uslugama. 2018.</w:t>
      </w:r>
    </w:p>
    <w:p w14:paraId="25035A2F" w14:textId="49E6C8AC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European Parliament and Council of the European Union. Uredba (EU) 2021/818 o uspostavljanju programa Kreativna Evropa za period 2021–2027. 2021.</w:t>
      </w:r>
    </w:p>
    <w:p w14:paraId="113EE43F" w14:textId="35AD4793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European Parliament and Council of the European Union. Uredba (EU) 2022/2065 o jedinstvenom tržištu digitalnih usluga (Digital Services Act). 2022.</w:t>
      </w:r>
    </w:p>
    <w:p w14:paraId="533DD669" w14:textId="539FAB1E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European Parliament and Council of the European Union. Uredba (EU) 2024/1083 o uspostavljanju zajedničkog okvira za medijske usluge na unutrašnjem tržištu (European Media Freedom Act). 2024.</w:t>
      </w:r>
    </w:p>
    <w:p w14:paraId="5E88A45D" w14:textId="046D932E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Eurostat. Culture statistics – cultural participation (ilc_scp27).</w:t>
      </w:r>
    </w:p>
    <w:p w14:paraId="686B02BF" w14:textId="23454EA6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 xml:space="preserve">Eurostat. Culture statistics – household expenditure on culture. </w:t>
      </w:r>
    </w:p>
    <w:p w14:paraId="1DFF4E33" w14:textId="405BF7FC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 xml:space="preserve">Eurostat. Culture statistics – use of ICT for cultural purposes. </w:t>
      </w:r>
    </w:p>
    <w:p w14:paraId="332C26CB" w14:textId="1CD206CF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 xml:space="preserve">Eurostat. Statistics on tourism for the enlargement countries. </w:t>
      </w:r>
    </w:p>
    <w:p w14:paraId="05A8F4FA" w14:textId="7AB3EE8D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Savjet Evrope. Okvirna konvencija o vrijednosti kulturne baštine za društvo (Faro Convention). 2005.</w:t>
      </w:r>
    </w:p>
    <w:p w14:paraId="2B2D6AB1" w14:textId="63D382D1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UNESCO. Konvencija o zaštiti i promociji raznolikosti kulturnih izraza. 2005.</w:t>
      </w:r>
    </w:p>
    <w:p w14:paraId="5411962E" w14:textId="444E85D6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Vlada Crne Gore. Medijska strategija Crne Gore 2023–2027. 2023.</w:t>
      </w:r>
    </w:p>
    <w:p w14:paraId="49EE9DC9" w14:textId="13712A87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Vlada Crne Gore. Nacionalna strategija održivog razvoja do 2030. godine.</w:t>
      </w:r>
    </w:p>
    <w:p w14:paraId="36AAC643" w14:textId="777930F7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Vlada Crne Gore. Nacionalni program razvoja kulture Crne Gore 2023–2027. 2023.</w:t>
      </w:r>
    </w:p>
    <w:p w14:paraId="13437797" w14:textId="7F586F35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Vlada Crne Gore. Predlog zakona o izmjenama i dopunama Zakona o zaštiti kulturnih dobara.</w:t>
      </w:r>
    </w:p>
    <w:p w14:paraId="71289449" w14:textId="7EAF51A4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Vlada Crne Gore. Predlog zakona o kulturi.</w:t>
      </w:r>
    </w:p>
    <w:p w14:paraId="371A174E" w14:textId="26DBF77E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Vlada Crne Gore. Predlog zakona o izmjenama i dopunama Zakona o elektronskim komunikacijama.</w:t>
      </w:r>
    </w:p>
    <w:p w14:paraId="4521F5D7" w14:textId="5FB25A70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Vlada Crne Gore. Program ekonomskih reformi Crne Gore 2026–2028. 2025.</w:t>
      </w:r>
    </w:p>
    <w:p w14:paraId="51444CB4" w14:textId="58446755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Vlada Crne Gore. Program podsticajnih mjera u oblasti turizma za 2025. godinu. 2025.</w:t>
      </w:r>
    </w:p>
    <w:p w14:paraId="525B67EE" w14:textId="533D1041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Vlada Crne Gore. Program pristupanja Crne Gore Evropskoj uniji 2026–2027. 2026.</w:t>
      </w:r>
    </w:p>
    <w:p w14:paraId="2E725F63" w14:textId="68A5686D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Vlada Crne Gore. Program rada Vlade Crne Gore za 2026. godinu.</w:t>
      </w:r>
    </w:p>
    <w:p w14:paraId="55300808" w14:textId="2CA3FD22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lastRenderedPageBreak/>
        <w:t>Vlada Crne Gore. Program razvoja ljudskih resursa u turizmu.</w:t>
      </w:r>
    </w:p>
    <w:p w14:paraId="548AA1FD" w14:textId="2A32CB88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Vlada Crne Gore. Program razvoja ruralnog turizma 2023–2025. 2023.</w:t>
      </w:r>
    </w:p>
    <w:p w14:paraId="6274E70D" w14:textId="79B6F380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Vlada Crne Gore. Program razvoja ruralnog turizma 2023–2025 sa ažuriranim Akcionim planom 2024–2025. 2024.</w:t>
      </w:r>
    </w:p>
    <w:p w14:paraId="1BCAAB30" w14:textId="7AA86032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Vlada Crne Gore. Program zaštite i očuvanja kulturnih dobara.</w:t>
      </w:r>
    </w:p>
    <w:p w14:paraId="6E5BA5C3" w14:textId="287F512E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Vlada Crne Gore. Reformska agenda Crne Gore 2024–2027. 2024.</w:t>
      </w:r>
    </w:p>
    <w:p w14:paraId="24705E79" w14:textId="375A24A8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Vlada Crne Gore. Srednjoročni program rada Vlade Crne Gore.</w:t>
      </w:r>
    </w:p>
    <w:p w14:paraId="4074161F" w14:textId="183D1DCC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Vlada Crne Gore. Strategija pametne specijalizacije Crne Gore.</w:t>
      </w:r>
    </w:p>
    <w:p w14:paraId="41029321" w14:textId="7BACC9A3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Vlada Crne Gore. Strategija razvoja turizma Crne Gore.</w:t>
      </w:r>
    </w:p>
    <w:p w14:paraId="320CEF4D" w14:textId="2EC06AB3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Vlada Crne Gore. Strategija razvoja turizma Crne Gore 2027–2036 sa Akcionim planom 2027–2028.</w:t>
      </w:r>
    </w:p>
    <w:p w14:paraId="3C0F72D4" w14:textId="26CA31DE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Vlada Crne Gore. Izvještaj o radu i stanju u upravnim oblastima Ministarstva kulture i medija za 2025. godinu. 2026.</w:t>
      </w:r>
    </w:p>
    <w:p w14:paraId="372A2AD8" w14:textId="35E7C726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Vlada Crne Gore. Izvještaj o radu i stanju u upravnim oblastima Ministarstva turizma za period januar–decembar 2025. godine. 2026.</w:t>
      </w:r>
    </w:p>
    <w:p w14:paraId="7607707C" w14:textId="17CFCACF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Vlada Crne Gore. Izvještaj o realizaciji Akcionog plana Nacionalnog programa razvoja kulture 2023–2027 za 2024. godinu. 2025.</w:t>
      </w:r>
    </w:p>
    <w:p w14:paraId="5B82C49E" w14:textId="19A41E0D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Vlada Crne Gore. Izvještaj o realizaciji Akcionog plana Nacionalnog programa razvoja kulture 2023–2027 za 2025. godinu. 2026.</w:t>
      </w:r>
    </w:p>
    <w:p w14:paraId="07C156ED" w14:textId="7232189E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World Travel &amp; Tourism Council. Economic Impact Research.</w:t>
      </w:r>
    </w:p>
    <w:p w14:paraId="2043C3C7" w14:textId="06E76501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Zakon o arhivskoj djelatnosti.</w:t>
      </w:r>
    </w:p>
    <w:p w14:paraId="22C7E044" w14:textId="761A97B9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Zakon o audiovizuelnim medijskim uslugama.</w:t>
      </w:r>
    </w:p>
    <w:p w14:paraId="5A85281C" w14:textId="753B9588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Zakon o javnom medijskom servisu Crne Gore.</w:t>
      </w:r>
    </w:p>
    <w:p w14:paraId="341A863C" w14:textId="09E47008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Zakon o kulturi.</w:t>
      </w:r>
    </w:p>
    <w:p w14:paraId="23C31DCD" w14:textId="1BAA8C7E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Zakon o medijima.</w:t>
      </w:r>
    </w:p>
    <w:p w14:paraId="302BD7AC" w14:textId="78DC9057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Zakon o planinskim stazama.</w:t>
      </w:r>
    </w:p>
    <w:p w14:paraId="4DAEE953" w14:textId="409A6040" w:rsidR="00644D3B" w:rsidRPr="00644D3B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Zakon o turizmu i ugostiteljstvu.</w:t>
      </w:r>
    </w:p>
    <w:p w14:paraId="0C25ADA9" w14:textId="4A39E5B3" w:rsidR="00644D3B" w:rsidRPr="00F579F5" w:rsidRDefault="4D780C90" w:rsidP="4D780C90">
      <w:pPr>
        <w:pStyle w:val="Odlomakpopisa"/>
        <w:numPr>
          <w:ilvl w:val="0"/>
          <w:numId w:val="1"/>
        </w:numPr>
        <w:rPr>
          <w:sz w:val="20"/>
          <w:szCs w:val="20"/>
          <w:lang w:val="sr-Latn-ME"/>
        </w:rPr>
      </w:pPr>
      <w:r w:rsidRPr="4D780C90">
        <w:rPr>
          <w:sz w:val="20"/>
          <w:szCs w:val="20"/>
          <w:lang w:val="sr-Latn-ME"/>
        </w:rPr>
        <w:t>Zakon o zaštiti kulturnih dobara.</w:t>
      </w:r>
    </w:p>
    <w:sectPr w:rsidR="00644D3B" w:rsidRPr="00F579F5" w:rsidSect="0093136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8EB76" w14:textId="77777777" w:rsidR="00F46ACE" w:rsidRDefault="00F46ACE" w:rsidP="00C704CD">
      <w:pPr>
        <w:spacing w:after="0" w:line="240" w:lineRule="auto"/>
      </w:pPr>
      <w:r>
        <w:separator/>
      </w:r>
    </w:p>
  </w:endnote>
  <w:endnote w:type="continuationSeparator" w:id="0">
    <w:p w14:paraId="176CEAEA" w14:textId="77777777" w:rsidR="00F46ACE" w:rsidRDefault="00F46ACE" w:rsidP="00C70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35946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FBE9D2" w14:textId="0D41CD6F" w:rsidR="00C704CD" w:rsidRDefault="00C704CD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4D3B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6FB399AC" w14:textId="77777777" w:rsidR="00C704CD" w:rsidRDefault="00C704C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9AD67" w14:textId="77777777" w:rsidR="00F46ACE" w:rsidRDefault="00F46ACE" w:rsidP="00C704CD">
      <w:pPr>
        <w:spacing w:after="0" w:line="240" w:lineRule="auto"/>
      </w:pPr>
      <w:r>
        <w:separator/>
      </w:r>
    </w:p>
  </w:footnote>
  <w:footnote w:type="continuationSeparator" w:id="0">
    <w:p w14:paraId="45A7BFC2" w14:textId="77777777" w:rsidR="00F46ACE" w:rsidRDefault="00F46ACE" w:rsidP="00C704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B9781"/>
    <w:multiLevelType w:val="hybridMultilevel"/>
    <w:tmpl w:val="E512619C"/>
    <w:lvl w:ilvl="0" w:tplc="F9B8BB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DAAB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549B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1232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90F2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F0C2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D674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58ED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38E9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15440B"/>
    <w:multiLevelType w:val="multilevel"/>
    <w:tmpl w:val="041A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num w:numId="1" w16cid:durableId="1124538443">
    <w:abstractNumId w:val="0"/>
  </w:num>
  <w:num w:numId="2" w16cid:durableId="872812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9F5"/>
    <w:rsid w:val="00003EAB"/>
    <w:rsid w:val="000209B5"/>
    <w:rsid w:val="00112D31"/>
    <w:rsid w:val="001750D5"/>
    <w:rsid w:val="00197522"/>
    <w:rsid w:val="001B6596"/>
    <w:rsid w:val="0021066E"/>
    <w:rsid w:val="002A663A"/>
    <w:rsid w:val="002D6FE8"/>
    <w:rsid w:val="0030605C"/>
    <w:rsid w:val="003630F9"/>
    <w:rsid w:val="00381EA2"/>
    <w:rsid w:val="00484A03"/>
    <w:rsid w:val="006061BD"/>
    <w:rsid w:val="00644D3B"/>
    <w:rsid w:val="00672BA3"/>
    <w:rsid w:val="006A1BFC"/>
    <w:rsid w:val="006A6DBF"/>
    <w:rsid w:val="006A777D"/>
    <w:rsid w:val="00811E78"/>
    <w:rsid w:val="0087152E"/>
    <w:rsid w:val="0093136E"/>
    <w:rsid w:val="009722B6"/>
    <w:rsid w:val="00992FF8"/>
    <w:rsid w:val="009A0264"/>
    <w:rsid w:val="00A1491C"/>
    <w:rsid w:val="00AD1FF5"/>
    <w:rsid w:val="00B17B5B"/>
    <w:rsid w:val="00B722BD"/>
    <w:rsid w:val="00B96841"/>
    <w:rsid w:val="00BD1487"/>
    <w:rsid w:val="00C704CD"/>
    <w:rsid w:val="00C94037"/>
    <w:rsid w:val="00C95CE8"/>
    <w:rsid w:val="00D13A85"/>
    <w:rsid w:val="00E121CD"/>
    <w:rsid w:val="00E542D2"/>
    <w:rsid w:val="00E65CC5"/>
    <w:rsid w:val="00E92DFE"/>
    <w:rsid w:val="00F32C87"/>
    <w:rsid w:val="00F4622C"/>
    <w:rsid w:val="00F46ACE"/>
    <w:rsid w:val="00F579F5"/>
    <w:rsid w:val="00F87C56"/>
    <w:rsid w:val="00FD3A1A"/>
    <w:rsid w:val="1742E3AE"/>
    <w:rsid w:val="4D780C90"/>
    <w:rsid w:val="5207E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72E6B"/>
  <w15:chartTrackingRefBased/>
  <w15:docId w15:val="{95921294-6A19-4CD1-9D16-38096EAC6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FF8"/>
    <w:rPr>
      <w:sz w:val="22"/>
    </w:rPr>
  </w:style>
  <w:style w:type="paragraph" w:styleId="Naslov1">
    <w:name w:val="heading 1"/>
    <w:basedOn w:val="Normal"/>
    <w:next w:val="Normal"/>
    <w:link w:val="Naslov1Char"/>
    <w:uiPriority w:val="9"/>
    <w:qFormat/>
    <w:rsid w:val="00F579F5"/>
    <w:pPr>
      <w:keepNext/>
      <w:keepLines/>
      <w:numPr>
        <w:numId w:val="2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579F5"/>
    <w:pPr>
      <w:keepNext/>
      <w:keepLines/>
      <w:numPr>
        <w:ilvl w:val="1"/>
        <w:numId w:val="2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579F5"/>
    <w:pPr>
      <w:keepNext/>
      <w:keepLines/>
      <w:numPr>
        <w:ilvl w:val="2"/>
        <w:numId w:val="2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579F5"/>
    <w:pPr>
      <w:keepNext/>
      <w:keepLines/>
      <w:numPr>
        <w:ilvl w:val="3"/>
        <w:numId w:val="2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579F5"/>
    <w:pPr>
      <w:keepNext/>
      <w:keepLines/>
      <w:numPr>
        <w:ilvl w:val="4"/>
        <w:numId w:val="2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579F5"/>
    <w:pPr>
      <w:keepNext/>
      <w:keepLines/>
      <w:numPr>
        <w:ilvl w:val="5"/>
        <w:numId w:val="2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579F5"/>
    <w:pPr>
      <w:keepNext/>
      <w:keepLines/>
      <w:numPr>
        <w:ilvl w:val="6"/>
        <w:numId w:val="2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579F5"/>
    <w:pPr>
      <w:keepNext/>
      <w:keepLines/>
      <w:numPr>
        <w:ilvl w:val="7"/>
        <w:numId w:val="2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579F5"/>
    <w:pPr>
      <w:keepNext/>
      <w:keepLines/>
      <w:numPr>
        <w:ilvl w:val="8"/>
        <w:numId w:val="2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579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rsid w:val="00F579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rsid w:val="00F579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579F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579F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579F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579F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579F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579F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579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579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579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579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579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579F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579F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579F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579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579F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579F5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F57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704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704CD"/>
  </w:style>
  <w:style w:type="paragraph" w:styleId="Podnoje">
    <w:name w:val="footer"/>
    <w:basedOn w:val="Normal"/>
    <w:link w:val="PodnojeChar"/>
    <w:uiPriority w:val="99"/>
    <w:unhideWhenUsed/>
    <w:rsid w:val="00C704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704CD"/>
  </w:style>
  <w:style w:type="table" w:styleId="Svijetlatablicareetke1-isticanje4">
    <w:name w:val="Grid Table 1 Light Accent 4"/>
    <w:basedOn w:val="Obinatablica"/>
    <w:uiPriority w:val="46"/>
    <w:rsid w:val="00992FF8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8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96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4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97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965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47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92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477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66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73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4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51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26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807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273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531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12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360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5552</Words>
  <Characters>31652</Characters>
  <Application>Microsoft Office Word</Application>
  <DocSecurity>0</DocSecurity>
  <Lines>263</Lines>
  <Paragraphs>74</Paragraphs>
  <ScaleCrop>false</ScaleCrop>
  <Company/>
  <LinksUpToDate>false</LinksUpToDate>
  <CharactersWithSpaces>37130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Kresimir Ivancic</dc:creator>
  <cp:keywords/>
  <dc:description/>
  <cp:lastModifiedBy>Krešimir Ivančić</cp:lastModifiedBy>
  <cp:revision>16</cp:revision>
  <dcterms:created xsi:type="dcterms:W3CDTF">2026-04-15T16:41:00Z</dcterms:created>
  <dcterms:modified xsi:type="dcterms:W3CDTF">2026-04-29T04:20:00Z</dcterms:modified>
</cp:coreProperties>
</file>