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C8333" w14:textId="77777777" w:rsidR="003773C4" w:rsidRPr="006F5B1C" w:rsidRDefault="003773C4" w:rsidP="003773C4">
      <w:pPr>
        <w:jc w:val="center"/>
        <w:rPr>
          <w:lang w:val="sr-Latn-ME"/>
        </w:rPr>
      </w:pPr>
      <w:r w:rsidRPr="006F5B1C">
        <w:rPr>
          <w:noProof/>
          <w:lang w:val="sr-Latn-ME"/>
        </w:rPr>
        <w:drawing>
          <wp:inline distT="0" distB="0" distL="0" distR="0" wp14:anchorId="604631E7" wp14:editId="7FF5595C">
            <wp:extent cx="4177324" cy="2088662"/>
            <wp:effectExtent l="0" t="0" r="0" b="0"/>
            <wp:docPr id="11"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177324" cy="2088662"/>
                    </a:xfrm>
                    <a:prstGeom prst="rect">
                      <a:avLst/>
                    </a:prstGeom>
                  </pic:spPr>
                </pic:pic>
              </a:graphicData>
            </a:graphic>
          </wp:inline>
        </w:drawing>
      </w:r>
    </w:p>
    <w:p w14:paraId="3BB03E6C" w14:textId="77777777" w:rsidR="003773C4" w:rsidRPr="006F5B1C" w:rsidRDefault="003773C4" w:rsidP="003773C4">
      <w:pPr>
        <w:jc w:val="center"/>
        <w:rPr>
          <w:lang w:val="sr-Latn-ME"/>
        </w:rPr>
      </w:pPr>
    </w:p>
    <w:p w14:paraId="10238A50" w14:textId="0BCD24C4" w:rsidR="00C05D8A" w:rsidRPr="006F5B1C" w:rsidRDefault="00FC4212" w:rsidP="003773C4">
      <w:pPr>
        <w:jc w:val="center"/>
        <w:rPr>
          <w:rFonts w:asciiTheme="majorHAnsi" w:eastAsiaTheme="majorEastAsia" w:hAnsiTheme="majorHAnsi" w:cstheme="majorBidi"/>
          <w:spacing w:val="-10"/>
          <w:kern w:val="28"/>
          <w:sz w:val="56"/>
          <w:szCs w:val="56"/>
          <w:lang w:val="sr-Latn-ME"/>
        </w:rPr>
      </w:pPr>
      <w:r w:rsidRPr="006F5B1C">
        <w:rPr>
          <w:noProof/>
          <w:lang w:val="sr-Latn-ME"/>
        </w:rPr>
        <w:drawing>
          <wp:inline distT="0" distB="0" distL="0" distR="0" wp14:anchorId="4BDBE7F6" wp14:editId="1B8D0387">
            <wp:extent cx="5753100" cy="5753100"/>
            <wp:effectExtent l="0" t="0" r="0" b="0"/>
            <wp:docPr id="36631910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5753100"/>
                    </a:xfrm>
                    <a:prstGeom prst="rect">
                      <a:avLst/>
                    </a:prstGeom>
                    <a:noFill/>
                    <a:ln>
                      <a:noFill/>
                    </a:ln>
                  </pic:spPr>
                </pic:pic>
              </a:graphicData>
            </a:graphic>
          </wp:inline>
        </w:drawing>
      </w:r>
      <w:r w:rsidR="00C05D8A" w:rsidRPr="006F5B1C">
        <w:rPr>
          <w:lang w:val="sr-Latn-ME"/>
        </w:rPr>
        <w:br w:type="page"/>
      </w:r>
    </w:p>
    <w:p w14:paraId="7AB7BE11" w14:textId="77777777" w:rsidR="00BC1999" w:rsidRPr="006F5B1C" w:rsidRDefault="00BC1999" w:rsidP="00BC1999">
      <w:pPr>
        <w:pStyle w:val="Naslov1"/>
        <w:rPr>
          <w:lang w:val="sr-Latn-ME"/>
        </w:rPr>
      </w:pPr>
      <w:r w:rsidRPr="006F5B1C">
        <w:rPr>
          <w:lang w:val="sr-Latn-ME"/>
        </w:rPr>
        <w:lastRenderedPageBreak/>
        <w:t>Uvod i važnost</w:t>
      </w:r>
    </w:p>
    <w:p w14:paraId="76037CB9" w14:textId="77777777" w:rsidR="00BC1999" w:rsidRPr="006F5B1C" w:rsidRDefault="00BC1999" w:rsidP="00BC1999">
      <w:pPr>
        <w:rPr>
          <w:lang w:val="sr-Latn-ME"/>
        </w:rPr>
      </w:pPr>
      <w:r w:rsidRPr="006F5B1C">
        <w:rPr>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7ED4AA6F" w14:textId="77777777" w:rsidR="00BC1999" w:rsidRPr="006F5B1C" w:rsidRDefault="00BC1999" w:rsidP="00BC1999">
      <w:pPr>
        <w:rPr>
          <w:rFonts w:ascii="Aptos" w:eastAsia="Aptos" w:hAnsi="Aptos" w:cs="Aptos"/>
          <w:color w:val="000000" w:themeColor="text1"/>
          <w:lang w:val="sr-Latn-ME"/>
        </w:rPr>
      </w:pPr>
      <w:r w:rsidRPr="006F5B1C">
        <w:rPr>
          <w:rFonts w:ascii="Aptos" w:eastAsia="Aptos" w:hAnsi="Aptos" w:cs="Aptos"/>
          <w:color w:val="000000" w:themeColor="text1"/>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06F5B1C">
        <w:rPr>
          <w:rFonts w:ascii="Aptos" w:eastAsia="Aptos" w:hAnsi="Aptos" w:cs="Aptos"/>
          <w:color w:val="000000" w:themeColor="text1"/>
          <w:lang w:val="sr-Latn-ME"/>
        </w:rPr>
        <w:t>Partnership</w:t>
      </w:r>
      <w:proofErr w:type="spellEnd"/>
      <w:r w:rsidRPr="006F5B1C">
        <w:rPr>
          <w:rFonts w:ascii="Aptos" w:eastAsia="Aptos" w:hAnsi="Aptos" w:cs="Aptos"/>
          <w:color w:val="000000" w:themeColor="text1"/>
          <w:lang w:val="sr-Latn-ME"/>
        </w:rPr>
        <w:t xml:space="preserve"> </w:t>
      </w:r>
      <w:proofErr w:type="spellStart"/>
      <w:r w:rsidRPr="006F5B1C">
        <w:rPr>
          <w:rFonts w:ascii="Aptos" w:eastAsia="Aptos" w:hAnsi="Aptos" w:cs="Aptos"/>
          <w:color w:val="000000" w:themeColor="text1"/>
          <w:lang w:val="sr-Latn-ME"/>
        </w:rPr>
        <w:t>Agreement</w:t>
      </w:r>
      <w:proofErr w:type="spellEnd"/>
      <w:r w:rsidRPr="006F5B1C">
        <w:rPr>
          <w:rFonts w:ascii="Aptos" w:eastAsia="Aptos" w:hAnsi="Aptos" w:cs="Aptos"/>
          <w:color w:val="000000" w:themeColor="text1"/>
          <w:lang w:val="sr-Latn-ME"/>
        </w:rPr>
        <w:t xml:space="preserve">“, a koji treba da obuhvati stratešku analizu, uključujući izazove, potrebe i ciljne grupe, odabrane prioritete i ciljeve, glavne očekivane rezultate, planirane tematske cjeline i izvore finansiranja, mehanizme za </w:t>
      </w:r>
      <w:proofErr w:type="spellStart"/>
      <w:r w:rsidRPr="006F5B1C">
        <w:rPr>
          <w:rFonts w:ascii="Aptos" w:eastAsia="Aptos" w:hAnsi="Aptos" w:cs="Aptos"/>
          <w:color w:val="000000" w:themeColor="text1"/>
          <w:lang w:val="sr-Latn-ME"/>
        </w:rPr>
        <w:t>obezbjeđivanje</w:t>
      </w:r>
      <w:proofErr w:type="spellEnd"/>
      <w:r w:rsidRPr="006F5B1C">
        <w:rPr>
          <w:rFonts w:ascii="Aptos" w:eastAsia="Aptos" w:hAnsi="Aptos" w:cs="Aptos"/>
          <w:color w:val="000000" w:themeColor="text1"/>
          <w:lang w:val="sr-Latn-ME"/>
        </w:rPr>
        <w:t xml:space="preserve"> usklađenosti sa relevantnim prioritetima i strategijama Evropske unije, kao i okvir upravljanja u skladu sa Evropskim kodeksom ponašanja o partnerstvu.</w:t>
      </w:r>
    </w:p>
    <w:p w14:paraId="3F9B4D73" w14:textId="77777777" w:rsidR="00BC1999" w:rsidRPr="006F5B1C" w:rsidRDefault="00BC1999" w:rsidP="00BC1999">
      <w:pPr>
        <w:rPr>
          <w:rFonts w:ascii="Aptos" w:eastAsia="Aptos" w:hAnsi="Aptos" w:cs="Aptos"/>
          <w:color w:val="000000" w:themeColor="text1"/>
          <w:lang w:val="sr-Latn-ME"/>
        </w:rPr>
      </w:pPr>
      <w:r w:rsidRPr="006F5B1C">
        <w:rPr>
          <w:rFonts w:ascii="Aptos" w:eastAsia="Aptos" w:hAnsi="Aptos" w:cs="Aptos"/>
          <w:color w:val="000000" w:themeColor="text1"/>
          <w:lang w:val="sr-Latn-ME"/>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06F5B1C">
        <w:rPr>
          <w:rFonts w:ascii="Aptos" w:eastAsia="Aptos" w:hAnsi="Aptos" w:cs="Aptos"/>
          <w:color w:val="000000" w:themeColor="text1"/>
          <w:lang w:val="sr-Latn-ME"/>
        </w:rPr>
        <w:t>javnopolitički</w:t>
      </w:r>
      <w:proofErr w:type="spellEnd"/>
      <w:r w:rsidRPr="006F5B1C">
        <w:rPr>
          <w:rFonts w:ascii="Aptos" w:eastAsia="Aptos" w:hAnsi="Aptos" w:cs="Aptos"/>
          <w:color w:val="000000" w:themeColor="text1"/>
          <w:lang w:val="sr-Latn-ME"/>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43F7089F" w14:textId="77777777" w:rsidR="00BC1999" w:rsidRPr="006F5B1C" w:rsidRDefault="00BC1999" w:rsidP="00BC1999">
      <w:pPr>
        <w:rPr>
          <w:rFonts w:ascii="Aptos" w:eastAsia="Aptos" w:hAnsi="Aptos" w:cs="Aptos"/>
          <w:color w:val="000000" w:themeColor="text1"/>
          <w:lang w:val="sr-Latn-ME"/>
        </w:rPr>
      </w:pPr>
      <w:r w:rsidRPr="006F5B1C">
        <w:rPr>
          <w:rFonts w:ascii="Aptos" w:eastAsia="Aptos" w:hAnsi="Aptos" w:cs="Aptos"/>
          <w:color w:val="000000" w:themeColor="text1"/>
          <w:lang w:val="sr-Latn-ME"/>
        </w:rPr>
        <w:t xml:space="preserve">Situaciona analiza istovremeno ima i važnu funkciju u </w:t>
      </w:r>
      <w:proofErr w:type="spellStart"/>
      <w:r w:rsidRPr="006F5B1C">
        <w:rPr>
          <w:rFonts w:ascii="Aptos" w:eastAsia="Aptos" w:hAnsi="Aptos" w:cs="Aptos"/>
          <w:color w:val="000000" w:themeColor="text1"/>
          <w:lang w:val="sr-Latn-ME"/>
        </w:rPr>
        <w:t>obezbjeđivanju</w:t>
      </w:r>
      <w:proofErr w:type="spellEnd"/>
      <w:r w:rsidRPr="006F5B1C">
        <w:rPr>
          <w:rFonts w:ascii="Aptos" w:eastAsia="Aptos" w:hAnsi="Aptos" w:cs="Aptos"/>
          <w:color w:val="000000" w:themeColor="text1"/>
          <w:lang w:val="sr-Latn-ME"/>
        </w:rPr>
        <w:t xml:space="preserve"> usklađenosti budućeg strateškog dokumenta sa prioritetima Evropske unije, pravnom tekovinom EU i programskim okvirom za period nakon 2027. godine. Kroz </w:t>
      </w:r>
      <w:proofErr w:type="spellStart"/>
      <w:r w:rsidRPr="006F5B1C">
        <w:rPr>
          <w:rFonts w:ascii="Aptos" w:eastAsia="Aptos" w:hAnsi="Aptos" w:cs="Aptos"/>
          <w:color w:val="000000" w:themeColor="text1"/>
          <w:lang w:val="sr-Latn-ME"/>
        </w:rPr>
        <w:t>pregled</w:t>
      </w:r>
      <w:proofErr w:type="spellEnd"/>
      <w:r w:rsidRPr="006F5B1C">
        <w:rPr>
          <w:rFonts w:ascii="Aptos" w:eastAsia="Aptos" w:hAnsi="Aptos" w:cs="Aptos"/>
          <w:color w:val="000000" w:themeColor="text1"/>
          <w:lang w:val="sr-Latn-ME"/>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06F5B1C">
        <w:rPr>
          <w:rFonts w:ascii="Aptos" w:eastAsia="Aptos" w:hAnsi="Aptos" w:cs="Aptos"/>
          <w:color w:val="000000" w:themeColor="text1"/>
          <w:lang w:val="sr-Latn-ME"/>
        </w:rPr>
        <w:t>inkluzivnom</w:t>
      </w:r>
      <w:proofErr w:type="spellEnd"/>
      <w:r w:rsidRPr="006F5B1C">
        <w:rPr>
          <w:rFonts w:ascii="Aptos" w:eastAsia="Aptos" w:hAnsi="Aptos" w:cs="Aptos"/>
          <w:color w:val="000000" w:themeColor="text1"/>
          <w:lang w:val="sr-Latn-ME"/>
        </w:rPr>
        <w:t xml:space="preserve"> rastu, ekonomskoj, socijalnoj i teritorijalnoj koheziji, kao i smanjenju razvojnih dispariteta.</w:t>
      </w:r>
    </w:p>
    <w:p w14:paraId="77129F6A" w14:textId="77777777" w:rsidR="00BC1999" w:rsidRPr="006F5B1C" w:rsidRDefault="00BC1999" w:rsidP="00BC1999">
      <w:pPr>
        <w:rPr>
          <w:rFonts w:ascii="Aptos" w:eastAsia="Aptos" w:hAnsi="Aptos" w:cs="Aptos"/>
          <w:color w:val="000000" w:themeColor="text1"/>
          <w:lang w:val="sr-Latn-ME"/>
        </w:rPr>
      </w:pPr>
      <w:r w:rsidRPr="006F5B1C">
        <w:rPr>
          <w:rFonts w:ascii="Aptos" w:eastAsia="Aptos" w:hAnsi="Aptos" w:cs="Aptos"/>
          <w:color w:val="000000" w:themeColor="text1"/>
          <w:lang w:val="sr-Latn-ME"/>
        </w:rPr>
        <w:t xml:space="preserve">Pored toga, situaciona analiza je važan alat za strukturiranje dijaloga unutar radnih grupa i sa širim krugom partnera. Njome se obezbjeđuje zajednička analitička osnova za SWOT razmatranje, </w:t>
      </w:r>
      <w:proofErr w:type="spellStart"/>
      <w:r w:rsidRPr="006F5B1C">
        <w:rPr>
          <w:rFonts w:ascii="Aptos" w:eastAsia="Aptos" w:hAnsi="Aptos" w:cs="Aptos"/>
          <w:color w:val="000000" w:themeColor="text1"/>
          <w:lang w:val="sr-Latn-ME"/>
        </w:rPr>
        <w:t>validaciju</w:t>
      </w:r>
      <w:proofErr w:type="spellEnd"/>
      <w:r w:rsidRPr="006F5B1C">
        <w:rPr>
          <w:rFonts w:ascii="Aptos" w:eastAsia="Aptos" w:hAnsi="Aptos" w:cs="Aptos"/>
          <w:color w:val="000000" w:themeColor="text1"/>
          <w:lang w:val="sr-Latn-ME"/>
        </w:rPr>
        <w:t xml:space="preserve"> nalaza i identifikaciju dugog spiska razvojnih izazova, koji će u narednim koracima biti </w:t>
      </w:r>
      <w:proofErr w:type="spellStart"/>
      <w:r w:rsidRPr="006F5B1C">
        <w:rPr>
          <w:rFonts w:ascii="Aptos" w:eastAsia="Aptos" w:hAnsi="Aptos" w:cs="Aptos"/>
          <w:color w:val="000000" w:themeColor="text1"/>
          <w:lang w:val="sr-Latn-ME"/>
        </w:rPr>
        <w:t>prioritizovani</w:t>
      </w:r>
      <w:proofErr w:type="spellEnd"/>
      <w:r w:rsidRPr="006F5B1C">
        <w:rPr>
          <w:rFonts w:ascii="Aptos" w:eastAsia="Aptos" w:hAnsi="Aptos" w:cs="Aptos"/>
          <w:color w:val="000000" w:themeColor="text1"/>
          <w:lang w:val="sr-Latn-ME"/>
        </w:rPr>
        <w:t xml:space="preserve">. Na taj način, situaciona analiza doprinosi transparentnom, </w:t>
      </w:r>
      <w:proofErr w:type="spellStart"/>
      <w:r w:rsidRPr="006F5B1C">
        <w:rPr>
          <w:rFonts w:ascii="Aptos" w:eastAsia="Aptos" w:hAnsi="Aptos" w:cs="Aptos"/>
          <w:color w:val="000000" w:themeColor="text1"/>
          <w:lang w:val="sr-Latn-ME"/>
        </w:rPr>
        <w:t>participativnom</w:t>
      </w:r>
      <w:proofErr w:type="spellEnd"/>
      <w:r w:rsidRPr="006F5B1C">
        <w:rPr>
          <w:rFonts w:ascii="Aptos" w:eastAsia="Aptos" w:hAnsi="Aptos" w:cs="Aptos"/>
          <w:color w:val="000000" w:themeColor="text1"/>
          <w:lang w:val="sr-Latn-ME"/>
        </w:rPr>
        <w:t xml:space="preserve"> i metodološki utemeljenom procesu planiranja, u skladu sa principom partnerstva i </w:t>
      </w:r>
      <w:proofErr w:type="spellStart"/>
      <w:r w:rsidRPr="006F5B1C">
        <w:rPr>
          <w:rFonts w:ascii="Aptos" w:eastAsia="Aptos" w:hAnsi="Aptos" w:cs="Aptos"/>
          <w:color w:val="000000" w:themeColor="text1"/>
          <w:lang w:val="sr-Latn-ME"/>
        </w:rPr>
        <w:t>višerazinskog</w:t>
      </w:r>
      <w:proofErr w:type="spellEnd"/>
      <w:r w:rsidRPr="006F5B1C">
        <w:rPr>
          <w:rFonts w:ascii="Aptos" w:eastAsia="Aptos" w:hAnsi="Aptos" w:cs="Aptos"/>
          <w:color w:val="000000" w:themeColor="text1"/>
          <w:lang w:val="sr-Latn-ME"/>
        </w:rPr>
        <w:t xml:space="preserve"> upravljanja.</w:t>
      </w:r>
    </w:p>
    <w:p w14:paraId="03DBEA2B" w14:textId="2BC7A9B0" w:rsidR="00F579F5" w:rsidRPr="006F5B1C" w:rsidRDefault="00F579F5" w:rsidP="00F579F5">
      <w:pPr>
        <w:pStyle w:val="Naslov1"/>
        <w:rPr>
          <w:lang w:val="sr-Latn-ME"/>
        </w:rPr>
      </w:pPr>
      <w:proofErr w:type="spellStart"/>
      <w:r w:rsidRPr="006F5B1C">
        <w:rPr>
          <w:lang w:val="sr-Latn-ME"/>
        </w:rPr>
        <w:lastRenderedPageBreak/>
        <w:t>Pregled</w:t>
      </w:r>
      <w:proofErr w:type="spellEnd"/>
      <w:r w:rsidRPr="006F5B1C">
        <w:rPr>
          <w:lang w:val="sr-Latn-ME"/>
        </w:rPr>
        <w:t xml:space="preserve"> radne grupe i način rada</w:t>
      </w:r>
    </w:p>
    <w:p w14:paraId="1C66B1D4" w14:textId="20F771DA" w:rsidR="00257E8A" w:rsidRPr="006F5B1C" w:rsidRDefault="00257E8A" w:rsidP="00257E8A">
      <w:pPr>
        <w:rPr>
          <w:lang w:val="sr-Latn-ME"/>
        </w:rPr>
      </w:pPr>
      <w:r w:rsidRPr="006F5B1C">
        <w:rPr>
          <w:b/>
          <w:lang w:val="sr-Latn-ME"/>
        </w:rPr>
        <w:t>Radna grupa 1</w:t>
      </w:r>
      <w:r w:rsidRPr="006F5B1C">
        <w:rPr>
          <w:lang w:val="sr-Latn-ME"/>
        </w:rPr>
        <w:t xml:space="preserve"> formirana je za potrebe pripreme strateškog planskog dokumenta za tri međusobno povezane oblasti politike: </w:t>
      </w:r>
      <w:r w:rsidRPr="006F5B1C">
        <w:rPr>
          <w:b/>
          <w:lang w:val="sr-Latn-ME"/>
        </w:rPr>
        <w:t>podršku biznisu</w:t>
      </w:r>
      <w:r w:rsidRPr="006F5B1C">
        <w:rPr>
          <w:lang w:val="sr-Latn-ME"/>
        </w:rPr>
        <w:t xml:space="preserve">, kulturu, turizam i medije, te istraživanje i inovacije. Sastav Radne grupe obuhvata predstavnike nadležnih ministarstava, organa uprave i drugih institucija relevantnih za ove oblasti, uz učešće predstavnika lokalne samouprave, privrede, akademske zajednice, socijalnih partnera i organizacija civilnog društva. Ovakav sastav treba da obezbijedi </w:t>
      </w:r>
      <w:proofErr w:type="spellStart"/>
      <w:r w:rsidRPr="006F5B1C">
        <w:rPr>
          <w:lang w:val="sr-Latn-ME"/>
        </w:rPr>
        <w:t>međuresornu</w:t>
      </w:r>
      <w:proofErr w:type="spellEnd"/>
      <w:r w:rsidRPr="006F5B1C">
        <w:rPr>
          <w:lang w:val="sr-Latn-ME"/>
        </w:rPr>
        <w:t xml:space="preserve"> koordinaciju, sektorsku ekspertizu i partnerski pristup u definisanju razvojnih potreba i prioriteta.</w:t>
      </w:r>
    </w:p>
    <w:p w14:paraId="2AC0DED2" w14:textId="77777777" w:rsidR="00257E8A" w:rsidRPr="006F5B1C" w:rsidRDefault="00257E8A" w:rsidP="00257E8A">
      <w:pPr>
        <w:rPr>
          <w:lang w:val="sr-Latn-ME"/>
        </w:rPr>
      </w:pPr>
      <w:r w:rsidRPr="006F5B1C">
        <w:rPr>
          <w:lang w:val="sr-Latn-ME"/>
        </w:rPr>
        <w:t xml:space="preserve">Rad Radne grupe organizuje se kroz plenarne sjednice i ciljane konsultacije po pojedinim oblastima politike. U fokusu rada su usaglašavanje metodološkog pristupa, razmatranje situacione analize, identifikacija tematskih cjelina i definisanje razvojnih izazova i prioriteta za strateški dokument. Posebna pažnja </w:t>
      </w:r>
      <w:proofErr w:type="spellStart"/>
      <w:r w:rsidRPr="006F5B1C">
        <w:rPr>
          <w:lang w:val="sr-Latn-ME"/>
        </w:rPr>
        <w:t>posvećuje</w:t>
      </w:r>
      <w:proofErr w:type="spellEnd"/>
      <w:r w:rsidRPr="006F5B1C">
        <w:rPr>
          <w:lang w:val="sr-Latn-ME"/>
        </w:rPr>
        <w:t xml:space="preserve"> se povezivanju sektorskih nalaza u jedinstven razvojni okvir, imajući u vidu međusobnu povezanost podrške biznisu, kulture, turizma i medija, te istraživanja i inovacija.</w:t>
      </w:r>
    </w:p>
    <w:p w14:paraId="4430D8BC" w14:textId="77777777" w:rsidR="00257E8A" w:rsidRPr="006F5B1C" w:rsidRDefault="00257E8A" w:rsidP="00257E8A">
      <w:pPr>
        <w:rPr>
          <w:lang w:val="sr-Latn-ME"/>
        </w:rPr>
      </w:pPr>
      <w:r w:rsidRPr="006F5B1C">
        <w:rPr>
          <w:lang w:val="sr-Latn-ME"/>
        </w:rPr>
        <w:t xml:space="preserve">Predviđeno je održavanje najmanje tri radne sjednice, uz mogućnost dodatnih konsultacija po potrebi. Sjednice se organizuju u hibridnom formatu, radi efikasnijeg uključivanja svih relevantnih učesnika. </w:t>
      </w:r>
    </w:p>
    <w:p w14:paraId="51EA8044" w14:textId="6819139B" w:rsidR="00F579F5" w:rsidRPr="006F5B1C" w:rsidRDefault="00F579F5" w:rsidP="00F579F5">
      <w:pPr>
        <w:pStyle w:val="Naslov1"/>
        <w:rPr>
          <w:lang w:val="sr-Latn-ME"/>
        </w:rPr>
      </w:pPr>
      <w:r w:rsidRPr="006F5B1C">
        <w:rPr>
          <w:lang w:val="sr-Latn-ME"/>
        </w:rPr>
        <w:t>Opis prioritetnih područja unutar RG</w:t>
      </w:r>
    </w:p>
    <w:tbl>
      <w:tblPr>
        <w:tblStyle w:val="Reetkatablice"/>
        <w:tblW w:w="5000" w:type="pct"/>
        <w:tblLook w:val="04A0" w:firstRow="1" w:lastRow="0" w:firstColumn="1" w:lastColumn="0" w:noHBand="0" w:noVBand="1"/>
      </w:tblPr>
      <w:tblGrid>
        <w:gridCol w:w="2231"/>
        <w:gridCol w:w="2231"/>
        <w:gridCol w:w="2231"/>
        <w:gridCol w:w="2369"/>
      </w:tblGrid>
      <w:tr w:rsidR="00F579F5" w:rsidRPr="006F5B1C" w14:paraId="479424C2" w14:textId="54850EDA" w:rsidTr="0B78DD6F">
        <w:tc>
          <w:tcPr>
            <w:tcW w:w="1231" w:type="pct"/>
          </w:tcPr>
          <w:p w14:paraId="54BC7571" w14:textId="12DCD097" w:rsidR="00F579F5" w:rsidRPr="006F5B1C" w:rsidRDefault="0B78DD6F" w:rsidP="00CE2C74">
            <w:pPr>
              <w:jc w:val="left"/>
              <w:rPr>
                <w:b/>
                <w:bCs/>
                <w:sz w:val="20"/>
                <w:szCs w:val="20"/>
                <w:lang w:val="sr-Latn-ME"/>
              </w:rPr>
            </w:pPr>
            <w:r w:rsidRPr="006F5B1C">
              <w:rPr>
                <w:b/>
                <w:bCs/>
                <w:sz w:val="20"/>
                <w:szCs w:val="20"/>
                <w:lang w:val="sr-Latn-ME"/>
              </w:rPr>
              <w:t xml:space="preserve">Kod </w:t>
            </w:r>
            <w:r w:rsidR="0045374E" w:rsidRPr="006F5B1C">
              <w:rPr>
                <w:b/>
                <w:bCs/>
                <w:sz w:val="20"/>
                <w:szCs w:val="20"/>
                <w:lang w:val="sr-Latn-ME"/>
              </w:rPr>
              <w:t>p</w:t>
            </w:r>
            <w:r w:rsidRPr="006F5B1C">
              <w:rPr>
                <w:b/>
                <w:bCs/>
                <w:sz w:val="20"/>
                <w:szCs w:val="20"/>
                <w:lang w:val="sr-Latn-ME"/>
              </w:rPr>
              <w:t>rioritetnog područja nivo 1</w:t>
            </w:r>
          </w:p>
        </w:tc>
        <w:tc>
          <w:tcPr>
            <w:tcW w:w="1231" w:type="pct"/>
          </w:tcPr>
          <w:p w14:paraId="5CF24638" w14:textId="3C3AF0FF" w:rsidR="00F579F5" w:rsidRPr="006F5B1C" w:rsidRDefault="0B78DD6F" w:rsidP="00CE2C74">
            <w:pPr>
              <w:jc w:val="left"/>
              <w:rPr>
                <w:b/>
                <w:bCs/>
                <w:sz w:val="20"/>
                <w:szCs w:val="20"/>
                <w:lang w:val="sr-Latn-ME"/>
              </w:rPr>
            </w:pPr>
            <w:r w:rsidRPr="006F5B1C">
              <w:rPr>
                <w:b/>
                <w:bCs/>
                <w:sz w:val="20"/>
                <w:szCs w:val="20"/>
                <w:lang w:val="sr-Latn-ME"/>
              </w:rPr>
              <w:t xml:space="preserve">Naziv </w:t>
            </w:r>
            <w:r w:rsidR="0045374E" w:rsidRPr="006F5B1C">
              <w:rPr>
                <w:b/>
                <w:bCs/>
                <w:sz w:val="20"/>
                <w:szCs w:val="20"/>
                <w:lang w:val="sr-Latn-ME"/>
              </w:rPr>
              <w:t>p</w:t>
            </w:r>
            <w:r w:rsidRPr="006F5B1C">
              <w:rPr>
                <w:b/>
                <w:bCs/>
                <w:sz w:val="20"/>
                <w:szCs w:val="20"/>
                <w:lang w:val="sr-Latn-ME"/>
              </w:rPr>
              <w:t>rioritetnog područja nivo 1</w:t>
            </w:r>
          </w:p>
        </w:tc>
        <w:tc>
          <w:tcPr>
            <w:tcW w:w="1231" w:type="pct"/>
          </w:tcPr>
          <w:p w14:paraId="70A6FC94" w14:textId="3C3C2CB2" w:rsidR="00F579F5" w:rsidRPr="006F5B1C" w:rsidRDefault="0B78DD6F" w:rsidP="00CE2C74">
            <w:pPr>
              <w:jc w:val="left"/>
              <w:rPr>
                <w:b/>
                <w:bCs/>
                <w:sz w:val="20"/>
                <w:szCs w:val="20"/>
                <w:lang w:val="sr-Latn-ME"/>
              </w:rPr>
            </w:pPr>
            <w:r w:rsidRPr="006F5B1C">
              <w:rPr>
                <w:b/>
                <w:bCs/>
                <w:sz w:val="20"/>
                <w:szCs w:val="20"/>
                <w:lang w:val="sr-Latn-ME"/>
              </w:rPr>
              <w:t xml:space="preserve">Kod </w:t>
            </w:r>
            <w:r w:rsidR="0045374E" w:rsidRPr="006F5B1C">
              <w:rPr>
                <w:b/>
                <w:bCs/>
                <w:sz w:val="20"/>
                <w:szCs w:val="20"/>
                <w:lang w:val="sr-Latn-ME"/>
              </w:rPr>
              <w:t>p</w:t>
            </w:r>
            <w:r w:rsidRPr="006F5B1C">
              <w:rPr>
                <w:b/>
                <w:bCs/>
                <w:sz w:val="20"/>
                <w:szCs w:val="20"/>
                <w:lang w:val="sr-Latn-ME"/>
              </w:rPr>
              <w:t>rioritetnog područja nivo 2</w:t>
            </w:r>
          </w:p>
        </w:tc>
        <w:tc>
          <w:tcPr>
            <w:tcW w:w="1307" w:type="pct"/>
          </w:tcPr>
          <w:p w14:paraId="0F9798A4" w14:textId="6B8B7C22" w:rsidR="00F579F5" w:rsidRPr="006F5B1C" w:rsidRDefault="0B78DD6F" w:rsidP="00CE2C74">
            <w:pPr>
              <w:jc w:val="left"/>
              <w:rPr>
                <w:b/>
                <w:bCs/>
                <w:sz w:val="20"/>
                <w:szCs w:val="20"/>
                <w:lang w:val="sr-Latn-ME"/>
              </w:rPr>
            </w:pPr>
            <w:r w:rsidRPr="006F5B1C">
              <w:rPr>
                <w:b/>
                <w:bCs/>
                <w:sz w:val="20"/>
                <w:szCs w:val="20"/>
                <w:lang w:val="sr-Latn-ME"/>
              </w:rPr>
              <w:t xml:space="preserve">Naziv </w:t>
            </w:r>
            <w:r w:rsidR="0045374E" w:rsidRPr="006F5B1C">
              <w:rPr>
                <w:b/>
                <w:bCs/>
                <w:sz w:val="20"/>
                <w:szCs w:val="20"/>
                <w:lang w:val="sr-Latn-ME"/>
              </w:rPr>
              <w:t>p</w:t>
            </w:r>
            <w:r w:rsidRPr="006F5B1C">
              <w:rPr>
                <w:b/>
                <w:bCs/>
                <w:sz w:val="20"/>
                <w:szCs w:val="20"/>
                <w:lang w:val="sr-Latn-ME"/>
              </w:rPr>
              <w:t>rioritetnog područja nivo 2</w:t>
            </w:r>
          </w:p>
        </w:tc>
      </w:tr>
      <w:tr w:rsidR="00F579F5" w:rsidRPr="006F5B1C" w14:paraId="52B2FC20" w14:textId="45C77E14" w:rsidTr="0B78DD6F">
        <w:tc>
          <w:tcPr>
            <w:tcW w:w="1231" w:type="pct"/>
          </w:tcPr>
          <w:p w14:paraId="1952FEAB" w14:textId="47195C35" w:rsidR="00F579F5" w:rsidRPr="006F5B1C" w:rsidRDefault="003235A7" w:rsidP="00F579F5">
            <w:pPr>
              <w:rPr>
                <w:b/>
                <w:sz w:val="20"/>
                <w:szCs w:val="20"/>
                <w:lang w:val="sr-Latn-ME"/>
              </w:rPr>
            </w:pPr>
            <w:r w:rsidRPr="006F5B1C">
              <w:rPr>
                <w:b/>
                <w:sz w:val="20"/>
                <w:szCs w:val="20"/>
                <w:lang w:val="sr-Latn-ME"/>
              </w:rPr>
              <w:t>3</w:t>
            </w:r>
          </w:p>
        </w:tc>
        <w:tc>
          <w:tcPr>
            <w:tcW w:w="1231" w:type="pct"/>
          </w:tcPr>
          <w:p w14:paraId="2000B7F2" w14:textId="1F64FE14" w:rsidR="00F579F5" w:rsidRPr="006F5B1C" w:rsidRDefault="005A5FBA" w:rsidP="00F579F5">
            <w:pPr>
              <w:rPr>
                <w:b/>
                <w:sz w:val="20"/>
                <w:szCs w:val="20"/>
                <w:lang w:val="sr-Latn-ME"/>
              </w:rPr>
            </w:pPr>
            <w:r w:rsidRPr="006F5B1C">
              <w:rPr>
                <w:b/>
                <w:sz w:val="20"/>
                <w:szCs w:val="20"/>
                <w:lang w:val="sr-Latn-ME"/>
              </w:rPr>
              <w:t>Podrška poslovanju</w:t>
            </w:r>
          </w:p>
        </w:tc>
        <w:tc>
          <w:tcPr>
            <w:tcW w:w="1231" w:type="pct"/>
          </w:tcPr>
          <w:p w14:paraId="6D849FA3" w14:textId="4E745C0F" w:rsidR="00F579F5" w:rsidRPr="006F5B1C" w:rsidRDefault="003235A7" w:rsidP="00F579F5">
            <w:pPr>
              <w:rPr>
                <w:b/>
                <w:sz w:val="20"/>
                <w:szCs w:val="20"/>
                <w:lang w:val="sr-Latn-ME"/>
              </w:rPr>
            </w:pPr>
            <w:r w:rsidRPr="006F5B1C">
              <w:rPr>
                <w:b/>
                <w:sz w:val="20"/>
                <w:szCs w:val="20"/>
                <w:lang w:val="sr-Latn-ME"/>
              </w:rPr>
              <w:t>3.06</w:t>
            </w:r>
          </w:p>
        </w:tc>
        <w:tc>
          <w:tcPr>
            <w:tcW w:w="1307" w:type="pct"/>
          </w:tcPr>
          <w:p w14:paraId="113CAF71" w14:textId="2E06CB65" w:rsidR="00F579F5" w:rsidRPr="006F5B1C" w:rsidRDefault="005A5FBA" w:rsidP="00F579F5">
            <w:pPr>
              <w:rPr>
                <w:b/>
                <w:sz w:val="20"/>
                <w:szCs w:val="20"/>
                <w:lang w:val="sr-Latn-ME"/>
              </w:rPr>
            </w:pPr>
            <w:r w:rsidRPr="006F5B1C">
              <w:rPr>
                <w:b/>
                <w:sz w:val="20"/>
                <w:szCs w:val="20"/>
                <w:lang w:val="sr-Latn-ME"/>
              </w:rPr>
              <w:t>Razvoj biznisa</w:t>
            </w:r>
          </w:p>
        </w:tc>
      </w:tr>
      <w:tr w:rsidR="00F579F5" w:rsidRPr="006F5B1C" w14:paraId="683D5823" w14:textId="60234449" w:rsidTr="0B78DD6F">
        <w:trPr>
          <w:trHeight w:val="238"/>
        </w:trPr>
        <w:tc>
          <w:tcPr>
            <w:tcW w:w="1231" w:type="pct"/>
          </w:tcPr>
          <w:p w14:paraId="377F3CB4" w14:textId="77777777" w:rsidR="00F579F5" w:rsidRPr="006F5B1C" w:rsidRDefault="00F579F5" w:rsidP="00F579F5">
            <w:pPr>
              <w:rPr>
                <w:b/>
                <w:sz w:val="20"/>
                <w:szCs w:val="20"/>
                <w:lang w:val="sr-Latn-ME"/>
              </w:rPr>
            </w:pPr>
          </w:p>
        </w:tc>
        <w:tc>
          <w:tcPr>
            <w:tcW w:w="1231" w:type="pct"/>
          </w:tcPr>
          <w:p w14:paraId="2748A081" w14:textId="77777777" w:rsidR="00F579F5" w:rsidRPr="006F5B1C" w:rsidRDefault="00F579F5" w:rsidP="0B78DD6F">
            <w:pPr>
              <w:rPr>
                <w:b/>
                <w:bCs/>
                <w:sz w:val="20"/>
                <w:szCs w:val="20"/>
                <w:lang w:val="sr-Latn-ME"/>
              </w:rPr>
            </w:pPr>
          </w:p>
        </w:tc>
        <w:tc>
          <w:tcPr>
            <w:tcW w:w="1231" w:type="pct"/>
          </w:tcPr>
          <w:p w14:paraId="099E9647" w14:textId="60FC7E51" w:rsidR="00F579F5" w:rsidRPr="006F5B1C" w:rsidRDefault="003235A7" w:rsidP="005A5FBA">
            <w:pPr>
              <w:rPr>
                <w:b/>
                <w:sz w:val="20"/>
                <w:szCs w:val="20"/>
                <w:lang w:val="sr-Latn-ME"/>
              </w:rPr>
            </w:pPr>
            <w:r w:rsidRPr="006F5B1C">
              <w:rPr>
                <w:b/>
                <w:sz w:val="20"/>
                <w:szCs w:val="20"/>
                <w:lang w:val="sr-Latn-ME"/>
              </w:rPr>
              <w:t>3.07</w:t>
            </w:r>
          </w:p>
        </w:tc>
        <w:tc>
          <w:tcPr>
            <w:tcW w:w="1307" w:type="pct"/>
          </w:tcPr>
          <w:p w14:paraId="43FF943D" w14:textId="047173A9" w:rsidR="00F579F5" w:rsidRPr="006F5B1C" w:rsidRDefault="003235A7" w:rsidP="005A5FBA">
            <w:pPr>
              <w:rPr>
                <w:b/>
                <w:sz w:val="20"/>
                <w:szCs w:val="20"/>
                <w:lang w:val="sr-Latn-ME"/>
              </w:rPr>
            </w:pPr>
            <w:proofErr w:type="spellStart"/>
            <w:r w:rsidRPr="006F5B1C">
              <w:rPr>
                <w:b/>
                <w:sz w:val="20"/>
                <w:szCs w:val="20"/>
                <w:lang w:val="sr-Latn-ME"/>
              </w:rPr>
              <w:t>De</w:t>
            </w:r>
            <w:r w:rsidR="005A5FBA" w:rsidRPr="006F5B1C">
              <w:rPr>
                <w:b/>
                <w:sz w:val="20"/>
                <w:szCs w:val="20"/>
                <w:lang w:val="sr-Latn-ME"/>
              </w:rPr>
              <w:t>karbonizacija</w:t>
            </w:r>
            <w:proofErr w:type="spellEnd"/>
          </w:p>
        </w:tc>
      </w:tr>
      <w:tr w:rsidR="003235A7" w:rsidRPr="006F5B1C" w14:paraId="0B197EB9" w14:textId="77777777" w:rsidTr="0B78DD6F">
        <w:tc>
          <w:tcPr>
            <w:tcW w:w="1231" w:type="pct"/>
          </w:tcPr>
          <w:p w14:paraId="469FFC4F" w14:textId="77777777" w:rsidR="003235A7" w:rsidRPr="006F5B1C" w:rsidRDefault="003235A7" w:rsidP="00F579F5">
            <w:pPr>
              <w:rPr>
                <w:b/>
                <w:sz w:val="20"/>
                <w:szCs w:val="20"/>
                <w:lang w:val="sr-Latn-ME"/>
              </w:rPr>
            </w:pPr>
          </w:p>
        </w:tc>
        <w:tc>
          <w:tcPr>
            <w:tcW w:w="1231" w:type="pct"/>
          </w:tcPr>
          <w:p w14:paraId="029F4D54" w14:textId="77777777" w:rsidR="003235A7" w:rsidRPr="006F5B1C" w:rsidRDefault="003235A7" w:rsidP="00F579F5">
            <w:pPr>
              <w:rPr>
                <w:b/>
                <w:sz w:val="20"/>
                <w:szCs w:val="20"/>
                <w:lang w:val="sr-Latn-ME"/>
              </w:rPr>
            </w:pPr>
          </w:p>
        </w:tc>
        <w:tc>
          <w:tcPr>
            <w:tcW w:w="1231" w:type="pct"/>
          </w:tcPr>
          <w:p w14:paraId="34662ED6" w14:textId="5186E595" w:rsidR="003235A7" w:rsidRPr="006F5B1C" w:rsidRDefault="003235A7" w:rsidP="005A5FBA">
            <w:pPr>
              <w:rPr>
                <w:b/>
                <w:sz w:val="20"/>
                <w:szCs w:val="20"/>
                <w:lang w:val="sr-Latn-ME"/>
              </w:rPr>
            </w:pPr>
            <w:r w:rsidRPr="006F5B1C">
              <w:rPr>
                <w:b/>
                <w:sz w:val="20"/>
                <w:szCs w:val="20"/>
                <w:lang w:val="sr-Latn-ME"/>
              </w:rPr>
              <w:t>3.08</w:t>
            </w:r>
          </w:p>
        </w:tc>
        <w:tc>
          <w:tcPr>
            <w:tcW w:w="1307" w:type="pct"/>
          </w:tcPr>
          <w:p w14:paraId="4F1F9EBC" w14:textId="4344183B" w:rsidR="003235A7" w:rsidRPr="006F5B1C" w:rsidRDefault="003235A7" w:rsidP="005A5FBA">
            <w:pPr>
              <w:rPr>
                <w:b/>
                <w:sz w:val="20"/>
                <w:szCs w:val="20"/>
                <w:lang w:val="sr-Latn-ME"/>
              </w:rPr>
            </w:pPr>
            <w:proofErr w:type="spellStart"/>
            <w:r w:rsidRPr="006F5B1C">
              <w:rPr>
                <w:b/>
                <w:sz w:val="20"/>
                <w:szCs w:val="20"/>
                <w:lang w:val="sr-Latn-ME"/>
              </w:rPr>
              <w:t>Bi</w:t>
            </w:r>
            <w:r w:rsidR="005A5FBA" w:rsidRPr="006F5B1C">
              <w:rPr>
                <w:b/>
                <w:sz w:val="20"/>
                <w:szCs w:val="20"/>
                <w:lang w:val="sr-Latn-ME"/>
              </w:rPr>
              <w:t>oekonomija</w:t>
            </w:r>
            <w:proofErr w:type="spellEnd"/>
          </w:p>
        </w:tc>
      </w:tr>
      <w:tr w:rsidR="003235A7" w:rsidRPr="006F5B1C" w14:paraId="6763061A" w14:textId="77777777" w:rsidTr="0B78DD6F">
        <w:tc>
          <w:tcPr>
            <w:tcW w:w="1231" w:type="pct"/>
          </w:tcPr>
          <w:p w14:paraId="43701719" w14:textId="77777777" w:rsidR="003235A7" w:rsidRPr="006F5B1C" w:rsidRDefault="003235A7" w:rsidP="00F579F5">
            <w:pPr>
              <w:rPr>
                <w:b/>
                <w:sz w:val="20"/>
                <w:szCs w:val="20"/>
                <w:lang w:val="sr-Latn-ME"/>
              </w:rPr>
            </w:pPr>
          </w:p>
        </w:tc>
        <w:tc>
          <w:tcPr>
            <w:tcW w:w="1231" w:type="pct"/>
          </w:tcPr>
          <w:p w14:paraId="3E32F678" w14:textId="77777777" w:rsidR="003235A7" w:rsidRPr="006F5B1C" w:rsidRDefault="003235A7" w:rsidP="00F579F5">
            <w:pPr>
              <w:rPr>
                <w:b/>
                <w:sz w:val="20"/>
                <w:szCs w:val="20"/>
                <w:lang w:val="sr-Latn-ME"/>
              </w:rPr>
            </w:pPr>
          </w:p>
        </w:tc>
        <w:tc>
          <w:tcPr>
            <w:tcW w:w="1231" w:type="pct"/>
          </w:tcPr>
          <w:p w14:paraId="44263202" w14:textId="3F225E25" w:rsidR="003235A7" w:rsidRPr="006F5B1C" w:rsidRDefault="003235A7" w:rsidP="005A5FBA">
            <w:pPr>
              <w:rPr>
                <w:b/>
                <w:sz w:val="20"/>
                <w:szCs w:val="20"/>
                <w:lang w:val="sr-Latn-ME"/>
              </w:rPr>
            </w:pPr>
            <w:r w:rsidRPr="006F5B1C">
              <w:rPr>
                <w:b/>
                <w:sz w:val="20"/>
                <w:szCs w:val="20"/>
                <w:lang w:val="sr-Latn-ME"/>
              </w:rPr>
              <w:t>3.09</w:t>
            </w:r>
          </w:p>
        </w:tc>
        <w:tc>
          <w:tcPr>
            <w:tcW w:w="1307" w:type="pct"/>
          </w:tcPr>
          <w:p w14:paraId="08595D75" w14:textId="6D9BC0F7" w:rsidR="003235A7" w:rsidRPr="006F5B1C" w:rsidRDefault="005A5FBA" w:rsidP="003235A7">
            <w:pPr>
              <w:rPr>
                <w:b/>
                <w:sz w:val="20"/>
                <w:szCs w:val="20"/>
                <w:lang w:val="sr-Latn-ME"/>
              </w:rPr>
            </w:pPr>
            <w:r w:rsidRPr="006F5B1C">
              <w:rPr>
                <w:b/>
                <w:sz w:val="20"/>
                <w:szCs w:val="20"/>
                <w:lang w:val="sr-Latn-ME"/>
              </w:rPr>
              <w:t>Udaljeni regioni</w:t>
            </w:r>
          </w:p>
        </w:tc>
      </w:tr>
      <w:tr w:rsidR="003235A7" w:rsidRPr="006F5B1C" w14:paraId="6456C683" w14:textId="77777777" w:rsidTr="0B78DD6F">
        <w:tc>
          <w:tcPr>
            <w:tcW w:w="1231" w:type="pct"/>
          </w:tcPr>
          <w:p w14:paraId="2747D0F9" w14:textId="77777777" w:rsidR="003235A7" w:rsidRPr="006F5B1C" w:rsidRDefault="003235A7" w:rsidP="00F579F5">
            <w:pPr>
              <w:rPr>
                <w:b/>
                <w:sz w:val="20"/>
                <w:szCs w:val="20"/>
                <w:lang w:val="sr-Latn-ME"/>
              </w:rPr>
            </w:pPr>
          </w:p>
        </w:tc>
        <w:tc>
          <w:tcPr>
            <w:tcW w:w="1231" w:type="pct"/>
          </w:tcPr>
          <w:p w14:paraId="0928B714" w14:textId="77777777" w:rsidR="003235A7" w:rsidRPr="006F5B1C" w:rsidRDefault="003235A7" w:rsidP="00F579F5">
            <w:pPr>
              <w:rPr>
                <w:b/>
                <w:sz w:val="20"/>
                <w:szCs w:val="20"/>
                <w:lang w:val="sr-Latn-ME"/>
              </w:rPr>
            </w:pPr>
          </w:p>
        </w:tc>
        <w:tc>
          <w:tcPr>
            <w:tcW w:w="1231" w:type="pct"/>
          </w:tcPr>
          <w:p w14:paraId="7A042CD7" w14:textId="24828331" w:rsidR="003235A7" w:rsidRPr="006F5B1C" w:rsidRDefault="003235A7" w:rsidP="005A5FBA">
            <w:pPr>
              <w:rPr>
                <w:b/>
                <w:sz w:val="20"/>
                <w:szCs w:val="20"/>
                <w:lang w:val="sr-Latn-ME"/>
              </w:rPr>
            </w:pPr>
            <w:r w:rsidRPr="006F5B1C">
              <w:rPr>
                <w:b/>
                <w:sz w:val="20"/>
                <w:szCs w:val="20"/>
                <w:lang w:val="sr-Latn-ME"/>
              </w:rPr>
              <w:t>3.05</w:t>
            </w:r>
          </w:p>
        </w:tc>
        <w:tc>
          <w:tcPr>
            <w:tcW w:w="1307" w:type="pct"/>
          </w:tcPr>
          <w:p w14:paraId="0D392540" w14:textId="76A09B17" w:rsidR="003235A7" w:rsidRPr="006F5B1C" w:rsidRDefault="003235A7" w:rsidP="005A5FBA">
            <w:pPr>
              <w:rPr>
                <w:b/>
                <w:sz w:val="20"/>
                <w:szCs w:val="20"/>
                <w:lang w:val="sr-Latn-ME"/>
              </w:rPr>
            </w:pPr>
            <w:r w:rsidRPr="006F5B1C">
              <w:rPr>
                <w:b/>
                <w:sz w:val="20"/>
                <w:szCs w:val="20"/>
                <w:lang w:val="sr-Latn-ME"/>
              </w:rPr>
              <w:t>Reform</w:t>
            </w:r>
            <w:r w:rsidR="005A5FBA" w:rsidRPr="006F5B1C">
              <w:rPr>
                <w:b/>
                <w:sz w:val="20"/>
                <w:szCs w:val="20"/>
                <w:lang w:val="sr-Latn-ME"/>
              </w:rPr>
              <w:t>e</w:t>
            </w:r>
          </w:p>
        </w:tc>
      </w:tr>
      <w:tr w:rsidR="003235A7" w:rsidRPr="006F5B1C" w14:paraId="0AB9CD14" w14:textId="77777777" w:rsidTr="0B78DD6F">
        <w:tc>
          <w:tcPr>
            <w:tcW w:w="1231" w:type="pct"/>
          </w:tcPr>
          <w:p w14:paraId="6DBC649E" w14:textId="77777777" w:rsidR="003235A7" w:rsidRPr="006F5B1C" w:rsidRDefault="003235A7" w:rsidP="00F579F5">
            <w:pPr>
              <w:rPr>
                <w:b/>
                <w:sz w:val="20"/>
                <w:szCs w:val="20"/>
                <w:lang w:val="sr-Latn-ME"/>
              </w:rPr>
            </w:pPr>
          </w:p>
        </w:tc>
        <w:tc>
          <w:tcPr>
            <w:tcW w:w="1231" w:type="pct"/>
          </w:tcPr>
          <w:p w14:paraId="6F6CE3ED" w14:textId="77777777" w:rsidR="003235A7" w:rsidRPr="006F5B1C" w:rsidRDefault="003235A7" w:rsidP="00F579F5">
            <w:pPr>
              <w:rPr>
                <w:b/>
                <w:sz w:val="20"/>
                <w:szCs w:val="20"/>
                <w:lang w:val="sr-Latn-ME"/>
              </w:rPr>
            </w:pPr>
          </w:p>
        </w:tc>
        <w:tc>
          <w:tcPr>
            <w:tcW w:w="1231" w:type="pct"/>
          </w:tcPr>
          <w:p w14:paraId="3F70F5E8" w14:textId="3DEFA8CC" w:rsidR="003235A7" w:rsidRPr="006F5B1C" w:rsidRDefault="003235A7" w:rsidP="005A5FBA">
            <w:pPr>
              <w:rPr>
                <w:b/>
                <w:sz w:val="20"/>
                <w:szCs w:val="20"/>
                <w:lang w:val="sr-Latn-ME"/>
              </w:rPr>
            </w:pPr>
            <w:r w:rsidRPr="006F5B1C">
              <w:rPr>
                <w:b/>
                <w:sz w:val="20"/>
                <w:szCs w:val="20"/>
                <w:lang w:val="sr-Latn-ME"/>
              </w:rPr>
              <w:t>3.10</w:t>
            </w:r>
          </w:p>
        </w:tc>
        <w:tc>
          <w:tcPr>
            <w:tcW w:w="1307" w:type="pct"/>
          </w:tcPr>
          <w:p w14:paraId="6B969407" w14:textId="35B0229F" w:rsidR="003235A7" w:rsidRPr="006F5B1C" w:rsidRDefault="005A5FBA" w:rsidP="00F579F5">
            <w:pPr>
              <w:rPr>
                <w:b/>
                <w:sz w:val="20"/>
                <w:szCs w:val="20"/>
                <w:lang w:val="sr-Latn-ME"/>
              </w:rPr>
            </w:pPr>
            <w:r w:rsidRPr="006F5B1C">
              <w:rPr>
                <w:b/>
                <w:sz w:val="20"/>
                <w:szCs w:val="20"/>
                <w:lang w:val="sr-Latn-ME"/>
              </w:rPr>
              <w:t>Ulaganja u tehnologiju</w:t>
            </w:r>
          </w:p>
        </w:tc>
      </w:tr>
    </w:tbl>
    <w:p w14:paraId="0FDA5261" w14:textId="77777777" w:rsidR="00F579F5" w:rsidRPr="006F5B1C" w:rsidRDefault="00F579F5" w:rsidP="00F579F5">
      <w:pPr>
        <w:rPr>
          <w:lang w:val="sr-Latn-ME"/>
        </w:rPr>
      </w:pPr>
    </w:p>
    <w:p w14:paraId="1B481561" w14:textId="64D1521C" w:rsidR="00F579F5" w:rsidRPr="006F5B1C" w:rsidRDefault="00F579F5" w:rsidP="00F579F5">
      <w:pPr>
        <w:pStyle w:val="Naslov1"/>
        <w:rPr>
          <w:lang w:val="sr-Latn-ME"/>
        </w:rPr>
      </w:pPr>
      <w:r w:rsidRPr="006F5B1C">
        <w:rPr>
          <w:lang w:val="sr-Latn-ME"/>
        </w:rPr>
        <w:t>Situac</w:t>
      </w:r>
      <w:r w:rsidR="00BC1999" w:rsidRPr="006F5B1C">
        <w:rPr>
          <w:lang w:val="sr-Latn-ME"/>
        </w:rPr>
        <w:t>iona</w:t>
      </w:r>
      <w:r w:rsidRPr="006F5B1C">
        <w:rPr>
          <w:lang w:val="sr-Latn-ME"/>
        </w:rPr>
        <w:t xml:space="preserve"> analiza</w:t>
      </w:r>
    </w:p>
    <w:p w14:paraId="370D6FC9" w14:textId="2F21A02D" w:rsidR="00F579F5" w:rsidRPr="006F5B1C" w:rsidRDefault="0B78DD6F" w:rsidP="00F579F5">
      <w:pPr>
        <w:pStyle w:val="Naslov2"/>
        <w:rPr>
          <w:lang w:val="sr-Latn-ME"/>
        </w:rPr>
      </w:pPr>
      <w:r w:rsidRPr="006F5B1C">
        <w:rPr>
          <w:lang w:val="sr-Latn-ME"/>
        </w:rPr>
        <w:t>Prioritetno područje nivo 1</w:t>
      </w:r>
    </w:p>
    <w:p w14:paraId="077F4F69" w14:textId="2C019DC2" w:rsidR="00135B4E" w:rsidRPr="006F5B1C" w:rsidRDefault="0B78DD6F" w:rsidP="00135B4E">
      <w:pPr>
        <w:rPr>
          <w:lang w:val="sr-Latn-ME"/>
        </w:rPr>
      </w:pPr>
      <w:r w:rsidRPr="006F5B1C">
        <w:rPr>
          <w:lang w:val="sr-Latn-ME"/>
        </w:rPr>
        <w:t xml:space="preserve">Prioritetna oblast </w:t>
      </w:r>
      <w:r w:rsidRPr="006F5B1C">
        <w:rPr>
          <w:b/>
          <w:bCs/>
          <w:lang w:val="sr-Latn-ME"/>
        </w:rPr>
        <w:t>Podrška poslovanju</w:t>
      </w:r>
      <w:r w:rsidRPr="006F5B1C">
        <w:rPr>
          <w:lang w:val="sr-Latn-ME"/>
        </w:rPr>
        <w:t xml:space="preserve"> obuhvata skup međusobno povezanih javnih politika, reformi i instrumenata podrške usmjerenih na </w:t>
      </w:r>
      <w:proofErr w:type="spellStart"/>
      <w:r w:rsidRPr="006F5B1C">
        <w:rPr>
          <w:lang w:val="sr-Latn-ME"/>
        </w:rPr>
        <w:t>unapređenje</w:t>
      </w:r>
      <w:proofErr w:type="spellEnd"/>
      <w:r w:rsidRPr="006F5B1C">
        <w:rPr>
          <w:lang w:val="sr-Latn-ME"/>
        </w:rPr>
        <w:t xml:space="preserve"> poslovnog ambijenta, jačanje konkurentnosti i otpornosti privatnog sektora, razvoj mikro, malih i srednjih preduzeća, </w:t>
      </w:r>
      <w:proofErr w:type="spellStart"/>
      <w:r w:rsidRPr="006F5B1C">
        <w:rPr>
          <w:lang w:val="sr-Latn-ME"/>
        </w:rPr>
        <w:t>unapređenje</w:t>
      </w:r>
      <w:proofErr w:type="spellEnd"/>
      <w:r w:rsidRPr="006F5B1C">
        <w:rPr>
          <w:lang w:val="sr-Latn-ME"/>
        </w:rPr>
        <w:t xml:space="preserve"> poslovne infrastrukture, digitalizaciju poslovanja, poboljšanje pristupa finansijama, kao i podršku zelenoj, inovacionoj i tehnološkoj transformaciji privrede. Ovo prioritetno područje </w:t>
      </w:r>
      <w:r w:rsidRPr="006F5B1C">
        <w:rPr>
          <w:lang w:val="sr-Latn-ME"/>
        </w:rPr>
        <w:lastRenderedPageBreak/>
        <w:t xml:space="preserve">obuhvata naročito intervenciona polja koja se odnose na podršku inovacijama i naprednim uslugama za MSP, odgovorno poslovanje i korporativnu održivost, poslovni razvoj, poslovnu infrastrukturu, digitalizaciju preduzeća, </w:t>
      </w:r>
      <w:proofErr w:type="spellStart"/>
      <w:r w:rsidRPr="006F5B1C">
        <w:rPr>
          <w:lang w:val="sr-Latn-ME"/>
        </w:rPr>
        <w:t>dekarbonizaciju</w:t>
      </w:r>
      <w:proofErr w:type="spellEnd"/>
      <w:r w:rsidRPr="006F5B1C">
        <w:rPr>
          <w:lang w:val="sr-Latn-ME"/>
        </w:rPr>
        <w:t xml:space="preserve">, </w:t>
      </w:r>
      <w:proofErr w:type="spellStart"/>
      <w:r w:rsidRPr="006F5B1C">
        <w:rPr>
          <w:lang w:val="sr-Latn-ME"/>
        </w:rPr>
        <w:t>bioekonomiju</w:t>
      </w:r>
      <w:proofErr w:type="spellEnd"/>
      <w:r w:rsidRPr="006F5B1C">
        <w:rPr>
          <w:lang w:val="sr-Latn-ME"/>
        </w:rPr>
        <w:t>, poslovno okruženje i regulatorni okvir, pristup finansijama i finansiranju rasta, kao i tehnološki transfer i saradnju između preduzeća, istraživačkih centara i visokoškolskog sektora.</w:t>
      </w:r>
    </w:p>
    <w:p w14:paraId="4E3C4980" w14:textId="5E065307" w:rsidR="00135B4E" w:rsidRPr="006F5B1C" w:rsidRDefault="00135B4E" w:rsidP="00135B4E">
      <w:pPr>
        <w:rPr>
          <w:lang w:val="sr-Latn-ME"/>
        </w:rPr>
      </w:pPr>
      <w:r w:rsidRPr="006F5B1C">
        <w:rPr>
          <w:lang w:val="sr-Latn-ME"/>
        </w:rPr>
        <w:t xml:space="preserve">Posmatrano sa strateškog stanovišta, podršku poslovanju ne treba posmatrati usko, kao skup pojedinačnih podsticajnih mjera za preduzeća, već kao horizontalno razvojno područje koje povezuje regulatorne reforme, tržišnu integraciju, podršku MSP, industrijsku modernizaciju, inovacije, digitalnu transformaciju i zelenu tranziciju. Takvo razumijevanje odgovara i </w:t>
      </w:r>
      <w:proofErr w:type="spellStart"/>
      <w:r w:rsidRPr="006F5B1C">
        <w:rPr>
          <w:lang w:val="sr-Latn-ME"/>
        </w:rPr>
        <w:t>savremenom</w:t>
      </w:r>
      <w:proofErr w:type="spellEnd"/>
      <w:r w:rsidRPr="006F5B1C">
        <w:rPr>
          <w:lang w:val="sr-Latn-ME"/>
        </w:rPr>
        <w:t xml:space="preserve"> pristupu Evropske unije, u kojem se poslovna podrška sve više vezuje za produktivnost, otpornost lanaca vrijednosti, tehnološko </w:t>
      </w:r>
      <w:proofErr w:type="spellStart"/>
      <w:r w:rsidRPr="006F5B1C">
        <w:rPr>
          <w:lang w:val="sr-Latn-ME"/>
        </w:rPr>
        <w:t>unapređenje</w:t>
      </w:r>
      <w:proofErr w:type="spellEnd"/>
      <w:r w:rsidRPr="006F5B1C">
        <w:rPr>
          <w:lang w:val="sr-Latn-ME"/>
        </w:rPr>
        <w:t>, pristup jedinstvenom tržištu i održivost poslovn</w:t>
      </w:r>
      <w:r w:rsidR="00257E8A" w:rsidRPr="006F5B1C">
        <w:rPr>
          <w:lang w:val="sr-Latn-ME"/>
        </w:rPr>
        <w:t>ih modela</w:t>
      </w:r>
      <w:r w:rsidRPr="006F5B1C">
        <w:rPr>
          <w:lang w:val="sr-Latn-ME"/>
        </w:rPr>
        <w:t>.</w:t>
      </w:r>
    </w:p>
    <w:p w14:paraId="6B14ECF0" w14:textId="6E4DEDCA" w:rsidR="00F579F5" w:rsidRPr="006F5B1C" w:rsidRDefault="00135B4E" w:rsidP="00135B4E">
      <w:pPr>
        <w:rPr>
          <w:lang w:val="sr-Latn-ME"/>
        </w:rPr>
      </w:pPr>
      <w:r w:rsidRPr="006F5B1C">
        <w:rPr>
          <w:lang w:val="sr-Latn-ME"/>
        </w:rPr>
        <w:t xml:space="preserve">U crnogorskom kontekstu, ovo prioritetno područje predstavlja jednu od ključnih razvojnih poluga za ubrzanje ekonomske konvergencije prema Evropskoj uniji. Strategija razvoja mikro, malih i srednjih preduzeća 2023–2026 identifikuje birokratiju, ograničen pristup finansijama, nedovoljnu dostupnost </w:t>
      </w:r>
      <w:proofErr w:type="spellStart"/>
      <w:r w:rsidRPr="006F5B1C">
        <w:rPr>
          <w:lang w:val="sr-Latn-ME"/>
        </w:rPr>
        <w:t>savremenih</w:t>
      </w:r>
      <w:proofErr w:type="spellEnd"/>
      <w:r w:rsidRPr="006F5B1C">
        <w:rPr>
          <w:lang w:val="sr-Latn-ME"/>
        </w:rPr>
        <w:t xml:space="preserve"> tehnologija, jaz u znanjima i vještinama, nedovoljno finansiranje istraživanja i razvoja, infrastrukturna ograničenja i ograničen pristup informacijama o tržištima kao glavne </w:t>
      </w:r>
      <w:proofErr w:type="spellStart"/>
      <w:r w:rsidRPr="006F5B1C">
        <w:rPr>
          <w:lang w:val="sr-Latn-ME"/>
        </w:rPr>
        <w:t>prepreke</w:t>
      </w:r>
      <w:proofErr w:type="spellEnd"/>
      <w:r w:rsidRPr="006F5B1C">
        <w:rPr>
          <w:lang w:val="sr-Latn-ME"/>
        </w:rPr>
        <w:t xml:space="preserve"> r</w:t>
      </w:r>
      <w:r w:rsidR="00257E8A" w:rsidRPr="006F5B1C">
        <w:rPr>
          <w:lang w:val="sr-Latn-ME"/>
        </w:rPr>
        <w:t>azvoju sektora MMSP</w:t>
      </w:r>
      <w:r w:rsidRPr="006F5B1C">
        <w:rPr>
          <w:lang w:val="sr-Latn-ME"/>
        </w:rPr>
        <w:t>. Industrijska politika Crne Gore 2024–2028 dodatno proširuje ovaj okvir stavljajući u fokus digitalnu i zelenu tranziciju industrije, rast investicija, razvoj inovacija i jačanje pris</w:t>
      </w:r>
      <w:r w:rsidR="00257E8A" w:rsidRPr="006F5B1C">
        <w:rPr>
          <w:lang w:val="sr-Latn-ME"/>
        </w:rPr>
        <w:t>tupa jedinstvenom tržištu EU</w:t>
      </w:r>
      <w:r w:rsidRPr="006F5B1C">
        <w:rPr>
          <w:lang w:val="sr-Latn-ME"/>
        </w:rPr>
        <w:t>. Istovremeno, Reformska agenda Crne Gore 2024–2027 tretira poslovno okruženje i razvoj privatnog sektora kao posebnu oblast politike, čime podrška poslovanju dobija i snažnu ref</w:t>
      </w:r>
      <w:r w:rsidR="00257E8A" w:rsidRPr="006F5B1C">
        <w:rPr>
          <w:lang w:val="sr-Latn-ME"/>
        </w:rPr>
        <w:t>ormsku i pristupnu dimenziju</w:t>
      </w:r>
      <w:r w:rsidRPr="006F5B1C">
        <w:rPr>
          <w:lang w:val="sr-Latn-ME"/>
        </w:rPr>
        <w:t xml:space="preserve">. </w:t>
      </w:r>
    </w:p>
    <w:p w14:paraId="1FC7184C" w14:textId="02D69CCB" w:rsidR="000704B4" w:rsidRPr="006F5B1C" w:rsidRDefault="000704B4" w:rsidP="00135B4E">
      <w:pPr>
        <w:rPr>
          <w:lang w:val="sr-Latn-ME"/>
        </w:rPr>
      </w:pPr>
      <w:r w:rsidRPr="006F5B1C">
        <w:rPr>
          <w:lang w:val="sr-Latn-ME"/>
        </w:rPr>
        <w:t xml:space="preserve">Poseban izazov u okviru ove prioritetne oblasti predstavlja niska produktivnost MSP sektora, koja ograničava sposobnost domaćih preduzeća da rastu, povećavaju dodatu vrijednost, internacionalizuju poslovanje i integrišu se u regionalne i međunarodne lance vrijednosti. Ovaj problem je posebno značajan imajući u vidu da </w:t>
      </w:r>
      <w:proofErr w:type="spellStart"/>
      <w:r w:rsidRPr="006F5B1C">
        <w:rPr>
          <w:lang w:val="sr-Latn-ME"/>
        </w:rPr>
        <w:t>savremeni</w:t>
      </w:r>
      <w:proofErr w:type="spellEnd"/>
      <w:r w:rsidRPr="006F5B1C">
        <w:rPr>
          <w:lang w:val="sr-Latn-ME"/>
        </w:rPr>
        <w:t xml:space="preserve"> EU pristup podršci poslovanju sve više povezuje javne intervencije sa rastom produktivnosti, tehnološkim </w:t>
      </w:r>
      <w:proofErr w:type="spellStart"/>
      <w:r w:rsidRPr="006F5B1C">
        <w:rPr>
          <w:lang w:val="sr-Latn-ME"/>
        </w:rPr>
        <w:t>unapređenjem</w:t>
      </w:r>
      <w:proofErr w:type="spellEnd"/>
      <w:r w:rsidRPr="006F5B1C">
        <w:rPr>
          <w:lang w:val="sr-Latn-ME"/>
        </w:rPr>
        <w:t>, inovacijama, upravljačkim kapacitetima i jačanjem izvoznog potencijala preduzeća.</w:t>
      </w:r>
    </w:p>
    <w:p w14:paraId="496280FB" w14:textId="28B028EF" w:rsidR="00F579F5" w:rsidRPr="006F5B1C" w:rsidRDefault="00F579F5" w:rsidP="00F579F5">
      <w:pPr>
        <w:pStyle w:val="Naslov3"/>
        <w:rPr>
          <w:lang w:val="sr-Latn-ME"/>
        </w:rPr>
      </w:pPr>
      <w:r w:rsidRPr="006F5B1C">
        <w:rPr>
          <w:lang w:val="sr-Latn-ME"/>
        </w:rPr>
        <w:t>Međunarodni i EU Strateški i pravni okvir</w:t>
      </w:r>
    </w:p>
    <w:p w14:paraId="5CB70E2C" w14:textId="61260B87" w:rsidR="00135B4E" w:rsidRPr="006F5B1C" w:rsidRDefault="00135B4E" w:rsidP="00135B4E">
      <w:pPr>
        <w:rPr>
          <w:lang w:val="sr-Latn-ME"/>
        </w:rPr>
      </w:pPr>
      <w:r w:rsidRPr="006F5B1C">
        <w:rPr>
          <w:lang w:val="sr-Latn-ME"/>
        </w:rPr>
        <w:t xml:space="preserve">EU okvir za podršku poslovanju oblikovan je na </w:t>
      </w:r>
      <w:r w:rsidR="0045374E" w:rsidRPr="006F5B1C">
        <w:rPr>
          <w:lang w:val="sr-Latn-ME"/>
        </w:rPr>
        <w:t xml:space="preserve">raskrsnici </w:t>
      </w:r>
      <w:r w:rsidRPr="006F5B1C">
        <w:rPr>
          <w:lang w:val="sr-Latn-ME"/>
        </w:rPr>
        <w:t>više politika: politike jedinstvenog tržišta, politike MSP, industrijske politike, politike digitalne transformacije, inovacione politike i šire agende konkurentnosti i zelene tranzicije. Jedan od ključnih programskih stubova ovog okvira predstavlja Program jedinstvenog tržišta, uspostavljen Uredbom (EU) 2021/690, koji obuhvata funkcionisanje unutrašnjeg tržišta, konkurentnost i održivost preduzeć</w:t>
      </w:r>
      <w:r w:rsidR="00257E8A" w:rsidRPr="006F5B1C">
        <w:rPr>
          <w:lang w:val="sr-Latn-ME"/>
        </w:rPr>
        <w:t>a, kao i posebnu podršku MSP</w:t>
      </w:r>
      <w:r w:rsidRPr="006F5B1C">
        <w:rPr>
          <w:lang w:val="sr-Latn-ME"/>
        </w:rPr>
        <w:t>. Ovaj okvir je posebno relevantan za intervenciona polja koja se odnose na napredne usluge podrške MSP, poslovni razvoj, regulatornu podršku i internacionalizaciju.</w:t>
      </w:r>
    </w:p>
    <w:p w14:paraId="3B680968" w14:textId="0A07DCA5" w:rsidR="00135B4E" w:rsidRPr="006F5B1C" w:rsidRDefault="00135B4E" w:rsidP="00135B4E">
      <w:pPr>
        <w:rPr>
          <w:lang w:val="sr-Latn-ME"/>
        </w:rPr>
      </w:pPr>
      <w:r w:rsidRPr="006F5B1C">
        <w:rPr>
          <w:lang w:val="sr-Latn-ME"/>
        </w:rPr>
        <w:lastRenderedPageBreak/>
        <w:t xml:space="preserve">Važan operativni instrument u okviru ovog programa predstavlja </w:t>
      </w:r>
      <w:proofErr w:type="spellStart"/>
      <w:r w:rsidRPr="006F5B1C">
        <w:rPr>
          <w:lang w:val="sr-Latn-ME"/>
        </w:rPr>
        <w:t>Enterprise</w:t>
      </w:r>
      <w:proofErr w:type="spellEnd"/>
      <w:r w:rsidRPr="006F5B1C">
        <w:rPr>
          <w:lang w:val="sr-Latn-ME"/>
        </w:rPr>
        <w:t xml:space="preserve"> </w:t>
      </w:r>
      <w:proofErr w:type="spellStart"/>
      <w:r w:rsidRPr="006F5B1C">
        <w:rPr>
          <w:lang w:val="sr-Latn-ME"/>
        </w:rPr>
        <w:t>Europe</w:t>
      </w:r>
      <w:proofErr w:type="spellEnd"/>
      <w:r w:rsidRPr="006F5B1C">
        <w:rPr>
          <w:lang w:val="sr-Latn-ME"/>
        </w:rPr>
        <w:t xml:space="preserve"> </w:t>
      </w:r>
      <w:proofErr w:type="spellStart"/>
      <w:r w:rsidRPr="006F5B1C">
        <w:rPr>
          <w:lang w:val="sr-Latn-ME"/>
        </w:rPr>
        <w:t>Network</w:t>
      </w:r>
      <w:proofErr w:type="spellEnd"/>
      <w:r w:rsidRPr="006F5B1C">
        <w:rPr>
          <w:lang w:val="sr-Latn-ME"/>
        </w:rPr>
        <w:t xml:space="preserve"> (EEN), koji pruža integrisane usluge podrške preduzećima u oblastima internacionalizacije, inovacija, pristupa finansijama, z</w:t>
      </w:r>
      <w:r w:rsidR="00257E8A" w:rsidRPr="006F5B1C">
        <w:rPr>
          <w:lang w:val="sr-Latn-ME"/>
        </w:rPr>
        <w:t>elene i digitalne tranzicije</w:t>
      </w:r>
      <w:r w:rsidRPr="006F5B1C">
        <w:rPr>
          <w:lang w:val="sr-Latn-ME"/>
        </w:rPr>
        <w:t>. Time se EU model podrške poslovanju sve više zasniva na kombinaciji savjetodavne, inovacione, mrežne i tržišne funkcije, a sve manje na izolovanim podsticajnim mjerama.</w:t>
      </w:r>
    </w:p>
    <w:p w14:paraId="5489A8FD" w14:textId="02C644A1" w:rsidR="00135B4E" w:rsidRPr="006F5B1C" w:rsidRDefault="00135B4E" w:rsidP="00135B4E">
      <w:pPr>
        <w:rPr>
          <w:lang w:val="sr-Latn-ME"/>
        </w:rPr>
      </w:pPr>
      <w:r w:rsidRPr="006F5B1C">
        <w:rPr>
          <w:lang w:val="sr-Latn-ME"/>
        </w:rPr>
        <w:t xml:space="preserve">Politika MSP Evropske unije posebno je definisana kroz Strategiju MSP za održivu i digitalnu Evropu iz 2020. godine, zasnovanu na tri glavna stuba: jačanje kapaciteta MSP za održivu i digitalnu tranziciju, smanjenje regulatornih opterećenja i </w:t>
      </w:r>
      <w:proofErr w:type="spellStart"/>
      <w:r w:rsidRPr="006F5B1C">
        <w:rPr>
          <w:lang w:val="sr-Latn-ME"/>
        </w:rPr>
        <w:t>unapređenje</w:t>
      </w:r>
      <w:proofErr w:type="spellEnd"/>
      <w:r w:rsidRPr="006F5B1C">
        <w:rPr>
          <w:lang w:val="sr-Latn-ME"/>
        </w:rPr>
        <w:t xml:space="preserve"> pristupa tržištu, te </w:t>
      </w:r>
      <w:proofErr w:type="spellStart"/>
      <w:r w:rsidRPr="006F5B1C">
        <w:rPr>
          <w:lang w:val="sr-Latn-ME"/>
        </w:rPr>
        <w:t>unap</w:t>
      </w:r>
      <w:r w:rsidR="00257E8A" w:rsidRPr="006F5B1C">
        <w:rPr>
          <w:lang w:val="sr-Latn-ME"/>
        </w:rPr>
        <w:t>ređenje</w:t>
      </w:r>
      <w:proofErr w:type="spellEnd"/>
      <w:r w:rsidR="00257E8A" w:rsidRPr="006F5B1C">
        <w:rPr>
          <w:lang w:val="sr-Latn-ME"/>
        </w:rPr>
        <w:t xml:space="preserve"> pristupa finansijama</w:t>
      </w:r>
      <w:r w:rsidRPr="006F5B1C">
        <w:rPr>
          <w:lang w:val="sr-Latn-ME"/>
        </w:rPr>
        <w:t>. Ova tri stuba neposredno odgovaraju logici prioritetnog područja Podrška poslovanju, naročito u dijelu koji se odnosi na razvoj poslovnog ekosistema, digitalizaciju preduzeća, pristup finansijama i reformu poslovnog ambijenta. Ovaj okvir dodatno je ojačan kroz Paket pomoći MSP iz 2023. godine, koji je usmjeren na povećanje konkurentnosti i otpornosti MSP kroz administrativno pojednostavljenje, bolje uslove finansiranja i povoljnije regulatorno okruženje, uključujući i rješavanje problema kašnjenja u plaćanjima u</w:t>
      </w:r>
      <w:r w:rsidR="00257E8A" w:rsidRPr="006F5B1C">
        <w:rPr>
          <w:lang w:val="sr-Latn-ME"/>
        </w:rPr>
        <w:t xml:space="preserve"> komercijalnim transakcijama</w:t>
      </w:r>
      <w:r w:rsidRPr="006F5B1C">
        <w:rPr>
          <w:lang w:val="sr-Latn-ME"/>
        </w:rPr>
        <w:t>.</w:t>
      </w:r>
    </w:p>
    <w:p w14:paraId="45E835DB" w14:textId="723AA88A" w:rsidR="00257E8A" w:rsidRPr="006F5B1C" w:rsidRDefault="00135B4E" w:rsidP="00135B4E">
      <w:pPr>
        <w:rPr>
          <w:lang w:val="sr-Latn-ME"/>
        </w:rPr>
      </w:pPr>
      <w:r w:rsidRPr="006F5B1C">
        <w:rPr>
          <w:lang w:val="sr-Latn-ME"/>
        </w:rPr>
        <w:t>Širi strateški pravac EU podrške poslovanju dodatno je oblikovan kroz Novu industrijsku strategiju za Evropu</w:t>
      </w:r>
      <w:r w:rsidR="0078107D" w:rsidRPr="006F5B1C">
        <w:rPr>
          <w:lang w:val="sr-Latn-ME"/>
        </w:rPr>
        <w:t>, Ažuriranu novu industrijsku strategiju: Izgradnja snažnijeg jedinstvenog tržišta za oporavak Evrope</w:t>
      </w:r>
      <w:r w:rsidRPr="006F5B1C">
        <w:rPr>
          <w:lang w:val="sr-Latn-ME"/>
        </w:rPr>
        <w:t xml:space="preserve"> i nov</w:t>
      </w:r>
      <w:r w:rsidR="005040C4" w:rsidRPr="006F5B1C">
        <w:rPr>
          <w:lang w:val="sr-Latn-ME"/>
        </w:rPr>
        <w:t>u agendu EU za</w:t>
      </w:r>
      <w:r w:rsidRPr="006F5B1C">
        <w:rPr>
          <w:lang w:val="sr-Latn-ME"/>
        </w:rPr>
        <w:t xml:space="preserve"> </w:t>
      </w:r>
      <w:r w:rsidRPr="006F5B1C">
        <w:rPr>
          <w:color w:val="000000" w:themeColor="text1"/>
          <w:lang w:val="sr-Latn-ME"/>
        </w:rPr>
        <w:t>konkurentnos</w:t>
      </w:r>
      <w:r w:rsidR="005040C4" w:rsidRPr="006F5B1C">
        <w:rPr>
          <w:color w:val="000000" w:themeColor="text1"/>
          <w:lang w:val="sr-Latn-ME"/>
        </w:rPr>
        <w:t>t</w:t>
      </w:r>
      <w:r w:rsidRPr="006F5B1C">
        <w:rPr>
          <w:lang w:val="sr-Latn-ME"/>
        </w:rPr>
        <w:t xml:space="preserve"> agendu EU. Ovi dokumenti stavljaju snažan akcenat na otpornost industrijskih ekosistema, skraćivanje i osiguranje lanaca vrijednosti, tehnološku modernizaciju, jačanje inovativnih preduzeća i sma</w:t>
      </w:r>
      <w:r w:rsidR="00257E8A" w:rsidRPr="006F5B1C">
        <w:rPr>
          <w:lang w:val="sr-Latn-ME"/>
        </w:rPr>
        <w:t>njenje strateških zavisnosti</w:t>
      </w:r>
      <w:r w:rsidRPr="006F5B1C">
        <w:rPr>
          <w:lang w:val="sr-Latn-ME"/>
        </w:rPr>
        <w:t xml:space="preserve">. </w:t>
      </w:r>
      <w:r w:rsidR="00257E8A" w:rsidRPr="006F5B1C">
        <w:rPr>
          <w:lang w:val="sr-Latn-ME"/>
        </w:rPr>
        <w:t>Industrijska politika Crne Gore 2024–2028 eksplicitno potvrđuje usklađenost sa tim dokumentima, uključujući i Dugoročnu konkurentnost EU nakon 2030. godine (Long-</w:t>
      </w:r>
      <w:proofErr w:type="spellStart"/>
      <w:r w:rsidR="00257E8A" w:rsidRPr="006F5B1C">
        <w:rPr>
          <w:lang w:val="sr-Latn-ME"/>
        </w:rPr>
        <w:t>term</w:t>
      </w:r>
      <w:proofErr w:type="spellEnd"/>
      <w:r w:rsidR="00257E8A" w:rsidRPr="006F5B1C">
        <w:rPr>
          <w:lang w:val="sr-Latn-ME"/>
        </w:rPr>
        <w:t xml:space="preserve"> </w:t>
      </w:r>
      <w:proofErr w:type="spellStart"/>
      <w:r w:rsidR="00257E8A" w:rsidRPr="006F5B1C">
        <w:rPr>
          <w:lang w:val="sr-Latn-ME"/>
        </w:rPr>
        <w:t>competitiveness</w:t>
      </w:r>
      <w:proofErr w:type="spellEnd"/>
      <w:r w:rsidR="00257E8A" w:rsidRPr="006F5B1C">
        <w:rPr>
          <w:lang w:val="sr-Latn-ME"/>
        </w:rPr>
        <w:t xml:space="preserve"> </w:t>
      </w:r>
      <w:proofErr w:type="spellStart"/>
      <w:r w:rsidR="00257E8A" w:rsidRPr="006F5B1C">
        <w:rPr>
          <w:lang w:val="sr-Latn-ME"/>
        </w:rPr>
        <w:t>of</w:t>
      </w:r>
      <w:proofErr w:type="spellEnd"/>
      <w:r w:rsidR="00257E8A" w:rsidRPr="006F5B1C">
        <w:rPr>
          <w:lang w:val="sr-Latn-ME"/>
        </w:rPr>
        <w:t xml:space="preserve"> </w:t>
      </w:r>
      <w:proofErr w:type="spellStart"/>
      <w:r w:rsidR="00257E8A" w:rsidRPr="006F5B1C">
        <w:rPr>
          <w:lang w:val="sr-Latn-ME"/>
        </w:rPr>
        <w:t>the</w:t>
      </w:r>
      <w:proofErr w:type="spellEnd"/>
      <w:r w:rsidR="00257E8A" w:rsidRPr="006F5B1C">
        <w:rPr>
          <w:lang w:val="sr-Latn-ME"/>
        </w:rPr>
        <w:t xml:space="preserve"> EU: </w:t>
      </w:r>
      <w:proofErr w:type="spellStart"/>
      <w:r w:rsidR="00257E8A" w:rsidRPr="006F5B1C">
        <w:rPr>
          <w:lang w:val="sr-Latn-ME"/>
        </w:rPr>
        <w:t>looking</w:t>
      </w:r>
      <w:proofErr w:type="spellEnd"/>
      <w:r w:rsidR="00257E8A" w:rsidRPr="006F5B1C">
        <w:rPr>
          <w:lang w:val="sr-Latn-ME"/>
        </w:rPr>
        <w:t xml:space="preserve"> </w:t>
      </w:r>
      <w:proofErr w:type="spellStart"/>
      <w:r w:rsidR="00257E8A" w:rsidRPr="006F5B1C">
        <w:rPr>
          <w:lang w:val="sr-Latn-ME"/>
        </w:rPr>
        <w:t>beyond</w:t>
      </w:r>
      <w:proofErr w:type="spellEnd"/>
      <w:r w:rsidR="00257E8A" w:rsidRPr="006F5B1C">
        <w:rPr>
          <w:lang w:val="sr-Latn-ME"/>
        </w:rPr>
        <w:t xml:space="preserve"> 2030) i Industrijski plan u okviru Zelenog plana za doba nulte neto stope emisija (A </w:t>
      </w:r>
      <w:proofErr w:type="spellStart"/>
      <w:r w:rsidR="00257E8A" w:rsidRPr="006F5B1C">
        <w:rPr>
          <w:lang w:val="sr-Latn-ME"/>
        </w:rPr>
        <w:t>Green</w:t>
      </w:r>
      <w:proofErr w:type="spellEnd"/>
      <w:r w:rsidR="00257E8A" w:rsidRPr="006F5B1C">
        <w:rPr>
          <w:lang w:val="sr-Latn-ME"/>
        </w:rPr>
        <w:t xml:space="preserve"> </w:t>
      </w:r>
      <w:proofErr w:type="spellStart"/>
      <w:r w:rsidR="00257E8A" w:rsidRPr="006F5B1C">
        <w:rPr>
          <w:lang w:val="sr-Latn-ME"/>
        </w:rPr>
        <w:t>Deal</w:t>
      </w:r>
      <w:proofErr w:type="spellEnd"/>
      <w:r w:rsidR="00257E8A" w:rsidRPr="006F5B1C">
        <w:rPr>
          <w:lang w:val="sr-Latn-ME"/>
        </w:rPr>
        <w:t xml:space="preserve"> </w:t>
      </w:r>
      <w:proofErr w:type="spellStart"/>
      <w:r w:rsidR="00257E8A" w:rsidRPr="006F5B1C">
        <w:rPr>
          <w:lang w:val="sr-Latn-ME"/>
        </w:rPr>
        <w:t>Industrial</w:t>
      </w:r>
      <w:proofErr w:type="spellEnd"/>
      <w:r w:rsidR="00257E8A" w:rsidRPr="006F5B1C">
        <w:rPr>
          <w:lang w:val="sr-Latn-ME"/>
        </w:rPr>
        <w:t xml:space="preserve"> Plan </w:t>
      </w:r>
      <w:proofErr w:type="spellStart"/>
      <w:r w:rsidR="00257E8A" w:rsidRPr="006F5B1C">
        <w:rPr>
          <w:lang w:val="sr-Latn-ME"/>
        </w:rPr>
        <w:t>for</w:t>
      </w:r>
      <w:proofErr w:type="spellEnd"/>
      <w:r w:rsidR="00257E8A" w:rsidRPr="006F5B1C">
        <w:rPr>
          <w:lang w:val="sr-Latn-ME"/>
        </w:rPr>
        <w:t xml:space="preserve"> </w:t>
      </w:r>
      <w:proofErr w:type="spellStart"/>
      <w:r w:rsidR="00257E8A" w:rsidRPr="006F5B1C">
        <w:rPr>
          <w:lang w:val="sr-Latn-ME"/>
        </w:rPr>
        <w:t>the</w:t>
      </w:r>
      <w:proofErr w:type="spellEnd"/>
      <w:r w:rsidR="00257E8A" w:rsidRPr="006F5B1C">
        <w:rPr>
          <w:lang w:val="sr-Latn-ME"/>
        </w:rPr>
        <w:t xml:space="preserve"> Net-</w:t>
      </w:r>
      <w:proofErr w:type="spellStart"/>
      <w:r w:rsidR="00257E8A" w:rsidRPr="006F5B1C">
        <w:rPr>
          <w:lang w:val="sr-Latn-ME"/>
        </w:rPr>
        <w:t>Zero</w:t>
      </w:r>
      <w:proofErr w:type="spellEnd"/>
      <w:r w:rsidR="00257E8A" w:rsidRPr="006F5B1C">
        <w:rPr>
          <w:lang w:val="sr-Latn-ME"/>
        </w:rPr>
        <w:t xml:space="preserve"> Age).</w:t>
      </w:r>
    </w:p>
    <w:p w14:paraId="15BB2B09" w14:textId="5CCD3DF2" w:rsidR="00135B4E" w:rsidRPr="006F5B1C" w:rsidRDefault="00135B4E" w:rsidP="00135B4E">
      <w:pPr>
        <w:rPr>
          <w:lang w:val="sr-Latn-ME"/>
        </w:rPr>
      </w:pPr>
      <w:r w:rsidRPr="006F5B1C">
        <w:rPr>
          <w:lang w:val="sr-Latn-ME"/>
        </w:rPr>
        <w:t xml:space="preserve">U dijelu koji se odnosi na zelenu transformaciju, </w:t>
      </w:r>
      <w:proofErr w:type="spellStart"/>
      <w:r w:rsidRPr="006F5B1C">
        <w:rPr>
          <w:lang w:val="sr-Latn-ME"/>
        </w:rPr>
        <w:t>dekarbonizaciju</w:t>
      </w:r>
      <w:proofErr w:type="spellEnd"/>
      <w:r w:rsidRPr="006F5B1C">
        <w:rPr>
          <w:lang w:val="sr-Latn-ME"/>
        </w:rPr>
        <w:t>, cirkularnu ekonomiju i strateške tehnologije, poseban značaj imaju Akt o industriji sa nultom neto stopom emisija (Net-</w:t>
      </w:r>
      <w:proofErr w:type="spellStart"/>
      <w:r w:rsidRPr="006F5B1C">
        <w:rPr>
          <w:lang w:val="sr-Latn-ME"/>
        </w:rPr>
        <w:t>Zero</w:t>
      </w:r>
      <w:proofErr w:type="spellEnd"/>
      <w:r w:rsidRPr="006F5B1C">
        <w:rPr>
          <w:lang w:val="sr-Latn-ME"/>
        </w:rPr>
        <w:t xml:space="preserve"> </w:t>
      </w:r>
      <w:proofErr w:type="spellStart"/>
      <w:r w:rsidRPr="006F5B1C">
        <w:rPr>
          <w:lang w:val="sr-Latn-ME"/>
        </w:rPr>
        <w:t>Industry</w:t>
      </w:r>
      <w:proofErr w:type="spellEnd"/>
      <w:r w:rsidRPr="006F5B1C">
        <w:rPr>
          <w:lang w:val="sr-Latn-ME"/>
        </w:rPr>
        <w:t xml:space="preserve"> </w:t>
      </w:r>
      <w:proofErr w:type="spellStart"/>
      <w:r w:rsidRPr="006F5B1C">
        <w:rPr>
          <w:lang w:val="sr-Latn-ME"/>
        </w:rPr>
        <w:t>Act</w:t>
      </w:r>
      <w:proofErr w:type="spellEnd"/>
      <w:r w:rsidRPr="006F5B1C">
        <w:rPr>
          <w:lang w:val="sr-Latn-ME"/>
        </w:rPr>
        <w:t>) i Akt o kritičnim sirovinama (</w:t>
      </w:r>
      <w:proofErr w:type="spellStart"/>
      <w:r w:rsidRPr="006F5B1C">
        <w:rPr>
          <w:lang w:val="sr-Latn-ME"/>
        </w:rPr>
        <w:t>Critical</w:t>
      </w:r>
      <w:proofErr w:type="spellEnd"/>
      <w:r w:rsidRPr="006F5B1C">
        <w:rPr>
          <w:lang w:val="sr-Latn-ME"/>
        </w:rPr>
        <w:t xml:space="preserve"> </w:t>
      </w:r>
      <w:proofErr w:type="spellStart"/>
      <w:r w:rsidRPr="006F5B1C">
        <w:rPr>
          <w:lang w:val="sr-Latn-ME"/>
        </w:rPr>
        <w:t>Raw</w:t>
      </w:r>
      <w:proofErr w:type="spellEnd"/>
      <w:r w:rsidRPr="006F5B1C">
        <w:rPr>
          <w:lang w:val="sr-Latn-ME"/>
        </w:rPr>
        <w:t xml:space="preserve"> </w:t>
      </w:r>
      <w:proofErr w:type="spellStart"/>
      <w:r w:rsidRPr="006F5B1C">
        <w:rPr>
          <w:lang w:val="sr-Latn-ME"/>
        </w:rPr>
        <w:t>Materials</w:t>
      </w:r>
      <w:proofErr w:type="spellEnd"/>
      <w:r w:rsidRPr="006F5B1C">
        <w:rPr>
          <w:lang w:val="sr-Latn-ME"/>
        </w:rPr>
        <w:t xml:space="preserve"> </w:t>
      </w:r>
      <w:proofErr w:type="spellStart"/>
      <w:r w:rsidRPr="006F5B1C">
        <w:rPr>
          <w:lang w:val="sr-Latn-ME"/>
        </w:rPr>
        <w:t>Act</w:t>
      </w:r>
      <w:proofErr w:type="spellEnd"/>
      <w:r w:rsidRPr="006F5B1C">
        <w:rPr>
          <w:lang w:val="sr-Latn-ME"/>
        </w:rPr>
        <w:t>), koji uspostavljaju okvir za jačanje proizvodnih kapaciteta EU u oblastima čistih tehnologija, otpornosti lanca snabdijevanja i održivog pristup</w:t>
      </w:r>
      <w:r w:rsidR="00257E8A" w:rsidRPr="006F5B1C">
        <w:rPr>
          <w:lang w:val="sr-Latn-ME"/>
        </w:rPr>
        <w:t>a strateškim sirovinama</w:t>
      </w:r>
      <w:r w:rsidRPr="006F5B1C">
        <w:rPr>
          <w:lang w:val="sr-Latn-ME"/>
        </w:rPr>
        <w:t xml:space="preserve">. Ovi akti neposredno su relevantni za intervenciona polja koja se odnose na </w:t>
      </w:r>
      <w:proofErr w:type="spellStart"/>
      <w:r w:rsidRPr="006F5B1C">
        <w:rPr>
          <w:lang w:val="sr-Latn-ME"/>
        </w:rPr>
        <w:t>dekarbonizaciju</w:t>
      </w:r>
      <w:proofErr w:type="spellEnd"/>
      <w:r w:rsidRPr="006F5B1C">
        <w:rPr>
          <w:lang w:val="sr-Latn-ME"/>
        </w:rPr>
        <w:t>, proizvodnju čistih tehnologija, cirkularnu ekonomiju, baterije i kritične sirovine.</w:t>
      </w:r>
    </w:p>
    <w:p w14:paraId="5A4C3E36" w14:textId="7A3A64F8" w:rsidR="00135B4E" w:rsidRPr="006F5B1C" w:rsidRDefault="00135B4E" w:rsidP="00135B4E">
      <w:pPr>
        <w:rPr>
          <w:lang w:val="sr-Latn-ME"/>
        </w:rPr>
      </w:pPr>
      <w:r w:rsidRPr="006F5B1C">
        <w:rPr>
          <w:lang w:val="sr-Latn-ME"/>
        </w:rPr>
        <w:t>Dimenzija digitalizacije poslovanja u EU podržana je kroz Program Digitalna Evropa, uspostavljen Uredbom (EU) 2021/694, čiji je cilj ubrzanje digitalne transformacije evropske ekonomije, industrije i društva kroz podršku vještačkoj inteligenciji, sajber bezbjednosti, naprednim digitalnim vještinama i širem usvaj</w:t>
      </w:r>
      <w:r w:rsidR="00257E8A" w:rsidRPr="006F5B1C">
        <w:rPr>
          <w:lang w:val="sr-Latn-ME"/>
        </w:rPr>
        <w:t>anju digitalnih tehnologija</w:t>
      </w:r>
      <w:r w:rsidRPr="006F5B1C">
        <w:rPr>
          <w:lang w:val="sr-Latn-ME"/>
        </w:rPr>
        <w:t xml:space="preserve">. Ovaj okvir posebno je relevantan za intervenciona polja koja pokrivaju digitalizaciju preduzeća, tehnološko </w:t>
      </w:r>
      <w:proofErr w:type="spellStart"/>
      <w:r w:rsidRPr="006F5B1C">
        <w:rPr>
          <w:lang w:val="sr-Latn-ME"/>
        </w:rPr>
        <w:t>unapređenje</w:t>
      </w:r>
      <w:proofErr w:type="spellEnd"/>
      <w:r w:rsidRPr="006F5B1C">
        <w:rPr>
          <w:lang w:val="sr-Latn-ME"/>
        </w:rPr>
        <w:t>, digitalne ekosisteme, sajber bezbjednost i širenje primjene digitalnih rješenja u MSP.</w:t>
      </w:r>
    </w:p>
    <w:p w14:paraId="00140A51" w14:textId="0B1CB9F4" w:rsidR="00135B4E" w:rsidRPr="006F5B1C" w:rsidRDefault="00135B4E" w:rsidP="00135B4E">
      <w:pPr>
        <w:rPr>
          <w:lang w:val="sr-Latn-ME"/>
        </w:rPr>
      </w:pPr>
      <w:r w:rsidRPr="006F5B1C">
        <w:rPr>
          <w:lang w:val="sr-Latn-ME"/>
        </w:rPr>
        <w:lastRenderedPageBreak/>
        <w:t xml:space="preserve">Pristup finansijama predstavlja još jednu od ključnih komponenti EU okvira za podršku poslovanju. U tom smislu, centralni instrument EU je Program </w:t>
      </w:r>
      <w:proofErr w:type="spellStart"/>
      <w:r w:rsidRPr="006F5B1C">
        <w:rPr>
          <w:lang w:val="sr-Latn-ME"/>
        </w:rPr>
        <w:t>InvestEU</w:t>
      </w:r>
      <w:proofErr w:type="spellEnd"/>
      <w:r w:rsidRPr="006F5B1C">
        <w:rPr>
          <w:lang w:val="sr-Latn-ME"/>
        </w:rPr>
        <w:t>, uspostavljen Uredbom (EU) 2021/523, koji obezbjeđuje jedinstvenu investicionu arhitekturu za različite politike, uključ</w:t>
      </w:r>
      <w:r w:rsidR="00257E8A" w:rsidRPr="006F5B1C">
        <w:rPr>
          <w:lang w:val="sr-Latn-ME"/>
        </w:rPr>
        <w:t>ujući i posebnu podršku MSP</w:t>
      </w:r>
      <w:r w:rsidRPr="006F5B1C">
        <w:rPr>
          <w:lang w:val="sr-Latn-ME"/>
        </w:rPr>
        <w:t xml:space="preserve">. Ova dimenzija je od posebnog značaja za Crnu Goru, s obzirom na to da i domaći strateški dokumenti kontinuirano identifikuju ograničen pristup finansijama kao jednu od glavnih </w:t>
      </w:r>
      <w:proofErr w:type="spellStart"/>
      <w:r w:rsidRPr="006F5B1C">
        <w:rPr>
          <w:lang w:val="sr-Latn-ME"/>
        </w:rPr>
        <w:t>prepreka</w:t>
      </w:r>
      <w:proofErr w:type="spellEnd"/>
      <w:r w:rsidRPr="006F5B1C">
        <w:rPr>
          <w:lang w:val="sr-Latn-ME"/>
        </w:rPr>
        <w:t xml:space="preserve"> rastu, inovacijama i in</w:t>
      </w:r>
      <w:r w:rsidR="00257E8A" w:rsidRPr="006F5B1C">
        <w:rPr>
          <w:lang w:val="sr-Latn-ME"/>
        </w:rPr>
        <w:t>ternacionalizaciji preduzeća</w:t>
      </w:r>
      <w:r w:rsidRPr="006F5B1C">
        <w:rPr>
          <w:lang w:val="sr-Latn-ME"/>
        </w:rPr>
        <w:t>.</w:t>
      </w:r>
    </w:p>
    <w:p w14:paraId="73E349EB" w14:textId="0BAF5552" w:rsidR="00135B4E" w:rsidRPr="006F5B1C" w:rsidRDefault="00135B4E" w:rsidP="00135B4E">
      <w:pPr>
        <w:rPr>
          <w:lang w:val="sr-Latn-ME"/>
        </w:rPr>
      </w:pPr>
      <w:r w:rsidRPr="006F5B1C">
        <w:rPr>
          <w:lang w:val="sr-Latn-ME"/>
        </w:rPr>
        <w:t xml:space="preserve">Za zemlje kandidate, a posebno za Crnu Goru, EU okvir za podršku poslovanju danas se sve više posreduje kroz Plan rasta za Zapadni Balkan i Instrument za reforme i rast. Ovaj okvir usmjeren je na </w:t>
      </w:r>
      <w:proofErr w:type="spellStart"/>
      <w:r w:rsidRPr="006F5B1C">
        <w:rPr>
          <w:lang w:val="sr-Latn-ME"/>
        </w:rPr>
        <w:t>postepenu</w:t>
      </w:r>
      <w:proofErr w:type="spellEnd"/>
      <w:r w:rsidRPr="006F5B1C">
        <w:rPr>
          <w:lang w:val="sr-Latn-ME"/>
        </w:rPr>
        <w:t xml:space="preserve"> integraciju regiona u jedinstveno tržište EU, produbljivanje regionalne ekonomske saradnje, sprovođenje reformi i ubrzanje socioekonomske konvergencije sa Unijo</w:t>
      </w:r>
      <w:r w:rsidR="00257E8A" w:rsidRPr="006F5B1C">
        <w:rPr>
          <w:lang w:val="sr-Latn-ME"/>
        </w:rPr>
        <w:t>m</w:t>
      </w:r>
      <w:r w:rsidRPr="006F5B1C">
        <w:rPr>
          <w:lang w:val="sr-Latn-ME"/>
        </w:rPr>
        <w:t>. To je od posebne važnosti jer poslovno okruženje, regulatorno približavanje, privatni sektor i konkurentnost postaju ne samo razvojna, već i pristupna agenda.</w:t>
      </w:r>
    </w:p>
    <w:p w14:paraId="3BDF3C0F" w14:textId="4F609BA9" w:rsidR="00F579F5" w:rsidRPr="006F5B1C" w:rsidRDefault="00135B4E" w:rsidP="00135B4E">
      <w:pPr>
        <w:rPr>
          <w:lang w:val="sr-Latn-ME"/>
        </w:rPr>
      </w:pPr>
      <w:r w:rsidRPr="006F5B1C">
        <w:rPr>
          <w:lang w:val="sr-Latn-ME"/>
        </w:rPr>
        <w:t xml:space="preserve">Konačno, u okviru predloženog višegodišnjeg finansijskog okvira EU za period nakon 2027. godine, podrška poslovanju biće integrisana u buduću arhitekturu Nacionalnog i regionalnog partnerskog plana (NRPP). Predložena regulativa i prateći okvir učinka organizuju podršku kroz intervenciona polja koja se u velikoj mjeri podudaraju sa logikom </w:t>
      </w:r>
      <w:r w:rsidR="0045374E" w:rsidRPr="006F5B1C">
        <w:rPr>
          <w:lang w:val="sr-Latn-ME"/>
        </w:rPr>
        <w:t>R</w:t>
      </w:r>
      <w:r w:rsidRPr="006F5B1C">
        <w:rPr>
          <w:lang w:val="sr-Latn-ME"/>
        </w:rPr>
        <w:t xml:space="preserve">G1, uključujući poslovni razvoj, poslovnu infrastrukturu, digitalizaciju preduzeća, odgovorno poslovanje i održivost, </w:t>
      </w:r>
      <w:proofErr w:type="spellStart"/>
      <w:r w:rsidRPr="006F5B1C">
        <w:rPr>
          <w:lang w:val="sr-Latn-ME"/>
        </w:rPr>
        <w:t>dekarbonizaciju</w:t>
      </w:r>
      <w:proofErr w:type="spellEnd"/>
      <w:r w:rsidRPr="006F5B1C">
        <w:rPr>
          <w:lang w:val="sr-Latn-ME"/>
        </w:rPr>
        <w:t xml:space="preserve">, </w:t>
      </w:r>
      <w:proofErr w:type="spellStart"/>
      <w:r w:rsidRPr="006F5B1C">
        <w:rPr>
          <w:lang w:val="sr-Latn-ME"/>
        </w:rPr>
        <w:t>bioekonomiju</w:t>
      </w:r>
      <w:proofErr w:type="spellEnd"/>
      <w:r w:rsidRPr="006F5B1C">
        <w:rPr>
          <w:lang w:val="sr-Latn-ME"/>
        </w:rPr>
        <w:t>, poslovno okruženje i regulatorne ref</w:t>
      </w:r>
      <w:r w:rsidR="00257E8A" w:rsidRPr="006F5B1C">
        <w:rPr>
          <w:lang w:val="sr-Latn-ME"/>
        </w:rPr>
        <w:t>orme, kao i pristup finansijama</w:t>
      </w:r>
      <w:r w:rsidRPr="006F5B1C">
        <w:rPr>
          <w:lang w:val="sr-Latn-ME"/>
        </w:rPr>
        <w:t>. To znači da je EU okvir za podršku poslovanju relevantan ne samo kao izvor pravne tekovine i strateškog usmjerenja, već i kao neposredan okvir za buduće programiranje, definisanje intervencija i mjerenje rezultata.</w:t>
      </w:r>
    </w:p>
    <w:p w14:paraId="096F3D65" w14:textId="78754DA8" w:rsidR="00F579F5" w:rsidRPr="006F5B1C" w:rsidRDefault="00F579F5" w:rsidP="00F579F5">
      <w:pPr>
        <w:pStyle w:val="Naslov3"/>
        <w:rPr>
          <w:lang w:val="sr-Latn-ME"/>
        </w:rPr>
      </w:pPr>
      <w:r w:rsidRPr="006F5B1C">
        <w:rPr>
          <w:lang w:val="sr-Latn-ME"/>
        </w:rPr>
        <w:t>Crnogorski strateški i pravni okvir</w:t>
      </w:r>
    </w:p>
    <w:p w14:paraId="7DF12A63" w14:textId="7616D85A" w:rsidR="00135B4E" w:rsidRPr="006F5B1C" w:rsidRDefault="0B78DD6F" w:rsidP="00BC1999">
      <w:pPr>
        <w:rPr>
          <w:lang w:val="sr-Latn-ME"/>
        </w:rPr>
      </w:pPr>
      <w:r w:rsidRPr="006F5B1C">
        <w:rPr>
          <w:lang w:val="sr-Latn-ME"/>
        </w:rPr>
        <w:t xml:space="preserve">Crnogorski strateški i pravni okvir za prioritetno područje Podrška poslovanju zasniva se na kombinaciji strateških dokumenata i zakonodavnih rješenja koja uređuju razvoj MSP, industrijsku transformaciju, poslovni ambijent, konkurenciju, državnu pomoć, javne nabavke i pristup finansijama. Ovaj okvir se posljednjih godina </w:t>
      </w:r>
      <w:proofErr w:type="spellStart"/>
      <w:r w:rsidRPr="006F5B1C">
        <w:rPr>
          <w:lang w:val="sr-Latn-ME"/>
        </w:rPr>
        <w:t>postepeno</w:t>
      </w:r>
      <w:proofErr w:type="spellEnd"/>
      <w:r w:rsidRPr="006F5B1C">
        <w:rPr>
          <w:lang w:val="sr-Latn-ME"/>
        </w:rPr>
        <w:t xml:space="preserve"> modernizuje i sve snažnije povezuje sa reformskim prioritetima iz procesa pristupanja Evropskoj uniji, posebno u dijelu </w:t>
      </w:r>
      <w:proofErr w:type="spellStart"/>
      <w:r w:rsidRPr="006F5B1C">
        <w:rPr>
          <w:lang w:val="sr-Latn-ME"/>
        </w:rPr>
        <w:t>unapređenja</w:t>
      </w:r>
      <w:proofErr w:type="spellEnd"/>
      <w:r w:rsidRPr="006F5B1C">
        <w:rPr>
          <w:lang w:val="sr-Latn-ME"/>
        </w:rPr>
        <w:t xml:space="preserve"> konkurentnosti, digitalizacije, zelene tranzicije i regulatornog usklađivanja.</w:t>
      </w:r>
    </w:p>
    <w:p w14:paraId="6767DFBF" w14:textId="6576FD23" w:rsidR="00135B4E" w:rsidRPr="006F5B1C" w:rsidRDefault="0B78DD6F" w:rsidP="00135B4E">
      <w:pPr>
        <w:rPr>
          <w:lang w:val="sr-Latn-ME"/>
        </w:rPr>
      </w:pPr>
      <w:r w:rsidRPr="006F5B1C">
        <w:rPr>
          <w:lang w:val="sr-Latn-ME"/>
        </w:rPr>
        <w:t>Ključni strateški dokumenti uključuju:</w:t>
      </w:r>
    </w:p>
    <w:p w14:paraId="16FF85AB" w14:textId="6A629C2B" w:rsidR="00135B4E" w:rsidRPr="006F5B1C" w:rsidRDefault="0B78DD6F" w:rsidP="00135B4E">
      <w:pPr>
        <w:rPr>
          <w:lang w:val="sr-Latn-ME"/>
        </w:rPr>
      </w:pPr>
      <w:r w:rsidRPr="006F5B1C">
        <w:rPr>
          <w:lang w:val="sr-Latn-ME"/>
        </w:rPr>
        <w:t xml:space="preserve">Strategiju razvoja mikro, malih i srednjih preduzeća 2023–2026 – temeljni dokument politike razvoja MSP, koji identifikuje glavne </w:t>
      </w:r>
      <w:proofErr w:type="spellStart"/>
      <w:r w:rsidRPr="006F5B1C">
        <w:rPr>
          <w:lang w:val="sr-Latn-ME"/>
        </w:rPr>
        <w:t>prepreke</w:t>
      </w:r>
      <w:proofErr w:type="spellEnd"/>
      <w:r w:rsidRPr="006F5B1C">
        <w:rPr>
          <w:lang w:val="sr-Latn-ME"/>
        </w:rPr>
        <w:t xml:space="preserve"> razvoju sektora, uključujući birokratiju, ograničen pristup finansijama, nedovoljnu dostupnost </w:t>
      </w:r>
      <w:proofErr w:type="spellStart"/>
      <w:r w:rsidRPr="006F5B1C">
        <w:rPr>
          <w:lang w:val="sr-Latn-ME"/>
        </w:rPr>
        <w:t>savremenih</w:t>
      </w:r>
      <w:proofErr w:type="spellEnd"/>
      <w:r w:rsidRPr="006F5B1C">
        <w:rPr>
          <w:lang w:val="sr-Latn-ME"/>
        </w:rPr>
        <w:t xml:space="preserve"> tehnologija i slabosti u pristupu tržištima, te definiše tri strateška cilja: unaprijeđen poslovni/regulatorni ambijent i preduzetnički ekosistem, podršku transformaciji i jačanju konkurentnosti MMSP i pristup novim tržištima.</w:t>
      </w:r>
    </w:p>
    <w:p w14:paraId="63B7BE72" w14:textId="109E2B3A" w:rsidR="00135B4E" w:rsidRPr="006F5B1C" w:rsidRDefault="0B78DD6F" w:rsidP="00135B4E">
      <w:pPr>
        <w:rPr>
          <w:lang w:val="sr-Latn-ME"/>
        </w:rPr>
      </w:pPr>
      <w:r w:rsidRPr="006F5B1C">
        <w:rPr>
          <w:lang w:val="sr-Latn-ME"/>
        </w:rPr>
        <w:lastRenderedPageBreak/>
        <w:t>Industrijsku politiku Crne Gore 2024–2028 – dokument koji podršku poslovanju smješta u širi okvir industrijske konkurentnosti i definiše prioritete vezane za digitalnu i zelenu tranziciju industrije, rast investicija i modela finansiranja, inovacije i pristup jedinstvenom tržištu EU.</w:t>
      </w:r>
    </w:p>
    <w:p w14:paraId="1B1206A4" w14:textId="1BD41409" w:rsidR="00135B4E" w:rsidRPr="006F5B1C" w:rsidRDefault="0B78DD6F" w:rsidP="00135B4E">
      <w:pPr>
        <w:rPr>
          <w:lang w:val="sr-Latn-ME"/>
        </w:rPr>
      </w:pPr>
      <w:r w:rsidRPr="006F5B1C">
        <w:rPr>
          <w:lang w:val="sr-Latn-ME"/>
        </w:rPr>
        <w:t xml:space="preserve">Strategiju razvoja ženskog preduzetništva 2025–2028 – dokument kojim se jača </w:t>
      </w:r>
      <w:proofErr w:type="spellStart"/>
      <w:r w:rsidRPr="006F5B1C">
        <w:rPr>
          <w:lang w:val="sr-Latn-ME"/>
        </w:rPr>
        <w:t>inkluzivna</w:t>
      </w:r>
      <w:proofErr w:type="spellEnd"/>
      <w:r w:rsidRPr="006F5B1C">
        <w:rPr>
          <w:lang w:val="sr-Latn-ME"/>
        </w:rPr>
        <w:t xml:space="preserve"> dimenzija poslovne podrške, kroz fokus na veću dostupnost finansijske i </w:t>
      </w:r>
      <w:proofErr w:type="spellStart"/>
      <w:r w:rsidRPr="006F5B1C">
        <w:rPr>
          <w:lang w:val="sr-Latn-ME"/>
        </w:rPr>
        <w:t>nefinansijske</w:t>
      </w:r>
      <w:proofErr w:type="spellEnd"/>
      <w:r w:rsidRPr="006F5B1C">
        <w:rPr>
          <w:lang w:val="sr-Latn-ME"/>
        </w:rPr>
        <w:t xml:space="preserve"> podrške ženama u biznisu. Strategija navodi da su žene 2024. godine činile nešto više od četvrtine vlasnika MMSP u Crnoj Gori.</w:t>
      </w:r>
    </w:p>
    <w:p w14:paraId="1D957249" w14:textId="70B617AD" w:rsidR="00135B4E" w:rsidRPr="006F5B1C" w:rsidRDefault="0B78DD6F" w:rsidP="00135B4E">
      <w:pPr>
        <w:rPr>
          <w:lang w:val="sr-Latn-ME"/>
        </w:rPr>
      </w:pPr>
      <w:r w:rsidRPr="006F5B1C">
        <w:rPr>
          <w:lang w:val="sr-Latn-ME"/>
        </w:rPr>
        <w:t xml:space="preserve">Nacionalnu strategiju cirkularne tranzicije do 2030. godine – dokument koji poslovnu podršku povezuje sa </w:t>
      </w:r>
      <w:proofErr w:type="spellStart"/>
      <w:r w:rsidRPr="006F5B1C">
        <w:rPr>
          <w:lang w:val="sr-Latn-ME"/>
        </w:rPr>
        <w:t>resursnom</w:t>
      </w:r>
      <w:proofErr w:type="spellEnd"/>
      <w:r w:rsidRPr="006F5B1C">
        <w:rPr>
          <w:lang w:val="sr-Latn-ME"/>
        </w:rPr>
        <w:t xml:space="preserve"> efikasnošću, diverzifikacijom, inovacijama i zelenom transformacijom, uz posebno prepoznavanje MSP kao važnog aktera cirkularne tranzicije.</w:t>
      </w:r>
    </w:p>
    <w:p w14:paraId="094E108C" w14:textId="187606F3" w:rsidR="00135B4E" w:rsidRPr="006F5B1C" w:rsidRDefault="0B78DD6F" w:rsidP="00135B4E">
      <w:pPr>
        <w:rPr>
          <w:lang w:val="sr-Latn-ME"/>
        </w:rPr>
      </w:pPr>
      <w:r w:rsidRPr="006F5B1C">
        <w:rPr>
          <w:lang w:val="sr-Latn-ME"/>
        </w:rPr>
        <w:t xml:space="preserve">Strategiju regionalnog razvoja Crne Gore 2023–2027 – važnu za teritorijalnu dimenziju podrške poslovanju, jer konkurentnost regiona povezuje sa </w:t>
      </w:r>
      <w:proofErr w:type="spellStart"/>
      <w:r w:rsidRPr="006F5B1C">
        <w:rPr>
          <w:lang w:val="sr-Latn-ME"/>
        </w:rPr>
        <w:t>unapređenjem</w:t>
      </w:r>
      <w:proofErr w:type="spellEnd"/>
      <w:r w:rsidRPr="006F5B1C">
        <w:rPr>
          <w:lang w:val="sr-Latn-ME"/>
        </w:rPr>
        <w:t xml:space="preserve"> infrastrukture, poboljšanjem poslovnog ambijenta i razvojem sektora sa potencijalom rasta.</w:t>
      </w:r>
    </w:p>
    <w:p w14:paraId="12DD7CEA" w14:textId="4F611A07" w:rsidR="00135B4E" w:rsidRPr="006F5B1C" w:rsidRDefault="0B78DD6F" w:rsidP="00135B4E">
      <w:pPr>
        <w:rPr>
          <w:lang w:val="sr-Latn-ME"/>
        </w:rPr>
      </w:pPr>
      <w:r w:rsidRPr="006F5B1C">
        <w:rPr>
          <w:lang w:val="sr-Latn-ME"/>
        </w:rPr>
        <w:t xml:space="preserve">Program ekonomskih reformi 2026–2028 i Reformsku agendu Crne Gore 2024–2027 – dokumente koji podršku poslovanju stavljaju u širi okvir ekonomskog rasta, investicionog okruženja i reformi poslovnog ambijenta, sa posebnim fokusom na uklanjanje regulatornih barijera, </w:t>
      </w:r>
      <w:proofErr w:type="spellStart"/>
      <w:r w:rsidRPr="006F5B1C">
        <w:rPr>
          <w:lang w:val="sr-Latn-ME"/>
        </w:rPr>
        <w:t>unapređenje</w:t>
      </w:r>
      <w:proofErr w:type="spellEnd"/>
      <w:r w:rsidRPr="006F5B1C">
        <w:rPr>
          <w:lang w:val="sr-Latn-ME"/>
        </w:rPr>
        <w:t xml:space="preserve"> konkurencije, državne pomoći, javnih nabavki, inspekcijskog nadzora i inovacionog ekosistema.</w:t>
      </w:r>
    </w:p>
    <w:p w14:paraId="56536554" w14:textId="2614DEBE" w:rsidR="00F07F60" w:rsidRPr="006F5B1C" w:rsidRDefault="00F07F60" w:rsidP="00135B4E">
      <w:pPr>
        <w:rPr>
          <w:lang w:val="sr-Latn-ME"/>
        </w:rPr>
      </w:pPr>
      <w:r w:rsidRPr="006F5B1C">
        <w:rPr>
          <w:lang w:val="sr-Latn-ME"/>
        </w:rPr>
        <w:t>Fiskalna strategija Crne Gore</w:t>
      </w:r>
      <w:r w:rsidR="0045374E" w:rsidRPr="006F5B1C">
        <w:rPr>
          <w:lang w:val="sr-Latn-ME"/>
        </w:rPr>
        <w:t xml:space="preserve"> za period 2024–2027 -</w:t>
      </w:r>
      <w:r w:rsidRPr="006F5B1C">
        <w:rPr>
          <w:lang w:val="sr-Latn-ME"/>
        </w:rPr>
        <w:t xml:space="preserve"> ključni horizontalni dokument srednjoročne ekonomske i fiskalne politike, kojim se definišu mjere za očuvanje fiskalne održivosti, kontrolu javne potrošnje, </w:t>
      </w:r>
      <w:proofErr w:type="spellStart"/>
      <w:r w:rsidRPr="006F5B1C">
        <w:rPr>
          <w:lang w:val="sr-Latn-ME"/>
        </w:rPr>
        <w:t>unapređenje</w:t>
      </w:r>
      <w:proofErr w:type="spellEnd"/>
      <w:r w:rsidRPr="006F5B1C">
        <w:rPr>
          <w:lang w:val="sr-Latn-ME"/>
        </w:rPr>
        <w:t xml:space="preserve"> naplate prihoda, modernizaciju poreske administracije, smanjenje neformalne ekonomije i odgovorno upravljanje javnim dugom. Njena relevantnost za SPD ogleda se u </w:t>
      </w:r>
      <w:proofErr w:type="spellStart"/>
      <w:r w:rsidRPr="006F5B1C">
        <w:rPr>
          <w:lang w:val="sr-Latn-ME"/>
        </w:rPr>
        <w:t>obezbjeđivanju</w:t>
      </w:r>
      <w:proofErr w:type="spellEnd"/>
      <w:r w:rsidRPr="006F5B1C">
        <w:rPr>
          <w:lang w:val="sr-Latn-ME"/>
        </w:rPr>
        <w:t xml:space="preserve"> stabilnog fiskalnog okvira za sprovođenje reformi, javnih investicija i razvojnih prioriteta.</w:t>
      </w:r>
    </w:p>
    <w:p w14:paraId="296BEF6E" w14:textId="48408107" w:rsidR="00135B4E" w:rsidRPr="006F5B1C" w:rsidRDefault="001B112A" w:rsidP="00135B4E">
      <w:pPr>
        <w:rPr>
          <w:lang w:val="sr-Latn-ME"/>
        </w:rPr>
      </w:pPr>
      <w:r w:rsidRPr="006F5B1C">
        <w:rPr>
          <w:lang w:val="sr-Latn-ME"/>
        </w:rPr>
        <w:t>Nacional</w:t>
      </w:r>
      <w:r w:rsidR="0071575B" w:rsidRPr="006F5B1C">
        <w:rPr>
          <w:lang w:val="sr-Latn-ME"/>
        </w:rPr>
        <w:t>ni okvir za ovu prioritetnu oblast</w:t>
      </w:r>
      <w:r w:rsidRPr="006F5B1C">
        <w:rPr>
          <w:lang w:val="sr-Latn-ME"/>
        </w:rPr>
        <w:t xml:space="preserve"> dodatno se može sagledati i kroz novije strateške dokumente koji jačaju njegovu </w:t>
      </w:r>
      <w:proofErr w:type="spellStart"/>
      <w:r w:rsidRPr="006F5B1C">
        <w:rPr>
          <w:lang w:val="sr-Latn-ME"/>
        </w:rPr>
        <w:t>inkluzivnu</w:t>
      </w:r>
      <w:proofErr w:type="spellEnd"/>
      <w:r w:rsidRPr="006F5B1C">
        <w:rPr>
          <w:lang w:val="sr-Latn-ME"/>
        </w:rPr>
        <w:t>, zelenu i transformacionu dimenziju. Strategija razvoja socijalne</w:t>
      </w:r>
      <w:r w:rsidR="0071575B" w:rsidRPr="006F5B1C">
        <w:rPr>
          <w:lang w:val="sr-Latn-ME"/>
        </w:rPr>
        <w:t xml:space="preserve"> i solidarne</w:t>
      </w:r>
      <w:r w:rsidRPr="006F5B1C">
        <w:rPr>
          <w:lang w:val="sr-Latn-ME"/>
        </w:rPr>
        <w:t xml:space="preserve"> ekonomije, usvojena krajem 2025. godine, relevantna je za razvoj socijalnog preduzetništva, </w:t>
      </w:r>
      <w:proofErr w:type="spellStart"/>
      <w:r w:rsidRPr="006F5B1C">
        <w:rPr>
          <w:lang w:val="sr-Latn-ME"/>
        </w:rPr>
        <w:t>inkluzivnog</w:t>
      </w:r>
      <w:proofErr w:type="spellEnd"/>
      <w:r w:rsidRPr="006F5B1C">
        <w:rPr>
          <w:lang w:val="sr-Latn-ME"/>
        </w:rPr>
        <w:t xml:space="preserve"> zapošljavanja i poslovnih modela koji kombinuju ekonomsku i društvenu vrijednost. Istovremeno, dokumenti</w:t>
      </w:r>
      <w:r w:rsidR="0071575B" w:rsidRPr="006F5B1C">
        <w:rPr>
          <w:lang w:val="sr-Latn-ME"/>
        </w:rPr>
        <w:t>, poput Programa razvoja zelenog vodonika sa akcionim planom 2026-2028,</w:t>
      </w:r>
      <w:r w:rsidRPr="006F5B1C">
        <w:rPr>
          <w:lang w:val="sr-Latn-ME"/>
        </w:rPr>
        <w:t xml:space="preserve"> koji se odnose na razvoj zelenog vodonika, obnovljivih izvora energije i čistih tehnologija važni su za stvaranje novih lanaca vrijednosti i poslovnih prilika u procesu </w:t>
      </w:r>
      <w:proofErr w:type="spellStart"/>
      <w:r w:rsidRPr="006F5B1C">
        <w:rPr>
          <w:lang w:val="sr-Latn-ME"/>
        </w:rPr>
        <w:t>dekarbonizacije</w:t>
      </w:r>
      <w:proofErr w:type="spellEnd"/>
      <w:r w:rsidRPr="006F5B1C">
        <w:rPr>
          <w:lang w:val="sr-Latn-ME"/>
        </w:rPr>
        <w:t xml:space="preserve"> privrede. Nacionalni energetski i klimatski plan, kao i lokalni akcioni planovi za održivu energiju i klimu, doprinose usmjeravanju investicija ka energetskoj efikasnosti, smanjenju emisija i klimatskoj otpornosti. U istom pravcu, Mapa puta za razvoj cirkularne ekonomije, zajedno sa Nacionalnom strategijom cirkularne tranzicije do 2030. godine, dodatno operacionalizuje prelazak ka </w:t>
      </w:r>
      <w:proofErr w:type="spellStart"/>
      <w:r w:rsidRPr="006F5B1C">
        <w:rPr>
          <w:lang w:val="sr-Latn-ME"/>
        </w:rPr>
        <w:t>resursno</w:t>
      </w:r>
      <w:proofErr w:type="spellEnd"/>
      <w:r w:rsidRPr="006F5B1C">
        <w:rPr>
          <w:lang w:val="sr-Latn-ME"/>
        </w:rPr>
        <w:t xml:space="preserve"> efikasnijim i cirkularnim poslovnim </w:t>
      </w:r>
      <w:proofErr w:type="spellStart"/>
      <w:r w:rsidRPr="006F5B1C">
        <w:rPr>
          <w:lang w:val="sr-Latn-ME"/>
        </w:rPr>
        <w:t>modelima.</w:t>
      </w:r>
      <w:r w:rsidR="0B78DD6F" w:rsidRPr="006F5B1C">
        <w:rPr>
          <w:lang w:val="sr-Latn-ME"/>
        </w:rPr>
        <w:t>Ključni</w:t>
      </w:r>
      <w:proofErr w:type="spellEnd"/>
      <w:r w:rsidR="0B78DD6F" w:rsidRPr="006F5B1C">
        <w:rPr>
          <w:lang w:val="sr-Latn-ME"/>
        </w:rPr>
        <w:t xml:space="preserve"> zakoni u ovoj oblasti uključuju:</w:t>
      </w:r>
    </w:p>
    <w:p w14:paraId="2CCD10F9" w14:textId="42B84445" w:rsidR="00135B4E" w:rsidRPr="006F5B1C" w:rsidRDefault="0B78DD6F" w:rsidP="00135B4E">
      <w:pPr>
        <w:rPr>
          <w:lang w:val="sr-Latn-ME"/>
        </w:rPr>
      </w:pPr>
      <w:r w:rsidRPr="006F5B1C">
        <w:rPr>
          <w:lang w:val="sr-Latn-ME"/>
        </w:rPr>
        <w:lastRenderedPageBreak/>
        <w:t xml:space="preserve">Zakon o privrednim društvima – </w:t>
      </w:r>
      <w:r w:rsidR="00D32B4B" w:rsidRPr="006F5B1C">
        <w:rPr>
          <w:lang w:val="sr-Latn-ME"/>
        </w:rPr>
        <w:t>predstavlja osnovni sistemski zakon privrednog prava u Crnoj Gori</w:t>
      </w:r>
      <w:r w:rsidRPr="006F5B1C">
        <w:rPr>
          <w:lang w:val="sr-Latn-ME"/>
        </w:rPr>
        <w:t>, kojim se uređuju osnivanje, upravljanje,</w:t>
      </w:r>
      <w:r w:rsidR="00D32B4B" w:rsidRPr="006F5B1C">
        <w:rPr>
          <w:lang w:val="sr-Latn-ME"/>
        </w:rPr>
        <w:t xml:space="preserve"> restrukturiranje,</w:t>
      </w:r>
      <w:r w:rsidRPr="006F5B1C">
        <w:rPr>
          <w:lang w:val="sr-Latn-ME"/>
        </w:rPr>
        <w:t xml:space="preserve"> prestanak </w:t>
      </w:r>
      <w:r w:rsidR="00D32B4B" w:rsidRPr="006F5B1C">
        <w:rPr>
          <w:lang w:val="sr-Latn-ME"/>
        </w:rPr>
        <w:t xml:space="preserve">i druga pitanja od značaja za rad </w:t>
      </w:r>
      <w:r w:rsidRPr="006F5B1C">
        <w:rPr>
          <w:lang w:val="sr-Latn-ME"/>
        </w:rPr>
        <w:t>privrednih društava</w:t>
      </w:r>
      <w:r w:rsidR="00D32B4B" w:rsidRPr="006F5B1C">
        <w:rPr>
          <w:lang w:val="sr-Latn-ME"/>
        </w:rPr>
        <w:t>, preduzetnika i dijela stranog privrednog društva</w:t>
      </w:r>
      <w:r w:rsidRPr="006F5B1C">
        <w:rPr>
          <w:lang w:val="sr-Latn-ME"/>
        </w:rPr>
        <w:t>. Novi zakon, koji se primjenjuje od 1. januara 2026. godine</w:t>
      </w:r>
      <w:r w:rsidR="00D32B4B" w:rsidRPr="006F5B1C">
        <w:rPr>
          <w:lang w:val="sr-Latn-ME"/>
        </w:rPr>
        <w:t xml:space="preserve"> u potpunosti je usklađen sa kompanijskim pravom Evropske unije i</w:t>
      </w:r>
      <w:r w:rsidRPr="006F5B1C">
        <w:rPr>
          <w:lang w:val="sr-Latn-ME"/>
        </w:rPr>
        <w:t xml:space="preserve"> predstavlja važan korak u modernizaciji kompanijskog prava </w:t>
      </w:r>
      <w:r w:rsidR="00D32B4B" w:rsidRPr="006F5B1C">
        <w:rPr>
          <w:lang w:val="sr-Latn-ME"/>
        </w:rPr>
        <w:t>u Crnoj Gori kao</w:t>
      </w:r>
      <w:r w:rsidRPr="006F5B1C">
        <w:rPr>
          <w:lang w:val="sr-Latn-ME"/>
        </w:rPr>
        <w:t xml:space="preserve"> dio okvira relevantnog za PP6 – Privredno pravo.</w:t>
      </w:r>
    </w:p>
    <w:p w14:paraId="5210FB45" w14:textId="0D9A9ED5" w:rsidR="00135B4E" w:rsidRPr="006F5B1C" w:rsidRDefault="0B78DD6F" w:rsidP="00135B4E">
      <w:pPr>
        <w:rPr>
          <w:lang w:val="sr-Latn-ME"/>
        </w:rPr>
      </w:pPr>
      <w:r w:rsidRPr="006F5B1C">
        <w:rPr>
          <w:lang w:val="sr-Latn-ME"/>
        </w:rPr>
        <w:t xml:space="preserve">Zakon o registraciji poslovnih i drugih subjekata – komplementaran Zakonu o privrednim društvima, jer uređuje registraciju poslovnih subjekata i stvara pretpostavke za jednostavnije, transparentnije i </w:t>
      </w:r>
      <w:proofErr w:type="spellStart"/>
      <w:r w:rsidRPr="006F5B1C">
        <w:rPr>
          <w:lang w:val="sr-Latn-ME"/>
        </w:rPr>
        <w:t>digitalizovanije</w:t>
      </w:r>
      <w:proofErr w:type="spellEnd"/>
      <w:r w:rsidRPr="006F5B1C">
        <w:rPr>
          <w:lang w:val="sr-Latn-ME"/>
        </w:rPr>
        <w:t xml:space="preserve"> procedure registracije [22]. U dokumentima za pododbor sa EU navodi se da su radi njegove primjene usvojene i povezane izmjene više drugih propisa.</w:t>
      </w:r>
    </w:p>
    <w:p w14:paraId="70846599" w14:textId="6EDC64FA" w:rsidR="00135B4E" w:rsidRPr="006F5B1C" w:rsidRDefault="0B78DD6F" w:rsidP="00135B4E">
      <w:pPr>
        <w:rPr>
          <w:lang w:val="sr-Latn-ME"/>
        </w:rPr>
      </w:pPr>
      <w:r w:rsidRPr="006F5B1C">
        <w:rPr>
          <w:lang w:val="sr-Latn-ME"/>
        </w:rPr>
        <w:t xml:space="preserve">Zakon o zanatstvu – </w:t>
      </w:r>
      <w:r w:rsidR="00412E88" w:rsidRPr="006F5B1C">
        <w:rPr>
          <w:lang w:val="sr-Latn-ME"/>
        </w:rPr>
        <w:t>kojim se uređuju uslovi za obavljanje zanatske djelatnosti i druga pitanja od značaja za zanatsku djelatnost</w:t>
      </w:r>
      <w:r w:rsidR="00312E6D" w:rsidRPr="006F5B1C">
        <w:rPr>
          <w:lang w:val="sr-Latn-ME"/>
        </w:rPr>
        <w:t>,</w:t>
      </w:r>
      <w:r w:rsidR="00412E88" w:rsidRPr="006F5B1C">
        <w:rPr>
          <w:lang w:val="sr-Latn-ME"/>
        </w:rPr>
        <w:t xml:space="preserve"> a koji je, posebno </w:t>
      </w:r>
      <w:r w:rsidRPr="006F5B1C">
        <w:rPr>
          <w:lang w:val="sr-Latn-ME"/>
        </w:rPr>
        <w:t xml:space="preserve">relevantan za segment malog preduzetništva, samozapošljavanja i tradicionalnih </w:t>
      </w:r>
      <w:r w:rsidR="00412E88" w:rsidRPr="006F5B1C">
        <w:rPr>
          <w:lang w:val="sr-Latn-ME"/>
        </w:rPr>
        <w:t xml:space="preserve">zanata </w:t>
      </w:r>
      <w:r w:rsidRPr="006F5B1C">
        <w:rPr>
          <w:strike/>
          <w:lang w:val="sr-Latn-ME"/>
        </w:rPr>
        <w:t>djelatnosti,</w:t>
      </w:r>
      <w:r w:rsidRPr="006F5B1C">
        <w:rPr>
          <w:lang w:val="sr-Latn-ME"/>
        </w:rPr>
        <w:t xml:space="preserve"> posebno u dijelu formalizacije </w:t>
      </w:r>
      <w:r w:rsidR="00412E88" w:rsidRPr="006F5B1C">
        <w:rPr>
          <w:lang w:val="sr-Latn-ME"/>
        </w:rPr>
        <w:t xml:space="preserve">poslovanja </w:t>
      </w:r>
      <w:r w:rsidRPr="006F5B1C">
        <w:rPr>
          <w:strike/>
          <w:lang w:val="sr-Latn-ME"/>
        </w:rPr>
        <w:t>i uslova za obavljanje uslužnih djelatnosti</w:t>
      </w:r>
      <w:r w:rsidRPr="006F5B1C">
        <w:rPr>
          <w:lang w:val="sr-Latn-ME"/>
        </w:rPr>
        <w:t>; u funkcionalnom smislu vezuje se za PP3 – Pravo osnivanja preduzeća i sloboda pružanja usluga.</w:t>
      </w:r>
    </w:p>
    <w:p w14:paraId="223A8F20" w14:textId="5BF30751" w:rsidR="00135B4E" w:rsidRPr="006F5B1C" w:rsidRDefault="0B78DD6F" w:rsidP="00135B4E">
      <w:pPr>
        <w:rPr>
          <w:lang w:val="sr-Latn-ME"/>
        </w:rPr>
      </w:pPr>
      <w:r w:rsidRPr="006F5B1C">
        <w:rPr>
          <w:lang w:val="sr-Latn-ME"/>
        </w:rPr>
        <w:t xml:space="preserve">Zakon o Kreditno-garantnom fondu Crne Gore – važan za oblast pristupa finansijama, jer uspostavlja pravni osnov za osnivanje Kreditno-garantnog fonda kao posebne institucije za </w:t>
      </w:r>
      <w:proofErr w:type="spellStart"/>
      <w:r w:rsidRPr="006F5B1C">
        <w:rPr>
          <w:lang w:val="sr-Latn-ME"/>
        </w:rPr>
        <w:t>unapređenje</w:t>
      </w:r>
      <w:proofErr w:type="spellEnd"/>
      <w:r w:rsidRPr="006F5B1C">
        <w:rPr>
          <w:lang w:val="sr-Latn-ME"/>
        </w:rPr>
        <w:t xml:space="preserve"> pristupa finansiranju preduzetnika, mikro, malih i srednjih preduzeća.</w:t>
      </w:r>
    </w:p>
    <w:p w14:paraId="3B9191DF" w14:textId="444DAC76" w:rsidR="00135B4E" w:rsidRPr="006F5B1C" w:rsidRDefault="0B78DD6F" w:rsidP="00135B4E">
      <w:pPr>
        <w:rPr>
          <w:lang w:val="sr-Latn-ME"/>
        </w:rPr>
      </w:pPr>
      <w:r w:rsidRPr="006F5B1C">
        <w:rPr>
          <w:lang w:val="sr-Latn-ME"/>
        </w:rPr>
        <w:t xml:space="preserve">Zakon o zaštiti konkurencije – ključni propis za </w:t>
      </w:r>
      <w:proofErr w:type="spellStart"/>
      <w:r w:rsidRPr="006F5B1C">
        <w:rPr>
          <w:lang w:val="sr-Latn-ME"/>
        </w:rPr>
        <w:t>obezbjeđivanje</w:t>
      </w:r>
      <w:proofErr w:type="spellEnd"/>
      <w:r w:rsidRPr="006F5B1C">
        <w:rPr>
          <w:lang w:val="sr-Latn-ME"/>
        </w:rPr>
        <w:t xml:space="preserve"> fer tržišne utakmice i </w:t>
      </w:r>
      <w:proofErr w:type="spellStart"/>
      <w:r w:rsidRPr="006F5B1C">
        <w:rPr>
          <w:lang w:val="sr-Latn-ME"/>
        </w:rPr>
        <w:t>sprečavanje</w:t>
      </w:r>
      <w:proofErr w:type="spellEnd"/>
      <w:r w:rsidRPr="006F5B1C">
        <w:rPr>
          <w:lang w:val="sr-Latn-ME"/>
        </w:rPr>
        <w:t xml:space="preserve"> zabranjenih sporazuma, zloupotrebe dominantnog položaja i nedozvoljenih koncentracija. U dokumentima za Pododbor EU–Crna Gora navodi se da su pripremljene dalje izmjene radi pune harmonizacije sa </w:t>
      </w:r>
      <w:proofErr w:type="spellStart"/>
      <w:r w:rsidRPr="006F5B1C">
        <w:rPr>
          <w:lang w:val="sr-Latn-ME"/>
        </w:rPr>
        <w:t>acquis</w:t>
      </w:r>
      <w:proofErr w:type="spellEnd"/>
      <w:r w:rsidRPr="006F5B1C">
        <w:rPr>
          <w:lang w:val="sr-Latn-ME"/>
        </w:rPr>
        <w:t>-em EU i jačanja ovlašćenja Agencije za zaštitu konkurencije; zakon je neposredno relevantan za PP8 – Konkurencija.</w:t>
      </w:r>
    </w:p>
    <w:p w14:paraId="5A95EA48" w14:textId="21ABEACA" w:rsidR="00135B4E" w:rsidRPr="006F5B1C" w:rsidRDefault="0B78DD6F" w:rsidP="00135B4E">
      <w:pPr>
        <w:rPr>
          <w:lang w:val="sr-Latn-ME"/>
        </w:rPr>
      </w:pPr>
      <w:r w:rsidRPr="006F5B1C">
        <w:rPr>
          <w:lang w:val="sr-Latn-ME"/>
        </w:rPr>
        <w:t>Zakon o kontroli državne pomoći – jedan od ključnih novijih propisa za poslovni ambijent i javnu podršku privredi, kojim se uspostavlja transparentan sistem državne pomoći usklađen sa pravilima EU. U materijalima za pododbor istaknuto je da je novi zakon uspostavio sveobuhvatan zakonodavni okvir, a da je većina potrebnih podzakonskih akata već usvojena i objavljena; i ovaj zakon je neposredno relevantan za PP8 – Konkurencija.</w:t>
      </w:r>
    </w:p>
    <w:p w14:paraId="4449B6EE" w14:textId="309A4231" w:rsidR="00135B4E" w:rsidRPr="006F5B1C" w:rsidRDefault="0B78DD6F" w:rsidP="00135B4E">
      <w:pPr>
        <w:rPr>
          <w:lang w:val="sr-Latn-ME"/>
        </w:rPr>
      </w:pPr>
      <w:r w:rsidRPr="006F5B1C">
        <w:rPr>
          <w:lang w:val="sr-Latn-ME"/>
        </w:rPr>
        <w:t>Zakon o unutrašnjoj trgovini, uključujući Zakon o izmjenama i dopunama Zakona o unutrašnjoj trgovini („Službeni list Crne Gore“, br. 21/2026) – važan je za uređivanje uslova obavljanja trgovinske djelatnosti i poslovanja na domaćem tržištu, te je funkcionalno relevantan za PP3 – Pravo osnivanja preduzeća i sloboda pružanja usluga.</w:t>
      </w:r>
    </w:p>
    <w:p w14:paraId="5AFB9C14" w14:textId="7AA0C755" w:rsidR="00135B4E" w:rsidRPr="006F5B1C" w:rsidRDefault="0B78DD6F" w:rsidP="00135B4E">
      <w:pPr>
        <w:rPr>
          <w:lang w:val="sr-Latn-ME"/>
        </w:rPr>
      </w:pPr>
      <w:r w:rsidRPr="006F5B1C">
        <w:rPr>
          <w:lang w:val="sr-Latn-ME"/>
        </w:rPr>
        <w:t xml:space="preserve">Zakon o javnim nabavkama – važan za transparentno i konkurentno korišćenje javnih sredstava, kao i za ravnopravan pristup privrednih subjekata javnom tržištu. U izvještajima za sastanke sa EU naglašeno je dalje </w:t>
      </w:r>
      <w:proofErr w:type="spellStart"/>
      <w:r w:rsidRPr="006F5B1C">
        <w:rPr>
          <w:lang w:val="sr-Latn-ME"/>
        </w:rPr>
        <w:t>unapređenje</w:t>
      </w:r>
      <w:proofErr w:type="spellEnd"/>
      <w:r w:rsidRPr="006F5B1C">
        <w:rPr>
          <w:lang w:val="sr-Latn-ME"/>
        </w:rPr>
        <w:t xml:space="preserve"> elektronskog sistema javnih nabavki i </w:t>
      </w:r>
      <w:proofErr w:type="spellStart"/>
      <w:r w:rsidRPr="006F5B1C">
        <w:rPr>
          <w:lang w:val="sr-Latn-ME"/>
        </w:rPr>
        <w:t>antikorupcijskih</w:t>
      </w:r>
      <w:proofErr w:type="spellEnd"/>
      <w:r w:rsidRPr="006F5B1C">
        <w:rPr>
          <w:lang w:val="sr-Latn-ME"/>
        </w:rPr>
        <w:t xml:space="preserve"> mehanizama, uključujući Etički kodeks u javnim nabavkama.</w:t>
      </w:r>
    </w:p>
    <w:p w14:paraId="019FA062" w14:textId="050C1460" w:rsidR="00135B4E" w:rsidRPr="006F5B1C" w:rsidRDefault="0B78DD6F" w:rsidP="00135B4E">
      <w:pPr>
        <w:rPr>
          <w:lang w:val="sr-Latn-ME"/>
        </w:rPr>
      </w:pPr>
      <w:r w:rsidRPr="006F5B1C">
        <w:rPr>
          <w:lang w:val="sr-Latn-ME"/>
        </w:rPr>
        <w:lastRenderedPageBreak/>
        <w:t xml:space="preserve">Zakon o Razvojnoj banci Crne Gore – relevantan za oblast razvojne finansijske podrške privredi, uključujući instrumente vezane za izvoznu podršku i finansiranje razvoja preduzeća. </w:t>
      </w:r>
    </w:p>
    <w:p w14:paraId="69133D5B" w14:textId="7B38241B" w:rsidR="00A73D1B" w:rsidRPr="006F5B1C" w:rsidRDefault="00135B4E" w:rsidP="00135B4E">
      <w:pPr>
        <w:rPr>
          <w:lang w:val="sr-Latn-ME"/>
        </w:rPr>
      </w:pPr>
      <w:r w:rsidRPr="006F5B1C">
        <w:rPr>
          <w:lang w:val="sr-Latn-ME"/>
        </w:rPr>
        <w:t xml:space="preserve">Ukupno posmatrano, crnogorski strateški i pravni okvir za podršku poslovanju već je relativno široko postavljen i sve više se usmjerava ka </w:t>
      </w:r>
      <w:proofErr w:type="spellStart"/>
      <w:r w:rsidRPr="006F5B1C">
        <w:rPr>
          <w:lang w:val="sr-Latn-ME"/>
        </w:rPr>
        <w:t>savremenom</w:t>
      </w:r>
      <w:proofErr w:type="spellEnd"/>
      <w:r w:rsidRPr="006F5B1C">
        <w:rPr>
          <w:lang w:val="sr-Latn-ME"/>
        </w:rPr>
        <w:t xml:space="preserve"> modelu poslovne podrške, koji ne obuhvata samo administrativno rasterećenje i podsticajne mjere, već i konkurentnost, digitalizaciju, zelenu tranziciju, tržišnu disciplinu i institucionalnu usklađenost sa pr</w:t>
      </w:r>
      <w:r w:rsidR="000D7037" w:rsidRPr="006F5B1C">
        <w:rPr>
          <w:lang w:val="sr-Latn-ME"/>
        </w:rPr>
        <w:t>avilima Evropske unije</w:t>
      </w:r>
      <w:r w:rsidRPr="006F5B1C">
        <w:rPr>
          <w:lang w:val="sr-Latn-ME"/>
        </w:rPr>
        <w:t>.</w:t>
      </w:r>
    </w:p>
    <w:p w14:paraId="42164ED2" w14:textId="321FD4A6" w:rsidR="00F579F5" w:rsidRPr="006F5B1C" w:rsidRDefault="00F579F5" w:rsidP="00F579F5">
      <w:pPr>
        <w:pStyle w:val="Naslov3"/>
        <w:rPr>
          <w:lang w:val="sr-Latn-ME"/>
        </w:rPr>
      </w:pPr>
      <w:proofErr w:type="spellStart"/>
      <w:r w:rsidRPr="006F5B1C">
        <w:rPr>
          <w:lang w:val="sr-Latn-ME"/>
        </w:rPr>
        <w:t>Planirane</w:t>
      </w:r>
      <w:r w:rsidR="0045374E" w:rsidRPr="006F5B1C">
        <w:rPr>
          <w:lang w:val="sr-Latn-ME"/>
        </w:rPr>
        <w:t>,</w:t>
      </w:r>
      <w:r w:rsidRPr="006F5B1C">
        <w:rPr>
          <w:lang w:val="sr-Latn-ME"/>
        </w:rPr>
        <w:t>trenutne</w:t>
      </w:r>
      <w:proofErr w:type="spellEnd"/>
      <w:r w:rsidRPr="006F5B1C">
        <w:rPr>
          <w:lang w:val="sr-Latn-ME"/>
        </w:rPr>
        <w:t xml:space="preserve"> reforme</w:t>
      </w:r>
      <w:r w:rsidR="0045374E" w:rsidRPr="006F5B1C">
        <w:rPr>
          <w:lang w:val="sr-Latn-ME"/>
        </w:rPr>
        <w:t xml:space="preserve"> i investicije</w:t>
      </w:r>
    </w:p>
    <w:p w14:paraId="15E257CA" w14:textId="5A8C4E05" w:rsidR="00B04703" w:rsidRPr="006F5B1C" w:rsidRDefault="00B04703" w:rsidP="00B04703">
      <w:pPr>
        <w:rPr>
          <w:lang w:val="sr-Latn-ME"/>
        </w:rPr>
      </w:pPr>
      <w:r w:rsidRPr="006F5B1C">
        <w:rPr>
          <w:lang w:val="sr-Latn-ME"/>
        </w:rPr>
        <w:t xml:space="preserve">Planirane i tekuće reforme u okviru prioritetnog područja Podrška poslovanju najjasnije su definisane kroz Reformsku agendu Crne Gore 2024–2027, dok njihovu makroekonomsku i fiskalnu </w:t>
      </w:r>
      <w:proofErr w:type="spellStart"/>
      <w:r w:rsidRPr="006F5B1C">
        <w:rPr>
          <w:lang w:val="sr-Latn-ME"/>
        </w:rPr>
        <w:t>uvezanost</w:t>
      </w:r>
      <w:proofErr w:type="spellEnd"/>
      <w:r w:rsidRPr="006F5B1C">
        <w:rPr>
          <w:lang w:val="sr-Latn-ME"/>
        </w:rPr>
        <w:t xml:space="preserve"> potvrđuje Program eko</w:t>
      </w:r>
      <w:r w:rsidR="000D7037" w:rsidRPr="006F5B1C">
        <w:rPr>
          <w:lang w:val="sr-Latn-ME"/>
        </w:rPr>
        <w:t>nomskih reformi 2026–2028</w:t>
      </w:r>
      <w:r w:rsidRPr="006F5B1C">
        <w:rPr>
          <w:lang w:val="sr-Latn-ME"/>
        </w:rPr>
        <w:t xml:space="preserve">. Reformska agenda u okviru Oblasti politike 1: Poslovno okruženje i razvoj privatnog sektora posebno izdvaja reforme relevantne za ovu oblast: 1.1.2 Revizija procesa javnih nabavki i politika državne pomoći, 1.1.3 Uklanjanje regulatornih barijera i olakšavanje poslovanja, 1.1.4 Poboljšanje elektronskog katastra i prostornog planiranja, 1.1.5 Reforma inspekcijskih službi i 1.2.2 Dalji razvoj ekosistema istraživanja i inovacija za </w:t>
      </w:r>
      <w:r w:rsidR="000D7037" w:rsidRPr="006F5B1C">
        <w:rPr>
          <w:lang w:val="sr-Latn-ME"/>
        </w:rPr>
        <w:t>ekonomiju zasnovanu na znanju</w:t>
      </w:r>
      <w:r w:rsidRPr="006F5B1C">
        <w:rPr>
          <w:lang w:val="sr-Latn-ME"/>
        </w:rPr>
        <w:t>.</w:t>
      </w:r>
    </w:p>
    <w:p w14:paraId="0C0CB64A" w14:textId="4BC9AC57" w:rsidR="00B04703" w:rsidRPr="006F5B1C" w:rsidRDefault="00B04703" w:rsidP="00B04703">
      <w:pPr>
        <w:rPr>
          <w:lang w:val="sr-Latn-ME"/>
        </w:rPr>
      </w:pPr>
      <w:r w:rsidRPr="006F5B1C">
        <w:rPr>
          <w:lang w:val="sr-Latn-ME"/>
        </w:rPr>
        <w:t xml:space="preserve">Za prioritetno područje Podrška poslovanju najdirektniji značaj imaju reforme 1.1.3, 1.1.4, 1.1.5 i 1.2.2. One su usmjerene na pojednostavljenje procedura i uklanjanje poslovnih barijera, </w:t>
      </w:r>
      <w:proofErr w:type="spellStart"/>
      <w:r w:rsidRPr="006F5B1C">
        <w:rPr>
          <w:lang w:val="sr-Latn-ME"/>
        </w:rPr>
        <w:t>unapređenje</w:t>
      </w:r>
      <w:proofErr w:type="spellEnd"/>
      <w:r w:rsidRPr="006F5B1C">
        <w:rPr>
          <w:lang w:val="sr-Latn-ME"/>
        </w:rPr>
        <w:t xml:space="preserve"> pravne sigurnosti ulaganja kroz elektronski katastar i prostorno planiranje, povećanje efikasnosti inspekcijskih službi i smanjenje neformalne ekonomije, kao i na razvoj inovacionog ekosistema za e</w:t>
      </w:r>
      <w:r w:rsidR="000D7037" w:rsidRPr="006F5B1C">
        <w:rPr>
          <w:lang w:val="sr-Latn-ME"/>
        </w:rPr>
        <w:t>konomiju zasnovanu na znanju</w:t>
      </w:r>
      <w:r w:rsidRPr="006F5B1C">
        <w:rPr>
          <w:lang w:val="sr-Latn-ME"/>
        </w:rPr>
        <w:t>.</w:t>
      </w:r>
    </w:p>
    <w:p w14:paraId="1B7035FA" w14:textId="0BE021EB" w:rsidR="00B04703" w:rsidRPr="006F5B1C" w:rsidRDefault="00B04703" w:rsidP="00B04703">
      <w:pPr>
        <w:rPr>
          <w:lang w:val="sr-Latn-ME"/>
        </w:rPr>
      </w:pPr>
      <w:r w:rsidRPr="006F5B1C">
        <w:rPr>
          <w:lang w:val="sr-Latn-ME"/>
        </w:rPr>
        <w:t xml:space="preserve">Veza između Reformske agende i Programa ekonomskih reformi eksplicitno je potvrđena u samoj Reformskoj agendi. Mjere iz PER-a koje se odnose na formalizaciju neformalne ekonomije povezane su sa reformama 1.1.3 i 1.1.5, mjera koja se odnosi na </w:t>
      </w:r>
      <w:proofErr w:type="spellStart"/>
      <w:r w:rsidRPr="006F5B1C">
        <w:rPr>
          <w:lang w:val="sr-Latn-ME"/>
        </w:rPr>
        <w:t>unapređenje</w:t>
      </w:r>
      <w:proofErr w:type="spellEnd"/>
      <w:r w:rsidRPr="006F5B1C">
        <w:rPr>
          <w:lang w:val="sr-Latn-ME"/>
        </w:rPr>
        <w:t xml:space="preserve"> upravljanja državnim preduzećima povezana je sa reformom 1.1.1, dok je mjera podsticanja inovacija za Zelenu agendu i cirkularnu ekonomiju povezana, izm</w:t>
      </w:r>
      <w:r w:rsidR="000D7037" w:rsidRPr="006F5B1C">
        <w:rPr>
          <w:lang w:val="sr-Latn-ME"/>
        </w:rPr>
        <w:t>eđu ostalog, sa reformom 1.2.2</w:t>
      </w:r>
      <w:r w:rsidRPr="006F5B1C">
        <w:rPr>
          <w:lang w:val="sr-Latn-ME"/>
        </w:rPr>
        <w:t xml:space="preserve">. Time se pokazuje da se reformske intervencije u oblasti </w:t>
      </w:r>
      <w:r w:rsidR="000D7037" w:rsidRPr="006F5B1C">
        <w:rPr>
          <w:lang w:val="sr-Latn-ME"/>
        </w:rPr>
        <w:t>podrške poslovanju</w:t>
      </w:r>
      <w:r w:rsidRPr="006F5B1C">
        <w:rPr>
          <w:lang w:val="sr-Latn-ME"/>
        </w:rPr>
        <w:t xml:space="preserve"> sprovode kao dio šireg ekonomskog i fiskalnog okvira.</w:t>
      </w:r>
    </w:p>
    <w:p w14:paraId="165179D7" w14:textId="59FCE6EA" w:rsidR="00B04703" w:rsidRPr="006F5B1C" w:rsidRDefault="00B04703" w:rsidP="00B04703">
      <w:pPr>
        <w:rPr>
          <w:lang w:val="sr-Latn-ME"/>
        </w:rPr>
      </w:pPr>
      <w:r w:rsidRPr="006F5B1C">
        <w:rPr>
          <w:lang w:val="sr-Latn-ME"/>
        </w:rPr>
        <w:t xml:space="preserve">Program ekonomskih reformi 2026–2028 dodatno naglašava da reforme koje </w:t>
      </w:r>
      <w:proofErr w:type="spellStart"/>
      <w:r w:rsidRPr="006F5B1C">
        <w:rPr>
          <w:lang w:val="sr-Latn-ME"/>
        </w:rPr>
        <w:t>unapređuju</w:t>
      </w:r>
      <w:proofErr w:type="spellEnd"/>
      <w:r w:rsidRPr="006F5B1C">
        <w:rPr>
          <w:lang w:val="sr-Latn-ME"/>
        </w:rPr>
        <w:t xml:space="preserve"> poslovno okruženje doprinose rastu ekonomske aktivnosti i stvaranju povoljni</w:t>
      </w:r>
      <w:r w:rsidR="000D7037" w:rsidRPr="006F5B1C">
        <w:rPr>
          <w:lang w:val="sr-Latn-ME"/>
        </w:rPr>
        <w:t>jeg ambijenta za investicije</w:t>
      </w:r>
      <w:r w:rsidRPr="006F5B1C">
        <w:rPr>
          <w:lang w:val="sr-Latn-ME"/>
        </w:rPr>
        <w:t xml:space="preserve">. U tom kontekstu posebno je značajan prelazak Poreske uprave na novi Integrisani sistem upravljanja prihodima od 2026. godine, koji treba da unaprijedi transparentnost, dobrovoljnu poresku usklađenost i efikasnost administrativnih </w:t>
      </w:r>
      <w:r w:rsidR="000D7037" w:rsidRPr="006F5B1C">
        <w:rPr>
          <w:lang w:val="sr-Latn-ME"/>
        </w:rPr>
        <w:t>procedura</w:t>
      </w:r>
      <w:r w:rsidRPr="006F5B1C">
        <w:rPr>
          <w:lang w:val="sr-Latn-ME"/>
        </w:rPr>
        <w:t>.</w:t>
      </w:r>
    </w:p>
    <w:p w14:paraId="18F4022F" w14:textId="5A2B9E17" w:rsidR="00B04703" w:rsidRPr="006F5B1C" w:rsidRDefault="00B04703" w:rsidP="00B04703">
      <w:pPr>
        <w:rPr>
          <w:lang w:val="sr-Latn-ME"/>
        </w:rPr>
      </w:pPr>
      <w:r w:rsidRPr="006F5B1C">
        <w:rPr>
          <w:lang w:val="sr-Latn-ME"/>
        </w:rPr>
        <w:t xml:space="preserve">Napredak je vidljiv i u pojedinim konkretnim reformskim koracima. </w:t>
      </w:r>
      <w:r w:rsidR="000D7037" w:rsidRPr="006F5B1C">
        <w:rPr>
          <w:lang w:val="sr-Latn-ME"/>
        </w:rPr>
        <w:t xml:space="preserve">Tako, </w:t>
      </w:r>
      <w:r w:rsidRPr="006F5B1C">
        <w:rPr>
          <w:lang w:val="sr-Latn-ME"/>
        </w:rPr>
        <w:t xml:space="preserve">Zakon o Kreditno-garantnom fondu Crne Gore usvojen u julu 2025. godine, a da je do kraja prvog kvartala 2026. realizacija aktivnosti vezanih za njegovo </w:t>
      </w:r>
      <w:r w:rsidR="000D7037" w:rsidRPr="006F5B1C">
        <w:rPr>
          <w:lang w:val="sr-Latn-ME"/>
        </w:rPr>
        <w:t xml:space="preserve">uspostavljanje dostigla 75% </w:t>
      </w:r>
      <w:r w:rsidRPr="006F5B1C">
        <w:rPr>
          <w:lang w:val="sr-Latn-ME"/>
        </w:rPr>
        <w:t xml:space="preserve">. </w:t>
      </w:r>
      <w:r w:rsidR="000D7037" w:rsidRPr="006F5B1C">
        <w:rPr>
          <w:lang w:val="sr-Latn-ME"/>
        </w:rPr>
        <w:t>Dodatno, aktivnosti</w:t>
      </w:r>
      <w:r w:rsidRPr="006F5B1C">
        <w:rPr>
          <w:lang w:val="sr-Latn-ME"/>
        </w:rPr>
        <w:t xml:space="preserve"> vezan</w:t>
      </w:r>
      <w:r w:rsidR="000D7037" w:rsidRPr="006F5B1C">
        <w:rPr>
          <w:lang w:val="sr-Latn-ME"/>
        </w:rPr>
        <w:t>e</w:t>
      </w:r>
      <w:r w:rsidRPr="006F5B1C">
        <w:rPr>
          <w:lang w:val="sr-Latn-ME"/>
        </w:rPr>
        <w:t xml:space="preserve"> </w:t>
      </w:r>
      <w:r w:rsidRPr="006F5B1C">
        <w:rPr>
          <w:lang w:val="sr-Latn-ME"/>
        </w:rPr>
        <w:lastRenderedPageBreak/>
        <w:t>za Zakon o Razvo</w:t>
      </w:r>
      <w:r w:rsidR="000D7037" w:rsidRPr="006F5B1C">
        <w:rPr>
          <w:lang w:val="sr-Latn-ME"/>
        </w:rPr>
        <w:t>jnoj banci Crne Gore realizovane su</w:t>
      </w:r>
      <w:r w:rsidRPr="006F5B1C">
        <w:rPr>
          <w:lang w:val="sr-Latn-ME"/>
        </w:rPr>
        <w:t xml:space="preserve"> u potpunosti, </w:t>
      </w:r>
      <w:r w:rsidR="000D7037" w:rsidRPr="006F5B1C">
        <w:rPr>
          <w:lang w:val="sr-Latn-ME"/>
        </w:rPr>
        <w:t>i</w:t>
      </w:r>
      <w:r w:rsidRPr="006F5B1C">
        <w:rPr>
          <w:lang w:val="sr-Latn-ME"/>
        </w:rPr>
        <w:t xml:space="preserve"> Banka </w:t>
      </w:r>
      <w:r w:rsidR="000D7037" w:rsidRPr="006F5B1C">
        <w:rPr>
          <w:lang w:val="sr-Latn-ME"/>
        </w:rPr>
        <w:t xml:space="preserve">je </w:t>
      </w:r>
      <w:r w:rsidRPr="006F5B1C">
        <w:rPr>
          <w:lang w:val="sr-Latn-ME"/>
        </w:rPr>
        <w:t>počela sa radom</w:t>
      </w:r>
      <w:r w:rsidR="000D7037" w:rsidRPr="006F5B1C">
        <w:rPr>
          <w:lang w:val="sr-Latn-ME"/>
        </w:rPr>
        <w:t xml:space="preserve"> u januaru 2025. godine</w:t>
      </w:r>
      <w:r w:rsidRPr="006F5B1C">
        <w:rPr>
          <w:lang w:val="sr-Latn-ME"/>
        </w:rPr>
        <w:t>. Ovo potvrđuje da reformski okvir obuhvata i jačanje finansijske infrastrukture za podršku privredi.</w:t>
      </w:r>
    </w:p>
    <w:p w14:paraId="1A74CC31" w14:textId="36381DE8" w:rsidR="00B04703" w:rsidRPr="006F5B1C" w:rsidRDefault="00B04703" w:rsidP="00B04703">
      <w:pPr>
        <w:rPr>
          <w:lang w:val="sr-Latn-ME"/>
        </w:rPr>
      </w:pPr>
      <w:r w:rsidRPr="006F5B1C">
        <w:rPr>
          <w:lang w:val="sr-Latn-ME"/>
        </w:rPr>
        <w:t>U oblasti državne pomoći i javnih nabavki, novi zakon</w:t>
      </w:r>
      <w:r w:rsidR="000D7037" w:rsidRPr="006F5B1C">
        <w:rPr>
          <w:lang w:val="sr-Latn-ME"/>
        </w:rPr>
        <w:t xml:space="preserve"> je</w:t>
      </w:r>
      <w:r w:rsidRPr="006F5B1C">
        <w:rPr>
          <w:lang w:val="sr-Latn-ME"/>
        </w:rPr>
        <w:t xml:space="preserve"> uspostavio sveobuhvatan okvir usklađen sa pravilima EU i većina potrebnih podzakonskih akata </w:t>
      </w:r>
      <w:r w:rsidR="000D7037" w:rsidRPr="006F5B1C">
        <w:rPr>
          <w:lang w:val="sr-Latn-ME"/>
        </w:rPr>
        <w:t xml:space="preserve">je </w:t>
      </w:r>
      <w:r w:rsidRPr="006F5B1C">
        <w:rPr>
          <w:lang w:val="sr-Latn-ME"/>
        </w:rPr>
        <w:t>ve</w:t>
      </w:r>
      <w:r w:rsidR="000D7037" w:rsidRPr="006F5B1C">
        <w:rPr>
          <w:lang w:val="sr-Latn-ME"/>
        </w:rPr>
        <w:t>ć usvojena i objavljena</w:t>
      </w:r>
      <w:r w:rsidRPr="006F5B1C">
        <w:rPr>
          <w:lang w:val="sr-Latn-ME"/>
        </w:rPr>
        <w:t xml:space="preserve">. U oblasti javnih nabavki nastavljeno je </w:t>
      </w:r>
      <w:proofErr w:type="spellStart"/>
      <w:r w:rsidRPr="006F5B1C">
        <w:rPr>
          <w:lang w:val="sr-Latn-ME"/>
        </w:rPr>
        <w:t>unapređenje</w:t>
      </w:r>
      <w:proofErr w:type="spellEnd"/>
      <w:r w:rsidRPr="006F5B1C">
        <w:rPr>
          <w:lang w:val="sr-Latn-ME"/>
        </w:rPr>
        <w:t xml:space="preserve"> transparentnosti kroz elektronski sistem javnih nabavki i jačanje </w:t>
      </w:r>
      <w:proofErr w:type="spellStart"/>
      <w:r w:rsidRPr="006F5B1C">
        <w:rPr>
          <w:lang w:val="sr-Latn-ME"/>
        </w:rPr>
        <w:t>anti</w:t>
      </w:r>
      <w:r w:rsidR="000D7037" w:rsidRPr="006F5B1C">
        <w:rPr>
          <w:lang w:val="sr-Latn-ME"/>
        </w:rPr>
        <w:t>korupcijskih</w:t>
      </w:r>
      <w:proofErr w:type="spellEnd"/>
      <w:r w:rsidR="000D7037" w:rsidRPr="006F5B1C">
        <w:rPr>
          <w:lang w:val="sr-Latn-ME"/>
        </w:rPr>
        <w:t xml:space="preserve"> mehanizama</w:t>
      </w:r>
      <w:r w:rsidRPr="006F5B1C">
        <w:rPr>
          <w:lang w:val="sr-Latn-ME"/>
        </w:rPr>
        <w:t>.</w:t>
      </w:r>
    </w:p>
    <w:p w14:paraId="72C66FB3" w14:textId="3921FE5C" w:rsidR="00F579F5" w:rsidRPr="006F5B1C" w:rsidRDefault="0B78DD6F" w:rsidP="00B04703">
      <w:pPr>
        <w:rPr>
          <w:lang w:val="sr-Latn-ME"/>
        </w:rPr>
      </w:pPr>
      <w:r w:rsidRPr="006F5B1C">
        <w:rPr>
          <w:lang w:val="sr-Latn-ME"/>
        </w:rPr>
        <w:t xml:space="preserve">Ukupno posmatrano, reformski pravac u okviru prioritetnog područja Podrška poslovanju zasniva se na tri komplementarna toka: smanjenju regulatornih i administrativnih </w:t>
      </w:r>
      <w:proofErr w:type="spellStart"/>
      <w:r w:rsidRPr="006F5B1C">
        <w:rPr>
          <w:lang w:val="sr-Latn-ME"/>
        </w:rPr>
        <w:t>prepreka</w:t>
      </w:r>
      <w:proofErr w:type="spellEnd"/>
      <w:r w:rsidRPr="006F5B1C">
        <w:rPr>
          <w:lang w:val="sr-Latn-ME"/>
        </w:rPr>
        <w:t>, jačanju institucionalnog i pravnog okvira za konkurenciju, državnu pomoć i javne nabavke, te razvoju inovacionog i finansijskog ekosistema za podršku transformaciji privrede.</w:t>
      </w:r>
    </w:p>
    <w:p w14:paraId="1EDF9E84" w14:textId="0DD61566" w:rsidR="0B78DD6F" w:rsidRPr="006F5B1C" w:rsidRDefault="0B78DD6F" w:rsidP="0B78DD6F">
      <w:pPr>
        <w:rPr>
          <w:lang w:val="sr-Latn-ME"/>
        </w:rPr>
      </w:pPr>
    </w:p>
    <w:p w14:paraId="3C698635" w14:textId="5863FA6B" w:rsidR="00F579F5" w:rsidRPr="006F5B1C" w:rsidRDefault="0021066E" w:rsidP="0021066E">
      <w:pPr>
        <w:pStyle w:val="Naslov2"/>
        <w:rPr>
          <w:lang w:val="sr-Latn-ME"/>
        </w:rPr>
      </w:pPr>
      <w:r w:rsidRPr="006F5B1C">
        <w:rPr>
          <w:lang w:val="sr-Latn-ME"/>
        </w:rPr>
        <w:t>Ključni indikatori</w:t>
      </w:r>
    </w:p>
    <w:tbl>
      <w:tblPr>
        <w:tblStyle w:val="Tablicapopisa3-isticanje4"/>
        <w:tblW w:w="5000" w:type="pct"/>
        <w:tblLook w:val="04A0" w:firstRow="1" w:lastRow="0" w:firstColumn="1" w:lastColumn="0" w:noHBand="0" w:noVBand="1"/>
      </w:tblPr>
      <w:tblGrid>
        <w:gridCol w:w="2332"/>
        <w:gridCol w:w="1501"/>
        <w:gridCol w:w="1617"/>
        <w:gridCol w:w="1281"/>
        <w:gridCol w:w="2331"/>
      </w:tblGrid>
      <w:tr w:rsidR="00307A35" w:rsidRPr="006F5B1C" w14:paraId="7AC57599" w14:textId="77777777" w:rsidTr="00BC19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87" w:type="pct"/>
          </w:tcPr>
          <w:p w14:paraId="0C366CEE" w14:textId="77777777" w:rsidR="00307A35" w:rsidRPr="006F5B1C" w:rsidRDefault="00307A35" w:rsidP="008F5DB4">
            <w:pPr>
              <w:rPr>
                <w:b w:val="0"/>
                <w:noProof/>
                <w:sz w:val="20"/>
                <w:szCs w:val="20"/>
                <w:lang w:val="sr-Latn-ME"/>
              </w:rPr>
            </w:pPr>
            <w:r w:rsidRPr="006F5B1C">
              <w:rPr>
                <w:noProof/>
                <w:sz w:val="20"/>
                <w:szCs w:val="20"/>
                <w:lang w:val="sr-Latn-ME"/>
              </w:rPr>
              <w:t>Indikator</w:t>
            </w:r>
          </w:p>
        </w:tc>
        <w:tc>
          <w:tcPr>
            <w:tcW w:w="828" w:type="pct"/>
          </w:tcPr>
          <w:p w14:paraId="1EFD98D1" w14:textId="77777777" w:rsidR="00307A35" w:rsidRPr="006F5B1C" w:rsidRDefault="00307A35" w:rsidP="008F5DB4">
            <w:pPr>
              <w:cnfStyle w:val="100000000000" w:firstRow="1" w:lastRow="0" w:firstColumn="0" w:lastColumn="0" w:oddVBand="0" w:evenVBand="0" w:oddHBand="0" w:evenHBand="0" w:firstRowFirstColumn="0" w:firstRowLastColumn="0" w:lastRowFirstColumn="0" w:lastRowLastColumn="0"/>
              <w:rPr>
                <w:b w:val="0"/>
                <w:noProof/>
                <w:sz w:val="20"/>
                <w:szCs w:val="20"/>
                <w:lang w:val="sr-Latn-ME"/>
              </w:rPr>
            </w:pPr>
            <w:r w:rsidRPr="006F5B1C">
              <w:rPr>
                <w:noProof/>
                <w:sz w:val="20"/>
                <w:szCs w:val="20"/>
                <w:lang w:val="sr-Latn-ME"/>
              </w:rPr>
              <w:t>CG vrijednost</w:t>
            </w:r>
          </w:p>
        </w:tc>
        <w:tc>
          <w:tcPr>
            <w:tcW w:w="892" w:type="pct"/>
          </w:tcPr>
          <w:p w14:paraId="01DC56CC" w14:textId="77777777" w:rsidR="00307A35" w:rsidRPr="006F5B1C" w:rsidRDefault="00307A35" w:rsidP="008F5DB4">
            <w:pPr>
              <w:cnfStyle w:val="100000000000" w:firstRow="1" w:lastRow="0" w:firstColumn="0" w:lastColumn="0" w:oddVBand="0" w:evenVBand="0" w:oddHBand="0" w:evenHBand="0" w:firstRowFirstColumn="0" w:firstRowLastColumn="0" w:lastRowFirstColumn="0" w:lastRowLastColumn="0"/>
              <w:rPr>
                <w:b w:val="0"/>
                <w:noProof/>
                <w:sz w:val="20"/>
                <w:szCs w:val="20"/>
                <w:lang w:val="sr-Latn-ME"/>
              </w:rPr>
            </w:pPr>
            <w:r w:rsidRPr="006F5B1C">
              <w:rPr>
                <w:noProof/>
                <w:sz w:val="20"/>
                <w:szCs w:val="20"/>
                <w:lang w:val="sr-Latn-ME"/>
              </w:rPr>
              <w:t>EU vrijednost</w:t>
            </w:r>
          </w:p>
        </w:tc>
        <w:tc>
          <w:tcPr>
            <w:tcW w:w="707" w:type="pct"/>
          </w:tcPr>
          <w:p w14:paraId="7CFA8245" w14:textId="77777777" w:rsidR="00307A35" w:rsidRPr="006F5B1C" w:rsidRDefault="00307A35" w:rsidP="008F5DB4">
            <w:pPr>
              <w:cnfStyle w:val="100000000000" w:firstRow="1" w:lastRow="0" w:firstColumn="0" w:lastColumn="0" w:oddVBand="0" w:evenVBand="0" w:oddHBand="0" w:evenHBand="0" w:firstRowFirstColumn="0" w:firstRowLastColumn="0" w:lastRowFirstColumn="0" w:lastRowLastColumn="0"/>
              <w:rPr>
                <w:b w:val="0"/>
                <w:noProof/>
                <w:sz w:val="20"/>
                <w:szCs w:val="20"/>
                <w:lang w:val="sr-Latn-ME"/>
              </w:rPr>
            </w:pPr>
            <w:r w:rsidRPr="006F5B1C">
              <w:rPr>
                <w:noProof/>
                <w:sz w:val="20"/>
                <w:szCs w:val="20"/>
                <w:lang w:val="sr-Latn-ME"/>
              </w:rPr>
              <w:t>Godina</w:t>
            </w:r>
          </w:p>
        </w:tc>
        <w:tc>
          <w:tcPr>
            <w:tcW w:w="1286" w:type="pct"/>
          </w:tcPr>
          <w:p w14:paraId="3164956E" w14:textId="77777777" w:rsidR="00307A35" w:rsidRPr="006F5B1C" w:rsidRDefault="00307A35" w:rsidP="008F5DB4">
            <w:pPr>
              <w:cnfStyle w:val="100000000000" w:firstRow="1" w:lastRow="0" w:firstColumn="0" w:lastColumn="0" w:oddVBand="0" w:evenVBand="0" w:oddHBand="0" w:evenHBand="0" w:firstRowFirstColumn="0" w:firstRowLastColumn="0" w:lastRowFirstColumn="0" w:lastRowLastColumn="0"/>
              <w:rPr>
                <w:b w:val="0"/>
                <w:noProof/>
                <w:sz w:val="20"/>
                <w:szCs w:val="20"/>
                <w:lang w:val="sr-Latn-ME"/>
              </w:rPr>
            </w:pPr>
            <w:r w:rsidRPr="006F5B1C">
              <w:rPr>
                <w:noProof/>
                <w:sz w:val="20"/>
                <w:szCs w:val="20"/>
                <w:lang w:val="sr-Latn-ME"/>
              </w:rPr>
              <w:t>Izvor</w:t>
            </w:r>
          </w:p>
        </w:tc>
      </w:tr>
      <w:tr w:rsidR="00307A35" w:rsidRPr="006F5B1C" w14:paraId="0A18DE89" w14:textId="77777777" w:rsidTr="00BC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043D6A38" w14:textId="77777777" w:rsidR="00307A35" w:rsidRPr="006F5B1C" w:rsidRDefault="00307A35" w:rsidP="008F5DB4">
            <w:pPr>
              <w:rPr>
                <w:noProof/>
                <w:sz w:val="20"/>
                <w:szCs w:val="20"/>
                <w:lang w:val="sr-Latn-ME"/>
              </w:rPr>
            </w:pPr>
            <w:r w:rsidRPr="006F5B1C">
              <w:rPr>
                <w:noProof/>
                <w:sz w:val="20"/>
                <w:szCs w:val="20"/>
                <w:lang w:val="sr-Latn-ME"/>
              </w:rPr>
              <w:t>BDP po stanovniku, EU=100 (prosjek 2022–2024)</w:t>
            </w:r>
          </w:p>
        </w:tc>
        <w:tc>
          <w:tcPr>
            <w:tcW w:w="828" w:type="pct"/>
          </w:tcPr>
          <w:p w14:paraId="43208EBB"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51,3</w:t>
            </w:r>
          </w:p>
        </w:tc>
        <w:tc>
          <w:tcPr>
            <w:tcW w:w="892" w:type="pct"/>
          </w:tcPr>
          <w:p w14:paraId="5310721A"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100,0</w:t>
            </w:r>
          </w:p>
        </w:tc>
        <w:tc>
          <w:tcPr>
            <w:tcW w:w="707" w:type="pct"/>
          </w:tcPr>
          <w:p w14:paraId="38F624F0"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2022–2024</w:t>
            </w:r>
          </w:p>
        </w:tc>
        <w:tc>
          <w:tcPr>
            <w:tcW w:w="1286" w:type="pct"/>
          </w:tcPr>
          <w:p w14:paraId="55F3EEB1"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European Innovation Scoreboard 2025</w:t>
            </w:r>
          </w:p>
        </w:tc>
      </w:tr>
      <w:tr w:rsidR="00307A35" w:rsidRPr="006F5B1C" w14:paraId="23519357" w14:textId="77777777" w:rsidTr="00BC1999">
        <w:tc>
          <w:tcPr>
            <w:cnfStyle w:val="001000000000" w:firstRow="0" w:lastRow="0" w:firstColumn="1" w:lastColumn="0" w:oddVBand="0" w:evenVBand="0" w:oddHBand="0" w:evenHBand="0" w:firstRowFirstColumn="0" w:firstRowLastColumn="0" w:lastRowFirstColumn="0" w:lastRowLastColumn="0"/>
            <w:tcW w:w="1287" w:type="pct"/>
          </w:tcPr>
          <w:p w14:paraId="771DE643" w14:textId="77777777" w:rsidR="00307A35" w:rsidRPr="006F5B1C" w:rsidRDefault="00307A35" w:rsidP="008F5DB4">
            <w:pPr>
              <w:rPr>
                <w:noProof/>
                <w:sz w:val="20"/>
                <w:szCs w:val="20"/>
                <w:lang w:val="sr-Latn-ME"/>
              </w:rPr>
            </w:pPr>
            <w:r w:rsidRPr="006F5B1C">
              <w:rPr>
                <w:noProof/>
                <w:sz w:val="20"/>
                <w:szCs w:val="20"/>
                <w:lang w:val="sr-Latn-ME"/>
              </w:rPr>
              <w:t>Sažeti indeks inovacionog učinka, EU=100</w:t>
            </w:r>
          </w:p>
        </w:tc>
        <w:tc>
          <w:tcPr>
            <w:tcW w:w="828" w:type="pct"/>
          </w:tcPr>
          <w:p w14:paraId="511796E5"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45,3</w:t>
            </w:r>
          </w:p>
        </w:tc>
        <w:tc>
          <w:tcPr>
            <w:tcW w:w="892" w:type="pct"/>
          </w:tcPr>
          <w:p w14:paraId="1104A117"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100,0</w:t>
            </w:r>
          </w:p>
        </w:tc>
        <w:tc>
          <w:tcPr>
            <w:tcW w:w="707" w:type="pct"/>
          </w:tcPr>
          <w:p w14:paraId="79A4B749"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2025</w:t>
            </w:r>
          </w:p>
        </w:tc>
        <w:tc>
          <w:tcPr>
            <w:tcW w:w="1286" w:type="pct"/>
          </w:tcPr>
          <w:p w14:paraId="3F1853BF"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European Innovation Scoreboard 2025</w:t>
            </w:r>
          </w:p>
        </w:tc>
      </w:tr>
      <w:tr w:rsidR="00307A35" w:rsidRPr="006F5B1C" w14:paraId="352BB37E" w14:textId="77777777" w:rsidTr="00BC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0B8E38FD" w14:textId="77777777" w:rsidR="00307A35" w:rsidRPr="006F5B1C" w:rsidRDefault="00307A35" w:rsidP="008F5DB4">
            <w:pPr>
              <w:rPr>
                <w:noProof/>
                <w:sz w:val="20"/>
                <w:szCs w:val="20"/>
                <w:lang w:val="sr-Latn-ME"/>
              </w:rPr>
            </w:pPr>
            <w:r w:rsidRPr="006F5B1C">
              <w:rPr>
                <w:noProof/>
                <w:sz w:val="20"/>
                <w:szCs w:val="20"/>
                <w:lang w:val="sr-Latn-ME"/>
              </w:rPr>
              <w:t>Izdaci za istraživanje i razvoj (% BDP-a)</w:t>
            </w:r>
          </w:p>
        </w:tc>
        <w:tc>
          <w:tcPr>
            <w:tcW w:w="828" w:type="pct"/>
          </w:tcPr>
          <w:p w14:paraId="6A2D0737"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0,29</w:t>
            </w:r>
          </w:p>
        </w:tc>
        <w:tc>
          <w:tcPr>
            <w:tcW w:w="892" w:type="pct"/>
          </w:tcPr>
          <w:p w14:paraId="5C7AC9DB"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2,24</w:t>
            </w:r>
          </w:p>
        </w:tc>
        <w:tc>
          <w:tcPr>
            <w:tcW w:w="707" w:type="pct"/>
          </w:tcPr>
          <w:p w14:paraId="6D9EC094"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2024</w:t>
            </w:r>
          </w:p>
        </w:tc>
        <w:tc>
          <w:tcPr>
            <w:tcW w:w="1286" w:type="pct"/>
          </w:tcPr>
          <w:p w14:paraId="7E4EEECA"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Eurostat, R&amp;D expenditure</w:t>
            </w:r>
          </w:p>
        </w:tc>
      </w:tr>
      <w:tr w:rsidR="00307A35" w:rsidRPr="006F5B1C" w14:paraId="3E156C1F" w14:textId="77777777" w:rsidTr="00BC1999">
        <w:tc>
          <w:tcPr>
            <w:cnfStyle w:val="001000000000" w:firstRow="0" w:lastRow="0" w:firstColumn="1" w:lastColumn="0" w:oddVBand="0" w:evenVBand="0" w:oddHBand="0" w:evenHBand="0" w:firstRowFirstColumn="0" w:firstRowLastColumn="0" w:lastRowFirstColumn="0" w:lastRowLastColumn="0"/>
            <w:tcW w:w="1287" w:type="pct"/>
          </w:tcPr>
          <w:p w14:paraId="6891C934" w14:textId="77777777" w:rsidR="00307A35" w:rsidRPr="006F5B1C" w:rsidRDefault="00307A35" w:rsidP="008F5DB4">
            <w:pPr>
              <w:rPr>
                <w:noProof/>
                <w:sz w:val="20"/>
                <w:szCs w:val="20"/>
                <w:lang w:val="sr-Latn-ME"/>
              </w:rPr>
            </w:pPr>
            <w:r w:rsidRPr="006F5B1C">
              <w:rPr>
                <w:noProof/>
                <w:sz w:val="20"/>
                <w:szCs w:val="20"/>
                <w:lang w:val="sr-Latn-ME"/>
              </w:rPr>
              <w:t>Preduzeća koja koriste plaćene cloud usluge (% preduzeća)</w:t>
            </w:r>
          </w:p>
        </w:tc>
        <w:tc>
          <w:tcPr>
            <w:tcW w:w="828" w:type="pct"/>
          </w:tcPr>
          <w:p w14:paraId="3BE0C754"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33,36</w:t>
            </w:r>
          </w:p>
        </w:tc>
        <w:tc>
          <w:tcPr>
            <w:tcW w:w="892" w:type="pct"/>
          </w:tcPr>
          <w:p w14:paraId="394BA986"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52,74</w:t>
            </w:r>
          </w:p>
        </w:tc>
        <w:tc>
          <w:tcPr>
            <w:tcW w:w="707" w:type="pct"/>
          </w:tcPr>
          <w:p w14:paraId="26B34283"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2025</w:t>
            </w:r>
          </w:p>
        </w:tc>
        <w:tc>
          <w:tcPr>
            <w:tcW w:w="1286" w:type="pct"/>
          </w:tcPr>
          <w:p w14:paraId="460B6458"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Eurostat, Cloud computing tables and graphs</w:t>
            </w:r>
          </w:p>
        </w:tc>
      </w:tr>
      <w:tr w:rsidR="00307A35" w:rsidRPr="006F5B1C" w14:paraId="1D27BEF7" w14:textId="77777777" w:rsidTr="00BC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56E1A72B" w14:textId="77777777" w:rsidR="00307A35" w:rsidRPr="006F5B1C" w:rsidRDefault="00307A35" w:rsidP="008F5DB4">
            <w:pPr>
              <w:rPr>
                <w:noProof/>
                <w:sz w:val="20"/>
                <w:szCs w:val="20"/>
                <w:lang w:val="sr-Latn-ME"/>
              </w:rPr>
            </w:pPr>
            <w:r w:rsidRPr="006F5B1C">
              <w:rPr>
                <w:noProof/>
                <w:sz w:val="20"/>
                <w:szCs w:val="20"/>
                <w:lang w:val="sr-Latn-ME"/>
              </w:rPr>
              <w:t>Preduzeća koja koriste AI tehnologije (% preduzeća)</w:t>
            </w:r>
          </w:p>
        </w:tc>
        <w:tc>
          <w:tcPr>
            <w:tcW w:w="828" w:type="pct"/>
          </w:tcPr>
          <w:p w14:paraId="29D70885"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10,05</w:t>
            </w:r>
          </w:p>
        </w:tc>
        <w:tc>
          <w:tcPr>
            <w:tcW w:w="892" w:type="pct"/>
          </w:tcPr>
          <w:p w14:paraId="396E9F5F"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19,95</w:t>
            </w:r>
          </w:p>
        </w:tc>
        <w:tc>
          <w:tcPr>
            <w:tcW w:w="707" w:type="pct"/>
          </w:tcPr>
          <w:p w14:paraId="63E4DD2C"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2025</w:t>
            </w:r>
          </w:p>
        </w:tc>
        <w:tc>
          <w:tcPr>
            <w:tcW w:w="1286" w:type="pct"/>
          </w:tcPr>
          <w:p w14:paraId="5E05BCC5"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Eurostat, Use of AI in enterprises / tables and graphs</w:t>
            </w:r>
          </w:p>
        </w:tc>
      </w:tr>
      <w:tr w:rsidR="00307A35" w:rsidRPr="006F5B1C" w14:paraId="29272DB8" w14:textId="77777777" w:rsidTr="00BC1999">
        <w:tc>
          <w:tcPr>
            <w:cnfStyle w:val="001000000000" w:firstRow="0" w:lastRow="0" w:firstColumn="1" w:lastColumn="0" w:oddVBand="0" w:evenVBand="0" w:oddHBand="0" w:evenHBand="0" w:firstRowFirstColumn="0" w:firstRowLastColumn="0" w:lastRowFirstColumn="0" w:lastRowLastColumn="0"/>
            <w:tcW w:w="1287" w:type="pct"/>
          </w:tcPr>
          <w:p w14:paraId="18D5C4B4" w14:textId="77777777" w:rsidR="00307A35" w:rsidRPr="006F5B1C" w:rsidRDefault="00307A35" w:rsidP="008F5DB4">
            <w:pPr>
              <w:rPr>
                <w:noProof/>
                <w:sz w:val="20"/>
                <w:szCs w:val="20"/>
                <w:lang w:val="sr-Latn-ME"/>
              </w:rPr>
            </w:pPr>
            <w:r w:rsidRPr="006F5B1C">
              <w:rPr>
                <w:noProof/>
                <w:sz w:val="20"/>
                <w:szCs w:val="20"/>
                <w:lang w:val="sr-Latn-ME"/>
              </w:rPr>
              <w:t>Preduzeća koja obavljaju data analytics interno ili preko eksternog pružaoca (% preduzeća)</w:t>
            </w:r>
          </w:p>
        </w:tc>
        <w:tc>
          <w:tcPr>
            <w:tcW w:w="828" w:type="pct"/>
          </w:tcPr>
          <w:p w14:paraId="5BE7DEFE"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46,0</w:t>
            </w:r>
          </w:p>
        </w:tc>
        <w:tc>
          <w:tcPr>
            <w:tcW w:w="892" w:type="pct"/>
          </w:tcPr>
          <w:p w14:paraId="6962998D"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33,25</w:t>
            </w:r>
          </w:p>
        </w:tc>
        <w:tc>
          <w:tcPr>
            <w:tcW w:w="707" w:type="pct"/>
          </w:tcPr>
          <w:p w14:paraId="06A9A9EA"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2023</w:t>
            </w:r>
          </w:p>
        </w:tc>
        <w:tc>
          <w:tcPr>
            <w:tcW w:w="1286" w:type="pct"/>
          </w:tcPr>
          <w:p w14:paraId="35E83ADE"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Eurostat, Digital Decade targets graphs and tables</w:t>
            </w:r>
          </w:p>
        </w:tc>
      </w:tr>
      <w:tr w:rsidR="00307A35" w:rsidRPr="006F5B1C" w14:paraId="0AFD8EBE" w14:textId="77777777" w:rsidTr="00BC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5F11A1DE" w14:textId="77777777" w:rsidR="00307A35" w:rsidRPr="006F5B1C" w:rsidRDefault="00307A35" w:rsidP="008F5DB4">
            <w:pPr>
              <w:rPr>
                <w:noProof/>
                <w:sz w:val="20"/>
                <w:szCs w:val="20"/>
                <w:lang w:val="sr-Latn-ME"/>
              </w:rPr>
            </w:pPr>
            <w:r w:rsidRPr="006F5B1C">
              <w:rPr>
                <w:noProof/>
                <w:sz w:val="20"/>
                <w:szCs w:val="20"/>
                <w:lang w:val="sr-Latn-ME"/>
              </w:rPr>
              <w:t>Preduzeća sa najmanje osnovnim nivoom digitalnog intenziteta (% preduzeća)</w:t>
            </w:r>
          </w:p>
        </w:tc>
        <w:tc>
          <w:tcPr>
            <w:tcW w:w="828" w:type="pct"/>
          </w:tcPr>
          <w:p w14:paraId="427B9A10"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34,6</w:t>
            </w:r>
          </w:p>
        </w:tc>
        <w:tc>
          <w:tcPr>
            <w:tcW w:w="892" w:type="pct"/>
          </w:tcPr>
          <w:p w14:paraId="1AD23E8B"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73,65</w:t>
            </w:r>
          </w:p>
        </w:tc>
        <w:tc>
          <w:tcPr>
            <w:tcW w:w="707" w:type="pct"/>
          </w:tcPr>
          <w:p w14:paraId="0EB60F19"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2024</w:t>
            </w:r>
          </w:p>
        </w:tc>
        <w:tc>
          <w:tcPr>
            <w:tcW w:w="1286" w:type="pct"/>
          </w:tcPr>
          <w:p w14:paraId="796DF930"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Eurostat, Digital Decade targets graphs and tables</w:t>
            </w:r>
          </w:p>
        </w:tc>
      </w:tr>
      <w:tr w:rsidR="00307A35" w:rsidRPr="006F5B1C" w14:paraId="3A561D11" w14:textId="77777777" w:rsidTr="00BC1999">
        <w:tc>
          <w:tcPr>
            <w:cnfStyle w:val="001000000000" w:firstRow="0" w:lastRow="0" w:firstColumn="1" w:lastColumn="0" w:oddVBand="0" w:evenVBand="0" w:oddHBand="0" w:evenHBand="0" w:firstRowFirstColumn="0" w:firstRowLastColumn="0" w:lastRowFirstColumn="0" w:lastRowLastColumn="0"/>
            <w:tcW w:w="1287" w:type="pct"/>
          </w:tcPr>
          <w:p w14:paraId="3C59BC81" w14:textId="77777777" w:rsidR="00307A35" w:rsidRPr="006F5B1C" w:rsidRDefault="00307A35" w:rsidP="008F5DB4">
            <w:pPr>
              <w:rPr>
                <w:noProof/>
                <w:sz w:val="20"/>
                <w:szCs w:val="20"/>
                <w:lang w:val="sr-Latn-ME"/>
              </w:rPr>
            </w:pPr>
            <w:r w:rsidRPr="006F5B1C">
              <w:rPr>
                <w:noProof/>
                <w:sz w:val="20"/>
                <w:szCs w:val="20"/>
                <w:lang w:val="sr-Latn-ME"/>
              </w:rPr>
              <w:t>Domaći kredit privatnom sektoru (% BDP-a)</w:t>
            </w:r>
          </w:p>
        </w:tc>
        <w:tc>
          <w:tcPr>
            <w:tcW w:w="828" w:type="pct"/>
          </w:tcPr>
          <w:p w14:paraId="59A18484"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46,4</w:t>
            </w:r>
          </w:p>
        </w:tc>
        <w:tc>
          <w:tcPr>
            <w:tcW w:w="892" w:type="pct"/>
          </w:tcPr>
          <w:p w14:paraId="2465AC1F"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74,56</w:t>
            </w:r>
          </w:p>
        </w:tc>
        <w:tc>
          <w:tcPr>
            <w:tcW w:w="707" w:type="pct"/>
          </w:tcPr>
          <w:p w14:paraId="6B88F7E0"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2024</w:t>
            </w:r>
          </w:p>
        </w:tc>
        <w:tc>
          <w:tcPr>
            <w:tcW w:w="1286" w:type="pct"/>
          </w:tcPr>
          <w:p w14:paraId="009A4BAF" w14:textId="77777777" w:rsidR="00307A35" w:rsidRPr="006F5B1C" w:rsidRDefault="00307A35" w:rsidP="008F5DB4">
            <w:pPr>
              <w:cnfStyle w:val="000000000000" w:firstRow="0" w:lastRow="0" w:firstColumn="0" w:lastColumn="0" w:oddVBand="0" w:evenVBand="0" w:oddHBand="0" w:evenHBand="0" w:firstRowFirstColumn="0" w:firstRowLastColumn="0" w:lastRowFirstColumn="0" w:lastRowLastColumn="0"/>
              <w:rPr>
                <w:noProof/>
                <w:sz w:val="20"/>
                <w:szCs w:val="20"/>
                <w:lang w:val="sr-Latn-ME"/>
              </w:rPr>
            </w:pPr>
            <w:r w:rsidRPr="006F5B1C">
              <w:rPr>
                <w:noProof/>
                <w:sz w:val="20"/>
                <w:szCs w:val="20"/>
                <w:lang w:val="sr-Latn-ME"/>
              </w:rPr>
              <w:t>World Bank indicator, preko Trading Economics</w:t>
            </w:r>
          </w:p>
        </w:tc>
      </w:tr>
      <w:tr w:rsidR="00307A35" w:rsidRPr="006F5B1C" w14:paraId="6EB37E14" w14:textId="77777777" w:rsidTr="00BC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7" w:type="pct"/>
          </w:tcPr>
          <w:p w14:paraId="14A5DA44" w14:textId="77777777" w:rsidR="00307A35" w:rsidRPr="006F5B1C" w:rsidRDefault="00307A35" w:rsidP="008F5DB4">
            <w:pPr>
              <w:rPr>
                <w:noProof/>
                <w:sz w:val="20"/>
                <w:szCs w:val="20"/>
                <w:lang w:val="sr-Latn-ME"/>
              </w:rPr>
            </w:pPr>
            <w:r w:rsidRPr="006F5B1C">
              <w:rPr>
                <w:noProof/>
                <w:sz w:val="20"/>
                <w:szCs w:val="20"/>
                <w:lang w:val="sr-Latn-ME"/>
              </w:rPr>
              <w:lastRenderedPageBreak/>
              <w:t>Udio obnovljivih izvora u bruto finalnoj potrošnji energije (%)</w:t>
            </w:r>
          </w:p>
        </w:tc>
        <w:tc>
          <w:tcPr>
            <w:tcW w:w="828" w:type="pct"/>
          </w:tcPr>
          <w:p w14:paraId="39B30D6A"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40,9</w:t>
            </w:r>
          </w:p>
        </w:tc>
        <w:tc>
          <w:tcPr>
            <w:tcW w:w="892" w:type="pct"/>
          </w:tcPr>
          <w:p w14:paraId="25166384"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24,5</w:t>
            </w:r>
          </w:p>
        </w:tc>
        <w:tc>
          <w:tcPr>
            <w:tcW w:w="707" w:type="pct"/>
          </w:tcPr>
          <w:p w14:paraId="66F487C8"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2023</w:t>
            </w:r>
          </w:p>
        </w:tc>
        <w:tc>
          <w:tcPr>
            <w:tcW w:w="1286" w:type="pct"/>
          </w:tcPr>
          <w:p w14:paraId="4E09F2C6" w14:textId="77777777" w:rsidR="00307A35" w:rsidRPr="006F5B1C" w:rsidRDefault="00307A35" w:rsidP="008F5DB4">
            <w:pPr>
              <w:cnfStyle w:val="000000100000" w:firstRow="0" w:lastRow="0" w:firstColumn="0" w:lastColumn="0" w:oddVBand="0" w:evenVBand="0" w:oddHBand="1" w:evenHBand="0" w:firstRowFirstColumn="0" w:firstRowLastColumn="0" w:lastRowFirstColumn="0" w:lastRowLastColumn="0"/>
              <w:rPr>
                <w:noProof/>
                <w:sz w:val="20"/>
                <w:szCs w:val="20"/>
                <w:lang w:val="sr-Latn-ME"/>
              </w:rPr>
            </w:pPr>
            <w:r w:rsidRPr="006F5B1C">
              <w:rPr>
                <w:noProof/>
                <w:sz w:val="20"/>
                <w:szCs w:val="20"/>
                <w:lang w:val="sr-Latn-ME"/>
              </w:rPr>
              <w:t>Eurostat / EEA</w:t>
            </w:r>
          </w:p>
        </w:tc>
      </w:tr>
    </w:tbl>
    <w:p w14:paraId="431F4476" w14:textId="77777777" w:rsidR="00307A35" w:rsidRPr="006F5B1C" w:rsidRDefault="00307A35" w:rsidP="0021066E">
      <w:pPr>
        <w:rPr>
          <w:lang w:val="sr-Latn-ME"/>
        </w:rPr>
      </w:pPr>
    </w:p>
    <w:p w14:paraId="55AE590B" w14:textId="77777777" w:rsidR="0021066E" w:rsidRPr="006F5B1C" w:rsidRDefault="0021066E" w:rsidP="0021066E">
      <w:pPr>
        <w:pStyle w:val="Naslov2"/>
        <w:rPr>
          <w:lang w:val="sr-Latn-ME"/>
        </w:rPr>
      </w:pPr>
      <w:r w:rsidRPr="006F5B1C">
        <w:rPr>
          <w:lang w:val="sr-Latn-ME"/>
        </w:rPr>
        <w:t>Tematske cjeline</w:t>
      </w:r>
    </w:p>
    <w:p w14:paraId="2BA40994" w14:textId="091A9CE8" w:rsidR="006361A1" w:rsidRPr="006F5B1C" w:rsidRDefault="006361A1" w:rsidP="008C25F8">
      <w:pPr>
        <w:rPr>
          <w:lang w:val="sr-Latn-ME"/>
        </w:rPr>
      </w:pPr>
      <w:r w:rsidRPr="006F5B1C">
        <w:rPr>
          <w:lang w:val="sr-Latn-ME"/>
        </w:rPr>
        <w:t xml:space="preserve">Predložene tematske cjeline za </w:t>
      </w:r>
      <w:r w:rsidR="008C25F8" w:rsidRPr="006F5B1C">
        <w:rPr>
          <w:lang w:val="sr-Latn-ME"/>
        </w:rPr>
        <w:t xml:space="preserve">ovo </w:t>
      </w:r>
      <w:r w:rsidRPr="006F5B1C">
        <w:rPr>
          <w:lang w:val="sr-Latn-ME"/>
        </w:rPr>
        <w:t>prioritetno područje definisane su tako da obuhvate ključne dimenzije razvoja privatnog sektora u Crnoj Gori i da omoguće jasno strukturiranje analize stanja, SWOT-a i razvojnih izazova. Polazište je da se ova oblast ne posmatra kao skup pojedinačnih mjera, već kao povezano razvojno područje koje obuhvata poslovni ambijent, razvoj MSP, pristup finansijama, digitalizaciju, inovacije, poslovnu infrastrukturu i zelenu transformaciju privrede.</w:t>
      </w:r>
    </w:p>
    <w:p w14:paraId="34873D94" w14:textId="2EB30574" w:rsidR="00C17E79" w:rsidRPr="006F5B1C" w:rsidRDefault="006361A1" w:rsidP="008C25F8">
      <w:pPr>
        <w:rPr>
          <w:lang w:val="sr-Latn-ME"/>
        </w:rPr>
      </w:pPr>
      <w:r w:rsidRPr="006F5B1C">
        <w:rPr>
          <w:lang w:val="sr-Latn-ME"/>
        </w:rPr>
        <w:t xml:space="preserve">Zato predložene cjeline ne prate mehanički formalnu EU kodifikaciju, već </w:t>
      </w:r>
      <w:r w:rsidR="008C25F8" w:rsidRPr="006F5B1C">
        <w:rPr>
          <w:lang w:val="sr-Latn-ME"/>
        </w:rPr>
        <w:t>predstavljaju njeno funkcionalno prilagođavanje</w:t>
      </w:r>
      <w:r w:rsidRPr="006F5B1C">
        <w:rPr>
          <w:lang w:val="sr-Latn-ME"/>
        </w:rPr>
        <w:t xml:space="preserve"> crnogorskom kontekstu. Kao posebno važne izdvajaju se poslovni ambijent i regulatorni okvir, razvoj MSP i poslovnih usluga uz pristup finansijama, digitalizacija, inovacije i tehnološka modernizacija preduzeća, kao i zelena i industrijska transformacija privrede. Teritorijalna dimenzija podrške poslovanju obuhvaćena je kroz poslovnu infrastrukturu, regionalnu konkurentnost i dostupnost razvojne podrške, čime se EU kategorije prevode u cjeline koje su analitički primjerenije domaćim razvojnim okolnostima.</w:t>
      </w:r>
    </w:p>
    <w:p w14:paraId="43225BDA" w14:textId="6A409A1A" w:rsidR="00C17E79" w:rsidRPr="006F5B1C" w:rsidRDefault="00C17E79" w:rsidP="00C17E79">
      <w:pPr>
        <w:rPr>
          <w:lang w:val="sr-Latn-ME"/>
        </w:rPr>
      </w:pPr>
      <w:r w:rsidRPr="006F5B1C">
        <w:rPr>
          <w:lang w:val="sr-Latn-ME"/>
        </w:rPr>
        <w:t xml:space="preserve">Na toj osnovi, za prioritetno područje </w:t>
      </w:r>
      <w:r w:rsidR="008C25F8" w:rsidRPr="006F5B1C">
        <w:rPr>
          <w:lang w:val="sr-Latn-ME"/>
        </w:rPr>
        <w:t>„</w:t>
      </w:r>
      <w:r w:rsidRPr="006F5B1C">
        <w:rPr>
          <w:lang w:val="sr-Latn-ME"/>
        </w:rPr>
        <w:t>Podrška poslovanju</w:t>
      </w:r>
      <w:r w:rsidR="008C25F8" w:rsidRPr="006F5B1C">
        <w:rPr>
          <w:lang w:val="sr-Latn-ME"/>
        </w:rPr>
        <w:t>“</w:t>
      </w:r>
      <w:r w:rsidRPr="006F5B1C">
        <w:rPr>
          <w:lang w:val="sr-Latn-ME"/>
        </w:rPr>
        <w:t xml:space="preserve"> predlažu se sljedeće tematske cjeline:</w:t>
      </w:r>
    </w:p>
    <w:tbl>
      <w:tblPr>
        <w:tblStyle w:val="Svijetlatablicareetke1-isticanje4"/>
        <w:tblW w:w="5000" w:type="pct"/>
        <w:tblLook w:val="04A0" w:firstRow="1" w:lastRow="0" w:firstColumn="1" w:lastColumn="0" w:noHBand="0" w:noVBand="1"/>
      </w:tblPr>
      <w:tblGrid>
        <w:gridCol w:w="4531"/>
        <w:gridCol w:w="4531"/>
      </w:tblGrid>
      <w:tr w:rsidR="0021066E" w:rsidRPr="006F5B1C" w14:paraId="4B4FD3E9" w14:textId="77777777" w:rsidTr="00BC1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A00D1A1" w14:textId="77777777" w:rsidR="0021066E" w:rsidRPr="006F5B1C" w:rsidRDefault="0021066E" w:rsidP="005A142F">
            <w:pPr>
              <w:rPr>
                <w:b w:val="0"/>
                <w:sz w:val="20"/>
                <w:szCs w:val="20"/>
                <w:lang w:val="sr-Latn-ME"/>
              </w:rPr>
            </w:pPr>
            <w:r w:rsidRPr="006F5B1C">
              <w:rPr>
                <w:sz w:val="20"/>
                <w:szCs w:val="20"/>
                <w:lang w:val="sr-Latn-ME"/>
              </w:rPr>
              <w:t>Kod tematske cjeline</w:t>
            </w:r>
          </w:p>
        </w:tc>
        <w:tc>
          <w:tcPr>
            <w:tcW w:w="2500" w:type="pct"/>
          </w:tcPr>
          <w:p w14:paraId="0C76F98A" w14:textId="77777777" w:rsidR="0021066E" w:rsidRPr="006F5B1C" w:rsidRDefault="0021066E" w:rsidP="005A142F">
            <w:pPr>
              <w:cnfStyle w:val="100000000000" w:firstRow="1" w:lastRow="0" w:firstColumn="0" w:lastColumn="0" w:oddVBand="0" w:evenVBand="0" w:oddHBand="0" w:evenHBand="0" w:firstRowFirstColumn="0" w:firstRowLastColumn="0" w:lastRowFirstColumn="0" w:lastRowLastColumn="0"/>
              <w:rPr>
                <w:b w:val="0"/>
                <w:sz w:val="20"/>
                <w:szCs w:val="20"/>
                <w:lang w:val="sr-Latn-ME"/>
              </w:rPr>
            </w:pPr>
            <w:r w:rsidRPr="006F5B1C">
              <w:rPr>
                <w:sz w:val="20"/>
                <w:szCs w:val="20"/>
                <w:lang w:val="sr-Latn-ME"/>
              </w:rPr>
              <w:t>Naziv tematske cjeline</w:t>
            </w:r>
          </w:p>
        </w:tc>
      </w:tr>
      <w:tr w:rsidR="0021066E" w:rsidRPr="006F5B1C" w14:paraId="6A3F0558" w14:textId="77777777" w:rsidTr="00BC1999">
        <w:tc>
          <w:tcPr>
            <w:cnfStyle w:val="001000000000" w:firstRow="0" w:lastRow="0" w:firstColumn="1" w:lastColumn="0" w:oddVBand="0" w:evenVBand="0" w:oddHBand="0" w:evenHBand="0" w:firstRowFirstColumn="0" w:firstRowLastColumn="0" w:lastRowFirstColumn="0" w:lastRowLastColumn="0"/>
            <w:tcW w:w="2500" w:type="pct"/>
          </w:tcPr>
          <w:p w14:paraId="50817500" w14:textId="0A2DA605" w:rsidR="0021066E" w:rsidRPr="006F5B1C" w:rsidRDefault="008C25F8" w:rsidP="008C25F8">
            <w:pPr>
              <w:rPr>
                <w:sz w:val="20"/>
                <w:szCs w:val="20"/>
                <w:lang w:val="sr-Latn-ME"/>
              </w:rPr>
            </w:pPr>
            <w:r w:rsidRPr="006F5B1C">
              <w:rPr>
                <w:sz w:val="20"/>
                <w:szCs w:val="20"/>
                <w:lang w:val="sr-Latn-ME"/>
              </w:rPr>
              <w:t>3.</w:t>
            </w:r>
            <w:r w:rsidR="0021066E" w:rsidRPr="006F5B1C">
              <w:rPr>
                <w:sz w:val="20"/>
                <w:szCs w:val="20"/>
                <w:lang w:val="sr-Latn-ME"/>
              </w:rPr>
              <w:t>1</w:t>
            </w:r>
          </w:p>
        </w:tc>
        <w:tc>
          <w:tcPr>
            <w:tcW w:w="2500" w:type="pct"/>
          </w:tcPr>
          <w:p w14:paraId="1172554C" w14:textId="6B7E291E" w:rsidR="0021066E" w:rsidRPr="006F5B1C" w:rsidRDefault="008C25F8" w:rsidP="005A142F">
            <w:pPr>
              <w:cnfStyle w:val="000000000000" w:firstRow="0" w:lastRow="0" w:firstColumn="0" w:lastColumn="0" w:oddVBand="0" w:evenVBand="0" w:oddHBand="0" w:evenHBand="0" w:firstRowFirstColumn="0" w:firstRowLastColumn="0" w:lastRowFirstColumn="0" w:lastRowLastColumn="0"/>
              <w:rPr>
                <w:sz w:val="20"/>
                <w:szCs w:val="20"/>
                <w:lang w:val="sr-Latn-ME"/>
              </w:rPr>
            </w:pPr>
            <w:r w:rsidRPr="006F5B1C">
              <w:rPr>
                <w:sz w:val="20"/>
                <w:szCs w:val="20"/>
                <w:lang w:val="sr-Latn-ME"/>
              </w:rPr>
              <w:t>Reforma poslovnog ambijenta i regulatorni okvir</w:t>
            </w:r>
          </w:p>
        </w:tc>
      </w:tr>
      <w:tr w:rsidR="0021066E" w:rsidRPr="006F5B1C" w14:paraId="651EB7EB" w14:textId="77777777" w:rsidTr="00BC1999">
        <w:trPr>
          <w:trHeight w:val="256"/>
        </w:trPr>
        <w:tc>
          <w:tcPr>
            <w:cnfStyle w:val="001000000000" w:firstRow="0" w:lastRow="0" w:firstColumn="1" w:lastColumn="0" w:oddVBand="0" w:evenVBand="0" w:oddHBand="0" w:evenHBand="0" w:firstRowFirstColumn="0" w:firstRowLastColumn="0" w:lastRowFirstColumn="0" w:lastRowLastColumn="0"/>
            <w:tcW w:w="2500" w:type="pct"/>
          </w:tcPr>
          <w:p w14:paraId="0EBCFEC7" w14:textId="1446CCC2" w:rsidR="0021066E" w:rsidRPr="006F5B1C" w:rsidRDefault="008C25F8" w:rsidP="005A142F">
            <w:pPr>
              <w:rPr>
                <w:sz w:val="20"/>
                <w:szCs w:val="20"/>
                <w:lang w:val="sr-Latn-ME"/>
              </w:rPr>
            </w:pPr>
            <w:r w:rsidRPr="006F5B1C">
              <w:rPr>
                <w:sz w:val="20"/>
                <w:szCs w:val="20"/>
                <w:lang w:val="sr-Latn-ME"/>
              </w:rPr>
              <w:t>3.2</w:t>
            </w:r>
          </w:p>
        </w:tc>
        <w:tc>
          <w:tcPr>
            <w:tcW w:w="2500" w:type="pct"/>
          </w:tcPr>
          <w:p w14:paraId="0386CACC" w14:textId="036A2805" w:rsidR="0021066E" w:rsidRPr="006F5B1C" w:rsidRDefault="0B78DD6F" w:rsidP="008C25F8">
            <w:pPr>
              <w:cnfStyle w:val="000000000000" w:firstRow="0" w:lastRow="0" w:firstColumn="0" w:lastColumn="0" w:oddVBand="0" w:evenVBand="0" w:oddHBand="0" w:evenHBand="0" w:firstRowFirstColumn="0" w:firstRowLastColumn="0" w:lastRowFirstColumn="0" w:lastRowLastColumn="0"/>
              <w:rPr>
                <w:sz w:val="20"/>
                <w:szCs w:val="20"/>
                <w:lang w:val="sr-Latn-ME"/>
              </w:rPr>
            </w:pPr>
            <w:r w:rsidRPr="006F5B1C">
              <w:rPr>
                <w:sz w:val="20"/>
                <w:szCs w:val="20"/>
                <w:lang w:val="sr-Latn-ME"/>
              </w:rPr>
              <w:t xml:space="preserve">Poslovni razvoj, rast MSP i pristup </w:t>
            </w:r>
            <w:proofErr w:type="spellStart"/>
            <w:r w:rsidRPr="006F5B1C">
              <w:rPr>
                <w:sz w:val="20"/>
                <w:szCs w:val="20"/>
                <w:lang w:val="sr-Latn-ME"/>
              </w:rPr>
              <w:t>fnansijama</w:t>
            </w:r>
            <w:proofErr w:type="spellEnd"/>
          </w:p>
        </w:tc>
      </w:tr>
      <w:tr w:rsidR="008C25F8" w:rsidRPr="006F5B1C" w14:paraId="7480A2D0" w14:textId="77777777" w:rsidTr="00BC1999">
        <w:tc>
          <w:tcPr>
            <w:cnfStyle w:val="001000000000" w:firstRow="0" w:lastRow="0" w:firstColumn="1" w:lastColumn="0" w:oddVBand="0" w:evenVBand="0" w:oddHBand="0" w:evenHBand="0" w:firstRowFirstColumn="0" w:firstRowLastColumn="0" w:lastRowFirstColumn="0" w:lastRowLastColumn="0"/>
            <w:tcW w:w="2500" w:type="pct"/>
          </w:tcPr>
          <w:p w14:paraId="76998B6B" w14:textId="7B29F821" w:rsidR="008C25F8" w:rsidRPr="006F5B1C" w:rsidRDefault="008C25F8" w:rsidP="005A142F">
            <w:pPr>
              <w:rPr>
                <w:sz w:val="20"/>
                <w:szCs w:val="20"/>
                <w:lang w:val="sr-Latn-ME"/>
              </w:rPr>
            </w:pPr>
            <w:r w:rsidRPr="006F5B1C">
              <w:rPr>
                <w:sz w:val="20"/>
                <w:szCs w:val="20"/>
                <w:lang w:val="sr-Latn-ME"/>
              </w:rPr>
              <w:t>3.3</w:t>
            </w:r>
          </w:p>
        </w:tc>
        <w:tc>
          <w:tcPr>
            <w:tcW w:w="2500" w:type="pct"/>
          </w:tcPr>
          <w:p w14:paraId="7B869149" w14:textId="7EBEE6A0" w:rsidR="008C25F8" w:rsidRPr="006F5B1C" w:rsidRDefault="008C25F8" w:rsidP="005A142F">
            <w:pPr>
              <w:cnfStyle w:val="000000000000" w:firstRow="0" w:lastRow="0" w:firstColumn="0" w:lastColumn="0" w:oddVBand="0" w:evenVBand="0" w:oddHBand="0" w:evenHBand="0" w:firstRowFirstColumn="0" w:firstRowLastColumn="0" w:lastRowFirstColumn="0" w:lastRowLastColumn="0"/>
              <w:rPr>
                <w:sz w:val="20"/>
                <w:szCs w:val="20"/>
                <w:lang w:val="sr-Latn-ME"/>
              </w:rPr>
            </w:pPr>
            <w:r w:rsidRPr="006F5B1C">
              <w:rPr>
                <w:sz w:val="20"/>
                <w:szCs w:val="20"/>
                <w:lang w:val="sr-Latn-ME"/>
              </w:rPr>
              <w:t>Digitalizacija, inovacije i tehnološka ulaganja</w:t>
            </w:r>
          </w:p>
        </w:tc>
      </w:tr>
      <w:tr w:rsidR="008C25F8" w:rsidRPr="006F5B1C" w14:paraId="1E16C27C" w14:textId="77777777" w:rsidTr="00BC1999">
        <w:tc>
          <w:tcPr>
            <w:cnfStyle w:val="001000000000" w:firstRow="0" w:lastRow="0" w:firstColumn="1" w:lastColumn="0" w:oddVBand="0" w:evenVBand="0" w:oddHBand="0" w:evenHBand="0" w:firstRowFirstColumn="0" w:firstRowLastColumn="0" w:lastRowFirstColumn="0" w:lastRowLastColumn="0"/>
            <w:tcW w:w="2500" w:type="pct"/>
          </w:tcPr>
          <w:p w14:paraId="11F26FC4" w14:textId="1420F909" w:rsidR="008C25F8" w:rsidRPr="006F5B1C" w:rsidRDefault="008C25F8" w:rsidP="005A142F">
            <w:pPr>
              <w:rPr>
                <w:sz w:val="20"/>
                <w:szCs w:val="20"/>
                <w:lang w:val="sr-Latn-ME"/>
              </w:rPr>
            </w:pPr>
            <w:r w:rsidRPr="006F5B1C">
              <w:rPr>
                <w:sz w:val="20"/>
                <w:szCs w:val="20"/>
                <w:lang w:val="sr-Latn-ME"/>
              </w:rPr>
              <w:t>3.4</w:t>
            </w:r>
          </w:p>
        </w:tc>
        <w:tc>
          <w:tcPr>
            <w:tcW w:w="2500" w:type="pct"/>
          </w:tcPr>
          <w:p w14:paraId="1CB670EC" w14:textId="00A5950D" w:rsidR="008C25F8" w:rsidRPr="006F5B1C" w:rsidRDefault="008C25F8" w:rsidP="005A142F">
            <w:pPr>
              <w:cnfStyle w:val="000000000000" w:firstRow="0" w:lastRow="0" w:firstColumn="0" w:lastColumn="0" w:oddVBand="0" w:evenVBand="0" w:oddHBand="0" w:evenHBand="0" w:firstRowFirstColumn="0" w:firstRowLastColumn="0" w:lastRowFirstColumn="0" w:lastRowLastColumn="0"/>
              <w:rPr>
                <w:sz w:val="20"/>
                <w:szCs w:val="20"/>
                <w:lang w:val="sr-Latn-ME"/>
              </w:rPr>
            </w:pPr>
            <w:r w:rsidRPr="006F5B1C">
              <w:rPr>
                <w:sz w:val="20"/>
                <w:szCs w:val="20"/>
                <w:lang w:val="sr-Latn-ME"/>
              </w:rPr>
              <w:t xml:space="preserve">Zelena transformacija privrede: </w:t>
            </w:r>
            <w:proofErr w:type="spellStart"/>
            <w:r w:rsidRPr="006F5B1C">
              <w:rPr>
                <w:sz w:val="20"/>
                <w:szCs w:val="20"/>
                <w:lang w:val="sr-Latn-ME"/>
              </w:rPr>
              <w:t>dekarbonizacija</w:t>
            </w:r>
            <w:proofErr w:type="spellEnd"/>
            <w:r w:rsidRPr="006F5B1C">
              <w:rPr>
                <w:sz w:val="20"/>
                <w:szCs w:val="20"/>
                <w:lang w:val="sr-Latn-ME"/>
              </w:rPr>
              <w:t xml:space="preserve">, cirkularna ekonomija i </w:t>
            </w:r>
            <w:proofErr w:type="spellStart"/>
            <w:r w:rsidRPr="006F5B1C">
              <w:rPr>
                <w:sz w:val="20"/>
                <w:szCs w:val="20"/>
                <w:lang w:val="sr-Latn-ME"/>
              </w:rPr>
              <w:t>bioekonomija</w:t>
            </w:r>
            <w:proofErr w:type="spellEnd"/>
          </w:p>
        </w:tc>
      </w:tr>
      <w:tr w:rsidR="008C25F8" w:rsidRPr="006F5B1C" w14:paraId="45CEED68" w14:textId="77777777" w:rsidTr="00BC1999">
        <w:tc>
          <w:tcPr>
            <w:cnfStyle w:val="001000000000" w:firstRow="0" w:lastRow="0" w:firstColumn="1" w:lastColumn="0" w:oddVBand="0" w:evenVBand="0" w:oddHBand="0" w:evenHBand="0" w:firstRowFirstColumn="0" w:firstRowLastColumn="0" w:lastRowFirstColumn="0" w:lastRowLastColumn="0"/>
            <w:tcW w:w="2500" w:type="pct"/>
          </w:tcPr>
          <w:p w14:paraId="3324851A" w14:textId="4FFE893D" w:rsidR="008C25F8" w:rsidRPr="006F5B1C" w:rsidRDefault="008C25F8" w:rsidP="005A142F">
            <w:pPr>
              <w:rPr>
                <w:sz w:val="20"/>
                <w:szCs w:val="20"/>
                <w:lang w:val="sr-Latn-ME"/>
              </w:rPr>
            </w:pPr>
            <w:r w:rsidRPr="006F5B1C">
              <w:rPr>
                <w:sz w:val="20"/>
                <w:szCs w:val="20"/>
                <w:lang w:val="sr-Latn-ME"/>
              </w:rPr>
              <w:t>3.5</w:t>
            </w:r>
          </w:p>
        </w:tc>
        <w:tc>
          <w:tcPr>
            <w:tcW w:w="2500" w:type="pct"/>
          </w:tcPr>
          <w:p w14:paraId="1B13130F" w14:textId="1E421C06" w:rsidR="008C25F8" w:rsidRPr="006F5B1C" w:rsidRDefault="008C25F8" w:rsidP="005A142F">
            <w:pPr>
              <w:cnfStyle w:val="000000000000" w:firstRow="0" w:lastRow="0" w:firstColumn="0" w:lastColumn="0" w:oddVBand="0" w:evenVBand="0" w:oddHBand="0" w:evenHBand="0" w:firstRowFirstColumn="0" w:firstRowLastColumn="0" w:lastRowFirstColumn="0" w:lastRowLastColumn="0"/>
              <w:rPr>
                <w:sz w:val="20"/>
                <w:szCs w:val="20"/>
                <w:lang w:val="sr-Latn-ME"/>
              </w:rPr>
            </w:pPr>
            <w:r w:rsidRPr="006F5B1C">
              <w:rPr>
                <w:sz w:val="20"/>
                <w:szCs w:val="20"/>
                <w:lang w:val="sr-Latn-ME"/>
              </w:rPr>
              <w:t>Regionalna konkurentnost i teritorijalno usmjerena podrška poslovanju</w:t>
            </w:r>
          </w:p>
        </w:tc>
      </w:tr>
    </w:tbl>
    <w:p w14:paraId="66829AF8" w14:textId="77777777" w:rsidR="0021066E" w:rsidRPr="006F5B1C" w:rsidRDefault="0021066E" w:rsidP="0021066E">
      <w:pPr>
        <w:rPr>
          <w:lang w:val="sr-Latn-ME"/>
        </w:rPr>
      </w:pPr>
    </w:p>
    <w:p w14:paraId="654D3F11" w14:textId="72E3C120" w:rsidR="00B71B91" w:rsidRPr="006F5B1C" w:rsidRDefault="0B78DD6F" w:rsidP="0B78DD6F">
      <w:pPr>
        <w:rPr>
          <w:lang w:val="sr-Latn-ME"/>
        </w:rPr>
      </w:pPr>
      <w:r w:rsidRPr="006F5B1C">
        <w:rPr>
          <w:b/>
          <w:bCs/>
          <w:lang w:val="sr-Latn-ME"/>
        </w:rPr>
        <w:t xml:space="preserve">3.1 Reforma poslovnog ambijenta i regulatorni okvir </w:t>
      </w:r>
      <w:r w:rsidRPr="006F5B1C">
        <w:rPr>
          <w:lang w:val="sr-Latn-ME"/>
        </w:rPr>
        <w:t xml:space="preserve">obuhvata teme koje se odnose na pojednostavljenje procedura, uklanjanje poslovnih barijera, </w:t>
      </w:r>
      <w:proofErr w:type="spellStart"/>
      <w:r w:rsidRPr="006F5B1C">
        <w:rPr>
          <w:lang w:val="sr-Latn-ME"/>
        </w:rPr>
        <w:t>unapređenje</w:t>
      </w:r>
      <w:proofErr w:type="spellEnd"/>
      <w:r w:rsidRPr="006F5B1C">
        <w:rPr>
          <w:lang w:val="sr-Latn-ME"/>
        </w:rPr>
        <w:t xml:space="preserve"> zakonodavnog i institucionalnog okvira za konkurenciju i državnu pomoć, efikasniji katastar i prostorno planiranje, kao i transparentnije i konkurentnije javne nabavke. Ova cjelina odgovara potrebi da se poslovnom sektoru obezbijedi predvidiviji, efikasniji i transparentniji okvir poslovanja.</w:t>
      </w:r>
    </w:p>
    <w:p w14:paraId="4C4EC07A" w14:textId="69BF50AE" w:rsidR="00B71B91" w:rsidRPr="006F5B1C" w:rsidRDefault="008C25F8" w:rsidP="008C25F8">
      <w:pPr>
        <w:rPr>
          <w:lang w:val="sr-Latn-ME"/>
        </w:rPr>
      </w:pPr>
      <w:r w:rsidRPr="006F5B1C">
        <w:rPr>
          <w:b/>
          <w:lang w:val="sr-Latn-ME"/>
        </w:rPr>
        <w:t xml:space="preserve">3.2 </w:t>
      </w:r>
      <w:r w:rsidR="00B71B91" w:rsidRPr="006F5B1C">
        <w:rPr>
          <w:b/>
          <w:lang w:val="sr-Latn-ME"/>
        </w:rPr>
        <w:t>Poslovni razvoj, rast MSP i pristup finansijama</w:t>
      </w:r>
      <w:r w:rsidR="00B71B91" w:rsidRPr="006F5B1C">
        <w:rPr>
          <w:lang w:val="sr-Latn-ME"/>
        </w:rPr>
        <w:t xml:space="preserve"> obuhvata podršku razvoju</w:t>
      </w:r>
      <w:r w:rsidR="00A05E53" w:rsidRPr="006F5B1C">
        <w:rPr>
          <w:lang w:val="sr-Latn-ME"/>
        </w:rPr>
        <w:t>, rastu produktivnosti</w:t>
      </w:r>
      <w:r w:rsidR="00B71B91" w:rsidRPr="006F5B1C">
        <w:rPr>
          <w:lang w:val="sr-Latn-ME"/>
        </w:rPr>
        <w:t xml:space="preserve"> i konkurentnosti mikro, malih i srednjih preduzeća, </w:t>
      </w:r>
      <w:proofErr w:type="spellStart"/>
      <w:r w:rsidR="00B71B91" w:rsidRPr="006F5B1C">
        <w:rPr>
          <w:lang w:val="sr-Latn-ME"/>
        </w:rPr>
        <w:t>unapređenje</w:t>
      </w:r>
      <w:proofErr w:type="spellEnd"/>
      <w:r w:rsidR="00B71B91" w:rsidRPr="006F5B1C">
        <w:rPr>
          <w:lang w:val="sr-Latn-ME"/>
        </w:rPr>
        <w:t xml:space="preserve"> poslovnih usluga, internacionalizaciju, razvoj preduzetništva, kao i širenje pristupa finansiranju kroz razvojnu banku, kreditno-garantne mehanizme i druge instru</w:t>
      </w:r>
      <w:r w:rsidR="00D21E1E" w:rsidRPr="006F5B1C">
        <w:rPr>
          <w:lang w:val="sr-Latn-ME"/>
        </w:rPr>
        <w:t>mente finansijske podrške</w:t>
      </w:r>
      <w:r w:rsidR="00B71B91" w:rsidRPr="006F5B1C">
        <w:rPr>
          <w:lang w:val="sr-Latn-ME"/>
        </w:rPr>
        <w:t xml:space="preserve">. Ova cjelina </w:t>
      </w:r>
      <w:r w:rsidR="00B71B91" w:rsidRPr="006F5B1C">
        <w:rPr>
          <w:lang w:val="sr-Latn-ME"/>
        </w:rPr>
        <w:lastRenderedPageBreak/>
        <w:t>predstavlja jezgro prioritetnog područja Podrška poslovanju</w:t>
      </w:r>
      <w:r w:rsidR="00A05E53" w:rsidRPr="006F5B1C">
        <w:rPr>
          <w:lang w:val="sr-Latn-ME"/>
        </w:rPr>
        <w:t>, jer direktno povezuje podršku preduzećima sa rastom dodate vrijednosti, izvoznog potencijala i uključivanja u lance vrijednosti.</w:t>
      </w:r>
    </w:p>
    <w:p w14:paraId="033F529E" w14:textId="6B871566" w:rsidR="00B71B91" w:rsidRPr="006F5B1C" w:rsidRDefault="00D21E1E" w:rsidP="008C25F8">
      <w:pPr>
        <w:rPr>
          <w:lang w:val="sr-Latn-ME"/>
        </w:rPr>
      </w:pPr>
      <w:r w:rsidRPr="006F5B1C">
        <w:rPr>
          <w:b/>
          <w:lang w:val="sr-Latn-ME"/>
        </w:rPr>
        <w:t xml:space="preserve">3.3 </w:t>
      </w:r>
      <w:r w:rsidR="00B71B91" w:rsidRPr="006F5B1C">
        <w:rPr>
          <w:b/>
          <w:lang w:val="sr-Latn-ME"/>
        </w:rPr>
        <w:t>Digitalizacija, inovacije i tehnološka ulaganja</w:t>
      </w:r>
      <w:r w:rsidR="00B71B91" w:rsidRPr="006F5B1C">
        <w:rPr>
          <w:lang w:val="sr-Latn-ME"/>
        </w:rPr>
        <w:t xml:space="preserve"> obuhvata digitalnu transformaciju preduzeća, </w:t>
      </w:r>
      <w:proofErr w:type="spellStart"/>
      <w:r w:rsidR="00B71B91" w:rsidRPr="006F5B1C">
        <w:rPr>
          <w:lang w:val="sr-Latn-ME"/>
        </w:rPr>
        <w:t>unapređenje</w:t>
      </w:r>
      <w:proofErr w:type="spellEnd"/>
      <w:r w:rsidR="00B71B91" w:rsidRPr="006F5B1C">
        <w:rPr>
          <w:lang w:val="sr-Latn-ME"/>
        </w:rPr>
        <w:t xml:space="preserve"> inovacionog ekosistema, primjenu naprednih tehnologija, razvoj tehnoloških kapaciteta i saradnju između privrede, istraživačkih institucija i inov</w:t>
      </w:r>
      <w:r w:rsidRPr="006F5B1C">
        <w:rPr>
          <w:lang w:val="sr-Latn-ME"/>
        </w:rPr>
        <w:t>acionih struktura podrške</w:t>
      </w:r>
      <w:r w:rsidR="00B71B91" w:rsidRPr="006F5B1C">
        <w:rPr>
          <w:lang w:val="sr-Latn-ME"/>
        </w:rPr>
        <w:t xml:space="preserve">. Njeno izdvajanje opravdano je činjenicom da </w:t>
      </w:r>
      <w:proofErr w:type="spellStart"/>
      <w:r w:rsidR="00B71B91" w:rsidRPr="006F5B1C">
        <w:rPr>
          <w:lang w:val="sr-Latn-ME"/>
        </w:rPr>
        <w:t>savremena</w:t>
      </w:r>
      <w:proofErr w:type="spellEnd"/>
      <w:r w:rsidR="00B71B91" w:rsidRPr="006F5B1C">
        <w:rPr>
          <w:lang w:val="sr-Latn-ME"/>
        </w:rPr>
        <w:t xml:space="preserve"> poslovna podrška sve više zavisi od tehnološke modernizacije i kapaciteta privrede da usvaja inovacije.</w:t>
      </w:r>
    </w:p>
    <w:p w14:paraId="2F511D63" w14:textId="384CE35D" w:rsidR="00B71B91" w:rsidRPr="006F5B1C" w:rsidRDefault="00D21E1E" w:rsidP="008C25F8">
      <w:pPr>
        <w:rPr>
          <w:lang w:val="sr-Latn-ME"/>
        </w:rPr>
      </w:pPr>
      <w:r w:rsidRPr="006F5B1C">
        <w:rPr>
          <w:b/>
          <w:lang w:val="sr-Latn-ME"/>
        </w:rPr>
        <w:t xml:space="preserve">3.4 </w:t>
      </w:r>
      <w:r w:rsidR="00B71B91" w:rsidRPr="006F5B1C">
        <w:rPr>
          <w:b/>
          <w:lang w:val="sr-Latn-ME"/>
        </w:rPr>
        <w:t xml:space="preserve">Zelena transformacija privrede: </w:t>
      </w:r>
      <w:proofErr w:type="spellStart"/>
      <w:r w:rsidR="00B71B91" w:rsidRPr="006F5B1C">
        <w:rPr>
          <w:b/>
          <w:lang w:val="sr-Latn-ME"/>
        </w:rPr>
        <w:t>dekarbonizacija</w:t>
      </w:r>
      <w:proofErr w:type="spellEnd"/>
      <w:r w:rsidR="00B71B91" w:rsidRPr="006F5B1C">
        <w:rPr>
          <w:b/>
          <w:lang w:val="sr-Latn-ME"/>
        </w:rPr>
        <w:t xml:space="preserve">, cirkularna ekonomija i </w:t>
      </w:r>
      <w:proofErr w:type="spellStart"/>
      <w:r w:rsidR="00B71B91" w:rsidRPr="006F5B1C">
        <w:rPr>
          <w:b/>
          <w:lang w:val="sr-Latn-ME"/>
        </w:rPr>
        <w:t>bioekonomija</w:t>
      </w:r>
      <w:proofErr w:type="spellEnd"/>
      <w:r w:rsidR="00B71B91" w:rsidRPr="006F5B1C">
        <w:rPr>
          <w:lang w:val="sr-Latn-ME"/>
        </w:rPr>
        <w:t xml:space="preserve"> </w:t>
      </w:r>
      <w:proofErr w:type="spellStart"/>
      <w:r w:rsidR="00B71B91" w:rsidRPr="006F5B1C">
        <w:rPr>
          <w:lang w:val="sr-Latn-ME"/>
        </w:rPr>
        <w:t>objedinjavа</w:t>
      </w:r>
      <w:proofErr w:type="spellEnd"/>
      <w:r w:rsidR="00B71B91" w:rsidRPr="006F5B1C">
        <w:rPr>
          <w:lang w:val="sr-Latn-ME"/>
        </w:rPr>
        <w:t xml:space="preserve"> intervencije koje se odnose na smanjenje emisija, jačanje </w:t>
      </w:r>
      <w:proofErr w:type="spellStart"/>
      <w:r w:rsidR="00B71B91" w:rsidRPr="006F5B1C">
        <w:rPr>
          <w:lang w:val="sr-Latn-ME"/>
        </w:rPr>
        <w:t>resursne</w:t>
      </w:r>
      <w:proofErr w:type="spellEnd"/>
      <w:r w:rsidR="00B71B91" w:rsidRPr="006F5B1C">
        <w:rPr>
          <w:lang w:val="sr-Latn-ME"/>
        </w:rPr>
        <w:t xml:space="preserve"> efikasnosti, razvoj cirkularnih modela poslovanja, </w:t>
      </w:r>
      <w:proofErr w:type="spellStart"/>
      <w:r w:rsidR="00B71B91" w:rsidRPr="006F5B1C">
        <w:rPr>
          <w:lang w:val="sr-Latn-ME"/>
        </w:rPr>
        <w:t>bioekonomiju</w:t>
      </w:r>
      <w:proofErr w:type="spellEnd"/>
      <w:r w:rsidR="00B71B91" w:rsidRPr="006F5B1C">
        <w:rPr>
          <w:lang w:val="sr-Latn-ME"/>
        </w:rPr>
        <w:t xml:space="preserve"> i održiv</w:t>
      </w:r>
      <w:r w:rsidRPr="006F5B1C">
        <w:rPr>
          <w:lang w:val="sr-Latn-ME"/>
        </w:rPr>
        <w:t>ije industrijske procese</w:t>
      </w:r>
      <w:r w:rsidR="00B71B91" w:rsidRPr="006F5B1C">
        <w:rPr>
          <w:lang w:val="sr-Latn-ME"/>
        </w:rPr>
        <w:t>. Ova cjelina proističe iz sve snažnijeg povezivanja poslovne konkurentnosti sa zelenom tranzicijom i klimatskom otpornošću.</w:t>
      </w:r>
    </w:p>
    <w:p w14:paraId="3CD4396F" w14:textId="78BB439E" w:rsidR="00B71B91" w:rsidRPr="006F5B1C" w:rsidRDefault="00D21E1E" w:rsidP="008C25F8">
      <w:pPr>
        <w:rPr>
          <w:lang w:val="sr-Latn-ME"/>
        </w:rPr>
      </w:pPr>
      <w:r w:rsidRPr="006F5B1C">
        <w:rPr>
          <w:b/>
          <w:lang w:val="sr-Latn-ME"/>
        </w:rPr>
        <w:t xml:space="preserve">3.5 </w:t>
      </w:r>
      <w:r w:rsidR="00B71B91" w:rsidRPr="006F5B1C">
        <w:rPr>
          <w:b/>
          <w:lang w:val="sr-Latn-ME"/>
        </w:rPr>
        <w:t>Regionalna konkurentnost i teritorijalno usmjerena podrška poslovanju</w:t>
      </w:r>
      <w:r w:rsidR="00B71B91" w:rsidRPr="006F5B1C">
        <w:rPr>
          <w:lang w:val="sr-Latn-ME"/>
        </w:rPr>
        <w:t xml:space="preserve"> obuhvata poslovnu infrastrukturu, teritorijalne razlike u konkurentnosti, podršku manje razvijenim opštinama i jačanje razvojnih kapaciteta regiona, naročito onih sa nižim nivoom privredne aktivnosti</w:t>
      </w:r>
      <w:r w:rsidRPr="006F5B1C">
        <w:rPr>
          <w:lang w:val="sr-Latn-ME"/>
        </w:rPr>
        <w:t xml:space="preserve"> i investicione atraktivnosti</w:t>
      </w:r>
      <w:r w:rsidR="00B71B91" w:rsidRPr="006F5B1C">
        <w:rPr>
          <w:lang w:val="sr-Latn-ME"/>
        </w:rPr>
        <w:t>. U crnogorskom kontekstu, ova cjelina je posebno važna kako bi podrška poslovanju imala uravnotežen teritorijalni efekat i doprinijela smanjenju regionalnih razvojnih dispariteta.</w:t>
      </w:r>
    </w:p>
    <w:p w14:paraId="2DBA5828" w14:textId="5D1F3D28" w:rsidR="00B71B91" w:rsidRPr="006F5B1C" w:rsidRDefault="00B71B91" w:rsidP="00D21E1E">
      <w:pPr>
        <w:rPr>
          <w:lang w:val="sr-Latn-ME"/>
        </w:rPr>
      </w:pPr>
      <w:r w:rsidRPr="006F5B1C">
        <w:rPr>
          <w:lang w:val="sr-Latn-ME"/>
        </w:rPr>
        <w:t>Ukupno posmatrano, predložene tematske cjeline omogućavaju da se prioritetno područje Podrška poslovanju razradi na način koji je istovremeno usklađen sa EU logikom intervencija i sa domaćim razvojnim potrebama. One pružaju jasan okvir za dalju razradu razvojnih izazova, identifikaciju potreba i oblikovanje mjera u okviru strateško-plan</w:t>
      </w:r>
      <w:r w:rsidR="00D21E1E" w:rsidRPr="006F5B1C">
        <w:rPr>
          <w:lang w:val="sr-Latn-ME"/>
        </w:rPr>
        <w:t>skog dokumenta.</w:t>
      </w:r>
    </w:p>
    <w:p w14:paraId="013422D1" w14:textId="00898339" w:rsidR="00477D6D" w:rsidRPr="006F5B1C" w:rsidRDefault="00477D6D" w:rsidP="00D21E1E">
      <w:pPr>
        <w:rPr>
          <w:lang w:val="sr-Latn-ME"/>
        </w:rPr>
      </w:pPr>
      <w:r w:rsidRPr="006F5B1C">
        <w:rPr>
          <w:lang w:val="sr-Latn-ME"/>
        </w:rPr>
        <w:t xml:space="preserve">U okviru regionalne konkurentnosti posebno je važno sagledati potrebe mikro i malih preduzeća, kao i malih poljoprivrednih gazdinstava u udaljenim i manje razvijenim područjima, gdje geografska izolovanost, ograničena poslovna infrastruktura, slabija digitalna povezanost i nedovoljna tržišna integracija dodatno ograničavaju razvoj lokalne ekonomije. Imajući u vidu prirodne resurse, visok </w:t>
      </w:r>
      <w:proofErr w:type="spellStart"/>
      <w:r w:rsidRPr="006F5B1C">
        <w:rPr>
          <w:lang w:val="sr-Latn-ME"/>
        </w:rPr>
        <w:t>udio</w:t>
      </w:r>
      <w:proofErr w:type="spellEnd"/>
      <w:r w:rsidRPr="006F5B1C">
        <w:rPr>
          <w:lang w:val="sr-Latn-ME"/>
        </w:rPr>
        <w:t xml:space="preserve"> šumskog pokrivača i poljoprivredni potencijal, postoji prostor za snažnije povezivanje regionalne konkurentnosti sa </w:t>
      </w:r>
      <w:proofErr w:type="spellStart"/>
      <w:r w:rsidRPr="006F5B1C">
        <w:rPr>
          <w:lang w:val="sr-Latn-ME"/>
        </w:rPr>
        <w:t>bioekonomijom</w:t>
      </w:r>
      <w:proofErr w:type="spellEnd"/>
      <w:r w:rsidRPr="006F5B1C">
        <w:rPr>
          <w:lang w:val="sr-Latn-ME"/>
        </w:rPr>
        <w:t xml:space="preserve">, razvojem lokalnih lanaca vrijednosti i podrškom modelima kao što su </w:t>
      </w:r>
      <w:proofErr w:type="spellStart"/>
      <w:r w:rsidRPr="006F5B1C">
        <w:rPr>
          <w:lang w:val="sr-Latn-ME"/>
        </w:rPr>
        <w:t>agroinkubatori</w:t>
      </w:r>
      <w:proofErr w:type="spellEnd"/>
      <w:r w:rsidRPr="006F5B1C">
        <w:rPr>
          <w:lang w:val="sr-Latn-ME"/>
        </w:rPr>
        <w:t>, digitalne platforme za povezivanje proizvođača sa tržištem i savjetodavne usluge za zelenu i digitalnu transformaciju mikro-subjekata.</w:t>
      </w:r>
    </w:p>
    <w:p w14:paraId="3777CC6E" w14:textId="78624CA9" w:rsidR="00F579F5" w:rsidRPr="006F5B1C" w:rsidRDefault="009B09EF" w:rsidP="0021066E">
      <w:pPr>
        <w:pStyle w:val="Naslov2"/>
        <w:rPr>
          <w:lang w:val="sr-Latn-ME"/>
        </w:rPr>
      </w:pPr>
      <w:r w:rsidRPr="006F5B1C">
        <w:rPr>
          <w:lang w:val="sr-Latn-ME"/>
        </w:rPr>
        <w:t>L</w:t>
      </w:r>
      <w:r w:rsidR="0021066E" w:rsidRPr="006F5B1C">
        <w:rPr>
          <w:lang w:val="sr-Latn-ME"/>
        </w:rPr>
        <w:t>ista razvojnih izazova</w:t>
      </w:r>
    </w:p>
    <w:tbl>
      <w:tblPr>
        <w:tblStyle w:val="ivopisnatablicareetke6-isticanje4"/>
        <w:tblW w:w="5000" w:type="pct"/>
        <w:tblLayout w:type="fixed"/>
        <w:tblLook w:val="04A0" w:firstRow="1" w:lastRow="0" w:firstColumn="1" w:lastColumn="0" w:noHBand="0" w:noVBand="1"/>
      </w:tblPr>
      <w:tblGrid>
        <w:gridCol w:w="704"/>
        <w:gridCol w:w="993"/>
        <w:gridCol w:w="1843"/>
        <w:gridCol w:w="5522"/>
      </w:tblGrid>
      <w:tr w:rsidR="00F415F5" w:rsidRPr="006F5B1C" w14:paraId="666BB034" w14:textId="77777777" w:rsidTr="00F415F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158FD9BC" w14:textId="1837658D" w:rsidR="00F415F5" w:rsidRPr="006F5B1C" w:rsidRDefault="00F415F5" w:rsidP="00F415F5">
            <w:pPr>
              <w:jc w:val="lef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R.br.</w:t>
            </w:r>
          </w:p>
        </w:tc>
        <w:tc>
          <w:tcPr>
            <w:tcW w:w="548" w:type="pct"/>
            <w:noWrap/>
            <w:hideMark/>
          </w:tcPr>
          <w:p w14:paraId="4AA0ADA7" w14:textId="16999854" w:rsidR="00F415F5" w:rsidRPr="006F5B1C" w:rsidRDefault="00F415F5" w:rsidP="00F415F5">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Kod razvojnog izazova</w:t>
            </w:r>
          </w:p>
        </w:tc>
        <w:tc>
          <w:tcPr>
            <w:tcW w:w="1017" w:type="pct"/>
            <w:noWrap/>
            <w:hideMark/>
          </w:tcPr>
          <w:p w14:paraId="1132CDE4" w14:textId="77777777" w:rsidR="00F415F5" w:rsidRPr="006F5B1C" w:rsidRDefault="00F415F5" w:rsidP="00F415F5">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Naziv razvojnog izazova</w:t>
            </w:r>
          </w:p>
        </w:tc>
        <w:tc>
          <w:tcPr>
            <w:tcW w:w="3047" w:type="pct"/>
            <w:noWrap/>
            <w:hideMark/>
          </w:tcPr>
          <w:p w14:paraId="65115EB8" w14:textId="77777777" w:rsidR="00F415F5" w:rsidRPr="006F5B1C" w:rsidRDefault="00F415F5" w:rsidP="00F415F5">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Obrazloženje</w:t>
            </w:r>
          </w:p>
        </w:tc>
      </w:tr>
      <w:tr w:rsidR="00F415F5" w:rsidRPr="006F5B1C" w14:paraId="3E003E28"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4C53A24B"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01</w:t>
            </w:r>
          </w:p>
        </w:tc>
        <w:tc>
          <w:tcPr>
            <w:tcW w:w="548" w:type="pct"/>
            <w:noWrap/>
            <w:hideMark/>
          </w:tcPr>
          <w:p w14:paraId="3F85E433"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PA03-01</w:t>
            </w:r>
          </w:p>
        </w:tc>
        <w:tc>
          <w:tcPr>
            <w:tcW w:w="1017" w:type="pct"/>
            <w:noWrap/>
            <w:hideMark/>
          </w:tcPr>
          <w:p w14:paraId="0E9040E9"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Složeno i promjenljivo regulatorno okruženje za poslovanje</w:t>
            </w:r>
          </w:p>
        </w:tc>
        <w:tc>
          <w:tcPr>
            <w:tcW w:w="3047" w:type="pct"/>
            <w:noWrap/>
            <w:hideMark/>
          </w:tcPr>
          <w:p w14:paraId="4F16EFF4"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Poslovanje je i dalje opterećeno čestim regulatornim promjenama, složenim procedurama i neravnomjernom primjenom propisa, što povećava troškove usklađivanja, smanjuje </w:t>
            </w:r>
            <w:proofErr w:type="spellStart"/>
            <w:r w:rsidRPr="006F5B1C">
              <w:rPr>
                <w:rFonts w:ascii="Aptos Narrow" w:eastAsia="Times New Roman" w:hAnsi="Aptos Narrow" w:cs="Times New Roman"/>
                <w:color w:val="000000"/>
                <w:sz w:val="16"/>
                <w:szCs w:val="16"/>
                <w:lang w:val="sr-Latn-ME" w:eastAsia="en-GB"/>
                <w14:ligatures w14:val="none"/>
              </w:rPr>
              <w:t>predvidivost</w:t>
            </w:r>
            <w:proofErr w:type="spellEnd"/>
            <w:r w:rsidRPr="006F5B1C">
              <w:rPr>
                <w:rFonts w:ascii="Aptos Narrow" w:eastAsia="Times New Roman" w:hAnsi="Aptos Narrow" w:cs="Times New Roman"/>
                <w:color w:val="000000"/>
                <w:sz w:val="16"/>
                <w:szCs w:val="16"/>
                <w:lang w:val="sr-Latn-ME" w:eastAsia="en-GB"/>
                <w14:ligatures w14:val="none"/>
              </w:rPr>
              <w:t xml:space="preserve"> i usporava investicione odluke. Dodatni izazov </w:t>
            </w:r>
            <w:r w:rsidRPr="006F5B1C">
              <w:rPr>
                <w:rFonts w:ascii="Aptos Narrow" w:eastAsia="Times New Roman" w:hAnsi="Aptos Narrow" w:cs="Times New Roman"/>
                <w:color w:val="000000"/>
                <w:sz w:val="16"/>
                <w:szCs w:val="16"/>
                <w:lang w:val="sr-Latn-ME" w:eastAsia="en-GB"/>
                <w14:ligatures w14:val="none"/>
              </w:rPr>
              <w:lastRenderedPageBreak/>
              <w:t>predstavlja rizik da reformski propisi budu nedovoljno usklađeni sa sektorskim zakonodavstvom, podzakonskim aktima i realnim kapacitetima za primjenu, naročito na lokalnom nivou, što može dovesti do pravne nesigurnosti, preklapanja nadležnosti i odlaganja primjene zakona.</w:t>
            </w:r>
          </w:p>
        </w:tc>
      </w:tr>
      <w:tr w:rsidR="00F415F5" w:rsidRPr="006F5B1C" w14:paraId="00ED8E0A"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2A5D4831"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lastRenderedPageBreak/>
              <w:t>02</w:t>
            </w:r>
          </w:p>
        </w:tc>
        <w:tc>
          <w:tcPr>
            <w:tcW w:w="548" w:type="pct"/>
            <w:noWrap/>
            <w:hideMark/>
          </w:tcPr>
          <w:p w14:paraId="57A75A77"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PA03-02</w:t>
            </w:r>
          </w:p>
        </w:tc>
        <w:tc>
          <w:tcPr>
            <w:tcW w:w="1017" w:type="pct"/>
            <w:noWrap/>
            <w:hideMark/>
          </w:tcPr>
          <w:p w14:paraId="4A4658D4"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Nedovoljna efikasnost administrativnih procedura i usluga za privredu</w:t>
            </w:r>
          </w:p>
        </w:tc>
        <w:tc>
          <w:tcPr>
            <w:tcW w:w="3047" w:type="pct"/>
            <w:noWrap/>
            <w:hideMark/>
          </w:tcPr>
          <w:p w14:paraId="07CA8F71"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Dio administrativnih postupaka i dalje je spor, </w:t>
            </w:r>
            <w:proofErr w:type="spellStart"/>
            <w:r w:rsidRPr="006F5B1C">
              <w:rPr>
                <w:rFonts w:ascii="Aptos Narrow" w:eastAsia="Times New Roman" w:hAnsi="Aptos Narrow" w:cs="Times New Roman"/>
                <w:color w:val="000000"/>
                <w:sz w:val="16"/>
                <w:szCs w:val="16"/>
                <w:lang w:val="sr-Latn-ME" w:eastAsia="en-GB"/>
                <w14:ligatures w14:val="none"/>
              </w:rPr>
              <w:t>fragmentisan</w:t>
            </w:r>
            <w:proofErr w:type="spellEnd"/>
            <w:r w:rsidRPr="006F5B1C">
              <w:rPr>
                <w:rFonts w:ascii="Aptos Narrow" w:eastAsia="Times New Roman" w:hAnsi="Aptos Narrow" w:cs="Times New Roman"/>
                <w:color w:val="000000"/>
                <w:sz w:val="16"/>
                <w:szCs w:val="16"/>
                <w:lang w:val="sr-Latn-ME" w:eastAsia="en-GB"/>
                <w14:ligatures w14:val="none"/>
              </w:rPr>
              <w:t xml:space="preserve"> i zahtijeva više koraka i institucija, što povećava administrativno opterećenje, posebno za MSP i nove investitore. Dodatni izazov predstavlja nedovoljno razvijen sistem </w:t>
            </w:r>
            <w:proofErr w:type="spellStart"/>
            <w:r w:rsidRPr="006F5B1C">
              <w:rPr>
                <w:rFonts w:ascii="Aptos Narrow" w:eastAsia="Times New Roman" w:hAnsi="Aptos Narrow" w:cs="Times New Roman"/>
                <w:color w:val="000000"/>
                <w:sz w:val="16"/>
                <w:szCs w:val="16"/>
                <w:lang w:val="sr-Latn-ME" w:eastAsia="en-GB"/>
                <w14:ligatures w14:val="none"/>
              </w:rPr>
              <w:t>postinvesticione</w:t>
            </w:r>
            <w:proofErr w:type="spellEnd"/>
            <w:r w:rsidRPr="006F5B1C">
              <w:rPr>
                <w:rFonts w:ascii="Aptos Narrow" w:eastAsia="Times New Roman" w:hAnsi="Aptos Narrow" w:cs="Times New Roman"/>
                <w:color w:val="000000"/>
                <w:sz w:val="16"/>
                <w:szCs w:val="16"/>
                <w:lang w:val="sr-Latn-ME" w:eastAsia="en-GB"/>
                <w14:ligatures w14:val="none"/>
              </w:rPr>
              <w:t xml:space="preserve">, odnosno </w:t>
            </w:r>
            <w:proofErr w:type="spellStart"/>
            <w:r w:rsidRPr="006F5B1C">
              <w:rPr>
                <w:rFonts w:ascii="Aptos Narrow" w:eastAsia="Times New Roman" w:hAnsi="Aptos Narrow" w:cs="Times New Roman"/>
                <w:color w:val="000000"/>
                <w:sz w:val="16"/>
                <w:szCs w:val="16"/>
                <w:lang w:val="sr-Latn-ME" w:eastAsia="en-GB"/>
                <w14:ligatures w14:val="none"/>
              </w:rPr>
              <w:t>after</w:t>
            </w:r>
            <w:proofErr w:type="spellEnd"/>
            <w:r w:rsidRPr="006F5B1C">
              <w:rPr>
                <w:rFonts w:ascii="Aptos Narrow" w:eastAsia="Times New Roman" w:hAnsi="Aptos Narrow" w:cs="Times New Roman"/>
                <w:color w:val="000000"/>
                <w:sz w:val="16"/>
                <w:szCs w:val="16"/>
                <w:lang w:val="sr-Latn-ME" w:eastAsia="en-GB"/>
                <w14:ligatures w14:val="none"/>
              </w:rPr>
              <w:t xml:space="preserve">-care podrške investitorima, uključujući praćenje potreba nakon realizacije ulaganja i koordinisano otklanjanje </w:t>
            </w:r>
            <w:proofErr w:type="spellStart"/>
            <w:r w:rsidRPr="006F5B1C">
              <w:rPr>
                <w:rFonts w:ascii="Aptos Narrow" w:eastAsia="Times New Roman" w:hAnsi="Aptos Narrow" w:cs="Times New Roman"/>
                <w:color w:val="000000"/>
                <w:sz w:val="16"/>
                <w:szCs w:val="16"/>
                <w:lang w:val="sr-Latn-ME" w:eastAsia="en-GB"/>
                <w14:ligatures w14:val="none"/>
              </w:rPr>
              <w:t>prepreka</w:t>
            </w:r>
            <w:proofErr w:type="spellEnd"/>
            <w:r w:rsidRPr="006F5B1C">
              <w:rPr>
                <w:rFonts w:ascii="Aptos Narrow" w:eastAsia="Times New Roman" w:hAnsi="Aptos Narrow" w:cs="Times New Roman"/>
                <w:color w:val="000000"/>
                <w:sz w:val="16"/>
                <w:szCs w:val="16"/>
                <w:lang w:val="sr-Latn-ME" w:eastAsia="en-GB"/>
                <w14:ligatures w14:val="none"/>
              </w:rPr>
              <w:t xml:space="preserve"> u daljem poslovanju.</w:t>
            </w:r>
          </w:p>
        </w:tc>
      </w:tr>
      <w:tr w:rsidR="00F415F5" w:rsidRPr="006F5B1C" w14:paraId="7326E298"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346EBAA6"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03</w:t>
            </w:r>
          </w:p>
        </w:tc>
        <w:tc>
          <w:tcPr>
            <w:tcW w:w="548" w:type="pct"/>
            <w:noWrap/>
            <w:hideMark/>
          </w:tcPr>
          <w:p w14:paraId="16FB41CF"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PA03-03</w:t>
            </w:r>
          </w:p>
        </w:tc>
        <w:tc>
          <w:tcPr>
            <w:tcW w:w="1017" w:type="pct"/>
            <w:noWrap/>
            <w:hideMark/>
          </w:tcPr>
          <w:p w14:paraId="40185676"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Ograničena pravna sigurnost ulaganja u prostoru i imovinsko-pravnim odnosima</w:t>
            </w:r>
          </w:p>
        </w:tc>
        <w:tc>
          <w:tcPr>
            <w:tcW w:w="3047" w:type="pct"/>
            <w:noWrap/>
            <w:hideMark/>
          </w:tcPr>
          <w:p w14:paraId="00B9CE2A"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Složenost prostornih procedura, neujednačena ažurnost podataka i dugotrajno rješavanje imovinsko-pravnih pitanja otežavaju pripremu i realizaciju investicija.</w:t>
            </w:r>
          </w:p>
        </w:tc>
      </w:tr>
      <w:tr w:rsidR="00F415F5" w:rsidRPr="006F5B1C" w14:paraId="216BE040"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35CFCA0C"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04</w:t>
            </w:r>
          </w:p>
        </w:tc>
        <w:tc>
          <w:tcPr>
            <w:tcW w:w="548" w:type="pct"/>
            <w:noWrap/>
            <w:hideMark/>
          </w:tcPr>
          <w:p w14:paraId="7F86F1DE"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PA03-04</w:t>
            </w:r>
          </w:p>
        </w:tc>
        <w:tc>
          <w:tcPr>
            <w:tcW w:w="1017" w:type="pct"/>
            <w:noWrap/>
            <w:hideMark/>
          </w:tcPr>
          <w:p w14:paraId="76F9C4BC"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Nedovoljno djelotvoran nadzor tržišta i inspekcijski okvir</w:t>
            </w:r>
          </w:p>
        </w:tc>
        <w:tc>
          <w:tcPr>
            <w:tcW w:w="3047" w:type="pct"/>
            <w:noWrap/>
            <w:hideMark/>
          </w:tcPr>
          <w:p w14:paraId="66FD607F"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Inspekcijski i kontrolni mehanizmi još ne obezbjeđuju dovoljno ujednačenu primjenu pravila ni dovoljno snažan efekat na suzbijanje neformalne ekonomije i nelojalne konkurencije.</w:t>
            </w:r>
          </w:p>
        </w:tc>
      </w:tr>
      <w:tr w:rsidR="00F415F5" w:rsidRPr="006F5B1C" w14:paraId="03DFB7BB"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4286B13F"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05</w:t>
            </w:r>
          </w:p>
        </w:tc>
        <w:tc>
          <w:tcPr>
            <w:tcW w:w="548" w:type="pct"/>
            <w:noWrap/>
            <w:hideMark/>
          </w:tcPr>
          <w:p w14:paraId="444A87FE"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PA03-05</w:t>
            </w:r>
          </w:p>
        </w:tc>
        <w:tc>
          <w:tcPr>
            <w:tcW w:w="1017" w:type="pct"/>
            <w:noWrap/>
            <w:hideMark/>
          </w:tcPr>
          <w:p w14:paraId="7A4FE766"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Ograničena konkurencija i tržišne distorzije u pojedinim segmentima privrede</w:t>
            </w:r>
          </w:p>
        </w:tc>
        <w:tc>
          <w:tcPr>
            <w:tcW w:w="3047" w:type="pct"/>
            <w:noWrap/>
            <w:hideMark/>
          </w:tcPr>
          <w:p w14:paraId="666D22DF"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U pojedinim djelatnostima tržišni uslovi nijesu dovoljno konkurentni zbog regulatornih barijera, neujednačenih uslova poslovanja i prisutnih distorzija, što utiče na efikasnost i produktivnost.</w:t>
            </w:r>
          </w:p>
        </w:tc>
      </w:tr>
      <w:tr w:rsidR="00F415F5" w:rsidRPr="006F5B1C" w14:paraId="62D4E1C3"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389837EF"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06</w:t>
            </w:r>
          </w:p>
        </w:tc>
        <w:tc>
          <w:tcPr>
            <w:tcW w:w="548" w:type="pct"/>
            <w:noWrap/>
            <w:hideMark/>
          </w:tcPr>
          <w:p w14:paraId="42A68BBD"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PA03-06</w:t>
            </w:r>
          </w:p>
        </w:tc>
        <w:tc>
          <w:tcPr>
            <w:tcW w:w="1017" w:type="pct"/>
            <w:noWrap/>
            <w:hideMark/>
          </w:tcPr>
          <w:p w14:paraId="0A4BA92E"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Nedovoljna </w:t>
            </w:r>
            <w:proofErr w:type="spellStart"/>
            <w:r w:rsidRPr="006F5B1C">
              <w:rPr>
                <w:rFonts w:ascii="Aptos Narrow" w:eastAsia="Times New Roman" w:hAnsi="Aptos Narrow" w:cs="Times New Roman"/>
                <w:color w:val="000000"/>
                <w:sz w:val="16"/>
                <w:szCs w:val="16"/>
                <w:lang w:val="sr-Latn-ME" w:eastAsia="en-GB"/>
                <w14:ligatures w14:val="none"/>
              </w:rPr>
              <w:t>predvidivost</w:t>
            </w:r>
            <w:proofErr w:type="spellEnd"/>
            <w:r w:rsidRPr="006F5B1C">
              <w:rPr>
                <w:rFonts w:ascii="Aptos Narrow" w:eastAsia="Times New Roman" w:hAnsi="Aptos Narrow" w:cs="Times New Roman"/>
                <w:color w:val="000000"/>
                <w:sz w:val="16"/>
                <w:szCs w:val="16"/>
                <w:lang w:val="sr-Latn-ME" w:eastAsia="en-GB"/>
                <w14:ligatures w14:val="none"/>
              </w:rPr>
              <w:t xml:space="preserve"> i koherentnost ekonomskih politika za privredu</w:t>
            </w:r>
          </w:p>
        </w:tc>
        <w:tc>
          <w:tcPr>
            <w:tcW w:w="3047" w:type="pct"/>
            <w:noWrap/>
            <w:hideMark/>
          </w:tcPr>
          <w:p w14:paraId="13A6032F"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Privreda i investitori i dalje se suočavaju sa ograničenom </w:t>
            </w:r>
            <w:proofErr w:type="spellStart"/>
            <w:r w:rsidRPr="006F5B1C">
              <w:rPr>
                <w:rFonts w:ascii="Aptos Narrow" w:eastAsia="Times New Roman" w:hAnsi="Aptos Narrow" w:cs="Times New Roman"/>
                <w:color w:val="000000"/>
                <w:sz w:val="16"/>
                <w:szCs w:val="16"/>
                <w:lang w:val="sr-Latn-ME" w:eastAsia="en-GB"/>
                <w14:ligatures w14:val="none"/>
              </w:rPr>
              <w:t>predvidivošću</w:t>
            </w:r>
            <w:proofErr w:type="spellEnd"/>
            <w:r w:rsidRPr="006F5B1C">
              <w:rPr>
                <w:rFonts w:ascii="Aptos Narrow" w:eastAsia="Times New Roman" w:hAnsi="Aptos Narrow" w:cs="Times New Roman"/>
                <w:color w:val="000000"/>
                <w:sz w:val="16"/>
                <w:szCs w:val="16"/>
                <w:lang w:val="sr-Latn-ME" w:eastAsia="en-GB"/>
                <w14:ligatures w14:val="none"/>
              </w:rPr>
              <w:t xml:space="preserve"> srednjoročnog regulatornog i poreskog okvira, što smanjuje investicionu sigurnost i otežava dugoročno poslovno planiranje. Nedovoljna prethodna analiza efekata propisa, uključujući procjenu njihove </w:t>
            </w:r>
            <w:proofErr w:type="spellStart"/>
            <w:r w:rsidRPr="006F5B1C">
              <w:rPr>
                <w:rFonts w:ascii="Aptos Narrow" w:eastAsia="Times New Roman" w:hAnsi="Aptos Narrow" w:cs="Times New Roman"/>
                <w:color w:val="000000"/>
                <w:sz w:val="16"/>
                <w:szCs w:val="16"/>
                <w:lang w:val="sr-Latn-ME" w:eastAsia="en-GB"/>
                <w14:ligatures w14:val="none"/>
              </w:rPr>
              <w:t>primjenljivosti</w:t>
            </w:r>
            <w:proofErr w:type="spellEnd"/>
            <w:r w:rsidRPr="006F5B1C">
              <w:rPr>
                <w:rFonts w:ascii="Aptos Narrow" w:eastAsia="Times New Roman" w:hAnsi="Aptos Narrow" w:cs="Times New Roman"/>
                <w:color w:val="000000"/>
                <w:sz w:val="16"/>
                <w:szCs w:val="16"/>
                <w:lang w:val="sr-Latn-ME" w:eastAsia="en-GB"/>
                <w14:ligatures w14:val="none"/>
              </w:rPr>
              <w:t xml:space="preserve"> u praksi i uticaja na lokalni nivo, može smanjiti koherentnost reformi i otežati funkcionisanje pojedinih segmenata javnog i poslovnog sistema. Dodatno, ograničena dostupnost kvalitetnih podataka o investicionim tokovima, strukturi ulaganja i efektima postojećih podsticaja dodatno otežava evaluaciju politika i preciznije usmjeravanje mjera podrške.</w:t>
            </w:r>
          </w:p>
        </w:tc>
      </w:tr>
      <w:tr w:rsidR="00F415F5" w:rsidRPr="006F5B1C" w14:paraId="352BCE4A"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1BE5DED1"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07</w:t>
            </w:r>
          </w:p>
        </w:tc>
        <w:tc>
          <w:tcPr>
            <w:tcW w:w="548" w:type="pct"/>
            <w:noWrap/>
            <w:hideMark/>
          </w:tcPr>
          <w:p w14:paraId="5CA1BDC2"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PA03-07</w:t>
            </w:r>
          </w:p>
        </w:tc>
        <w:tc>
          <w:tcPr>
            <w:tcW w:w="1017" w:type="pct"/>
            <w:noWrap/>
            <w:hideMark/>
          </w:tcPr>
          <w:p w14:paraId="43F9A068"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Ograničen pristup finansijama za MSP i preduzetnike</w:t>
            </w:r>
          </w:p>
        </w:tc>
        <w:tc>
          <w:tcPr>
            <w:tcW w:w="3047" w:type="pct"/>
            <w:noWrap/>
            <w:hideMark/>
          </w:tcPr>
          <w:p w14:paraId="5A8B82F5"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Mikro, mala i srednja preduzeća i dalje se suočavaju sa ograničenim pristupom spoljnim izvorima finansiranja, posebno za rast, inovacije i internacionalizaciju, uz visoko oslanjanje na bankarske izvore i skromno razvijene alternativne instrumente.</w:t>
            </w:r>
          </w:p>
        </w:tc>
      </w:tr>
      <w:tr w:rsidR="00F415F5" w:rsidRPr="006F5B1C" w14:paraId="6753CEB5"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6C95CC30"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08</w:t>
            </w:r>
          </w:p>
        </w:tc>
        <w:tc>
          <w:tcPr>
            <w:tcW w:w="548" w:type="pct"/>
            <w:noWrap/>
            <w:hideMark/>
          </w:tcPr>
          <w:p w14:paraId="49C74F70"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PA03-08</w:t>
            </w:r>
          </w:p>
        </w:tc>
        <w:tc>
          <w:tcPr>
            <w:tcW w:w="1017" w:type="pct"/>
            <w:noWrap/>
            <w:hideMark/>
          </w:tcPr>
          <w:p w14:paraId="7E3F5B38"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Nedovoljno razvijeno tržište rizičnog, vlasničkog i razvojnog kapitala</w:t>
            </w:r>
          </w:p>
        </w:tc>
        <w:tc>
          <w:tcPr>
            <w:tcW w:w="3047" w:type="pct"/>
            <w:noWrap/>
            <w:hideMark/>
          </w:tcPr>
          <w:p w14:paraId="5F9B63E2"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Finansijski ekosistem i dalje je slab u segmentu </w:t>
            </w:r>
            <w:proofErr w:type="spellStart"/>
            <w:r w:rsidRPr="006F5B1C">
              <w:rPr>
                <w:rFonts w:ascii="Aptos Narrow" w:eastAsia="Times New Roman" w:hAnsi="Aptos Narrow" w:cs="Times New Roman"/>
                <w:color w:val="000000"/>
                <w:sz w:val="16"/>
                <w:szCs w:val="16"/>
                <w:lang w:val="sr-Latn-ME" w:eastAsia="en-GB"/>
                <w14:ligatures w14:val="none"/>
              </w:rPr>
              <w:t>venture</w:t>
            </w:r>
            <w:proofErr w:type="spellEnd"/>
            <w:r w:rsidRPr="006F5B1C">
              <w:rPr>
                <w:rFonts w:ascii="Aptos Narrow" w:eastAsia="Times New Roman" w:hAnsi="Aptos Narrow" w:cs="Times New Roman"/>
                <w:color w:val="000000"/>
                <w:sz w:val="16"/>
                <w:szCs w:val="16"/>
                <w:lang w:val="sr-Latn-ME" w:eastAsia="en-GB"/>
                <w14:ligatures w14:val="none"/>
              </w:rPr>
              <w:t xml:space="preserve"> </w:t>
            </w:r>
            <w:proofErr w:type="spellStart"/>
            <w:r w:rsidRPr="006F5B1C">
              <w:rPr>
                <w:rFonts w:ascii="Aptos Narrow" w:eastAsia="Times New Roman" w:hAnsi="Aptos Narrow" w:cs="Times New Roman"/>
                <w:color w:val="000000"/>
                <w:sz w:val="16"/>
                <w:szCs w:val="16"/>
                <w:lang w:val="sr-Latn-ME" w:eastAsia="en-GB"/>
                <w14:ligatures w14:val="none"/>
              </w:rPr>
              <w:t>capital</w:t>
            </w:r>
            <w:proofErr w:type="spellEnd"/>
            <w:r w:rsidRPr="006F5B1C">
              <w:rPr>
                <w:rFonts w:ascii="Aptos Narrow" w:eastAsia="Times New Roman" w:hAnsi="Aptos Narrow" w:cs="Times New Roman"/>
                <w:color w:val="000000"/>
                <w:sz w:val="16"/>
                <w:szCs w:val="16"/>
                <w:lang w:val="sr-Latn-ME" w:eastAsia="en-GB"/>
                <w14:ligatures w14:val="none"/>
              </w:rPr>
              <w:t xml:space="preserve">, </w:t>
            </w:r>
            <w:proofErr w:type="spellStart"/>
            <w:r w:rsidRPr="006F5B1C">
              <w:rPr>
                <w:rFonts w:ascii="Aptos Narrow" w:eastAsia="Times New Roman" w:hAnsi="Aptos Narrow" w:cs="Times New Roman"/>
                <w:color w:val="000000"/>
                <w:sz w:val="16"/>
                <w:szCs w:val="16"/>
                <w:lang w:val="sr-Latn-ME" w:eastAsia="en-GB"/>
                <w14:ligatures w14:val="none"/>
              </w:rPr>
              <w:t>equity</w:t>
            </w:r>
            <w:proofErr w:type="spellEnd"/>
            <w:r w:rsidRPr="006F5B1C">
              <w:rPr>
                <w:rFonts w:ascii="Aptos Narrow" w:eastAsia="Times New Roman" w:hAnsi="Aptos Narrow" w:cs="Times New Roman"/>
                <w:color w:val="000000"/>
                <w:sz w:val="16"/>
                <w:szCs w:val="16"/>
                <w:lang w:val="sr-Latn-ME" w:eastAsia="en-GB"/>
                <w14:ligatures w14:val="none"/>
              </w:rPr>
              <w:t xml:space="preserve"> i drugih instrumenata pogodnih za inovativna i </w:t>
            </w:r>
            <w:proofErr w:type="spellStart"/>
            <w:r w:rsidRPr="006F5B1C">
              <w:rPr>
                <w:rFonts w:ascii="Aptos Narrow" w:eastAsia="Times New Roman" w:hAnsi="Aptos Narrow" w:cs="Times New Roman"/>
                <w:color w:val="000000"/>
                <w:sz w:val="16"/>
                <w:szCs w:val="16"/>
                <w:lang w:val="sr-Latn-ME" w:eastAsia="en-GB"/>
                <w14:ligatures w14:val="none"/>
              </w:rPr>
              <w:t>brzorastuća</w:t>
            </w:r>
            <w:proofErr w:type="spellEnd"/>
            <w:r w:rsidRPr="006F5B1C">
              <w:rPr>
                <w:rFonts w:ascii="Aptos Narrow" w:eastAsia="Times New Roman" w:hAnsi="Aptos Narrow" w:cs="Times New Roman"/>
                <w:color w:val="000000"/>
                <w:sz w:val="16"/>
                <w:szCs w:val="16"/>
                <w:lang w:val="sr-Latn-ME" w:eastAsia="en-GB"/>
                <w14:ligatures w14:val="none"/>
              </w:rPr>
              <w:t xml:space="preserve"> preduzeća, što ograničava razvoj novih poslovnih modela i </w:t>
            </w:r>
            <w:proofErr w:type="spellStart"/>
            <w:r w:rsidRPr="006F5B1C">
              <w:rPr>
                <w:rFonts w:ascii="Aptos Narrow" w:eastAsia="Times New Roman" w:hAnsi="Aptos Narrow" w:cs="Times New Roman"/>
                <w:color w:val="000000"/>
                <w:sz w:val="16"/>
                <w:szCs w:val="16"/>
                <w:lang w:val="sr-Latn-ME" w:eastAsia="en-GB"/>
                <w14:ligatures w14:val="none"/>
              </w:rPr>
              <w:t>skaliranje</w:t>
            </w:r>
            <w:proofErr w:type="spellEnd"/>
            <w:r w:rsidRPr="006F5B1C">
              <w:rPr>
                <w:rFonts w:ascii="Aptos Narrow" w:eastAsia="Times New Roman" w:hAnsi="Aptos Narrow" w:cs="Times New Roman"/>
                <w:color w:val="000000"/>
                <w:sz w:val="16"/>
                <w:szCs w:val="16"/>
                <w:lang w:val="sr-Latn-ME" w:eastAsia="en-GB"/>
                <w14:ligatures w14:val="none"/>
              </w:rPr>
              <w:t xml:space="preserve"> firmi.</w:t>
            </w:r>
          </w:p>
        </w:tc>
      </w:tr>
      <w:tr w:rsidR="00F415F5" w:rsidRPr="006F5B1C" w14:paraId="7C7AB672"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152DEE64"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09</w:t>
            </w:r>
          </w:p>
        </w:tc>
        <w:tc>
          <w:tcPr>
            <w:tcW w:w="548" w:type="pct"/>
            <w:noWrap/>
            <w:hideMark/>
          </w:tcPr>
          <w:p w14:paraId="1E1F36BD"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PA03-09</w:t>
            </w:r>
          </w:p>
        </w:tc>
        <w:tc>
          <w:tcPr>
            <w:tcW w:w="1017" w:type="pct"/>
            <w:noWrap/>
            <w:hideMark/>
          </w:tcPr>
          <w:p w14:paraId="2E83C448"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Niska produktivnost, ograničen rast i nedovoljna dodata vrijednost MSP sektora</w:t>
            </w:r>
          </w:p>
        </w:tc>
        <w:tc>
          <w:tcPr>
            <w:tcW w:w="3047" w:type="pct"/>
            <w:noWrap/>
            <w:hideMark/>
          </w:tcPr>
          <w:p w14:paraId="100DCCE9"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MSP dominiraju po broju, ali značajan dio posluje sa niskom dodatom vrijednošću, skromnim kapacitetima za rast i slabijom produktivnošću, što ograničava njihov doprinos strukturnoj transformaciji privrede.</w:t>
            </w:r>
          </w:p>
        </w:tc>
      </w:tr>
      <w:tr w:rsidR="00F415F5" w:rsidRPr="006F5B1C" w14:paraId="4374897E"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0AB62F46"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10</w:t>
            </w:r>
          </w:p>
        </w:tc>
        <w:tc>
          <w:tcPr>
            <w:tcW w:w="548" w:type="pct"/>
            <w:noWrap/>
            <w:hideMark/>
          </w:tcPr>
          <w:p w14:paraId="0A404DA6"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PA03-10</w:t>
            </w:r>
          </w:p>
        </w:tc>
        <w:tc>
          <w:tcPr>
            <w:tcW w:w="1017" w:type="pct"/>
            <w:noWrap/>
            <w:hideMark/>
          </w:tcPr>
          <w:p w14:paraId="5FEF9C24"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Nedovoljna dostupnost kvalitetnih razvojnih i savjetodavnih usluga za preduzeća</w:t>
            </w:r>
          </w:p>
        </w:tc>
        <w:tc>
          <w:tcPr>
            <w:tcW w:w="3047" w:type="pct"/>
            <w:noWrap/>
            <w:hideMark/>
          </w:tcPr>
          <w:p w14:paraId="0645EBD2"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Podrška preduzećima kroz mentorstvo, strateško savjetovanje, internacionalizaciju, dizajn, marketing i </w:t>
            </w:r>
            <w:proofErr w:type="spellStart"/>
            <w:r w:rsidRPr="006F5B1C">
              <w:rPr>
                <w:rFonts w:ascii="Aptos Narrow" w:eastAsia="Times New Roman" w:hAnsi="Aptos Narrow" w:cs="Times New Roman"/>
                <w:color w:val="000000"/>
                <w:sz w:val="16"/>
                <w:szCs w:val="16"/>
                <w:lang w:val="sr-Latn-ME" w:eastAsia="en-GB"/>
                <w14:ligatures w14:val="none"/>
              </w:rPr>
              <w:t>unapređenje</w:t>
            </w:r>
            <w:proofErr w:type="spellEnd"/>
            <w:r w:rsidRPr="006F5B1C">
              <w:rPr>
                <w:rFonts w:ascii="Aptos Narrow" w:eastAsia="Times New Roman" w:hAnsi="Aptos Narrow" w:cs="Times New Roman"/>
                <w:color w:val="000000"/>
                <w:sz w:val="16"/>
                <w:szCs w:val="16"/>
                <w:lang w:val="sr-Latn-ME" w:eastAsia="en-GB"/>
                <w14:ligatures w14:val="none"/>
              </w:rPr>
              <w:t xml:space="preserve"> poslovnih modela nije dovoljno razvijena ni ravnomjerno dostupna, naročito van glavnih centara. Instrumenti podrške preduzećima, investitorima i inovacionim akterima nijesu dovoljno povezani u jedinstven sistem usluga, što smanjuje njihovu vidljivost, dostupnost i ukupni razvojni efekat.</w:t>
            </w:r>
          </w:p>
        </w:tc>
      </w:tr>
      <w:tr w:rsidR="00F415F5" w:rsidRPr="006F5B1C" w14:paraId="2C95EB0D"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68CB7512"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11</w:t>
            </w:r>
          </w:p>
        </w:tc>
        <w:tc>
          <w:tcPr>
            <w:tcW w:w="548" w:type="pct"/>
            <w:noWrap/>
            <w:hideMark/>
          </w:tcPr>
          <w:p w14:paraId="60572C9F"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PA03-11</w:t>
            </w:r>
          </w:p>
        </w:tc>
        <w:tc>
          <w:tcPr>
            <w:tcW w:w="1017" w:type="pct"/>
            <w:noWrap/>
            <w:hideMark/>
          </w:tcPr>
          <w:p w14:paraId="0B57BDFC"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Niska internacionalizacija i ograničena integracija domaćih firmi u lance vrijednosti</w:t>
            </w:r>
          </w:p>
        </w:tc>
        <w:tc>
          <w:tcPr>
            <w:tcW w:w="3047" w:type="pct"/>
            <w:noWrap/>
            <w:hideMark/>
          </w:tcPr>
          <w:p w14:paraId="40202771"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Mnoga domaća preduzeća ostaju slabo povezana sa regionalnim i međunarodnim lancima vrijednosti, uz ograničene izvozne kapacitete, nižu produktivnost, nedovoljnu standardizaciju i slabiji pristup tržišnim informacijama. Istovremeno, potencijal za uključivanje domaćih firmi u nove regionalne i evropske lance vrijednosti, uključujući trend </w:t>
            </w:r>
            <w:proofErr w:type="spellStart"/>
            <w:r w:rsidRPr="006F5B1C">
              <w:rPr>
                <w:rFonts w:ascii="Aptos Narrow" w:eastAsia="Times New Roman" w:hAnsi="Aptos Narrow" w:cs="Times New Roman"/>
                <w:color w:val="000000"/>
                <w:sz w:val="16"/>
                <w:szCs w:val="16"/>
                <w:lang w:val="sr-Latn-ME" w:eastAsia="en-GB"/>
                <w14:ligatures w14:val="none"/>
              </w:rPr>
              <w:t>nearshoring</w:t>
            </w:r>
            <w:proofErr w:type="spellEnd"/>
            <w:r w:rsidRPr="006F5B1C">
              <w:rPr>
                <w:rFonts w:ascii="Aptos Narrow" w:eastAsia="Times New Roman" w:hAnsi="Aptos Narrow" w:cs="Times New Roman"/>
                <w:color w:val="000000"/>
                <w:sz w:val="16"/>
                <w:szCs w:val="16"/>
                <w:lang w:val="sr-Latn-ME" w:eastAsia="en-GB"/>
                <w14:ligatures w14:val="none"/>
              </w:rPr>
              <w:t>-a, nije dovoljno iskorišćen.</w:t>
            </w:r>
          </w:p>
        </w:tc>
      </w:tr>
      <w:tr w:rsidR="00F415F5" w:rsidRPr="006F5B1C" w14:paraId="0D1F5820"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0E6712C4"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12</w:t>
            </w:r>
          </w:p>
        </w:tc>
        <w:tc>
          <w:tcPr>
            <w:tcW w:w="548" w:type="pct"/>
            <w:noWrap/>
            <w:hideMark/>
          </w:tcPr>
          <w:p w14:paraId="23478FCB"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PA03-12</w:t>
            </w:r>
          </w:p>
        </w:tc>
        <w:tc>
          <w:tcPr>
            <w:tcW w:w="1017" w:type="pct"/>
            <w:noWrap/>
            <w:hideMark/>
          </w:tcPr>
          <w:p w14:paraId="0B642721"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Nedovoljno razvijeni kapaciteti za rast ženskog i </w:t>
            </w:r>
            <w:proofErr w:type="spellStart"/>
            <w:r w:rsidRPr="006F5B1C">
              <w:rPr>
                <w:rFonts w:ascii="Aptos Narrow" w:eastAsia="Times New Roman" w:hAnsi="Aptos Narrow" w:cs="Times New Roman"/>
                <w:color w:val="000000"/>
                <w:sz w:val="16"/>
                <w:szCs w:val="16"/>
                <w:lang w:val="sr-Latn-ME" w:eastAsia="en-GB"/>
                <w14:ligatures w14:val="none"/>
              </w:rPr>
              <w:t>inkluzivnog</w:t>
            </w:r>
            <w:proofErr w:type="spellEnd"/>
            <w:r w:rsidRPr="006F5B1C">
              <w:rPr>
                <w:rFonts w:ascii="Aptos Narrow" w:eastAsia="Times New Roman" w:hAnsi="Aptos Narrow" w:cs="Times New Roman"/>
                <w:color w:val="000000"/>
                <w:sz w:val="16"/>
                <w:szCs w:val="16"/>
                <w:lang w:val="sr-Latn-ME" w:eastAsia="en-GB"/>
                <w14:ligatures w14:val="none"/>
              </w:rPr>
              <w:t xml:space="preserve"> preduzetništva</w:t>
            </w:r>
          </w:p>
        </w:tc>
        <w:tc>
          <w:tcPr>
            <w:tcW w:w="3047" w:type="pct"/>
            <w:noWrap/>
            <w:hideMark/>
          </w:tcPr>
          <w:p w14:paraId="1C3DE24D"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Preduzetništvo žena i drugih manje zastupljenih grupa i dalje je ograničeno slabijim pristupom finansijama, podršci, mrežama i specijalizovanim instrumentima razvoja poslovanja.</w:t>
            </w:r>
          </w:p>
        </w:tc>
      </w:tr>
      <w:tr w:rsidR="00F415F5" w:rsidRPr="006F5B1C" w14:paraId="365AB8A1"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0684874A"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13</w:t>
            </w:r>
          </w:p>
        </w:tc>
        <w:tc>
          <w:tcPr>
            <w:tcW w:w="548" w:type="pct"/>
            <w:noWrap/>
            <w:hideMark/>
          </w:tcPr>
          <w:p w14:paraId="2546D62F"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PA03-13</w:t>
            </w:r>
          </w:p>
        </w:tc>
        <w:tc>
          <w:tcPr>
            <w:tcW w:w="1017" w:type="pct"/>
            <w:noWrap/>
            <w:hideMark/>
          </w:tcPr>
          <w:p w14:paraId="29939AAC"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Nizak nivo digitalne transformacije preduzeća</w:t>
            </w:r>
          </w:p>
        </w:tc>
        <w:tc>
          <w:tcPr>
            <w:tcW w:w="3047" w:type="pct"/>
            <w:noWrap/>
            <w:hideMark/>
          </w:tcPr>
          <w:p w14:paraId="1EA18AE8"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Značajan broj preduzeća, posebno MSP, i dalje ne koristi napredna digitalna rješenja u poslovanju, što ograničava efikasnost, produktivnost, pristup tržištu i otpornost na promjene u poslovnom okruženju.</w:t>
            </w:r>
          </w:p>
        </w:tc>
      </w:tr>
      <w:tr w:rsidR="00F415F5" w:rsidRPr="006F5B1C" w14:paraId="00967310"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5169C3DE"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14</w:t>
            </w:r>
          </w:p>
        </w:tc>
        <w:tc>
          <w:tcPr>
            <w:tcW w:w="548" w:type="pct"/>
            <w:noWrap/>
            <w:hideMark/>
          </w:tcPr>
          <w:p w14:paraId="618BEB25"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PA03-14</w:t>
            </w:r>
          </w:p>
        </w:tc>
        <w:tc>
          <w:tcPr>
            <w:tcW w:w="1017" w:type="pct"/>
            <w:noWrap/>
            <w:hideMark/>
          </w:tcPr>
          <w:p w14:paraId="4FC8DFEE"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Ograničena primjena naprednih tehnologija u privredi</w:t>
            </w:r>
          </w:p>
        </w:tc>
        <w:tc>
          <w:tcPr>
            <w:tcW w:w="3047" w:type="pct"/>
            <w:noWrap/>
            <w:hideMark/>
          </w:tcPr>
          <w:p w14:paraId="6843801B"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Upotreba AI, data </w:t>
            </w:r>
            <w:proofErr w:type="spellStart"/>
            <w:r w:rsidRPr="006F5B1C">
              <w:rPr>
                <w:rFonts w:ascii="Aptos Narrow" w:eastAsia="Times New Roman" w:hAnsi="Aptos Narrow" w:cs="Times New Roman"/>
                <w:color w:val="000000"/>
                <w:sz w:val="16"/>
                <w:szCs w:val="16"/>
                <w:lang w:val="sr-Latn-ME" w:eastAsia="en-GB"/>
                <w14:ligatures w14:val="none"/>
              </w:rPr>
              <w:t>analytics</w:t>
            </w:r>
            <w:proofErr w:type="spellEnd"/>
            <w:r w:rsidRPr="006F5B1C">
              <w:rPr>
                <w:rFonts w:ascii="Aptos Narrow" w:eastAsia="Times New Roman" w:hAnsi="Aptos Narrow" w:cs="Times New Roman"/>
                <w:color w:val="000000"/>
                <w:sz w:val="16"/>
                <w:szCs w:val="16"/>
                <w:lang w:val="sr-Latn-ME" w:eastAsia="en-GB"/>
                <w14:ligatures w14:val="none"/>
              </w:rPr>
              <w:t xml:space="preserve">, </w:t>
            </w:r>
            <w:proofErr w:type="spellStart"/>
            <w:r w:rsidRPr="006F5B1C">
              <w:rPr>
                <w:rFonts w:ascii="Aptos Narrow" w:eastAsia="Times New Roman" w:hAnsi="Aptos Narrow" w:cs="Times New Roman"/>
                <w:color w:val="000000"/>
                <w:sz w:val="16"/>
                <w:szCs w:val="16"/>
                <w:lang w:val="sr-Latn-ME" w:eastAsia="en-GB"/>
                <w14:ligatures w14:val="none"/>
              </w:rPr>
              <w:t>cloud</w:t>
            </w:r>
            <w:proofErr w:type="spellEnd"/>
            <w:r w:rsidRPr="006F5B1C">
              <w:rPr>
                <w:rFonts w:ascii="Aptos Narrow" w:eastAsia="Times New Roman" w:hAnsi="Aptos Narrow" w:cs="Times New Roman"/>
                <w:color w:val="000000"/>
                <w:sz w:val="16"/>
                <w:szCs w:val="16"/>
                <w:lang w:val="sr-Latn-ME" w:eastAsia="en-GB"/>
                <w14:ligatures w14:val="none"/>
              </w:rPr>
              <w:t xml:space="preserve"> rješenja, automatizacije i drugih naprednih tehnologija još je ograničena, posebno među manjim preduzećima, zbog troškova, manjka znanja i nedovoljne tehničke podrške.</w:t>
            </w:r>
          </w:p>
        </w:tc>
      </w:tr>
      <w:tr w:rsidR="00F415F5" w:rsidRPr="006F5B1C" w14:paraId="56CB3E1E"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26C8EBD4"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15</w:t>
            </w:r>
          </w:p>
        </w:tc>
        <w:tc>
          <w:tcPr>
            <w:tcW w:w="548" w:type="pct"/>
            <w:noWrap/>
            <w:hideMark/>
          </w:tcPr>
          <w:p w14:paraId="050BF4A5"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PA03-15</w:t>
            </w:r>
          </w:p>
        </w:tc>
        <w:tc>
          <w:tcPr>
            <w:tcW w:w="1017" w:type="pct"/>
            <w:noWrap/>
            <w:hideMark/>
          </w:tcPr>
          <w:p w14:paraId="36B507A4"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Slaba povezanost između privrede, nauke i inovacionog sistema</w:t>
            </w:r>
          </w:p>
        </w:tc>
        <w:tc>
          <w:tcPr>
            <w:tcW w:w="3047" w:type="pct"/>
            <w:noWrap/>
            <w:hideMark/>
          </w:tcPr>
          <w:p w14:paraId="59F2E86B"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Saradnja između preduzeća, istraživačkih organizacija i visokoškolskog sektora i dalje je ograničena, što usporava transfer znanja, komercijalizaciju istraživanja i razvoj inovativnih proizvoda i usluga.</w:t>
            </w:r>
          </w:p>
        </w:tc>
      </w:tr>
      <w:tr w:rsidR="00F415F5" w:rsidRPr="006F5B1C" w14:paraId="67FCB822"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4E1AD84B"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lastRenderedPageBreak/>
              <w:t>16</w:t>
            </w:r>
          </w:p>
        </w:tc>
        <w:tc>
          <w:tcPr>
            <w:tcW w:w="548" w:type="pct"/>
            <w:noWrap/>
            <w:hideMark/>
          </w:tcPr>
          <w:p w14:paraId="76E89573"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PA03-16</w:t>
            </w:r>
          </w:p>
        </w:tc>
        <w:tc>
          <w:tcPr>
            <w:tcW w:w="1017" w:type="pct"/>
            <w:noWrap/>
            <w:hideMark/>
          </w:tcPr>
          <w:p w14:paraId="53BA65AC"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Nedovoljna ulaganja u istraživanje, razvoj i inovacije</w:t>
            </w:r>
          </w:p>
        </w:tc>
        <w:tc>
          <w:tcPr>
            <w:tcW w:w="3047" w:type="pct"/>
            <w:noWrap/>
            <w:hideMark/>
          </w:tcPr>
          <w:p w14:paraId="30DB4BEE"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Nivo ulaganja u istraživanje i razvoj ostaje nizak, što ograničava tehnološko </w:t>
            </w:r>
            <w:proofErr w:type="spellStart"/>
            <w:r w:rsidRPr="006F5B1C">
              <w:rPr>
                <w:rFonts w:ascii="Aptos Narrow" w:eastAsia="Times New Roman" w:hAnsi="Aptos Narrow" w:cs="Times New Roman"/>
                <w:color w:val="000000"/>
                <w:sz w:val="16"/>
                <w:szCs w:val="16"/>
                <w:lang w:val="sr-Latn-ME" w:eastAsia="en-GB"/>
                <w14:ligatures w14:val="none"/>
              </w:rPr>
              <w:t>unapređenje</w:t>
            </w:r>
            <w:proofErr w:type="spellEnd"/>
            <w:r w:rsidRPr="006F5B1C">
              <w:rPr>
                <w:rFonts w:ascii="Aptos Narrow" w:eastAsia="Times New Roman" w:hAnsi="Aptos Narrow" w:cs="Times New Roman"/>
                <w:color w:val="000000"/>
                <w:sz w:val="16"/>
                <w:szCs w:val="16"/>
                <w:lang w:val="sr-Latn-ME" w:eastAsia="en-GB"/>
                <w14:ligatures w14:val="none"/>
              </w:rPr>
              <w:t xml:space="preserve"> privrede, razvoj proizvoda više dodatne vrijednosti i jačanje dugoročne konkurentnosti.</w:t>
            </w:r>
          </w:p>
        </w:tc>
      </w:tr>
      <w:tr w:rsidR="00F415F5" w:rsidRPr="006F5B1C" w14:paraId="699A5E61"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6530E5E9"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17</w:t>
            </w:r>
          </w:p>
        </w:tc>
        <w:tc>
          <w:tcPr>
            <w:tcW w:w="548" w:type="pct"/>
            <w:noWrap/>
            <w:hideMark/>
          </w:tcPr>
          <w:p w14:paraId="1FF11BA0"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PA03-17</w:t>
            </w:r>
          </w:p>
        </w:tc>
        <w:tc>
          <w:tcPr>
            <w:tcW w:w="1017" w:type="pct"/>
            <w:noWrap/>
            <w:hideMark/>
          </w:tcPr>
          <w:p w14:paraId="7FBD85E3"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Nedostatak kadrova i vještina za digitalnu i tehnološku modernizaciju</w:t>
            </w:r>
          </w:p>
        </w:tc>
        <w:tc>
          <w:tcPr>
            <w:tcW w:w="3047" w:type="pct"/>
            <w:noWrap/>
            <w:hideMark/>
          </w:tcPr>
          <w:p w14:paraId="24C66195"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Preduzeća se suočavaju sa nedostatkom stručnog kadra za digitalnu transformaciju, inovacije i upravljanje tehnološkim promjenama, što posebno pogađa MSP i firme van većih urbanih centara.</w:t>
            </w:r>
          </w:p>
        </w:tc>
      </w:tr>
      <w:tr w:rsidR="00F415F5" w:rsidRPr="006F5B1C" w14:paraId="31533451"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6223937E"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18</w:t>
            </w:r>
          </w:p>
        </w:tc>
        <w:tc>
          <w:tcPr>
            <w:tcW w:w="548" w:type="pct"/>
            <w:noWrap/>
            <w:hideMark/>
          </w:tcPr>
          <w:p w14:paraId="09DE23F7"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PA03-18</w:t>
            </w:r>
          </w:p>
        </w:tc>
        <w:tc>
          <w:tcPr>
            <w:tcW w:w="1017" w:type="pct"/>
            <w:noWrap/>
            <w:hideMark/>
          </w:tcPr>
          <w:p w14:paraId="2A167061"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Ograničeni kapaciteti za razvoj i širenje tehnološki intenzivnih djelatnosti</w:t>
            </w:r>
          </w:p>
        </w:tc>
        <w:tc>
          <w:tcPr>
            <w:tcW w:w="3047" w:type="pct"/>
            <w:noWrap/>
            <w:hideMark/>
          </w:tcPr>
          <w:p w14:paraId="39E2152D"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Privreda i podržavajući ekosistem još nijesu dovoljno razvijeni za snažniji ulazak u tehnološki intenzivne i nove proizvodne niše, uključujući čiste i digitalne tehnologije.</w:t>
            </w:r>
          </w:p>
        </w:tc>
      </w:tr>
      <w:tr w:rsidR="00F415F5" w:rsidRPr="006F5B1C" w14:paraId="52102986"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600AE084"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19</w:t>
            </w:r>
          </w:p>
        </w:tc>
        <w:tc>
          <w:tcPr>
            <w:tcW w:w="548" w:type="pct"/>
            <w:noWrap/>
            <w:hideMark/>
          </w:tcPr>
          <w:p w14:paraId="1C5400AC"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PA03-19</w:t>
            </w:r>
          </w:p>
        </w:tc>
        <w:tc>
          <w:tcPr>
            <w:tcW w:w="1017" w:type="pct"/>
            <w:noWrap/>
            <w:hideMark/>
          </w:tcPr>
          <w:p w14:paraId="5DAA7C5B"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Spor tempo zelene transformacije poslovnog sektora</w:t>
            </w:r>
          </w:p>
        </w:tc>
        <w:tc>
          <w:tcPr>
            <w:tcW w:w="3047" w:type="pct"/>
            <w:noWrap/>
            <w:hideMark/>
          </w:tcPr>
          <w:p w14:paraId="70719FE6"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Privreda i dalje sporo usvaja zelene poslovne modele, </w:t>
            </w:r>
            <w:proofErr w:type="spellStart"/>
            <w:r w:rsidRPr="006F5B1C">
              <w:rPr>
                <w:rFonts w:ascii="Aptos Narrow" w:eastAsia="Times New Roman" w:hAnsi="Aptos Narrow" w:cs="Times New Roman"/>
                <w:color w:val="000000"/>
                <w:sz w:val="16"/>
                <w:szCs w:val="16"/>
                <w:lang w:val="sr-Latn-ME" w:eastAsia="en-GB"/>
                <w14:ligatures w14:val="none"/>
              </w:rPr>
              <w:t>resursno</w:t>
            </w:r>
            <w:proofErr w:type="spellEnd"/>
            <w:r w:rsidRPr="006F5B1C">
              <w:rPr>
                <w:rFonts w:ascii="Aptos Narrow" w:eastAsia="Times New Roman" w:hAnsi="Aptos Narrow" w:cs="Times New Roman"/>
                <w:color w:val="000000"/>
                <w:sz w:val="16"/>
                <w:szCs w:val="16"/>
                <w:lang w:val="sr-Latn-ME" w:eastAsia="en-GB"/>
                <w14:ligatures w14:val="none"/>
              </w:rPr>
              <w:t xml:space="preserve"> efikasne procese i održive standarde proizvodnje, što povećava rizik za konkurentnost u uslovima strožih evropskih zahtjeva.</w:t>
            </w:r>
          </w:p>
        </w:tc>
      </w:tr>
      <w:tr w:rsidR="00F415F5" w:rsidRPr="006F5B1C" w14:paraId="6E258D7E"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5115D3F8"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20</w:t>
            </w:r>
          </w:p>
        </w:tc>
        <w:tc>
          <w:tcPr>
            <w:tcW w:w="548" w:type="pct"/>
            <w:noWrap/>
            <w:hideMark/>
          </w:tcPr>
          <w:p w14:paraId="4D71A636"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PA03-20</w:t>
            </w:r>
          </w:p>
        </w:tc>
        <w:tc>
          <w:tcPr>
            <w:tcW w:w="1017" w:type="pct"/>
            <w:noWrap/>
            <w:hideMark/>
          </w:tcPr>
          <w:p w14:paraId="1C024CA5"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Ograničeni kapaciteti preduzeća za </w:t>
            </w:r>
            <w:proofErr w:type="spellStart"/>
            <w:r w:rsidRPr="006F5B1C">
              <w:rPr>
                <w:rFonts w:ascii="Aptos Narrow" w:eastAsia="Times New Roman" w:hAnsi="Aptos Narrow" w:cs="Times New Roman"/>
                <w:color w:val="000000"/>
                <w:sz w:val="16"/>
                <w:szCs w:val="16"/>
                <w:lang w:val="sr-Latn-ME" w:eastAsia="en-GB"/>
                <w14:ligatures w14:val="none"/>
              </w:rPr>
              <w:t>dekarbonizaciju</w:t>
            </w:r>
            <w:proofErr w:type="spellEnd"/>
            <w:r w:rsidRPr="006F5B1C">
              <w:rPr>
                <w:rFonts w:ascii="Aptos Narrow" w:eastAsia="Times New Roman" w:hAnsi="Aptos Narrow" w:cs="Times New Roman"/>
                <w:color w:val="000000"/>
                <w:sz w:val="16"/>
                <w:szCs w:val="16"/>
                <w:lang w:val="sr-Latn-ME" w:eastAsia="en-GB"/>
                <w14:ligatures w14:val="none"/>
              </w:rPr>
              <w:t xml:space="preserve"> i energetsku efikasnost</w:t>
            </w:r>
          </w:p>
        </w:tc>
        <w:tc>
          <w:tcPr>
            <w:tcW w:w="3047" w:type="pct"/>
            <w:noWrap/>
            <w:hideMark/>
          </w:tcPr>
          <w:p w14:paraId="1F43266B"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Mnoga preduzeća, posebno u energetski </w:t>
            </w:r>
            <w:proofErr w:type="spellStart"/>
            <w:r w:rsidRPr="006F5B1C">
              <w:rPr>
                <w:rFonts w:ascii="Aptos Narrow" w:eastAsia="Times New Roman" w:hAnsi="Aptos Narrow" w:cs="Times New Roman"/>
                <w:color w:val="000000"/>
                <w:sz w:val="16"/>
                <w:szCs w:val="16"/>
                <w:lang w:val="sr-Latn-ME" w:eastAsia="en-GB"/>
                <w14:ligatures w14:val="none"/>
              </w:rPr>
              <w:t>zahtjevnijim</w:t>
            </w:r>
            <w:proofErr w:type="spellEnd"/>
            <w:r w:rsidRPr="006F5B1C">
              <w:rPr>
                <w:rFonts w:ascii="Aptos Narrow" w:eastAsia="Times New Roman" w:hAnsi="Aptos Narrow" w:cs="Times New Roman"/>
                <w:color w:val="000000"/>
                <w:sz w:val="16"/>
                <w:szCs w:val="16"/>
                <w:lang w:val="sr-Latn-ME" w:eastAsia="en-GB"/>
                <w14:ligatures w14:val="none"/>
              </w:rPr>
              <w:t xml:space="preserve"> djelatnostima, nemaju dovoljno finansijskih, tehničkih i organizacionih kapaciteta za ulaganja u energetsku efikasnost i smanjenje emisija.</w:t>
            </w:r>
          </w:p>
        </w:tc>
      </w:tr>
      <w:tr w:rsidR="00F415F5" w:rsidRPr="006F5B1C" w14:paraId="69FB5F78"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31B20493"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21</w:t>
            </w:r>
          </w:p>
        </w:tc>
        <w:tc>
          <w:tcPr>
            <w:tcW w:w="548" w:type="pct"/>
            <w:noWrap/>
            <w:hideMark/>
          </w:tcPr>
          <w:p w14:paraId="1566412A"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PA03-21</w:t>
            </w:r>
          </w:p>
        </w:tc>
        <w:tc>
          <w:tcPr>
            <w:tcW w:w="1017" w:type="pct"/>
            <w:noWrap/>
            <w:hideMark/>
          </w:tcPr>
          <w:p w14:paraId="0EDE9FDC"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Nedovoljno razvijena cirkularna ekonomija u poslovnoj praksi</w:t>
            </w:r>
          </w:p>
        </w:tc>
        <w:tc>
          <w:tcPr>
            <w:tcW w:w="3047" w:type="pct"/>
            <w:noWrap/>
            <w:hideMark/>
          </w:tcPr>
          <w:p w14:paraId="0DA765DC"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Primjena principa cirkularne ekonomije, uključujući ponovnu upotrebu resursa, smanjenje otpada i razvoj cirkularnih proizvoda i usluga, još je ograničena i nedovoljno podržana tržišnim i institucionalnim mehanizmima.</w:t>
            </w:r>
          </w:p>
        </w:tc>
      </w:tr>
      <w:tr w:rsidR="00F415F5" w:rsidRPr="006F5B1C" w14:paraId="3B2CF261"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6B8A616C"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22</w:t>
            </w:r>
          </w:p>
        </w:tc>
        <w:tc>
          <w:tcPr>
            <w:tcW w:w="548" w:type="pct"/>
            <w:noWrap/>
            <w:hideMark/>
          </w:tcPr>
          <w:p w14:paraId="36C85C7A"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PA03-22</w:t>
            </w:r>
          </w:p>
        </w:tc>
        <w:tc>
          <w:tcPr>
            <w:tcW w:w="1017" w:type="pct"/>
            <w:noWrap/>
            <w:hideMark/>
          </w:tcPr>
          <w:p w14:paraId="3F90920E"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Slabo razvijeni lanci vrijednosti u </w:t>
            </w:r>
            <w:proofErr w:type="spellStart"/>
            <w:r w:rsidRPr="006F5B1C">
              <w:rPr>
                <w:rFonts w:ascii="Aptos Narrow" w:eastAsia="Times New Roman" w:hAnsi="Aptos Narrow" w:cs="Times New Roman"/>
                <w:color w:val="000000"/>
                <w:sz w:val="16"/>
                <w:szCs w:val="16"/>
                <w:lang w:val="sr-Latn-ME" w:eastAsia="en-GB"/>
                <w14:ligatures w14:val="none"/>
              </w:rPr>
              <w:t>bioekonomiji,zelenim</w:t>
            </w:r>
            <w:proofErr w:type="spellEnd"/>
            <w:r w:rsidRPr="006F5B1C">
              <w:rPr>
                <w:rFonts w:ascii="Aptos Narrow" w:eastAsia="Times New Roman" w:hAnsi="Aptos Narrow" w:cs="Times New Roman"/>
                <w:color w:val="000000"/>
                <w:sz w:val="16"/>
                <w:szCs w:val="16"/>
                <w:lang w:val="sr-Latn-ME" w:eastAsia="en-GB"/>
                <w14:ligatures w14:val="none"/>
              </w:rPr>
              <w:t xml:space="preserve"> tehnologijama i lokalnim resursima</w:t>
            </w:r>
          </w:p>
        </w:tc>
        <w:tc>
          <w:tcPr>
            <w:tcW w:w="3047" w:type="pct"/>
            <w:noWrap/>
            <w:hideMark/>
          </w:tcPr>
          <w:p w14:paraId="284005D8"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Potencijali </w:t>
            </w:r>
            <w:proofErr w:type="spellStart"/>
            <w:r w:rsidRPr="006F5B1C">
              <w:rPr>
                <w:rFonts w:ascii="Aptos Narrow" w:eastAsia="Times New Roman" w:hAnsi="Aptos Narrow" w:cs="Times New Roman"/>
                <w:color w:val="000000"/>
                <w:sz w:val="16"/>
                <w:szCs w:val="16"/>
                <w:lang w:val="sr-Latn-ME" w:eastAsia="en-GB"/>
                <w14:ligatures w14:val="none"/>
              </w:rPr>
              <w:t>bioekonomije</w:t>
            </w:r>
            <w:proofErr w:type="spellEnd"/>
            <w:r w:rsidRPr="006F5B1C">
              <w:rPr>
                <w:rFonts w:ascii="Aptos Narrow" w:eastAsia="Times New Roman" w:hAnsi="Aptos Narrow" w:cs="Times New Roman"/>
                <w:color w:val="000000"/>
                <w:sz w:val="16"/>
                <w:szCs w:val="16"/>
                <w:lang w:val="sr-Latn-ME" w:eastAsia="en-GB"/>
                <w14:ligatures w14:val="none"/>
              </w:rPr>
              <w:t xml:space="preserve"> i zelenih tehnologija još nijesu dovoljno pretvoreni u održive poslovne modele, investicione projekte i nove lance vrijednosti sa većom dodatom vrijednošću. Mikro-preduzeća i mala poljoprivredna gazdinstva imaju ograničen pristup poslovnoj infrastrukturi, digitalnim alatima, finansiranju i tržištima, što smanjuje mogućnosti za valorizaciju šumskog i poljoprivrednog potencijala, razvoj </w:t>
            </w:r>
            <w:proofErr w:type="spellStart"/>
            <w:r w:rsidRPr="006F5B1C">
              <w:rPr>
                <w:rFonts w:ascii="Aptos Narrow" w:eastAsia="Times New Roman" w:hAnsi="Aptos Narrow" w:cs="Times New Roman"/>
                <w:color w:val="000000"/>
                <w:sz w:val="16"/>
                <w:szCs w:val="16"/>
                <w:lang w:val="sr-Latn-ME" w:eastAsia="en-GB"/>
                <w14:ligatures w14:val="none"/>
              </w:rPr>
              <w:t>agroinkubatora</w:t>
            </w:r>
            <w:proofErr w:type="spellEnd"/>
            <w:r w:rsidRPr="006F5B1C">
              <w:rPr>
                <w:rFonts w:ascii="Aptos Narrow" w:eastAsia="Times New Roman" w:hAnsi="Aptos Narrow" w:cs="Times New Roman"/>
                <w:color w:val="000000"/>
                <w:sz w:val="16"/>
                <w:szCs w:val="16"/>
                <w:lang w:val="sr-Latn-ME" w:eastAsia="en-GB"/>
                <w14:ligatures w14:val="none"/>
              </w:rPr>
              <w:t xml:space="preserve"> i kreiranje lokalne dodate vrijednosti.</w:t>
            </w:r>
          </w:p>
        </w:tc>
      </w:tr>
      <w:tr w:rsidR="00F415F5" w:rsidRPr="006F5B1C" w14:paraId="11599DC6"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465B54F2"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23</w:t>
            </w:r>
          </w:p>
        </w:tc>
        <w:tc>
          <w:tcPr>
            <w:tcW w:w="548" w:type="pct"/>
            <w:noWrap/>
            <w:hideMark/>
          </w:tcPr>
          <w:p w14:paraId="38D69C5C"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PA03-23</w:t>
            </w:r>
          </w:p>
        </w:tc>
        <w:tc>
          <w:tcPr>
            <w:tcW w:w="1017" w:type="pct"/>
            <w:noWrap/>
            <w:hideMark/>
          </w:tcPr>
          <w:p w14:paraId="1C394419"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Ograničena spremnost privrede za nove klimatske i ekološke standarde</w:t>
            </w:r>
          </w:p>
        </w:tc>
        <w:tc>
          <w:tcPr>
            <w:tcW w:w="3047" w:type="pct"/>
            <w:noWrap/>
            <w:hideMark/>
          </w:tcPr>
          <w:p w14:paraId="5BF64248"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Evropski zahtjevi u oblasti klimatske politike, održivosti i korporativne odgovornosti </w:t>
            </w:r>
            <w:proofErr w:type="spellStart"/>
            <w:r w:rsidRPr="006F5B1C">
              <w:rPr>
                <w:rFonts w:ascii="Aptos Narrow" w:eastAsia="Times New Roman" w:hAnsi="Aptos Narrow" w:cs="Times New Roman"/>
                <w:color w:val="000000"/>
                <w:sz w:val="16"/>
                <w:szCs w:val="16"/>
                <w:lang w:val="sr-Latn-ME" w:eastAsia="en-GB"/>
                <w14:ligatures w14:val="none"/>
              </w:rPr>
              <w:t>postepeno</w:t>
            </w:r>
            <w:proofErr w:type="spellEnd"/>
            <w:r w:rsidRPr="006F5B1C">
              <w:rPr>
                <w:rFonts w:ascii="Aptos Narrow" w:eastAsia="Times New Roman" w:hAnsi="Aptos Narrow" w:cs="Times New Roman"/>
                <w:color w:val="000000"/>
                <w:sz w:val="16"/>
                <w:szCs w:val="16"/>
                <w:lang w:val="sr-Latn-ME" w:eastAsia="en-GB"/>
                <w14:ligatures w14:val="none"/>
              </w:rPr>
              <w:t xml:space="preserve"> rastu, a dio domaćih preduzeća još nije dovoljno pripremljen za njihovu punu primjenu.</w:t>
            </w:r>
          </w:p>
        </w:tc>
      </w:tr>
      <w:tr w:rsidR="00F415F5" w:rsidRPr="006F5B1C" w14:paraId="0679B55D"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360671B3"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24</w:t>
            </w:r>
          </w:p>
        </w:tc>
        <w:tc>
          <w:tcPr>
            <w:tcW w:w="548" w:type="pct"/>
            <w:noWrap/>
            <w:hideMark/>
          </w:tcPr>
          <w:p w14:paraId="30449F6B"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PA03-24</w:t>
            </w:r>
          </w:p>
        </w:tc>
        <w:tc>
          <w:tcPr>
            <w:tcW w:w="1017" w:type="pct"/>
            <w:noWrap/>
            <w:hideMark/>
          </w:tcPr>
          <w:p w14:paraId="53A498F9"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Nedovoljna integracija zelene tranzicije i industrijske modernizacije</w:t>
            </w:r>
          </w:p>
        </w:tc>
        <w:tc>
          <w:tcPr>
            <w:tcW w:w="3047" w:type="pct"/>
            <w:noWrap/>
            <w:hideMark/>
          </w:tcPr>
          <w:p w14:paraId="6C8D5EC6"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Zelena tranzicija se još ne prevodi dovoljno sistematski u razvoj novih industrijskih kapaciteta, proizvoda i tehnologija, pa njen potencijal za rast produktivnosti i investicija ostaje nedovoljno iskorišćen.</w:t>
            </w:r>
          </w:p>
        </w:tc>
      </w:tr>
      <w:tr w:rsidR="00F415F5" w:rsidRPr="006F5B1C" w14:paraId="34CCF1C7"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062F65C3"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25</w:t>
            </w:r>
          </w:p>
        </w:tc>
        <w:tc>
          <w:tcPr>
            <w:tcW w:w="548" w:type="pct"/>
            <w:noWrap/>
            <w:hideMark/>
          </w:tcPr>
          <w:p w14:paraId="635FAD6C"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PA03-25</w:t>
            </w:r>
          </w:p>
        </w:tc>
        <w:tc>
          <w:tcPr>
            <w:tcW w:w="1017" w:type="pct"/>
            <w:noWrap/>
            <w:hideMark/>
          </w:tcPr>
          <w:p w14:paraId="688D024A"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Neujednačena teritorijalna raspodjela poslovnih kapaciteta i podrške</w:t>
            </w:r>
          </w:p>
        </w:tc>
        <w:tc>
          <w:tcPr>
            <w:tcW w:w="3047" w:type="pct"/>
            <w:noWrap/>
            <w:hideMark/>
          </w:tcPr>
          <w:p w14:paraId="049DCCF8"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Poslovne prilike, institucije podrške, savjetodavne usluge i razvojni programi nijesu ravnomjerno dostupni na teritoriji Crne Gore, što produbljuje razlike između razvijenijih i slabije razvijenih područja.</w:t>
            </w:r>
          </w:p>
        </w:tc>
      </w:tr>
      <w:tr w:rsidR="00F415F5" w:rsidRPr="006F5B1C" w14:paraId="10170AE7"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35643529"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26</w:t>
            </w:r>
          </w:p>
        </w:tc>
        <w:tc>
          <w:tcPr>
            <w:tcW w:w="548" w:type="pct"/>
            <w:noWrap/>
            <w:hideMark/>
          </w:tcPr>
          <w:p w14:paraId="605845E0"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PA03-26</w:t>
            </w:r>
          </w:p>
        </w:tc>
        <w:tc>
          <w:tcPr>
            <w:tcW w:w="1017" w:type="pct"/>
            <w:noWrap/>
            <w:hideMark/>
          </w:tcPr>
          <w:p w14:paraId="357D965D"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Nedovoljno razvijena poslovna infrastruktura izvan glavnih ekonomskih centara</w:t>
            </w:r>
          </w:p>
        </w:tc>
        <w:tc>
          <w:tcPr>
            <w:tcW w:w="3047" w:type="pct"/>
            <w:noWrap/>
            <w:hideMark/>
          </w:tcPr>
          <w:p w14:paraId="2DFE4E85"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Poslovne zone, industrijski parkovi, logistička i druga razvojna infrastruktura nijesu dovoljno razvijeni ili funkcionalno opremljeni u svim djelovima zemlje, što ograničava privlačenje investicija i razvoj lokalne privrede.</w:t>
            </w:r>
          </w:p>
        </w:tc>
      </w:tr>
      <w:tr w:rsidR="00F415F5" w:rsidRPr="006F5B1C" w14:paraId="356F1515"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5F09F770"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27</w:t>
            </w:r>
          </w:p>
        </w:tc>
        <w:tc>
          <w:tcPr>
            <w:tcW w:w="548" w:type="pct"/>
            <w:noWrap/>
            <w:hideMark/>
          </w:tcPr>
          <w:p w14:paraId="1C667462"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PA03-27</w:t>
            </w:r>
          </w:p>
        </w:tc>
        <w:tc>
          <w:tcPr>
            <w:tcW w:w="1017" w:type="pct"/>
            <w:noWrap/>
            <w:hideMark/>
          </w:tcPr>
          <w:p w14:paraId="218B8E46"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Ograničena investiciona spremnost manje razvijenih područja</w:t>
            </w:r>
          </w:p>
        </w:tc>
        <w:tc>
          <w:tcPr>
            <w:tcW w:w="3047" w:type="pct"/>
            <w:noWrap/>
            <w:hideMark/>
          </w:tcPr>
          <w:p w14:paraId="01DDCF87"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U dijelu opština i regiona nedostaju planska spremnost, infrastrukturni preduslovi, institucionalni kapaciteti i promotivni alati potrebni za privlačenje i realizaciju kvalitetnih investicija.</w:t>
            </w:r>
          </w:p>
        </w:tc>
      </w:tr>
      <w:tr w:rsidR="00F415F5" w:rsidRPr="006F5B1C" w14:paraId="033400F2"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01889276"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28</w:t>
            </w:r>
          </w:p>
        </w:tc>
        <w:tc>
          <w:tcPr>
            <w:tcW w:w="548" w:type="pct"/>
            <w:noWrap/>
            <w:hideMark/>
          </w:tcPr>
          <w:p w14:paraId="6F677C73"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PA03-28</w:t>
            </w:r>
          </w:p>
        </w:tc>
        <w:tc>
          <w:tcPr>
            <w:tcW w:w="1017" w:type="pct"/>
            <w:noWrap/>
            <w:hideMark/>
          </w:tcPr>
          <w:p w14:paraId="701E41D6"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Nedovoljna povezanost lokalnih razvojnih potencijala sa instrumentima poslovne podrške</w:t>
            </w:r>
          </w:p>
        </w:tc>
        <w:tc>
          <w:tcPr>
            <w:tcW w:w="3047" w:type="pct"/>
            <w:noWrap/>
            <w:hideMark/>
          </w:tcPr>
          <w:p w14:paraId="53D09013"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Teritorijalni razvojni potencijali, uključujući resurse, lokalne specijalizacije i preduzetničke inicijative, još nijesu dovoljno povezani sa finansijskim, inovacionim i savjetodavnim instrumentima podrške.</w:t>
            </w:r>
          </w:p>
        </w:tc>
      </w:tr>
      <w:tr w:rsidR="00F415F5" w:rsidRPr="006F5B1C" w14:paraId="1684BD96"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7D1507CC"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29</w:t>
            </w:r>
          </w:p>
        </w:tc>
        <w:tc>
          <w:tcPr>
            <w:tcW w:w="548" w:type="pct"/>
            <w:noWrap/>
            <w:hideMark/>
          </w:tcPr>
          <w:p w14:paraId="2AD90CAE"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PA03-29</w:t>
            </w:r>
          </w:p>
        </w:tc>
        <w:tc>
          <w:tcPr>
            <w:tcW w:w="1017" w:type="pct"/>
            <w:noWrap/>
            <w:hideMark/>
          </w:tcPr>
          <w:p w14:paraId="63C84B72"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Slabija otpornost lokalnih ekonomija sa uskom sektorskom bazom</w:t>
            </w:r>
          </w:p>
        </w:tc>
        <w:tc>
          <w:tcPr>
            <w:tcW w:w="3047" w:type="pct"/>
            <w:noWrap/>
            <w:hideMark/>
          </w:tcPr>
          <w:p w14:paraId="16034542"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U pojedinim područjima ekonomska aktivnost počiva na uskoj bazi djelatnosti, što povećava ranjivost na spoljne šokove i ograničava mogućnost održivog i </w:t>
            </w:r>
            <w:proofErr w:type="spellStart"/>
            <w:r w:rsidRPr="006F5B1C">
              <w:rPr>
                <w:rFonts w:ascii="Aptos Narrow" w:eastAsia="Times New Roman" w:hAnsi="Aptos Narrow" w:cs="Times New Roman"/>
                <w:color w:val="000000"/>
                <w:sz w:val="16"/>
                <w:szCs w:val="16"/>
                <w:lang w:val="sr-Latn-ME" w:eastAsia="en-GB"/>
                <w14:ligatures w14:val="none"/>
              </w:rPr>
              <w:t>diverzifikovanog</w:t>
            </w:r>
            <w:proofErr w:type="spellEnd"/>
            <w:r w:rsidRPr="006F5B1C">
              <w:rPr>
                <w:rFonts w:ascii="Aptos Narrow" w:eastAsia="Times New Roman" w:hAnsi="Aptos Narrow" w:cs="Times New Roman"/>
                <w:color w:val="000000"/>
                <w:sz w:val="16"/>
                <w:szCs w:val="16"/>
                <w:lang w:val="sr-Latn-ME" w:eastAsia="en-GB"/>
                <w14:ligatures w14:val="none"/>
              </w:rPr>
              <w:t xml:space="preserve"> lokalnog rasta.</w:t>
            </w:r>
          </w:p>
        </w:tc>
      </w:tr>
      <w:tr w:rsidR="00F415F5" w:rsidRPr="006F5B1C" w14:paraId="43A535E7" w14:textId="77777777" w:rsidTr="00F415F5">
        <w:trPr>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7D69D757"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30</w:t>
            </w:r>
          </w:p>
        </w:tc>
        <w:tc>
          <w:tcPr>
            <w:tcW w:w="548" w:type="pct"/>
            <w:noWrap/>
            <w:hideMark/>
          </w:tcPr>
          <w:p w14:paraId="6077191E"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PA03-30</w:t>
            </w:r>
          </w:p>
        </w:tc>
        <w:tc>
          <w:tcPr>
            <w:tcW w:w="1017" w:type="pct"/>
            <w:noWrap/>
            <w:hideMark/>
          </w:tcPr>
          <w:p w14:paraId="540B7F1F"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Nedovoljno razvijeni mehanizmi teritorijalno ciljane poslovne podrške</w:t>
            </w:r>
          </w:p>
        </w:tc>
        <w:tc>
          <w:tcPr>
            <w:tcW w:w="3047" w:type="pct"/>
            <w:noWrap/>
            <w:hideMark/>
          </w:tcPr>
          <w:p w14:paraId="58189F54" w14:textId="77777777" w:rsidR="00F415F5" w:rsidRPr="006F5B1C" w:rsidRDefault="00F415F5" w:rsidP="00F415F5">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Instrumenti podrške privredi još nijesu dovoljno diferencirani prema teritorijalnim potrebama, stepenu razvijenosti i specifičnim ograničenjima pojedinih opština i regiona.</w:t>
            </w:r>
          </w:p>
        </w:tc>
      </w:tr>
      <w:tr w:rsidR="00F415F5" w:rsidRPr="006F5B1C" w14:paraId="6F723711" w14:textId="77777777" w:rsidTr="00F415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88" w:type="pct"/>
            <w:noWrap/>
            <w:hideMark/>
          </w:tcPr>
          <w:p w14:paraId="3411B756" w14:textId="77777777" w:rsidR="00F415F5" w:rsidRPr="006F5B1C" w:rsidRDefault="00F415F5" w:rsidP="00F415F5">
            <w:pPr>
              <w:jc w:val="righ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31</w:t>
            </w:r>
          </w:p>
        </w:tc>
        <w:tc>
          <w:tcPr>
            <w:tcW w:w="548" w:type="pct"/>
            <w:noWrap/>
            <w:hideMark/>
          </w:tcPr>
          <w:p w14:paraId="26B31E9C"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b/>
                <w:bCs/>
                <w:color w:val="000000"/>
                <w:sz w:val="16"/>
                <w:szCs w:val="16"/>
                <w:lang w:val="sr-Latn-ME" w:eastAsia="en-GB"/>
                <w14:ligatures w14:val="none"/>
              </w:rPr>
            </w:pPr>
            <w:r w:rsidRPr="006F5B1C">
              <w:rPr>
                <w:rFonts w:ascii="Aptos Narrow" w:eastAsia="Times New Roman" w:hAnsi="Aptos Narrow" w:cs="Times New Roman"/>
                <w:b/>
                <w:bCs/>
                <w:color w:val="000000"/>
                <w:sz w:val="16"/>
                <w:szCs w:val="16"/>
                <w:lang w:val="sr-Latn-ME" w:eastAsia="en-GB"/>
                <w14:ligatures w14:val="none"/>
              </w:rPr>
              <w:t>PA03-31</w:t>
            </w:r>
          </w:p>
        </w:tc>
        <w:tc>
          <w:tcPr>
            <w:tcW w:w="1017" w:type="pct"/>
            <w:noWrap/>
            <w:hideMark/>
          </w:tcPr>
          <w:p w14:paraId="40A9FB46"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Ograničeni administrativni kapaciteti za programiranje, sprovođenje i praćenje investicionih politika i EU fondova</w:t>
            </w:r>
          </w:p>
        </w:tc>
        <w:tc>
          <w:tcPr>
            <w:tcW w:w="3047" w:type="pct"/>
            <w:noWrap/>
            <w:hideMark/>
          </w:tcPr>
          <w:p w14:paraId="54197389" w14:textId="77777777" w:rsidR="00F415F5" w:rsidRPr="006F5B1C" w:rsidRDefault="00F415F5" w:rsidP="00F415F5">
            <w:pPr>
              <w:jc w:val="left"/>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 xml:space="preserve">Administrativni kapaciteti za pripremu, sprovođenje, koordinaciju i praćenje investicionih politika i programa finansiranih iz EU fondova nijesu dovoljno razvijeni. To može ograničiti kvalitet programiranja, </w:t>
            </w:r>
            <w:proofErr w:type="spellStart"/>
            <w:r w:rsidRPr="006F5B1C">
              <w:rPr>
                <w:rFonts w:ascii="Aptos Narrow" w:eastAsia="Times New Roman" w:hAnsi="Aptos Narrow" w:cs="Times New Roman"/>
                <w:color w:val="000000"/>
                <w:sz w:val="16"/>
                <w:szCs w:val="16"/>
                <w:lang w:val="sr-Latn-ME" w:eastAsia="en-GB"/>
                <w14:ligatures w14:val="none"/>
              </w:rPr>
              <w:t>apsorpcioni</w:t>
            </w:r>
            <w:proofErr w:type="spellEnd"/>
            <w:r w:rsidRPr="006F5B1C">
              <w:rPr>
                <w:rFonts w:ascii="Aptos Narrow" w:eastAsia="Times New Roman" w:hAnsi="Aptos Narrow" w:cs="Times New Roman"/>
                <w:color w:val="000000"/>
                <w:sz w:val="16"/>
                <w:szCs w:val="16"/>
                <w:lang w:val="sr-Latn-ME" w:eastAsia="en-GB"/>
                <w14:ligatures w14:val="none"/>
              </w:rPr>
              <w:t xml:space="preserve"> kapacitet, blagovremenu realizaciju projekata i mjerenje efekata podrške poslovanju.</w:t>
            </w:r>
          </w:p>
        </w:tc>
      </w:tr>
    </w:tbl>
    <w:p w14:paraId="6BB8A7FB" w14:textId="77777777" w:rsidR="0062475B" w:rsidRPr="006F5B1C" w:rsidRDefault="0062475B" w:rsidP="00F579F5">
      <w:pPr>
        <w:rPr>
          <w:lang w:val="sr-Latn-ME"/>
        </w:rPr>
      </w:pPr>
    </w:p>
    <w:p w14:paraId="3FDDAD61" w14:textId="252C4379" w:rsidR="00F83806" w:rsidRPr="006F5B1C" w:rsidRDefault="00F83806" w:rsidP="00F83806">
      <w:pPr>
        <w:pStyle w:val="Naslov2"/>
        <w:rPr>
          <w:lang w:val="sr-Latn-ME"/>
        </w:rPr>
      </w:pPr>
      <w:r w:rsidRPr="006F5B1C">
        <w:rPr>
          <w:lang w:val="sr-Latn-ME"/>
        </w:rPr>
        <w:t>SWOT ANALIZA</w:t>
      </w:r>
    </w:p>
    <w:tbl>
      <w:tblPr>
        <w:tblStyle w:val="Svijetlatablicareetke1-isticanje4"/>
        <w:tblW w:w="0" w:type="auto"/>
        <w:tblLook w:val="04A0" w:firstRow="1" w:lastRow="0" w:firstColumn="1" w:lastColumn="0" w:noHBand="0" w:noVBand="1"/>
      </w:tblPr>
      <w:tblGrid>
        <w:gridCol w:w="984"/>
        <w:gridCol w:w="5336"/>
        <w:gridCol w:w="2742"/>
      </w:tblGrid>
      <w:tr w:rsidR="00302198" w:rsidRPr="006F5B1C" w14:paraId="287B51F7" w14:textId="77777777" w:rsidTr="007F5B5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29" w:type="dxa"/>
            <w:noWrap/>
            <w:hideMark/>
          </w:tcPr>
          <w:p w14:paraId="0A72058E" w14:textId="77777777" w:rsidR="00302198" w:rsidRPr="006F5B1C" w:rsidRDefault="00302198" w:rsidP="00302198">
            <w:pPr>
              <w:jc w:val="left"/>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S-W-O-T</w:t>
            </w:r>
          </w:p>
        </w:tc>
        <w:tc>
          <w:tcPr>
            <w:tcW w:w="6305" w:type="dxa"/>
            <w:noWrap/>
            <w:hideMark/>
          </w:tcPr>
          <w:p w14:paraId="534BC637" w14:textId="77777777" w:rsidR="00302198" w:rsidRPr="007F5B5F" w:rsidRDefault="00302198" w:rsidP="00302198">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sr-Latn-ME" w:eastAsia="en-GB"/>
                <w14:ligatures w14:val="none"/>
              </w:rPr>
            </w:pPr>
            <w:r w:rsidRPr="007F5B5F">
              <w:rPr>
                <w:rFonts w:ascii="Aptos Narrow" w:eastAsia="Times New Roman" w:hAnsi="Aptos Narrow" w:cs="Times New Roman"/>
                <w:b w:val="0"/>
                <w:bCs w:val="0"/>
                <w:color w:val="000000"/>
                <w:sz w:val="16"/>
                <w:szCs w:val="16"/>
                <w:lang w:val="sr-Latn-ME" w:eastAsia="en-GB"/>
                <w14:ligatures w14:val="none"/>
              </w:rPr>
              <w:t>IZJAVA</w:t>
            </w:r>
          </w:p>
        </w:tc>
        <w:tc>
          <w:tcPr>
            <w:tcW w:w="0" w:type="auto"/>
            <w:noWrap/>
            <w:hideMark/>
          </w:tcPr>
          <w:p w14:paraId="1D001D93" w14:textId="77777777" w:rsidR="00302198" w:rsidRPr="006F5B1C" w:rsidRDefault="00302198" w:rsidP="00302198">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Povezani izazovi</w:t>
            </w:r>
          </w:p>
        </w:tc>
      </w:tr>
      <w:tr w:rsidR="006F5B1C" w:rsidRPr="006F5B1C" w14:paraId="280469C3"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D9F2D0" w:themeFill="accent6" w:themeFillTint="33"/>
            <w:noWrap/>
            <w:textDirection w:val="btLr"/>
            <w:vAlign w:val="center"/>
            <w:hideMark/>
          </w:tcPr>
          <w:p w14:paraId="1E044819" w14:textId="77777777" w:rsidR="006F5B1C" w:rsidRPr="007F5B5F" w:rsidRDefault="006F5B1C" w:rsidP="007B1BE5">
            <w:pPr>
              <w:ind w:left="113" w:right="113"/>
              <w:jc w:val="center"/>
              <w:rPr>
                <w:rFonts w:ascii="Aptos Narrow" w:eastAsia="Times New Roman" w:hAnsi="Aptos Narrow" w:cs="Times New Roman"/>
                <w:color w:val="000000"/>
                <w:sz w:val="36"/>
                <w:szCs w:val="36"/>
                <w:lang w:val="sr-Latn-ME" w:eastAsia="en-GB"/>
                <w14:ligatures w14:val="none"/>
              </w:rPr>
            </w:pPr>
            <w:r w:rsidRPr="007F5B5F">
              <w:rPr>
                <w:rFonts w:ascii="Aptos Narrow" w:eastAsia="Times New Roman" w:hAnsi="Aptos Narrow" w:cs="Times New Roman"/>
                <w:color w:val="000000"/>
                <w:sz w:val="36"/>
                <w:szCs w:val="36"/>
                <w:lang w:val="sr-Latn-ME" w:eastAsia="en-GB"/>
                <w14:ligatures w14:val="none"/>
              </w:rPr>
              <w:t>SNAGE</w:t>
            </w:r>
          </w:p>
        </w:tc>
        <w:tc>
          <w:tcPr>
            <w:tcW w:w="6305" w:type="dxa"/>
            <w:shd w:val="clear" w:color="auto" w:fill="D9F2D0" w:themeFill="accent6" w:themeFillTint="33"/>
            <w:noWrap/>
            <w:hideMark/>
          </w:tcPr>
          <w:p w14:paraId="254EB8FB"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Digitalizacija, inovacije i tehnološka ulaganja prepoznati su kao razvojni prioritet u nacionalnom okviru.</w:t>
            </w:r>
          </w:p>
        </w:tc>
        <w:tc>
          <w:tcPr>
            <w:tcW w:w="0" w:type="auto"/>
            <w:shd w:val="clear" w:color="auto" w:fill="D9F2D0" w:themeFill="accent6" w:themeFillTint="33"/>
            <w:noWrap/>
            <w:hideMark/>
          </w:tcPr>
          <w:p w14:paraId="581B3D1D"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PA03-16</w:t>
            </w:r>
          </w:p>
        </w:tc>
      </w:tr>
      <w:tr w:rsidR="006F5B1C" w:rsidRPr="006F5B1C" w14:paraId="21480EEC"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D9F2D0" w:themeFill="accent6" w:themeFillTint="33"/>
            <w:noWrap/>
            <w:hideMark/>
          </w:tcPr>
          <w:p w14:paraId="4C5A2AB7"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D9F2D0" w:themeFill="accent6" w:themeFillTint="33"/>
            <w:noWrap/>
            <w:hideMark/>
          </w:tcPr>
          <w:p w14:paraId="3A259642"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EU programski okvir daje jasnu osnovu za buduće investicije i mjerenje rezultata.</w:t>
            </w:r>
          </w:p>
        </w:tc>
        <w:tc>
          <w:tcPr>
            <w:tcW w:w="0" w:type="auto"/>
            <w:shd w:val="clear" w:color="auto" w:fill="D9F2D0" w:themeFill="accent6" w:themeFillTint="33"/>
            <w:noWrap/>
            <w:hideMark/>
          </w:tcPr>
          <w:p w14:paraId="4F022B68"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PA03-31</w:t>
            </w:r>
          </w:p>
        </w:tc>
      </w:tr>
      <w:tr w:rsidR="006F5B1C" w:rsidRPr="006F5B1C" w14:paraId="6FED94FB"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D9F2D0" w:themeFill="accent6" w:themeFillTint="33"/>
            <w:noWrap/>
            <w:hideMark/>
          </w:tcPr>
          <w:p w14:paraId="64713AEA"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D9F2D0" w:themeFill="accent6" w:themeFillTint="33"/>
            <w:noWrap/>
            <w:hideMark/>
          </w:tcPr>
          <w:p w14:paraId="66EE1246"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Podrška poslovanju je povezana sa Reformskom agendom, PER-om i procesom EU integracija.</w:t>
            </w:r>
          </w:p>
        </w:tc>
        <w:tc>
          <w:tcPr>
            <w:tcW w:w="0" w:type="auto"/>
            <w:shd w:val="clear" w:color="auto" w:fill="D9F2D0" w:themeFill="accent6" w:themeFillTint="33"/>
            <w:noWrap/>
            <w:hideMark/>
          </w:tcPr>
          <w:p w14:paraId="563FFD84"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PA03-31</w:t>
            </w:r>
          </w:p>
        </w:tc>
      </w:tr>
      <w:tr w:rsidR="006F5B1C" w:rsidRPr="006F5B1C" w14:paraId="3CF98965"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D9F2D0" w:themeFill="accent6" w:themeFillTint="33"/>
            <w:noWrap/>
            <w:hideMark/>
          </w:tcPr>
          <w:p w14:paraId="08794DD5"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D9F2D0" w:themeFill="accent6" w:themeFillTint="33"/>
            <w:noWrap/>
            <w:hideMark/>
          </w:tcPr>
          <w:p w14:paraId="30ABA68B"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Postoje institucionalna i infrastrukturna osnova za podršku inovacijama, uključujući Fond za inovacije, NTP, </w:t>
            </w:r>
            <w:proofErr w:type="spellStart"/>
            <w:r w:rsidRPr="007F5B5F">
              <w:rPr>
                <w:rFonts w:ascii="Aptos Narrow" w:eastAsia="Times New Roman" w:hAnsi="Aptos Narrow" w:cs="Times New Roman"/>
                <w:color w:val="000000"/>
                <w:sz w:val="16"/>
                <w:szCs w:val="16"/>
                <w:lang w:val="sr-Latn-ME" w:eastAsia="en-GB"/>
                <w14:ligatures w14:val="none"/>
              </w:rPr>
              <w:t>Tehnopolis</w:t>
            </w:r>
            <w:proofErr w:type="spellEnd"/>
            <w:r w:rsidRPr="007F5B5F">
              <w:rPr>
                <w:rFonts w:ascii="Aptos Narrow" w:eastAsia="Times New Roman" w:hAnsi="Aptos Narrow" w:cs="Times New Roman"/>
                <w:color w:val="000000"/>
                <w:sz w:val="16"/>
                <w:szCs w:val="16"/>
                <w:lang w:val="sr-Latn-ME" w:eastAsia="en-GB"/>
                <w14:ligatures w14:val="none"/>
              </w:rPr>
              <w:t>, kao i relevantne privatne i civilne inicijative u inovacionom ekosistemu.</w:t>
            </w:r>
          </w:p>
        </w:tc>
        <w:tc>
          <w:tcPr>
            <w:tcW w:w="0" w:type="auto"/>
            <w:shd w:val="clear" w:color="auto" w:fill="D9F2D0" w:themeFill="accent6" w:themeFillTint="33"/>
            <w:noWrap/>
            <w:hideMark/>
          </w:tcPr>
          <w:p w14:paraId="4420E4E2"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PA03-15, PA03-16</w:t>
            </w:r>
          </w:p>
        </w:tc>
      </w:tr>
      <w:tr w:rsidR="006F5B1C" w:rsidRPr="006F5B1C" w14:paraId="7CA0EAE7"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D9F2D0" w:themeFill="accent6" w:themeFillTint="33"/>
            <w:noWrap/>
            <w:hideMark/>
          </w:tcPr>
          <w:p w14:paraId="4C18B29F"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D9F2D0" w:themeFill="accent6" w:themeFillTint="33"/>
            <w:noWrap/>
            <w:hideMark/>
          </w:tcPr>
          <w:p w14:paraId="6A8949D0"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Postoji dobra osnova za razvoj zelenih poslovnih modela, imajući u vidu relativno visok </w:t>
            </w:r>
            <w:proofErr w:type="spellStart"/>
            <w:r w:rsidRPr="007F5B5F">
              <w:rPr>
                <w:rFonts w:ascii="Aptos Narrow" w:eastAsia="Times New Roman" w:hAnsi="Aptos Narrow" w:cs="Times New Roman"/>
                <w:color w:val="000000"/>
                <w:sz w:val="16"/>
                <w:szCs w:val="16"/>
                <w:lang w:val="sr-Latn-ME" w:eastAsia="en-GB"/>
                <w14:ligatures w14:val="none"/>
              </w:rPr>
              <w:t>udio</w:t>
            </w:r>
            <w:proofErr w:type="spellEnd"/>
            <w:r w:rsidRPr="007F5B5F">
              <w:rPr>
                <w:rFonts w:ascii="Aptos Narrow" w:eastAsia="Times New Roman" w:hAnsi="Aptos Narrow" w:cs="Times New Roman"/>
                <w:color w:val="000000"/>
                <w:sz w:val="16"/>
                <w:szCs w:val="16"/>
                <w:lang w:val="sr-Latn-ME" w:eastAsia="en-GB"/>
                <w14:ligatures w14:val="none"/>
              </w:rPr>
              <w:t xml:space="preserve"> obnovljivih izvora energije i strateški fokus na zelenu tranziciju.</w:t>
            </w:r>
          </w:p>
        </w:tc>
        <w:tc>
          <w:tcPr>
            <w:tcW w:w="0" w:type="auto"/>
            <w:shd w:val="clear" w:color="auto" w:fill="D9F2D0" w:themeFill="accent6" w:themeFillTint="33"/>
            <w:noWrap/>
            <w:hideMark/>
          </w:tcPr>
          <w:p w14:paraId="2FE1986A"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PA03-24</w:t>
            </w:r>
          </w:p>
        </w:tc>
      </w:tr>
      <w:tr w:rsidR="006F5B1C" w:rsidRPr="006F5B1C" w14:paraId="6E8199DD"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D9F2D0" w:themeFill="accent6" w:themeFillTint="33"/>
            <w:noWrap/>
            <w:hideMark/>
          </w:tcPr>
          <w:p w14:paraId="44609C4D"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D9F2D0" w:themeFill="accent6" w:themeFillTint="33"/>
            <w:noWrap/>
            <w:hideMark/>
          </w:tcPr>
          <w:p w14:paraId="4958FD87"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Postoji institucionalna osnova za saradnju privrede, nauke i inovacionog sistema.</w:t>
            </w:r>
          </w:p>
        </w:tc>
        <w:tc>
          <w:tcPr>
            <w:tcW w:w="0" w:type="auto"/>
            <w:shd w:val="clear" w:color="auto" w:fill="D9F2D0" w:themeFill="accent6" w:themeFillTint="33"/>
            <w:noWrap/>
            <w:hideMark/>
          </w:tcPr>
          <w:p w14:paraId="76030FC9"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PA03-15, PA03-16</w:t>
            </w:r>
          </w:p>
        </w:tc>
      </w:tr>
      <w:tr w:rsidR="006F5B1C" w:rsidRPr="006F5B1C" w14:paraId="4B3D07D6"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D9F2D0" w:themeFill="accent6" w:themeFillTint="33"/>
            <w:noWrap/>
            <w:hideMark/>
          </w:tcPr>
          <w:p w14:paraId="7CF89942"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D9F2D0" w:themeFill="accent6" w:themeFillTint="33"/>
            <w:noWrap/>
            <w:hideMark/>
          </w:tcPr>
          <w:p w14:paraId="681C816B"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Postoji osnova za razvoj ženskog i </w:t>
            </w:r>
            <w:proofErr w:type="spellStart"/>
            <w:r w:rsidRPr="007F5B5F">
              <w:rPr>
                <w:rFonts w:ascii="Aptos Narrow" w:eastAsia="Times New Roman" w:hAnsi="Aptos Narrow" w:cs="Times New Roman"/>
                <w:color w:val="000000"/>
                <w:sz w:val="16"/>
                <w:szCs w:val="16"/>
                <w:lang w:val="sr-Latn-ME" w:eastAsia="en-GB"/>
                <w14:ligatures w14:val="none"/>
              </w:rPr>
              <w:t>inkluzivnog</w:t>
            </w:r>
            <w:proofErr w:type="spellEnd"/>
            <w:r w:rsidRPr="007F5B5F">
              <w:rPr>
                <w:rFonts w:ascii="Aptos Narrow" w:eastAsia="Times New Roman" w:hAnsi="Aptos Narrow" w:cs="Times New Roman"/>
                <w:color w:val="000000"/>
                <w:sz w:val="16"/>
                <w:szCs w:val="16"/>
                <w:lang w:val="sr-Latn-ME" w:eastAsia="en-GB"/>
                <w14:ligatures w14:val="none"/>
              </w:rPr>
              <w:t xml:space="preserve"> preduzetništva kroz strateške i međunarodne inicijative</w:t>
            </w:r>
          </w:p>
        </w:tc>
        <w:tc>
          <w:tcPr>
            <w:tcW w:w="0" w:type="auto"/>
            <w:shd w:val="clear" w:color="auto" w:fill="D9F2D0" w:themeFill="accent6" w:themeFillTint="33"/>
            <w:noWrap/>
            <w:hideMark/>
          </w:tcPr>
          <w:p w14:paraId="289DDD3C"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PA03-12</w:t>
            </w:r>
          </w:p>
        </w:tc>
      </w:tr>
      <w:tr w:rsidR="006F5B1C" w:rsidRPr="006F5B1C" w14:paraId="414CD173"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D9F2D0" w:themeFill="accent6" w:themeFillTint="33"/>
            <w:noWrap/>
            <w:hideMark/>
          </w:tcPr>
          <w:p w14:paraId="7F6269B1"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D9F2D0" w:themeFill="accent6" w:themeFillTint="33"/>
            <w:noWrap/>
            <w:hideMark/>
          </w:tcPr>
          <w:p w14:paraId="7D7D9A0B"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Postoji širok strateški okvir za razvoj MSP, industrijsku politiku, zelenu i digitalnu tranziciju.</w:t>
            </w:r>
          </w:p>
        </w:tc>
        <w:tc>
          <w:tcPr>
            <w:tcW w:w="0" w:type="auto"/>
            <w:shd w:val="clear" w:color="auto" w:fill="D9F2D0" w:themeFill="accent6" w:themeFillTint="33"/>
            <w:noWrap/>
            <w:hideMark/>
          </w:tcPr>
          <w:p w14:paraId="568B83D1"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PA03-24</w:t>
            </w:r>
          </w:p>
        </w:tc>
      </w:tr>
      <w:tr w:rsidR="006F5B1C" w:rsidRPr="006F5B1C" w14:paraId="0001110A"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D9F2D0" w:themeFill="accent6" w:themeFillTint="33"/>
            <w:noWrap/>
            <w:hideMark/>
          </w:tcPr>
          <w:p w14:paraId="3B0C1187"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D9F2D0" w:themeFill="accent6" w:themeFillTint="33"/>
            <w:noWrap/>
            <w:hideMark/>
          </w:tcPr>
          <w:p w14:paraId="59093F55"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Strateški i regulatorni okvir prepoznaje teritorijalnu dimenziju podrške poslovanju kroz regionalni razvoj i poslovnu infrastrukturu.</w:t>
            </w:r>
          </w:p>
        </w:tc>
        <w:tc>
          <w:tcPr>
            <w:tcW w:w="0" w:type="auto"/>
            <w:shd w:val="clear" w:color="auto" w:fill="D9F2D0" w:themeFill="accent6" w:themeFillTint="33"/>
            <w:noWrap/>
            <w:hideMark/>
          </w:tcPr>
          <w:p w14:paraId="52CF912B"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PA03-30</w:t>
            </w:r>
          </w:p>
        </w:tc>
      </w:tr>
      <w:tr w:rsidR="006F5B1C" w:rsidRPr="006F5B1C" w14:paraId="5EFE5A23"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D9F2D0" w:themeFill="accent6" w:themeFillTint="33"/>
            <w:noWrap/>
            <w:hideMark/>
          </w:tcPr>
          <w:p w14:paraId="43F76E1F"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D9F2D0" w:themeFill="accent6" w:themeFillTint="33"/>
            <w:noWrap/>
            <w:hideMark/>
          </w:tcPr>
          <w:p w14:paraId="06486BAA"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Uspostavljeni su važni instrumenti finansijske podrške: Razvojna banka i Kreditno-garantni fond.</w:t>
            </w:r>
          </w:p>
        </w:tc>
        <w:tc>
          <w:tcPr>
            <w:tcW w:w="0" w:type="auto"/>
            <w:shd w:val="clear" w:color="auto" w:fill="D9F2D0" w:themeFill="accent6" w:themeFillTint="33"/>
            <w:noWrap/>
            <w:hideMark/>
          </w:tcPr>
          <w:p w14:paraId="23571647"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PA03-07, PA03-08</w:t>
            </w:r>
          </w:p>
        </w:tc>
      </w:tr>
      <w:tr w:rsidR="006F5B1C" w:rsidRPr="006F5B1C" w14:paraId="743D5E03"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D9F2D0" w:themeFill="accent6" w:themeFillTint="33"/>
            <w:noWrap/>
            <w:hideMark/>
          </w:tcPr>
          <w:p w14:paraId="5ED4E155"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D9F2D0" w:themeFill="accent6" w:themeFillTint="33"/>
            <w:noWrap/>
            <w:hideMark/>
          </w:tcPr>
          <w:p w14:paraId="27D553F2"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Zelena tranzicija je ugrađena u industrijski i reformski okvir podrške poslovanju.</w:t>
            </w:r>
          </w:p>
        </w:tc>
        <w:tc>
          <w:tcPr>
            <w:tcW w:w="0" w:type="auto"/>
            <w:shd w:val="clear" w:color="auto" w:fill="D9F2D0" w:themeFill="accent6" w:themeFillTint="33"/>
            <w:noWrap/>
            <w:hideMark/>
          </w:tcPr>
          <w:p w14:paraId="3E022B21"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PA03-24</w:t>
            </w:r>
          </w:p>
        </w:tc>
      </w:tr>
      <w:tr w:rsidR="006F5B1C" w:rsidRPr="006F5B1C" w14:paraId="61CD3F70"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FAE2D5" w:themeFill="accent2" w:themeFillTint="33"/>
            <w:noWrap/>
            <w:textDirection w:val="btLr"/>
            <w:vAlign w:val="center"/>
            <w:hideMark/>
          </w:tcPr>
          <w:p w14:paraId="714C8ECD" w14:textId="77777777" w:rsidR="006F5B1C" w:rsidRPr="007F5B5F" w:rsidRDefault="006F5B1C" w:rsidP="007B1BE5">
            <w:pPr>
              <w:ind w:left="113" w:right="113"/>
              <w:jc w:val="center"/>
              <w:rPr>
                <w:rFonts w:ascii="Aptos Narrow" w:eastAsia="Times New Roman" w:hAnsi="Aptos Narrow" w:cs="Times New Roman"/>
                <w:color w:val="000000"/>
                <w:sz w:val="36"/>
                <w:szCs w:val="36"/>
                <w:lang w:val="sr-Latn-ME" w:eastAsia="en-GB"/>
                <w14:ligatures w14:val="none"/>
              </w:rPr>
            </w:pPr>
            <w:r w:rsidRPr="007F5B5F">
              <w:rPr>
                <w:rFonts w:ascii="Aptos Narrow" w:eastAsia="Times New Roman" w:hAnsi="Aptos Narrow" w:cs="Times New Roman"/>
                <w:color w:val="000000"/>
                <w:sz w:val="36"/>
                <w:szCs w:val="36"/>
                <w:lang w:val="sr-Latn-ME" w:eastAsia="en-GB"/>
                <w14:ligatures w14:val="none"/>
              </w:rPr>
              <w:t>SLABOSTI</w:t>
            </w:r>
          </w:p>
        </w:tc>
        <w:tc>
          <w:tcPr>
            <w:tcW w:w="6305" w:type="dxa"/>
            <w:shd w:val="clear" w:color="auto" w:fill="FAE2D5" w:themeFill="accent2" w:themeFillTint="33"/>
            <w:noWrap/>
            <w:hideMark/>
          </w:tcPr>
          <w:p w14:paraId="210F361A"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Administrativne usluge za privredu ostaju </w:t>
            </w:r>
            <w:proofErr w:type="spellStart"/>
            <w:r w:rsidRPr="007F5B5F">
              <w:rPr>
                <w:rFonts w:ascii="Aptos Narrow" w:eastAsia="Times New Roman" w:hAnsi="Aptos Narrow" w:cs="Times New Roman"/>
                <w:color w:val="000000"/>
                <w:sz w:val="16"/>
                <w:szCs w:val="16"/>
                <w:lang w:val="sr-Latn-ME" w:eastAsia="en-GB"/>
                <w14:ligatures w14:val="none"/>
              </w:rPr>
              <w:t>fragmentisane,spore</w:t>
            </w:r>
            <w:proofErr w:type="spellEnd"/>
            <w:r w:rsidRPr="007F5B5F">
              <w:rPr>
                <w:rFonts w:ascii="Aptos Narrow" w:eastAsia="Times New Roman" w:hAnsi="Aptos Narrow" w:cs="Times New Roman"/>
                <w:color w:val="000000"/>
                <w:sz w:val="16"/>
                <w:szCs w:val="16"/>
                <w:lang w:val="sr-Latn-ME" w:eastAsia="en-GB"/>
                <w14:ligatures w14:val="none"/>
              </w:rPr>
              <w:t xml:space="preserve"> i nedovoljno koordinisane</w:t>
            </w:r>
          </w:p>
        </w:tc>
        <w:tc>
          <w:tcPr>
            <w:tcW w:w="0" w:type="auto"/>
            <w:shd w:val="clear" w:color="auto" w:fill="FAE2D5" w:themeFill="accent2" w:themeFillTint="33"/>
            <w:noWrap/>
            <w:hideMark/>
          </w:tcPr>
          <w:p w14:paraId="5F9B3F03"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PA03-02</w:t>
            </w:r>
          </w:p>
        </w:tc>
      </w:tr>
      <w:tr w:rsidR="006F5B1C" w:rsidRPr="006F5B1C" w14:paraId="27EF5763"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1A07945D"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2FD3841C"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Cirkularna ekonomija i </w:t>
            </w:r>
            <w:proofErr w:type="spellStart"/>
            <w:r w:rsidRPr="007F5B5F">
              <w:rPr>
                <w:rFonts w:ascii="Aptos Narrow" w:eastAsia="Times New Roman" w:hAnsi="Aptos Narrow" w:cs="Times New Roman"/>
                <w:color w:val="000000"/>
                <w:sz w:val="16"/>
                <w:szCs w:val="16"/>
                <w:lang w:val="sr-Latn-ME" w:eastAsia="en-GB"/>
                <w14:ligatures w14:val="none"/>
              </w:rPr>
              <w:t>bioekonomija</w:t>
            </w:r>
            <w:proofErr w:type="spellEnd"/>
            <w:r w:rsidRPr="007F5B5F">
              <w:rPr>
                <w:rFonts w:ascii="Aptos Narrow" w:eastAsia="Times New Roman" w:hAnsi="Aptos Narrow" w:cs="Times New Roman"/>
                <w:color w:val="000000"/>
                <w:sz w:val="16"/>
                <w:szCs w:val="16"/>
                <w:lang w:val="sr-Latn-ME" w:eastAsia="en-GB"/>
                <w14:ligatures w14:val="none"/>
              </w:rPr>
              <w:t xml:space="preserve"> nijesu dovoljno razvijene u poslovnoj praksi</w:t>
            </w:r>
          </w:p>
        </w:tc>
        <w:tc>
          <w:tcPr>
            <w:tcW w:w="0" w:type="auto"/>
            <w:shd w:val="clear" w:color="auto" w:fill="FAE2D5" w:themeFill="accent2" w:themeFillTint="33"/>
            <w:noWrap/>
            <w:hideMark/>
          </w:tcPr>
          <w:p w14:paraId="607FF538"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PA03-21, PA03-22</w:t>
            </w:r>
          </w:p>
        </w:tc>
      </w:tr>
      <w:tr w:rsidR="006F5B1C" w:rsidRPr="006F5B1C" w14:paraId="3F628941"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23F835FA"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043B7677"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Digitalni intenzitet preduzeća značajno zaostaje za EU prosjekom</w:t>
            </w:r>
          </w:p>
        </w:tc>
        <w:tc>
          <w:tcPr>
            <w:tcW w:w="0" w:type="auto"/>
            <w:shd w:val="clear" w:color="auto" w:fill="FAE2D5" w:themeFill="accent2" w:themeFillTint="33"/>
            <w:noWrap/>
            <w:hideMark/>
          </w:tcPr>
          <w:p w14:paraId="783C6102"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PA03-13, PA03-14</w:t>
            </w:r>
          </w:p>
        </w:tc>
      </w:tr>
      <w:tr w:rsidR="006F5B1C" w:rsidRPr="006F5B1C" w14:paraId="54F6BA16"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42386272"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08259578"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Ekonomske politike nijesu dovoljno predvidive za dugoročno poslovno planiranje</w:t>
            </w:r>
          </w:p>
        </w:tc>
        <w:tc>
          <w:tcPr>
            <w:tcW w:w="0" w:type="auto"/>
            <w:shd w:val="clear" w:color="auto" w:fill="FAE2D5" w:themeFill="accent2" w:themeFillTint="33"/>
            <w:noWrap/>
            <w:hideMark/>
          </w:tcPr>
          <w:p w14:paraId="24E3DF35"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PA03-06</w:t>
            </w:r>
          </w:p>
        </w:tc>
      </w:tr>
      <w:tr w:rsidR="006F5B1C" w:rsidRPr="006F5B1C" w14:paraId="6FFD98D8"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184DC2EC"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7A3BA4E8"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Inspekcijski nadzor i tržišna kontrola ne obezbjeđuju dovoljno ujednačenu primjenu pravila</w:t>
            </w:r>
          </w:p>
        </w:tc>
        <w:tc>
          <w:tcPr>
            <w:tcW w:w="0" w:type="auto"/>
            <w:shd w:val="clear" w:color="auto" w:fill="FAE2D5" w:themeFill="accent2" w:themeFillTint="33"/>
            <w:noWrap/>
            <w:hideMark/>
          </w:tcPr>
          <w:p w14:paraId="5D325BEE"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PA03-04, PA03-05</w:t>
            </w:r>
          </w:p>
        </w:tc>
      </w:tr>
      <w:tr w:rsidR="006F5B1C" w:rsidRPr="006F5B1C" w14:paraId="473EACBD"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6EDD7912"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417AA93D"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Investiciona sigurnost je ograničena zbog složenih prostornih procedura, neujednačene ažurnosti katastarskih evidencija i neriješenih imovinsko-pravnih odnosa</w:t>
            </w:r>
          </w:p>
        </w:tc>
        <w:tc>
          <w:tcPr>
            <w:tcW w:w="0" w:type="auto"/>
            <w:shd w:val="clear" w:color="auto" w:fill="FAE2D5" w:themeFill="accent2" w:themeFillTint="33"/>
            <w:noWrap/>
            <w:hideMark/>
          </w:tcPr>
          <w:p w14:paraId="19BB7330"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PA03-03</w:t>
            </w:r>
          </w:p>
        </w:tc>
      </w:tr>
      <w:tr w:rsidR="006F5B1C" w:rsidRPr="006F5B1C" w14:paraId="2CD30FCC"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4A75A042"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1D91D666"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Kapaciteti za digitalnu i tehnološku modernizaciju preduzeća ostaju ograničeni, posebno u dijelu stručnih kadrova, digitalnih i tehničkih vještina, upravljačkih znanja i pripreme razvojnih projekata</w:t>
            </w:r>
          </w:p>
        </w:tc>
        <w:tc>
          <w:tcPr>
            <w:tcW w:w="0" w:type="auto"/>
            <w:shd w:val="clear" w:color="auto" w:fill="FAE2D5" w:themeFill="accent2" w:themeFillTint="33"/>
            <w:noWrap/>
            <w:hideMark/>
          </w:tcPr>
          <w:p w14:paraId="7EDAD966"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PA03-17</w:t>
            </w:r>
          </w:p>
        </w:tc>
      </w:tr>
      <w:tr w:rsidR="006F5B1C" w:rsidRPr="006F5B1C" w14:paraId="4A72D2C5"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3811D4C2"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1F1BF38A"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Manje razvijena područja imaju ograničenu investicionu spremnost</w:t>
            </w:r>
          </w:p>
        </w:tc>
        <w:tc>
          <w:tcPr>
            <w:tcW w:w="0" w:type="auto"/>
            <w:shd w:val="clear" w:color="auto" w:fill="FAE2D5" w:themeFill="accent2" w:themeFillTint="33"/>
            <w:noWrap/>
            <w:hideMark/>
          </w:tcPr>
          <w:p w14:paraId="0E5ABF8A"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PA03-27, PA03-29, PA03-28</w:t>
            </w:r>
          </w:p>
        </w:tc>
      </w:tr>
      <w:tr w:rsidR="006F5B1C" w:rsidRPr="006F5B1C" w14:paraId="7B6096CB"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320CADE7"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2B7844B2"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MSP se suočavaju sa ograničenim pristupom finansijama, specijalizovanim savjetodavnim uslugama i podršci internacionalizaciji</w:t>
            </w:r>
          </w:p>
        </w:tc>
        <w:tc>
          <w:tcPr>
            <w:tcW w:w="0" w:type="auto"/>
            <w:shd w:val="clear" w:color="auto" w:fill="FAE2D5" w:themeFill="accent2" w:themeFillTint="33"/>
            <w:noWrap/>
            <w:hideMark/>
          </w:tcPr>
          <w:p w14:paraId="3FF028F8"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PA03-07, PA03-10, PA03-11</w:t>
            </w:r>
          </w:p>
        </w:tc>
      </w:tr>
      <w:tr w:rsidR="006F5B1C" w:rsidRPr="006F5B1C" w14:paraId="3F341C37"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4385EEBE"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0424D8C0"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Nedovoljno razvijen sistem </w:t>
            </w:r>
            <w:proofErr w:type="spellStart"/>
            <w:r w:rsidRPr="007F5B5F">
              <w:rPr>
                <w:rFonts w:ascii="Aptos Narrow" w:eastAsia="Times New Roman" w:hAnsi="Aptos Narrow" w:cs="Times New Roman"/>
                <w:color w:val="000000"/>
                <w:sz w:val="16"/>
                <w:szCs w:val="16"/>
                <w:lang w:val="sr-Latn-ME" w:eastAsia="en-GB"/>
                <w14:ligatures w14:val="none"/>
              </w:rPr>
              <w:t>postinvesticione</w:t>
            </w:r>
            <w:proofErr w:type="spellEnd"/>
            <w:r w:rsidRPr="007F5B5F">
              <w:rPr>
                <w:rFonts w:ascii="Aptos Narrow" w:eastAsia="Times New Roman" w:hAnsi="Aptos Narrow" w:cs="Times New Roman"/>
                <w:color w:val="000000"/>
                <w:sz w:val="16"/>
                <w:szCs w:val="16"/>
                <w:lang w:val="sr-Latn-ME" w:eastAsia="en-GB"/>
                <w14:ligatures w14:val="none"/>
              </w:rPr>
              <w:t xml:space="preserve"> podrške investitorima</w:t>
            </w:r>
          </w:p>
        </w:tc>
        <w:tc>
          <w:tcPr>
            <w:tcW w:w="0" w:type="auto"/>
            <w:shd w:val="clear" w:color="auto" w:fill="FAE2D5" w:themeFill="accent2" w:themeFillTint="33"/>
            <w:noWrap/>
            <w:hideMark/>
          </w:tcPr>
          <w:p w14:paraId="149BFC8B"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PA03-02</w:t>
            </w:r>
          </w:p>
        </w:tc>
      </w:tr>
      <w:tr w:rsidR="006F5B1C" w:rsidRPr="006F5B1C" w14:paraId="5A9E5692"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4D2B3AE7"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0E7F905B"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Nedovoljno su razvijeni regulatorni eksperimentalni mehanizmi, poput </w:t>
            </w:r>
            <w:proofErr w:type="spellStart"/>
            <w:r w:rsidRPr="007F5B5F">
              <w:rPr>
                <w:rFonts w:ascii="Aptos Narrow" w:eastAsia="Times New Roman" w:hAnsi="Aptos Narrow" w:cs="Times New Roman"/>
                <w:color w:val="000000"/>
                <w:sz w:val="16"/>
                <w:szCs w:val="16"/>
                <w:lang w:val="sr-Latn-ME" w:eastAsia="en-GB"/>
                <w14:ligatures w14:val="none"/>
              </w:rPr>
              <w:t>sandbox</w:t>
            </w:r>
            <w:proofErr w:type="spellEnd"/>
            <w:r w:rsidRPr="007F5B5F">
              <w:rPr>
                <w:rFonts w:ascii="Aptos Narrow" w:eastAsia="Times New Roman" w:hAnsi="Aptos Narrow" w:cs="Times New Roman"/>
                <w:color w:val="000000"/>
                <w:sz w:val="16"/>
                <w:szCs w:val="16"/>
                <w:lang w:val="sr-Latn-ME" w:eastAsia="en-GB"/>
                <w14:ligatures w14:val="none"/>
              </w:rPr>
              <w:t xml:space="preserve"> modela, koji bi omogućili testiranje inovativnih poslovnih rješenja u kontrolisanom regulatornom okruženju.</w:t>
            </w:r>
          </w:p>
        </w:tc>
        <w:tc>
          <w:tcPr>
            <w:tcW w:w="0" w:type="auto"/>
            <w:shd w:val="clear" w:color="auto" w:fill="FAE2D5" w:themeFill="accent2" w:themeFillTint="33"/>
            <w:noWrap/>
            <w:hideMark/>
          </w:tcPr>
          <w:p w14:paraId="4ED19DC4"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PA03-01, PA03-18</w:t>
            </w:r>
          </w:p>
        </w:tc>
      </w:tr>
      <w:tr w:rsidR="006F5B1C" w:rsidRPr="006F5B1C" w14:paraId="2F2129C9"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076C0E3D"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576ADC8D"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Ograničena baza podataka o investicionim tokovima i efektima postojećih podsticaja</w:t>
            </w:r>
          </w:p>
        </w:tc>
        <w:tc>
          <w:tcPr>
            <w:tcW w:w="0" w:type="auto"/>
            <w:shd w:val="clear" w:color="auto" w:fill="FAE2D5" w:themeFill="accent2" w:themeFillTint="33"/>
            <w:noWrap/>
            <w:hideMark/>
          </w:tcPr>
          <w:p w14:paraId="399BF560"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PA03-06</w:t>
            </w:r>
          </w:p>
        </w:tc>
      </w:tr>
      <w:tr w:rsidR="006F5B1C" w:rsidRPr="006F5B1C" w14:paraId="518C8A19"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264CC98E"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6ADD15A4"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Ograničeni administrativni kapaciteti za pripremu, sprovođenje i praćenje investicionih politika i EU fondova</w:t>
            </w:r>
          </w:p>
        </w:tc>
        <w:tc>
          <w:tcPr>
            <w:tcW w:w="0" w:type="auto"/>
            <w:shd w:val="clear" w:color="auto" w:fill="FAE2D5" w:themeFill="accent2" w:themeFillTint="33"/>
            <w:noWrap/>
            <w:hideMark/>
          </w:tcPr>
          <w:p w14:paraId="3E94123D"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PA03-31</w:t>
            </w:r>
          </w:p>
        </w:tc>
      </w:tr>
      <w:tr w:rsidR="006F5B1C" w:rsidRPr="006F5B1C" w14:paraId="785EE507"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179AB60E"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2546E9D0"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Poslovna infrastruktura i razvojna podrška nijesu ravnomjerno dostupne po regionima</w:t>
            </w:r>
          </w:p>
        </w:tc>
        <w:tc>
          <w:tcPr>
            <w:tcW w:w="0" w:type="auto"/>
            <w:shd w:val="clear" w:color="auto" w:fill="FAE2D5" w:themeFill="accent2" w:themeFillTint="33"/>
            <w:noWrap/>
            <w:hideMark/>
          </w:tcPr>
          <w:p w14:paraId="2C84A947"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PA03-25, PA03-30, PA03-26</w:t>
            </w:r>
          </w:p>
        </w:tc>
      </w:tr>
      <w:tr w:rsidR="006F5B1C" w:rsidRPr="006F5B1C" w14:paraId="18E5227E"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6B852E62"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6F5154B8"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Postojeći instrumenti podrške ženskom preduzetništvu i preduzetništvu manje zastupljenih grupa nijesu adekvatno prilagođeni njihovim specifičnim potrebama</w:t>
            </w:r>
          </w:p>
        </w:tc>
        <w:tc>
          <w:tcPr>
            <w:tcW w:w="0" w:type="auto"/>
            <w:shd w:val="clear" w:color="auto" w:fill="FAE2D5" w:themeFill="accent2" w:themeFillTint="33"/>
            <w:noWrap/>
            <w:hideMark/>
          </w:tcPr>
          <w:p w14:paraId="1E2BFF12"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PA03-12</w:t>
            </w:r>
          </w:p>
        </w:tc>
      </w:tr>
      <w:tr w:rsidR="006F5B1C" w:rsidRPr="006F5B1C" w14:paraId="6A0F506B"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29690428"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3CD137D7"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Produktivnost i kapaciteti za rast MSP sektora ostaju ograničeni</w:t>
            </w:r>
          </w:p>
        </w:tc>
        <w:tc>
          <w:tcPr>
            <w:tcW w:w="0" w:type="auto"/>
            <w:shd w:val="clear" w:color="auto" w:fill="FAE2D5" w:themeFill="accent2" w:themeFillTint="33"/>
            <w:noWrap/>
            <w:hideMark/>
          </w:tcPr>
          <w:p w14:paraId="41580D9E"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PA03-09</w:t>
            </w:r>
          </w:p>
        </w:tc>
      </w:tr>
      <w:tr w:rsidR="006F5B1C" w:rsidRPr="006F5B1C" w14:paraId="4F760333"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688D19E5"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08275E28"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Saradnja privrede, istraživačkih organizacija i inovacione infrastrukture ostaje ograničena, uz nedovoljno razvijene istraživačke kapacitete za transfer znanja, komercijalizaciju istraživanja i razvoj proizvoda više dodatne vrijednosti</w:t>
            </w:r>
          </w:p>
        </w:tc>
        <w:tc>
          <w:tcPr>
            <w:tcW w:w="0" w:type="auto"/>
            <w:shd w:val="clear" w:color="auto" w:fill="FAE2D5" w:themeFill="accent2" w:themeFillTint="33"/>
            <w:noWrap/>
            <w:hideMark/>
          </w:tcPr>
          <w:p w14:paraId="6953D096"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PA03-15</w:t>
            </w:r>
          </w:p>
        </w:tc>
      </w:tr>
      <w:tr w:rsidR="006F5B1C" w:rsidRPr="006F5B1C" w14:paraId="466F66FD"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7D65AD44"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40B4FF91"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Složene i promjenljive procedure za poslovanje</w:t>
            </w:r>
          </w:p>
        </w:tc>
        <w:tc>
          <w:tcPr>
            <w:tcW w:w="0" w:type="auto"/>
            <w:shd w:val="clear" w:color="auto" w:fill="FAE2D5" w:themeFill="accent2" w:themeFillTint="33"/>
            <w:noWrap/>
            <w:hideMark/>
          </w:tcPr>
          <w:p w14:paraId="7ABD2CDF"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PA03-01, PA03-02</w:t>
            </w:r>
          </w:p>
        </w:tc>
      </w:tr>
      <w:tr w:rsidR="006F5B1C" w:rsidRPr="006F5B1C" w14:paraId="0A4C2D7F"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3ACEDB0A"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2CB5F463"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Tržište rizičnog, vlasničkog, razvojnog i </w:t>
            </w:r>
            <w:proofErr w:type="spellStart"/>
            <w:r w:rsidRPr="007F5B5F">
              <w:rPr>
                <w:rFonts w:ascii="Aptos Narrow" w:eastAsia="Times New Roman" w:hAnsi="Aptos Narrow" w:cs="Times New Roman"/>
                <w:color w:val="000000"/>
                <w:sz w:val="16"/>
                <w:szCs w:val="16"/>
                <w:lang w:val="sr-Latn-ME" w:eastAsia="en-GB"/>
                <w14:ligatures w14:val="none"/>
              </w:rPr>
              <w:t>impact</w:t>
            </w:r>
            <w:proofErr w:type="spellEnd"/>
            <w:r w:rsidRPr="007F5B5F">
              <w:rPr>
                <w:rFonts w:ascii="Aptos Narrow" w:eastAsia="Times New Roman" w:hAnsi="Aptos Narrow" w:cs="Times New Roman"/>
                <w:color w:val="000000"/>
                <w:sz w:val="16"/>
                <w:szCs w:val="16"/>
                <w:lang w:val="sr-Latn-ME" w:eastAsia="en-GB"/>
                <w14:ligatures w14:val="none"/>
              </w:rPr>
              <w:t xml:space="preserve"> </w:t>
            </w:r>
            <w:proofErr w:type="spellStart"/>
            <w:r w:rsidRPr="007F5B5F">
              <w:rPr>
                <w:rFonts w:ascii="Aptos Narrow" w:eastAsia="Times New Roman" w:hAnsi="Aptos Narrow" w:cs="Times New Roman"/>
                <w:color w:val="000000"/>
                <w:sz w:val="16"/>
                <w:szCs w:val="16"/>
                <w:lang w:val="sr-Latn-ME" w:eastAsia="en-GB"/>
                <w14:ligatures w14:val="none"/>
              </w:rPr>
              <w:t>investment</w:t>
            </w:r>
            <w:proofErr w:type="spellEnd"/>
            <w:r w:rsidRPr="007F5B5F">
              <w:rPr>
                <w:rFonts w:ascii="Aptos Narrow" w:eastAsia="Times New Roman" w:hAnsi="Aptos Narrow" w:cs="Times New Roman"/>
                <w:color w:val="000000"/>
                <w:sz w:val="16"/>
                <w:szCs w:val="16"/>
                <w:lang w:val="sr-Latn-ME" w:eastAsia="en-GB"/>
                <w14:ligatures w14:val="none"/>
              </w:rPr>
              <w:t xml:space="preserve"> kapitala nije dovoljno razvijeno, što ograničava finansiranje inovativnih, društveno odgovornih modela</w:t>
            </w:r>
          </w:p>
        </w:tc>
        <w:tc>
          <w:tcPr>
            <w:tcW w:w="0" w:type="auto"/>
            <w:shd w:val="clear" w:color="auto" w:fill="FAE2D5" w:themeFill="accent2" w:themeFillTint="33"/>
            <w:noWrap/>
            <w:hideMark/>
          </w:tcPr>
          <w:p w14:paraId="5B6D4711"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PA03-08</w:t>
            </w:r>
          </w:p>
        </w:tc>
      </w:tr>
      <w:tr w:rsidR="006F5B1C" w:rsidRPr="006F5B1C" w14:paraId="7B39649E"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277A1E35"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12E58C28"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Ulaganja u istraživanje, razvoj i inovacije ostaju niska</w:t>
            </w:r>
          </w:p>
        </w:tc>
        <w:tc>
          <w:tcPr>
            <w:tcW w:w="0" w:type="auto"/>
            <w:shd w:val="clear" w:color="auto" w:fill="FAE2D5" w:themeFill="accent2" w:themeFillTint="33"/>
            <w:noWrap/>
            <w:hideMark/>
          </w:tcPr>
          <w:p w14:paraId="0B3E9727"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PA03-16</w:t>
            </w:r>
          </w:p>
        </w:tc>
      </w:tr>
      <w:tr w:rsidR="006F5B1C" w:rsidRPr="006F5B1C" w14:paraId="2CED3156"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AE2D5" w:themeFill="accent2" w:themeFillTint="33"/>
            <w:noWrap/>
            <w:hideMark/>
          </w:tcPr>
          <w:p w14:paraId="63D5FD1A"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FAE2D5" w:themeFill="accent2" w:themeFillTint="33"/>
            <w:noWrap/>
            <w:hideMark/>
          </w:tcPr>
          <w:p w14:paraId="235BCA74"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Zelena transformacija preduzeća odvija se sporo, posebno u dijelu energetske efikasnosti, </w:t>
            </w:r>
            <w:proofErr w:type="spellStart"/>
            <w:r w:rsidRPr="007F5B5F">
              <w:rPr>
                <w:rFonts w:ascii="Aptos Narrow" w:eastAsia="Times New Roman" w:hAnsi="Aptos Narrow" w:cs="Times New Roman"/>
                <w:color w:val="000000"/>
                <w:sz w:val="16"/>
                <w:szCs w:val="16"/>
                <w:lang w:val="sr-Latn-ME" w:eastAsia="en-GB"/>
                <w14:ligatures w14:val="none"/>
              </w:rPr>
              <w:t>resursne</w:t>
            </w:r>
            <w:proofErr w:type="spellEnd"/>
            <w:r w:rsidRPr="007F5B5F">
              <w:rPr>
                <w:rFonts w:ascii="Aptos Narrow" w:eastAsia="Times New Roman" w:hAnsi="Aptos Narrow" w:cs="Times New Roman"/>
                <w:color w:val="000000"/>
                <w:sz w:val="16"/>
                <w:szCs w:val="16"/>
                <w:lang w:val="sr-Latn-ME" w:eastAsia="en-GB"/>
                <w14:ligatures w14:val="none"/>
              </w:rPr>
              <w:t xml:space="preserve"> efikasnosti, </w:t>
            </w:r>
            <w:proofErr w:type="spellStart"/>
            <w:r w:rsidRPr="007F5B5F">
              <w:rPr>
                <w:rFonts w:ascii="Aptos Narrow" w:eastAsia="Times New Roman" w:hAnsi="Aptos Narrow" w:cs="Times New Roman"/>
                <w:color w:val="000000"/>
                <w:sz w:val="16"/>
                <w:szCs w:val="16"/>
                <w:lang w:val="sr-Latn-ME" w:eastAsia="en-GB"/>
                <w14:ligatures w14:val="none"/>
              </w:rPr>
              <w:t>dekarbonizacije</w:t>
            </w:r>
            <w:proofErr w:type="spellEnd"/>
            <w:r w:rsidRPr="007F5B5F">
              <w:rPr>
                <w:rFonts w:ascii="Aptos Narrow" w:eastAsia="Times New Roman" w:hAnsi="Aptos Narrow" w:cs="Times New Roman"/>
                <w:color w:val="000000"/>
                <w:sz w:val="16"/>
                <w:szCs w:val="16"/>
                <w:lang w:val="sr-Latn-ME" w:eastAsia="en-GB"/>
                <w14:ligatures w14:val="none"/>
              </w:rPr>
              <w:t xml:space="preserve"> i primjene cirkularnih poslovnih modela</w:t>
            </w:r>
          </w:p>
        </w:tc>
        <w:tc>
          <w:tcPr>
            <w:tcW w:w="0" w:type="auto"/>
            <w:shd w:val="clear" w:color="auto" w:fill="FAE2D5" w:themeFill="accent2" w:themeFillTint="33"/>
            <w:noWrap/>
            <w:hideMark/>
          </w:tcPr>
          <w:p w14:paraId="13728F39"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PA03-19, PA03-20, PA03-21, PA03-23</w:t>
            </w:r>
          </w:p>
        </w:tc>
      </w:tr>
      <w:tr w:rsidR="006F5B1C" w:rsidRPr="006F5B1C" w14:paraId="6F650DCE"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CAEDFB" w:themeFill="accent4" w:themeFillTint="33"/>
            <w:noWrap/>
            <w:textDirection w:val="btLr"/>
            <w:vAlign w:val="center"/>
            <w:hideMark/>
          </w:tcPr>
          <w:p w14:paraId="228A697D" w14:textId="77777777" w:rsidR="006F5B1C" w:rsidRPr="007F5B5F" w:rsidRDefault="006F5B1C" w:rsidP="007B1BE5">
            <w:pPr>
              <w:ind w:left="113" w:right="113"/>
              <w:jc w:val="center"/>
              <w:rPr>
                <w:rFonts w:ascii="Aptos Narrow" w:eastAsia="Times New Roman" w:hAnsi="Aptos Narrow" w:cs="Times New Roman"/>
                <w:color w:val="000000"/>
                <w:sz w:val="36"/>
                <w:szCs w:val="36"/>
                <w:lang w:val="sr-Latn-ME" w:eastAsia="en-GB"/>
                <w14:ligatures w14:val="none"/>
              </w:rPr>
            </w:pPr>
            <w:r w:rsidRPr="007F5B5F">
              <w:rPr>
                <w:rFonts w:ascii="Aptos Narrow" w:eastAsia="Times New Roman" w:hAnsi="Aptos Narrow" w:cs="Times New Roman"/>
                <w:color w:val="000000"/>
                <w:sz w:val="36"/>
                <w:szCs w:val="36"/>
                <w:lang w:val="sr-Latn-ME" w:eastAsia="en-GB"/>
                <w14:ligatures w14:val="none"/>
              </w:rPr>
              <w:t>PRILIKE</w:t>
            </w:r>
          </w:p>
        </w:tc>
        <w:tc>
          <w:tcPr>
            <w:tcW w:w="6305" w:type="dxa"/>
            <w:shd w:val="clear" w:color="auto" w:fill="CAEDFB" w:themeFill="accent4" w:themeFillTint="33"/>
            <w:noWrap/>
            <w:hideMark/>
          </w:tcPr>
          <w:p w14:paraId="32FDB18F"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Bolja saobraćajna, digitalna i poslovna infrastruktura može smanjiti regionalne razlike.</w:t>
            </w:r>
          </w:p>
        </w:tc>
        <w:tc>
          <w:tcPr>
            <w:tcW w:w="0" w:type="auto"/>
            <w:shd w:val="clear" w:color="auto" w:fill="CAEDFB" w:themeFill="accent4" w:themeFillTint="33"/>
            <w:noWrap/>
            <w:hideMark/>
          </w:tcPr>
          <w:p w14:paraId="499189EC"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PA03-26</w:t>
            </w:r>
          </w:p>
        </w:tc>
      </w:tr>
      <w:tr w:rsidR="006F5B1C" w:rsidRPr="006F5B1C" w14:paraId="4BC72694"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12CF8755"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3E878625"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Cirkularna ekonomija, </w:t>
            </w:r>
            <w:proofErr w:type="spellStart"/>
            <w:r w:rsidRPr="007F5B5F">
              <w:rPr>
                <w:rFonts w:ascii="Aptos Narrow" w:eastAsia="Times New Roman" w:hAnsi="Aptos Narrow" w:cs="Times New Roman"/>
                <w:color w:val="000000"/>
                <w:sz w:val="16"/>
                <w:szCs w:val="16"/>
                <w:lang w:val="sr-Latn-ME" w:eastAsia="en-GB"/>
                <w14:ligatures w14:val="none"/>
              </w:rPr>
              <w:t>bioekonomija</w:t>
            </w:r>
            <w:proofErr w:type="spellEnd"/>
            <w:r w:rsidRPr="007F5B5F">
              <w:rPr>
                <w:rFonts w:ascii="Aptos Narrow" w:eastAsia="Times New Roman" w:hAnsi="Aptos Narrow" w:cs="Times New Roman"/>
                <w:color w:val="000000"/>
                <w:sz w:val="16"/>
                <w:szCs w:val="16"/>
                <w:lang w:val="sr-Latn-ME" w:eastAsia="en-GB"/>
                <w14:ligatures w14:val="none"/>
              </w:rPr>
              <w:t xml:space="preserve"> i zelene tehnologije mogu otvoriti nove lance vrijednosti.</w:t>
            </w:r>
          </w:p>
        </w:tc>
        <w:tc>
          <w:tcPr>
            <w:tcW w:w="0" w:type="auto"/>
            <w:shd w:val="clear" w:color="auto" w:fill="CAEDFB" w:themeFill="accent4" w:themeFillTint="33"/>
            <w:noWrap/>
            <w:hideMark/>
          </w:tcPr>
          <w:p w14:paraId="7032111B"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PA03-21</w:t>
            </w:r>
          </w:p>
        </w:tc>
      </w:tr>
      <w:tr w:rsidR="006F5B1C" w:rsidRPr="006F5B1C" w14:paraId="34876A94"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321FD9A7"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0AEDA600"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Digitalizacija javnih usluga može smanjiti administrativno opterećenje privrede.</w:t>
            </w:r>
          </w:p>
        </w:tc>
        <w:tc>
          <w:tcPr>
            <w:tcW w:w="0" w:type="auto"/>
            <w:shd w:val="clear" w:color="auto" w:fill="CAEDFB" w:themeFill="accent4" w:themeFillTint="33"/>
            <w:noWrap/>
            <w:hideMark/>
          </w:tcPr>
          <w:p w14:paraId="5A0608AB"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PA03-01, PA03-02</w:t>
            </w:r>
          </w:p>
        </w:tc>
      </w:tr>
      <w:tr w:rsidR="006F5B1C" w:rsidRPr="006F5B1C" w14:paraId="3F46020B"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4A107D2B"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759EA672"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Digitalna transformacija može povećati produktivnost, otpornost i tržišni domet preduzeća.</w:t>
            </w:r>
          </w:p>
        </w:tc>
        <w:tc>
          <w:tcPr>
            <w:tcW w:w="0" w:type="auto"/>
            <w:shd w:val="clear" w:color="auto" w:fill="CAEDFB" w:themeFill="accent4" w:themeFillTint="33"/>
            <w:noWrap/>
            <w:hideMark/>
          </w:tcPr>
          <w:p w14:paraId="62645CB9"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PA03-13</w:t>
            </w:r>
          </w:p>
        </w:tc>
      </w:tr>
      <w:tr w:rsidR="006F5B1C" w:rsidRPr="006F5B1C" w14:paraId="02BBE234"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7BC93BDB"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720A34EB"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EU fondovi, Plan rasta i budući NRPP mogu podržati reforme i investicije.</w:t>
            </w:r>
          </w:p>
        </w:tc>
        <w:tc>
          <w:tcPr>
            <w:tcW w:w="0" w:type="auto"/>
            <w:shd w:val="clear" w:color="auto" w:fill="CAEDFB" w:themeFill="accent4" w:themeFillTint="33"/>
            <w:noWrap/>
            <w:hideMark/>
          </w:tcPr>
          <w:p w14:paraId="0C9D1F06"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PA03-31</w:t>
            </w:r>
          </w:p>
        </w:tc>
      </w:tr>
      <w:tr w:rsidR="006F5B1C" w:rsidRPr="006F5B1C" w14:paraId="086BC589"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7CE1A121"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76EF70B0"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EU zeleni okvir otvara prostor za ulaganja u </w:t>
            </w:r>
            <w:proofErr w:type="spellStart"/>
            <w:r w:rsidRPr="007F5B5F">
              <w:rPr>
                <w:rFonts w:ascii="Aptos Narrow" w:eastAsia="Times New Roman" w:hAnsi="Aptos Narrow" w:cs="Times New Roman"/>
                <w:color w:val="000000"/>
                <w:sz w:val="16"/>
                <w:szCs w:val="16"/>
                <w:lang w:val="sr-Latn-ME" w:eastAsia="en-GB"/>
                <w14:ligatures w14:val="none"/>
              </w:rPr>
              <w:t>dekarbonizaciju</w:t>
            </w:r>
            <w:proofErr w:type="spellEnd"/>
            <w:r w:rsidRPr="007F5B5F">
              <w:rPr>
                <w:rFonts w:ascii="Aptos Narrow" w:eastAsia="Times New Roman" w:hAnsi="Aptos Narrow" w:cs="Times New Roman"/>
                <w:color w:val="000000"/>
                <w:sz w:val="16"/>
                <w:szCs w:val="16"/>
                <w:lang w:val="sr-Latn-ME" w:eastAsia="en-GB"/>
                <w14:ligatures w14:val="none"/>
              </w:rPr>
              <w:t>, energetsku efikasnost i čiste tehnologije.</w:t>
            </w:r>
          </w:p>
        </w:tc>
        <w:tc>
          <w:tcPr>
            <w:tcW w:w="0" w:type="auto"/>
            <w:shd w:val="clear" w:color="auto" w:fill="CAEDFB" w:themeFill="accent4" w:themeFillTint="33"/>
            <w:noWrap/>
            <w:hideMark/>
          </w:tcPr>
          <w:p w14:paraId="5AC310E3"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PA03-20</w:t>
            </w:r>
          </w:p>
        </w:tc>
      </w:tr>
      <w:tr w:rsidR="006F5B1C" w:rsidRPr="006F5B1C" w14:paraId="1AE3CAC5"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2985CFEB"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0D86383A"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Instrumenti i mreže podrške na nivou EU mogu unaprijediti pristup znanju, tržištima i partnerstvima.</w:t>
            </w:r>
          </w:p>
        </w:tc>
        <w:tc>
          <w:tcPr>
            <w:tcW w:w="0" w:type="auto"/>
            <w:shd w:val="clear" w:color="auto" w:fill="CAEDFB" w:themeFill="accent4" w:themeFillTint="33"/>
            <w:noWrap/>
            <w:hideMark/>
          </w:tcPr>
          <w:p w14:paraId="7127B1FA"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PA03-11</w:t>
            </w:r>
          </w:p>
        </w:tc>
      </w:tr>
      <w:tr w:rsidR="006F5B1C" w:rsidRPr="006F5B1C" w14:paraId="23BDC903"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2FE6A04A"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3D9FFD9E"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Novi finansijski instrumenti mogu podržati MSP, </w:t>
            </w:r>
            <w:proofErr w:type="spellStart"/>
            <w:r w:rsidRPr="007F5B5F">
              <w:rPr>
                <w:rFonts w:ascii="Aptos Narrow" w:eastAsia="Times New Roman" w:hAnsi="Aptos Narrow" w:cs="Times New Roman"/>
                <w:color w:val="000000"/>
                <w:sz w:val="16"/>
                <w:szCs w:val="16"/>
                <w:lang w:val="sr-Latn-ME" w:eastAsia="en-GB"/>
                <w14:ligatures w14:val="none"/>
              </w:rPr>
              <w:t>startapove</w:t>
            </w:r>
            <w:proofErr w:type="spellEnd"/>
            <w:r w:rsidRPr="007F5B5F">
              <w:rPr>
                <w:rFonts w:ascii="Aptos Narrow" w:eastAsia="Times New Roman" w:hAnsi="Aptos Narrow" w:cs="Times New Roman"/>
                <w:color w:val="000000"/>
                <w:sz w:val="16"/>
                <w:szCs w:val="16"/>
                <w:lang w:val="sr-Latn-ME" w:eastAsia="en-GB"/>
                <w14:ligatures w14:val="none"/>
              </w:rPr>
              <w:t>, izvoz i inovacije.</w:t>
            </w:r>
          </w:p>
        </w:tc>
        <w:tc>
          <w:tcPr>
            <w:tcW w:w="0" w:type="auto"/>
            <w:shd w:val="clear" w:color="auto" w:fill="CAEDFB" w:themeFill="accent4" w:themeFillTint="33"/>
            <w:noWrap/>
            <w:hideMark/>
          </w:tcPr>
          <w:p w14:paraId="3DD15BDC"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PA03-07, PA03-08</w:t>
            </w:r>
          </w:p>
        </w:tc>
      </w:tr>
      <w:tr w:rsidR="006F5B1C" w:rsidRPr="006F5B1C" w14:paraId="407C92ED"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42D53382"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0825DDA5"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proofErr w:type="spellStart"/>
            <w:r w:rsidRPr="007F5B5F">
              <w:rPr>
                <w:rFonts w:ascii="Aptos Narrow" w:eastAsia="Times New Roman" w:hAnsi="Aptos Narrow" w:cs="Times New Roman"/>
                <w:color w:val="000000"/>
                <w:sz w:val="16"/>
                <w:szCs w:val="16"/>
                <w:lang w:val="sr-Latn-ME" w:eastAsia="en-GB"/>
                <w14:ligatures w14:val="none"/>
              </w:rPr>
              <w:t>Postepena</w:t>
            </w:r>
            <w:proofErr w:type="spellEnd"/>
            <w:r w:rsidRPr="007F5B5F">
              <w:rPr>
                <w:rFonts w:ascii="Aptos Narrow" w:eastAsia="Times New Roman" w:hAnsi="Aptos Narrow" w:cs="Times New Roman"/>
                <w:color w:val="000000"/>
                <w:sz w:val="16"/>
                <w:szCs w:val="16"/>
                <w:lang w:val="sr-Latn-ME" w:eastAsia="en-GB"/>
                <w14:ligatures w14:val="none"/>
              </w:rPr>
              <w:t xml:space="preserve"> integracija u jedinstveno tržište EU otvara prostor za internacionalizaciju MSP.</w:t>
            </w:r>
          </w:p>
        </w:tc>
        <w:tc>
          <w:tcPr>
            <w:tcW w:w="0" w:type="auto"/>
            <w:shd w:val="clear" w:color="auto" w:fill="CAEDFB" w:themeFill="accent4" w:themeFillTint="33"/>
            <w:noWrap/>
            <w:hideMark/>
          </w:tcPr>
          <w:p w14:paraId="2FB4A722"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PA03-11</w:t>
            </w:r>
          </w:p>
        </w:tc>
      </w:tr>
      <w:tr w:rsidR="006F5B1C" w:rsidRPr="006F5B1C" w14:paraId="33DC1926"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061D6432"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30997A54"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Proces pristupanja EU može ubrzati usklađivanje poslovnog ambijenta sa pravilima jedinstvenog tržišta.</w:t>
            </w:r>
          </w:p>
        </w:tc>
        <w:tc>
          <w:tcPr>
            <w:tcW w:w="0" w:type="auto"/>
            <w:shd w:val="clear" w:color="auto" w:fill="CAEDFB" w:themeFill="accent4" w:themeFillTint="33"/>
            <w:noWrap/>
            <w:hideMark/>
          </w:tcPr>
          <w:p w14:paraId="0AF6A9C8"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PA03-11</w:t>
            </w:r>
          </w:p>
        </w:tc>
      </w:tr>
      <w:tr w:rsidR="006F5B1C" w:rsidRPr="006F5B1C" w14:paraId="2C5CFDF1"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1DBDA930"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10105CE0"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Rast tražnje za održivim, digitalnim i zelenim poslovnim modelima može podstaći modernizaciju privrede.</w:t>
            </w:r>
          </w:p>
        </w:tc>
        <w:tc>
          <w:tcPr>
            <w:tcW w:w="0" w:type="auto"/>
            <w:shd w:val="clear" w:color="auto" w:fill="CAEDFB" w:themeFill="accent4" w:themeFillTint="33"/>
            <w:noWrap/>
            <w:hideMark/>
          </w:tcPr>
          <w:p w14:paraId="5EC7A6F5"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PA03-24</w:t>
            </w:r>
          </w:p>
        </w:tc>
      </w:tr>
      <w:tr w:rsidR="006F5B1C" w:rsidRPr="006F5B1C" w14:paraId="7B8C473F"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0686C079"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7A92A517"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Saradnja privrede, univerziteta i inovacionih institucija može ubrzati transfer tehnologije.</w:t>
            </w:r>
          </w:p>
        </w:tc>
        <w:tc>
          <w:tcPr>
            <w:tcW w:w="0" w:type="auto"/>
            <w:shd w:val="clear" w:color="auto" w:fill="CAEDFB" w:themeFill="accent4" w:themeFillTint="33"/>
            <w:noWrap/>
            <w:hideMark/>
          </w:tcPr>
          <w:p w14:paraId="66D459F7"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PA03-15, PA03-16</w:t>
            </w:r>
          </w:p>
        </w:tc>
      </w:tr>
      <w:tr w:rsidR="006F5B1C" w:rsidRPr="006F5B1C" w14:paraId="33575B85"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CAEDFB" w:themeFill="accent4" w:themeFillTint="33"/>
            <w:noWrap/>
            <w:hideMark/>
          </w:tcPr>
          <w:p w14:paraId="4F963904" w14:textId="77777777" w:rsidR="006F5B1C" w:rsidRPr="007F5B5F" w:rsidRDefault="006F5B1C" w:rsidP="00302198">
            <w:pPr>
              <w:jc w:val="left"/>
              <w:rPr>
                <w:rFonts w:ascii="Aptos Narrow" w:eastAsia="Times New Roman" w:hAnsi="Aptos Narrow" w:cs="Times New Roman"/>
                <w:color w:val="000000"/>
                <w:sz w:val="36"/>
                <w:szCs w:val="36"/>
                <w:lang w:val="sr-Latn-ME" w:eastAsia="en-GB"/>
                <w14:ligatures w14:val="none"/>
              </w:rPr>
            </w:pPr>
          </w:p>
        </w:tc>
        <w:tc>
          <w:tcPr>
            <w:tcW w:w="6305" w:type="dxa"/>
            <w:shd w:val="clear" w:color="auto" w:fill="CAEDFB" w:themeFill="accent4" w:themeFillTint="33"/>
            <w:noWrap/>
            <w:hideMark/>
          </w:tcPr>
          <w:p w14:paraId="5116357B"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Teritorijalno ciljane mjere mogu bolje povezati lokalne potencijale i instrumente podrške.</w:t>
            </w:r>
          </w:p>
        </w:tc>
        <w:tc>
          <w:tcPr>
            <w:tcW w:w="0" w:type="auto"/>
            <w:shd w:val="clear" w:color="auto" w:fill="CAEDFB" w:themeFill="accent4" w:themeFillTint="33"/>
            <w:noWrap/>
            <w:hideMark/>
          </w:tcPr>
          <w:p w14:paraId="5C0E8028"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PA03-28</w:t>
            </w:r>
          </w:p>
        </w:tc>
      </w:tr>
      <w:tr w:rsidR="006F5B1C" w:rsidRPr="006F5B1C" w14:paraId="68F502C1"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FFFFCC"/>
            <w:noWrap/>
            <w:textDirection w:val="btLr"/>
            <w:vAlign w:val="center"/>
            <w:hideMark/>
          </w:tcPr>
          <w:p w14:paraId="395EC0C1" w14:textId="77777777" w:rsidR="006F5B1C" w:rsidRPr="007F5B5F" w:rsidRDefault="006F5B1C" w:rsidP="007B1BE5">
            <w:pPr>
              <w:ind w:left="113" w:right="113"/>
              <w:jc w:val="center"/>
              <w:rPr>
                <w:rFonts w:ascii="Aptos Narrow" w:eastAsia="Times New Roman" w:hAnsi="Aptos Narrow" w:cs="Times New Roman"/>
                <w:color w:val="000000"/>
                <w:sz w:val="36"/>
                <w:szCs w:val="36"/>
                <w:lang w:val="sr-Latn-ME" w:eastAsia="en-GB"/>
                <w14:ligatures w14:val="none"/>
              </w:rPr>
            </w:pPr>
            <w:r w:rsidRPr="007F5B5F">
              <w:rPr>
                <w:rFonts w:ascii="Aptos Narrow" w:eastAsia="Times New Roman" w:hAnsi="Aptos Narrow" w:cs="Times New Roman"/>
                <w:color w:val="000000"/>
                <w:sz w:val="36"/>
                <w:szCs w:val="36"/>
                <w:lang w:val="sr-Latn-ME" w:eastAsia="en-GB"/>
                <w14:ligatures w14:val="none"/>
              </w:rPr>
              <w:t>PRIJETNJE</w:t>
            </w:r>
          </w:p>
        </w:tc>
        <w:tc>
          <w:tcPr>
            <w:tcW w:w="6305" w:type="dxa"/>
            <w:shd w:val="clear" w:color="auto" w:fill="FFFFCC"/>
            <w:noWrap/>
            <w:hideMark/>
          </w:tcPr>
          <w:p w14:paraId="031571E0"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Brze tehnološke promjene mogu produbiti jaz između domaćih MSP i evropskih konkurenata</w:t>
            </w:r>
          </w:p>
        </w:tc>
        <w:tc>
          <w:tcPr>
            <w:tcW w:w="0" w:type="auto"/>
            <w:shd w:val="clear" w:color="auto" w:fill="FFFFCC"/>
            <w:noWrap/>
            <w:hideMark/>
          </w:tcPr>
          <w:p w14:paraId="68BE55F8"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PA03-13, PA03-18, PA03-14</w:t>
            </w:r>
          </w:p>
        </w:tc>
      </w:tr>
      <w:tr w:rsidR="006F5B1C" w:rsidRPr="006F5B1C" w14:paraId="18526202"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1A779A08"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795CD84E"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Depopulacija i starenje stanovništva u manje razvijenim područjima mogu dodatno oslabiti lokalnu poslovnu bazu</w:t>
            </w:r>
          </w:p>
        </w:tc>
        <w:tc>
          <w:tcPr>
            <w:tcW w:w="0" w:type="auto"/>
            <w:shd w:val="clear" w:color="auto" w:fill="FFFFCC"/>
            <w:noWrap/>
            <w:hideMark/>
          </w:tcPr>
          <w:p w14:paraId="79E31966"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PA03-27, PA03-25, PA03-29</w:t>
            </w:r>
          </w:p>
        </w:tc>
      </w:tr>
      <w:tr w:rsidR="006F5B1C" w:rsidRPr="006F5B1C" w14:paraId="0776313D"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2B869542"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6518D719"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Globalna geopolitička nestabilnost može poremetiti investicione tokove, lance snabdijevanja i tržišnu sigurnost</w:t>
            </w:r>
          </w:p>
        </w:tc>
        <w:tc>
          <w:tcPr>
            <w:tcW w:w="0" w:type="auto"/>
            <w:shd w:val="clear" w:color="auto" w:fill="FFFFCC"/>
            <w:noWrap/>
            <w:hideMark/>
          </w:tcPr>
          <w:p w14:paraId="0500B6EC"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PA03-11, PA03-07, PA03-29</w:t>
            </w:r>
          </w:p>
        </w:tc>
      </w:tr>
      <w:tr w:rsidR="006F5B1C" w:rsidRPr="006F5B1C" w14:paraId="09864AC0"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5C4B98CC"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5B31A752"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Jača regionalna konkurencija za privlačenje kvalitetnih stranih direktnih investicija može smanjiti relativnu atraktivnost Crne Gore</w:t>
            </w:r>
          </w:p>
        </w:tc>
        <w:tc>
          <w:tcPr>
            <w:tcW w:w="0" w:type="auto"/>
            <w:shd w:val="clear" w:color="auto" w:fill="FFFFCC"/>
            <w:noWrap/>
            <w:hideMark/>
          </w:tcPr>
          <w:p w14:paraId="1AECCD22"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PA03-06, PA03-11, PA03-09</w:t>
            </w:r>
          </w:p>
        </w:tc>
      </w:tr>
      <w:tr w:rsidR="006F5B1C" w:rsidRPr="006F5B1C" w14:paraId="5CC64200"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7FEE6078"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76F7C8B0"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 xml:space="preserve">Jačanje konkurencije na jedinstvenom tržištu EU može potisnuti </w:t>
            </w:r>
            <w:proofErr w:type="spellStart"/>
            <w:r w:rsidRPr="007F5B5F">
              <w:rPr>
                <w:rFonts w:ascii="Aptos Narrow" w:eastAsia="Times New Roman" w:hAnsi="Aptos Narrow" w:cs="Times New Roman"/>
                <w:color w:val="000000"/>
                <w:sz w:val="16"/>
                <w:szCs w:val="16"/>
                <w:lang w:val="sr-Latn-ME" w:eastAsia="en-GB"/>
                <w14:ligatures w14:val="none"/>
              </w:rPr>
              <w:t>niskoproduktivna</w:t>
            </w:r>
            <w:proofErr w:type="spellEnd"/>
            <w:r w:rsidRPr="007F5B5F">
              <w:rPr>
                <w:rFonts w:ascii="Aptos Narrow" w:eastAsia="Times New Roman" w:hAnsi="Aptos Narrow" w:cs="Times New Roman"/>
                <w:color w:val="000000"/>
                <w:sz w:val="16"/>
                <w:szCs w:val="16"/>
                <w:lang w:val="sr-Latn-ME" w:eastAsia="en-GB"/>
                <w14:ligatures w14:val="none"/>
              </w:rPr>
              <w:t xml:space="preserve"> domaća preduzeća</w:t>
            </w:r>
          </w:p>
        </w:tc>
        <w:tc>
          <w:tcPr>
            <w:tcW w:w="0" w:type="auto"/>
            <w:shd w:val="clear" w:color="auto" w:fill="FFFFCC"/>
            <w:noWrap/>
            <w:hideMark/>
          </w:tcPr>
          <w:p w14:paraId="1ADAF3C3"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PA03-11, PA03-09</w:t>
            </w:r>
          </w:p>
        </w:tc>
      </w:tr>
      <w:tr w:rsidR="006F5B1C" w:rsidRPr="006F5B1C" w14:paraId="5A8EAF26"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3CDEE2C0"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4DADB70A"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Klimatski rizici i ekstremni vremenski događaji mogu povećati troškove poslovanja i ugroziti lokalne ekonomije</w:t>
            </w:r>
          </w:p>
        </w:tc>
        <w:tc>
          <w:tcPr>
            <w:tcW w:w="0" w:type="auto"/>
            <w:shd w:val="clear" w:color="auto" w:fill="FFFFCC"/>
            <w:noWrap/>
            <w:hideMark/>
          </w:tcPr>
          <w:p w14:paraId="1C53EBED"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PA03-29, PA03-23</w:t>
            </w:r>
          </w:p>
        </w:tc>
      </w:tr>
      <w:tr w:rsidR="006F5B1C" w:rsidRPr="006F5B1C" w14:paraId="4F4652BD"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2EE22CA8"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35D7F96E"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Nedostatak kvalifikovane radne snage u širem evropskom prostoru može pojačati odliv kadrova</w:t>
            </w:r>
          </w:p>
        </w:tc>
        <w:tc>
          <w:tcPr>
            <w:tcW w:w="0" w:type="auto"/>
            <w:shd w:val="clear" w:color="auto" w:fill="FFFFCC"/>
            <w:noWrap/>
            <w:hideMark/>
          </w:tcPr>
          <w:p w14:paraId="3988C6FB"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PA03-17, PA03-18</w:t>
            </w:r>
          </w:p>
        </w:tc>
      </w:tr>
      <w:tr w:rsidR="006F5B1C" w:rsidRPr="006F5B1C" w14:paraId="0DE4EC91"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57E10868"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6F0C5F43"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Promjene u globalnim lancima vrijednosti mogu otežati uključivanje domaćih firmi u izvozne mreže</w:t>
            </w:r>
          </w:p>
        </w:tc>
        <w:tc>
          <w:tcPr>
            <w:tcW w:w="0" w:type="auto"/>
            <w:shd w:val="clear" w:color="auto" w:fill="FFFFCC"/>
            <w:noWrap/>
            <w:hideMark/>
          </w:tcPr>
          <w:p w14:paraId="48AF733E"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PA03-11</w:t>
            </w:r>
          </w:p>
        </w:tc>
      </w:tr>
      <w:tr w:rsidR="006F5B1C" w:rsidRPr="006F5B1C" w14:paraId="4F185687"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22541E64"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101EA026"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Rast cijena energije, sirovina i tehnologija može usporiti zelena i tehnološka ulaganja</w:t>
            </w:r>
          </w:p>
        </w:tc>
        <w:tc>
          <w:tcPr>
            <w:tcW w:w="0" w:type="auto"/>
            <w:shd w:val="clear" w:color="auto" w:fill="FFFFCC"/>
            <w:noWrap/>
            <w:hideMark/>
          </w:tcPr>
          <w:p w14:paraId="01F27FAA"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PA03-24, PA03-14, PA03-20, PA03-21</w:t>
            </w:r>
          </w:p>
        </w:tc>
      </w:tr>
      <w:tr w:rsidR="006F5B1C" w:rsidRPr="006F5B1C" w14:paraId="2C2D9B1D"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73BC549B"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1B06ADCE"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Rast kamatnih stopa i pooštravanje uslova finansiranja može ograničiti investicije MSP</w:t>
            </w:r>
          </w:p>
        </w:tc>
        <w:tc>
          <w:tcPr>
            <w:tcW w:w="0" w:type="auto"/>
            <w:shd w:val="clear" w:color="auto" w:fill="FFFFCC"/>
            <w:noWrap/>
            <w:hideMark/>
          </w:tcPr>
          <w:p w14:paraId="6A467619"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PA03-07, PA03-08</w:t>
            </w:r>
          </w:p>
        </w:tc>
      </w:tr>
      <w:tr w:rsidR="006F5B1C" w:rsidRPr="006F5B1C" w14:paraId="7141B0AB"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6CA46EF0"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7B40F15C"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Regionalna konkurencija za investicije, talente i EU fondove može smanjiti relativnu atraktivnost Crne Gore</w:t>
            </w:r>
          </w:p>
        </w:tc>
        <w:tc>
          <w:tcPr>
            <w:tcW w:w="0" w:type="auto"/>
            <w:shd w:val="clear" w:color="auto" w:fill="FFFFCC"/>
            <w:noWrap/>
            <w:hideMark/>
          </w:tcPr>
          <w:p w14:paraId="05784026"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PA03-25, PA03-31, PA03-27, PA03-17, PA03-18</w:t>
            </w:r>
          </w:p>
        </w:tc>
      </w:tr>
      <w:tr w:rsidR="006F5B1C" w:rsidRPr="006F5B1C" w14:paraId="5978F8BC"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0023792D"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6BEC59EF"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Stroži EU klimatski, ekološki i standardi održivosti mogu povećati troškove usklađivanja</w:t>
            </w:r>
          </w:p>
        </w:tc>
        <w:tc>
          <w:tcPr>
            <w:tcW w:w="0" w:type="auto"/>
            <w:shd w:val="clear" w:color="auto" w:fill="FFFFCC"/>
            <w:noWrap/>
            <w:hideMark/>
          </w:tcPr>
          <w:p w14:paraId="65431491"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PA03-23, PA03-20</w:t>
            </w:r>
          </w:p>
        </w:tc>
      </w:tr>
      <w:tr w:rsidR="006F5B1C" w:rsidRPr="006F5B1C" w14:paraId="1FC3EF22"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10EB1A05"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2651DD80"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Sve veći zahtjevi kupaca i poslovnih partnera za ESG standardima mogu isključiti dio firmi iz lanaca vrijednosti</w:t>
            </w:r>
          </w:p>
        </w:tc>
        <w:tc>
          <w:tcPr>
            <w:tcW w:w="0" w:type="auto"/>
            <w:shd w:val="clear" w:color="auto" w:fill="FFFFCC"/>
            <w:noWrap/>
            <w:hideMark/>
          </w:tcPr>
          <w:p w14:paraId="2DAB4D5F"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PA03-11, PA03-23</w:t>
            </w:r>
          </w:p>
        </w:tc>
      </w:tr>
      <w:tr w:rsidR="006F5B1C" w:rsidRPr="006F5B1C" w14:paraId="57A84C82" w14:textId="77777777" w:rsidTr="007F5B5F">
        <w:trPr>
          <w:trHeight w:val="28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FFFFCC"/>
            <w:noWrap/>
            <w:hideMark/>
          </w:tcPr>
          <w:p w14:paraId="3AB9B8FA" w14:textId="77777777" w:rsidR="006F5B1C" w:rsidRPr="006F5B1C" w:rsidRDefault="006F5B1C" w:rsidP="00302198">
            <w:pPr>
              <w:jc w:val="left"/>
              <w:rPr>
                <w:rFonts w:ascii="Aptos Narrow" w:eastAsia="Times New Roman" w:hAnsi="Aptos Narrow" w:cs="Times New Roman"/>
                <w:color w:val="000000"/>
                <w:sz w:val="16"/>
                <w:szCs w:val="16"/>
                <w:lang w:val="sr-Latn-ME" w:eastAsia="en-GB"/>
                <w14:ligatures w14:val="none"/>
              </w:rPr>
            </w:pPr>
          </w:p>
        </w:tc>
        <w:tc>
          <w:tcPr>
            <w:tcW w:w="6305" w:type="dxa"/>
            <w:shd w:val="clear" w:color="auto" w:fill="FFFFCC"/>
            <w:noWrap/>
            <w:hideMark/>
          </w:tcPr>
          <w:p w14:paraId="01FA2F8F" w14:textId="77777777" w:rsidR="006F5B1C" w:rsidRPr="007F5B5F"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7F5B5F">
              <w:rPr>
                <w:rFonts w:ascii="Aptos Narrow" w:eastAsia="Times New Roman" w:hAnsi="Aptos Narrow" w:cs="Times New Roman"/>
                <w:color w:val="000000"/>
                <w:sz w:val="16"/>
                <w:szCs w:val="16"/>
                <w:lang w:val="sr-Latn-ME" w:eastAsia="en-GB"/>
                <w14:ligatures w14:val="none"/>
              </w:rPr>
              <w:t>Usporavanje evropskih ekonomija može smanjiti izvoznu tražnju, investicije i pristup kapitalu</w:t>
            </w:r>
          </w:p>
        </w:tc>
        <w:tc>
          <w:tcPr>
            <w:tcW w:w="0" w:type="auto"/>
            <w:shd w:val="clear" w:color="auto" w:fill="FFFFCC"/>
            <w:noWrap/>
            <w:hideMark/>
          </w:tcPr>
          <w:p w14:paraId="75FF212A" w14:textId="77777777" w:rsidR="006F5B1C" w:rsidRPr="006F5B1C" w:rsidRDefault="006F5B1C" w:rsidP="00302198">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sr-Latn-ME" w:eastAsia="en-GB"/>
                <w14:ligatures w14:val="none"/>
              </w:rPr>
            </w:pPr>
            <w:r w:rsidRPr="006F5B1C">
              <w:rPr>
                <w:rFonts w:ascii="Aptos Narrow" w:eastAsia="Times New Roman" w:hAnsi="Aptos Narrow" w:cs="Times New Roman"/>
                <w:color w:val="000000"/>
                <w:sz w:val="16"/>
                <w:szCs w:val="16"/>
                <w:lang w:val="sr-Latn-ME" w:eastAsia="en-GB"/>
                <w14:ligatures w14:val="none"/>
              </w:rPr>
              <w:t>PA03-07, PA03-11, PA03-09</w:t>
            </w:r>
          </w:p>
        </w:tc>
      </w:tr>
    </w:tbl>
    <w:p w14:paraId="2C0C409A" w14:textId="77777777" w:rsidR="00AE712B" w:rsidRPr="006F5B1C" w:rsidRDefault="00AE712B" w:rsidP="00AE712B">
      <w:pPr>
        <w:jc w:val="left"/>
        <w:rPr>
          <w:rFonts w:eastAsia="Times New Roman"/>
          <w:lang w:val="sr-Latn-ME"/>
        </w:rPr>
      </w:pPr>
    </w:p>
    <w:p w14:paraId="2CC5CF62" w14:textId="0D1E83F7" w:rsidR="00AE712B" w:rsidRPr="006F5B1C" w:rsidRDefault="00AE712B" w:rsidP="00AE712B">
      <w:pPr>
        <w:jc w:val="left"/>
        <w:rPr>
          <w:rFonts w:eastAsia="Times New Roman"/>
          <w:lang w:val="sr-Latn-ME"/>
        </w:rPr>
      </w:pPr>
    </w:p>
    <w:p w14:paraId="3BB1B1A7" w14:textId="66B94D01" w:rsidR="00AE712B" w:rsidRPr="006F5B1C" w:rsidRDefault="00AE712B" w:rsidP="00AE712B">
      <w:pPr>
        <w:jc w:val="left"/>
        <w:rPr>
          <w:rFonts w:eastAsia="Times New Roman"/>
          <w:lang w:val="sr-Latn-ME"/>
        </w:rPr>
      </w:pPr>
    </w:p>
    <w:p w14:paraId="62DF221B" w14:textId="77777777" w:rsidR="00F83806" w:rsidRPr="006F5B1C" w:rsidRDefault="00F83806" w:rsidP="00CB3EDB">
      <w:pPr>
        <w:rPr>
          <w:lang w:val="sr-Latn-ME"/>
        </w:rPr>
      </w:pPr>
    </w:p>
    <w:p w14:paraId="4BDB872D" w14:textId="77777777" w:rsidR="00F83806" w:rsidRPr="006F5B1C" w:rsidRDefault="00F83806" w:rsidP="00CB3EDB">
      <w:pPr>
        <w:rPr>
          <w:lang w:val="sr-Latn-ME"/>
        </w:rPr>
      </w:pPr>
    </w:p>
    <w:p w14:paraId="146806D7" w14:textId="59C565CD" w:rsidR="00CB3EDB" w:rsidRPr="006F5B1C" w:rsidRDefault="00CB3EDB" w:rsidP="00CB3EDB">
      <w:pPr>
        <w:rPr>
          <w:b/>
          <w:lang w:val="sr-Latn-ME"/>
        </w:rPr>
      </w:pPr>
      <w:r w:rsidRPr="006F5B1C">
        <w:rPr>
          <w:b/>
          <w:lang w:val="sr-Latn-ME"/>
        </w:rPr>
        <w:t>Lista referenci</w:t>
      </w:r>
    </w:p>
    <w:p w14:paraId="721651E4" w14:textId="04DF3C59" w:rsidR="00CB3EDB" w:rsidRPr="006F5B1C" w:rsidRDefault="0B78DD6F" w:rsidP="0B78DD6F">
      <w:pPr>
        <w:pStyle w:val="Odlomakpopisa"/>
        <w:numPr>
          <w:ilvl w:val="0"/>
          <w:numId w:val="1"/>
        </w:numPr>
        <w:rPr>
          <w:sz w:val="20"/>
          <w:szCs w:val="20"/>
          <w:lang w:val="sr-Latn-ME"/>
        </w:rPr>
      </w:pPr>
      <w:r w:rsidRPr="006F5B1C">
        <w:rPr>
          <w:sz w:val="20"/>
          <w:szCs w:val="20"/>
          <w:lang w:val="sr-Latn-ME"/>
        </w:rPr>
        <w:t>Evropski parlament i Savjet Evropske unije. Uredba (EU) 2021/690 o uspostavljanju Programa jedinstvenog tržišta.</w:t>
      </w:r>
    </w:p>
    <w:p w14:paraId="7586B7DD" w14:textId="031AD1C4" w:rsidR="00CB3EDB" w:rsidRPr="006F5B1C" w:rsidRDefault="0B78DD6F" w:rsidP="0B78DD6F">
      <w:pPr>
        <w:pStyle w:val="Odlomakpopisa"/>
        <w:numPr>
          <w:ilvl w:val="0"/>
          <w:numId w:val="1"/>
        </w:numPr>
        <w:rPr>
          <w:sz w:val="20"/>
          <w:szCs w:val="20"/>
          <w:lang w:val="sr-Latn-ME"/>
        </w:rPr>
      </w:pPr>
      <w:r w:rsidRPr="006F5B1C">
        <w:rPr>
          <w:sz w:val="20"/>
          <w:szCs w:val="20"/>
          <w:lang w:val="sr-Latn-ME"/>
        </w:rPr>
        <w:t>Evropska komisija. Okvir politika jedinstvenog tržišta, konkurentnosti preduzeća i podrške MSP.</w:t>
      </w:r>
    </w:p>
    <w:p w14:paraId="16385920" w14:textId="36EDFEDB" w:rsidR="00CB3EDB" w:rsidRPr="006F5B1C" w:rsidRDefault="0B78DD6F" w:rsidP="0B78DD6F">
      <w:pPr>
        <w:pStyle w:val="Odlomakpopisa"/>
        <w:numPr>
          <w:ilvl w:val="0"/>
          <w:numId w:val="1"/>
        </w:numPr>
        <w:rPr>
          <w:sz w:val="20"/>
          <w:szCs w:val="20"/>
          <w:lang w:val="sr-Latn-ME"/>
        </w:rPr>
      </w:pPr>
      <w:r w:rsidRPr="006F5B1C">
        <w:rPr>
          <w:sz w:val="20"/>
          <w:szCs w:val="20"/>
          <w:lang w:val="sr-Latn-ME"/>
        </w:rPr>
        <w:t xml:space="preserve">Evropska komisija. </w:t>
      </w:r>
      <w:proofErr w:type="spellStart"/>
      <w:r w:rsidRPr="006F5B1C">
        <w:rPr>
          <w:sz w:val="20"/>
          <w:szCs w:val="20"/>
          <w:lang w:val="sr-Latn-ME"/>
        </w:rPr>
        <w:t>Enterprise</w:t>
      </w:r>
      <w:proofErr w:type="spellEnd"/>
      <w:r w:rsidRPr="006F5B1C">
        <w:rPr>
          <w:sz w:val="20"/>
          <w:szCs w:val="20"/>
          <w:lang w:val="sr-Latn-ME"/>
        </w:rPr>
        <w:t xml:space="preserve"> </w:t>
      </w:r>
      <w:proofErr w:type="spellStart"/>
      <w:r w:rsidRPr="006F5B1C">
        <w:rPr>
          <w:sz w:val="20"/>
          <w:szCs w:val="20"/>
          <w:lang w:val="sr-Latn-ME"/>
        </w:rPr>
        <w:t>Europe</w:t>
      </w:r>
      <w:proofErr w:type="spellEnd"/>
      <w:r w:rsidRPr="006F5B1C">
        <w:rPr>
          <w:sz w:val="20"/>
          <w:szCs w:val="20"/>
          <w:lang w:val="sr-Latn-ME"/>
        </w:rPr>
        <w:t xml:space="preserve"> </w:t>
      </w:r>
      <w:proofErr w:type="spellStart"/>
      <w:r w:rsidRPr="006F5B1C">
        <w:rPr>
          <w:sz w:val="20"/>
          <w:szCs w:val="20"/>
          <w:lang w:val="sr-Latn-ME"/>
        </w:rPr>
        <w:t>Network</w:t>
      </w:r>
      <w:proofErr w:type="spellEnd"/>
      <w:r w:rsidRPr="006F5B1C">
        <w:rPr>
          <w:sz w:val="20"/>
          <w:szCs w:val="20"/>
          <w:lang w:val="sr-Latn-ME"/>
        </w:rPr>
        <w:t xml:space="preserve"> / podrška poslovanju u okviru Programa jedinstvenog tržišta.</w:t>
      </w:r>
    </w:p>
    <w:p w14:paraId="7E5242EE" w14:textId="6356E94E" w:rsidR="00CB3EDB" w:rsidRPr="006F5B1C" w:rsidRDefault="0B78DD6F" w:rsidP="0B78DD6F">
      <w:pPr>
        <w:pStyle w:val="Odlomakpopisa"/>
        <w:numPr>
          <w:ilvl w:val="0"/>
          <w:numId w:val="1"/>
        </w:numPr>
        <w:rPr>
          <w:sz w:val="20"/>
          <w:szCs w:val="20"/>
          <w:lang w:val="sr-Latn-ME"/>
        </w:rPr>
      </w:pPr>
      <w:r w:rsidRPr="006F5B1C">
        <w:rPr>
          <w:sz w:val="20"/>
          <w:szCs w:val="20"/>
          <w:lang w:val="sr-Latn-ME"/>
        </w:rPr>
        <w:t xml:space="preserve">Evropska komisija. SME </w:t>
      </w:r>
      <w:proofErr w:type="spellStart"/>
      <w:r w:rsidRPr="006F5B1C">
        <w:rPr>
          <w:sz w:val="20"/>
          <w:szCs w:val="20"/>
          <w:lang w:val="sr-Latn-ME"/>
        </w:rPr>
        <w:t>Strategy</w:t>
      </w:r>
      <w:proofErr w:type="spellEnd"/>
      <w:r w:rsidRPr="006F5B1C">
        <w:rPr>
          <w:sz w:val="20"/>
          <w:szCs w:val="20"/>
          <w:lang w:val="sr-Latn-ME"/>
        </w:rPr>
        <w:t xml:space="preserve"> </w:t>
      </w:r>
      <w:proofErr w:type="spellStart"/>
      <w:r w:rsidRPr="006F5B1C">
        <w:rPr>
          <w:sz w:val="20"/>
          <w:szCs w:val="20"/>
          <w:lang w:val="sr-Latn-ME"/>
        </w:rPr>
        <w:t>for</w:t>
      </w:r>
      <w:proofErr w:type="spellEnd"/>
      <w:r w:rsidRPr="006F5B1C">
        <w:rPr>
          <w:sz w:val="20"/>
          <w:szCs w:val="20"/>
          <w:lang w:val="sr-Latn-ME"/>
        </w:rPr>
        <w:t xml:space="preserve"> a </w:t>
      </w:r>
      <w:proofErr w:type="spellStart"/>
      <w:r w:rsidRPr="006F5B1C">
        <w:rPr>
          <w:sz w:val="20"/>
          <w:szCs w:val="20"/>
          <w:lang w:val="sr-Latn-ME"/>
        </w:rPr>
        <w:t>Sustainable</w:t>
      </w:r>
      <w:proofErr w:type="spellEnd"/>
      <w:r w:rsidRPr="006F5B1C">
        <w:rPr>
          <w:sz w:val="20"/>
          <w:szCs w:val="20"/>
          <w:lang w:val="sr-Latn-ME"/>
        </w:rPr>
        <w:t xml:space="preserve"> </w:t>
      </w:r>
      <w:proofErr w:type="spellStart"/>
      <w:r w:rsidRPr="006F5B1C">
        <w:rPr>
          <w:sz w:val="20"/>
          <w:szCs w:val="20"/>
          <w:lang w:val="sr-Latn-ME"/>
        </w:rPr>
        <w:t>and</w:t>
      </w:r>
      <w:proofErr w:type="spellEnd"/>
      <w:r w:rsidRPr="006F5B1C">
        <w:rPr>
          <w:sz w:val="20"/>
          <w:szCs w:val="20"/>
          <w:lang w:val="sr-Latn-ME"/>
        </w:rPr>
        <w:t xml:space="preserve"> Digital </w:t>
      </w:r>
      <w:proofErr w:type="spellStart"/>
      <w:r w:rsidRPr="006F5B1C">
        <w:rPr>
          <w:sz w:val="20"/>
          <w:szCs w:val="20"/>
          <w:lang w:val="sr-Latn-ME"/>
        </w:rPr>
        <w:t>Europe</w:t>
      </w:r>
      <w:proofErr w:type="spellEnd"/>
      <w:r w:rsidRPr="006F5B1C">
        <w:rPr>
          <w:sz w:val="20"/>
          <w:szCs w:val="20"/>
          <w:lang w:val="sr-Latn-ME"/>
        </w:rPr>
        <w:t>.</w:t>
      </w:r>
    </w:p>
    <w:p w14:paraId="5BCD4606" w14:textId="18414CB3" w:rsidR="00CB3EDB" w:rsidRPr="006F5B1C" w:rsidRDefault="0B78DD6F" w:rsidP="0B78DD6F">
      <w:pPr>
        <w:pStyle w:val="Odlomakpopisa"/>
        <w:numPr>
          <w:ilvl w:val="0"/>
          <w:numId w:val="1"/>
        </w:numPr>
        <w:rPr>
          <w:sz w:val="20"/>
          <w:szCs w:val="20"/>
          <w:lang w:val="sr-Latn-ME"/>
        </w:rPr>
      </w:pPr>
      <w:r w:rsidRPr="006F5B1C">
        <w:rPr>
          <w:sz w:val="20"/>
          <w:szCs w:val="20"/>
          <w:lang w:val="sr-Latn-ME"/>
        </w:rPr>
        <w:t xml:space="preserve">Evropska komisija. A </w:t>
      </w:r>
      <w:proofErr w:type="spellStart"/>
      <w:r w:rsidRPr="006F5B1C">
        <w:rPr>
          <w:sz w:val="20"/>
          <w:szCs w:val="20"/>
          <w:lang w:val="sr-Latn-ME"/>
        </w:rPr>
        <w:t>Green</w:t>
      </w:r>
      <w:proofErr w:type="spellEnd"/>
      <w:r w:rsidRPr="006F5B1C">
        <w:rPr>
          <w:sz w:val="20"/>
          <w:szCs w:val="20"/>
          <w:lang w:val="sr-Latn-ME"/>
        </w:rPr>
        <w:t xml:space="preserve"> </w:t>
      </w:r>
      <w:proofErr w:type="spellStart"/>
      <w:r w:rsidRPr="006F5B1C">
        <w:rPr>
          <w:sz w:val="20"/>
          <w:szCs w:val="20"/>
          <w:lang w:val="sr-Latn-ME"/>
        </w:rPr>
        <w:t>Deal</w:t>
      </w:r>
      <w:proofErr w:type="spellEnd"/>
      <w:r w:rsidRPr="006F5B1C">
        <w:rPr>
          <w:sz w:val="20"/>
          <w:szCs w:val="20"/>
          <w:lang w:val="sr-Latn-ME"/>
        </w:rPr>
        <w:t xml:space="preserve"> </w:t>
      </w:r>
      <w:proofErr w:type="spellStart"/>
      <w:r w:rsidRPr="006F5B1C">
        <w:rPr>
          <w:sz w:val="20"/>
          <w:szCs w:val="20"/>
          <w:lang w:val="sr-Latn-ME"/>
        </w:rPr>
        <w:t>Industrial</w:t>
      </w:r>
      <w:proofErr w:type="spellEnd"/>
      <w:r w:rsidRPr="006F5B1C">
        <w:rPr>
          <w:sz w:val="20"/>
          <w:szCs w:val="20"/>
          <w:lang w:val="sr-Latn-ME"/>
        </w:rPr>
        <w:t xml:space="preserve"> Plan </w:t>
      </w:r>
      <w:proofErr w:type="spellStart"/>
      <w:r w:rsidRPr="006F5B1C">
        <w:rPr>
          <w:sz w:val="20"/>
          <w:szCs w:val="20"/>
          <w:lang w:val="sr-Latn-ME"/>
        </w:rPr>
        <w:t>for</w:t>
      </w:r>
      <w:proofErr w:type="spellEnd"/>
      <w:r w:rsidRPr="006F5B1C">
        <w:rPr>
          <w:sz w:val="20"/>
          <w:szCs w:val="20"/>
          <w:lang w:val="sr-Latn-ME"/>
        </w:rPr>
        <w:t xml:space="preserve"> </w:t>
      </w:r>
      <w:proofErr w:type="spellStart"/>
      <w:r w:rsidRPr="006F5B1C">
        <w:rPr>
          <w:sz w:val="20"/>
          <w:szCs w:val="20"/>
          <w:lang w:val="sr-Latn-ME"/>
        </w:rPr>
        <w:t>the</w:t>
      </w:r>
      <w:proofErr w:type="spellEnd"/>
      <w:r w:rsidRPr="006F5B1C">
        <w:rPr>
          <w:sz w:val="20"/>
          <w:szCs w:val="20"/>
          <w:lang w:val="sr-Latn-ME"/>
        </w:rPr>
        <w:t xml:space="preserve"> Net-</w:t>
      </w:r>
      <w:proofErr w:type="spellStart"/>
      <w:r w:rsidRPr="006F5B1C">
        <w:rPr>
          <w:sz w:val="20"/>
          <w:szCs w:val="20"/>
          <w:lang w:val="sr-Latn-ME"/>
        </w:rPr>
        <w:t>Zero</w:t>
      </w:r>
      <w:proofErr w:type="spellEnd"/>
      <w:r w:rsidRPr="006F5B1C">
        <w:rPr>
          <w:sz w:val="20"/>
          <w:szCs w:val="20"/>
          <w:lang w:val="sr-Latn-ME"/>
        </w:rPr>
        <w:t xml:space="preserve"> Age.</w:t>
      </w:r>
    </w:p>
    <w:p w14:paraId="57154894" w14:textId="1C283011" w:rsidR="00CB3EDB" w:rsidRPr="006F5B1C" w:rsidRDefault="0B78DD6F" w:rsidP="0B78DD6F">
      <w:pPr>
        <w:pStyle w:val="Odlomakpopisa"/>
        <w:numPr>
          <w:ilvl w:val="0"/>
          <w:numId w:val="1"/>
        </w:numPr>
        <w:rPr>
          <w:sz w:val="20"/>
          <w:szCs w:val="20"/>
          <w:lang w:val="sr-Latn-ME"/>
        </w:rPr>
      </w:pPr>
      <w:r w:rsidRPr="006F5B1C">
        <w:rPr>
          <w:sz w:val="20"/>
          <w:szCs w:val="20"/>
          <w:lang w:val="sr-Latn-ME"/>
        </w:rPr>
        <w:t>Evropska komisija. Long-</w:t>
      </w:r>
      <w:proofErr w:type="spellStart"/>
      <w:r w:rsidRPr="006F5B1C">
        <w:rPr>
          <w:sz w:val="20"/>
          <w:szCs w:val="20"/>
          <w:lang w:val="sr-Latn-ME"/>
        </w:rPr>
        <w:t>term</w:t>
      </w:r>
      <w:proofErr w:type="spellEnd"/>
      <w:r w:rsidRPr="006F5B1C">
        <w:rPr>
          <w:sz w:val="20"/>
          <w:szCs w:val="20"/>
          <w:lang w:val="sr-Latn-ME"/>
        </w:rPr>
        <w:t xml:space="preserve"> </w:t>
      </w:r>
      <w:proofErr w:type="spellStart"/>
      <w:r w:rsidRPr="006F5B1C">
        <w:rPr>
          <w:sz w:val="20"/>
          <w:szCs w:val="20"/>
          <w:lang w:val="sr-Latn-ME"/>
        </w:rPr>
        <w:t>competitiveness</w:t>
      </w:r>
      <w:proofErr w:type="spellEnd"/>
      <w:r w:rsidRPr="006F5B1C">
        <w:rPr>
          <w:sz w:val="20"/>
          <w:szCs w:val="20"/>
          <w:lang w:val="sr-Latn-ME"/>
        </w:rPr>
        <w:t xml:space="preserve"> </w:t>
      </w:r>
      <w:proofErr w:type="spellStart"/>
      <w:r w:rsidRPr="006F5B1C">
        <w:rPr>
          <w:sz w:val="20"/>
          <w:szCs w:val="20"/>
          <w:lang w:val="sr-Latn-ME"/>
        </w:rPr>
        <w:t>of</w:t>
      </w:r>
      <w:proofErr w:type="spellEnd"/>
      <w:r w:rsidRPr="006F5B1C">
        <w:rPr>
          <w:sz w:val="20"/>
          <w:szCs w:val="20"/>
          <w:lang w:val="sr-Latn-ME"/>
        </w:rPr>
        <w:t xml:space="preserve"> </w:t>
      </w:r>
      <w:proofErr w:type="spellStart"/>
      <w:r w:rsidRPr="006F5B1C">
        <w:rPr>
          <w:sz w:val="20"/>
          <w:szCs w:val="20"/>
          <w:lang w:val="sr-Latn-ME"/>
        </w:rPr>
        <w:t>the</w:t>
      </w:r>
      <w:proofErr w:type="spellEnd"/>
      <w:r w:rsidRPr="006F5B1C">
        <w:rPr>
          <w:sz w:val="20"/>
          <w:szCs w:val="20"/>
          <w:lang w:val="sr-Latn-ME"/>
        </w:rPr>
        <w:t xml:space="preserve"> EU: </w:t>
      </w:r>
      <w:proofErr w:type="spellStart"/>
      <w:r w:rsidRPr="006F5B1C">
        <w:rPr>
          <w:sz w:val="20"/>
          <w:szCs w:val="20"/>
          <w:lang w:val="sr-Latn-ME"/>
        </w:rPr>
        <w:t>looking</w:t>
      </w:r>
      <w:proofErr w:type="spellEnd"/>
      <w:r w:rsidRPr="006F5B1C">
        <w:rPr>
          <w:sz w:val="20"/>
          <w:szCs w:val="20"/>
          <w:lang w:val="sr-Latn-ME"/>
        </w:rPr>
        <w:t xml:space="preserve"> </w:t>
      </w:r>
      <w:proofErr w:type="spellStart"/>
      <w:r w:rsidRPr="006F5B1C">
        <w:rPr>
          <w:sz w:val="20"/>
          <w:szCs w:val="20"/>
          <w:lang w:val="sr-Latn-ME"/>
        </w:rPr>
        <w:t>beyond</w:t>
      </w:r>
      <w:proofErr w:type="spellEnd"/>
      <w:r w:rsidRPr="006F5B1C">
        <w:rPr>
          <w:sz w:val="20"/>
          <w:szCs w:val="20"/>
          <w:lang w:val="sr-Latn-ME"/>
        </w:rPr>
        <w:t xml:space="preserve"> 2030.</w:t>
      </w:r>
    </w:p>
    <w:p w14:paraId="7996CA07" w14:textId="4CC8C920" w:rsidR="00CB3EDB" w:rsidRPr="006F5B1C" w:rsidRDefault="0B78DD6F" w:rsidP="0B78DD6F">
      <w:pPr>
        <w:pStyle w:val="Odlomakpopisa"/>
        <w:numPr>
          <w:ilvl w:val="0"/>
          <w:numId w:val="1"/>
        </w:numPr>
        <w:rPr>
          <w:sz w:val="20"/>
          <w:szCs w:val="20"/>
          <w:lang w:val="sr-Latn-ME"/>
        </w:rPr>
      </w:pPr>
      <w:r w:rsidRPr="006F5B1C">
        <w:rPr>
          <w:sz w:val="20"/>
          <w:szCs w:val="20"/>
          <w:lang w:val="sr-Latn-ME"/>
        </w:rPr>
        <w:t>Vlada Crne Gore. Program ekonomskih reformi Crne Gore 2026–2028.</w:t>
      </w:r>
    </w:p>
    <w:p w14:paraId="0331028E" w14:textId="4DD8BF5E" w:rsidR="00CB3EDB" w:rsidRPr="006F5B1C" w:rsidRDefault="0B78DD6F" w:rsidP="0B78DD6F">
      <w:pPr>
        <w:pStyle w:val="Odlomakpopisa"/>
        <w:numPr>
          <w:ilvl w:val="0"/>
          <w:numId w:val="1"/>
        </w:numPr>
        <w:rPr>
          <w:sz w:val="20"/>
          <w:szCs w:val="20"/>
          <w:lang w:val="sr-Latn-ME"/>
        </w:rPr>
      </w:pPr>
      <w:r w:rsidRPr="006F5B1C">
        <w:rPr>
          <w:sz w:val="20"/>
          <w:szCs w:val="20"/>
          <w:lang w:val="sr-Latn-ME"/>
        </w:rPr>
        <w:t>Vlada Crne Gore. Program pristupanja Crne Gore Evropskoj uniji 2026–2027.</w:t>
      </w:r>
    </w:p>
    <w:p w14:paraId="2F4A9C3D" w14:textId="0F3264D3" w:rsidR="00CB3EDB" w:rsidRPr="006F5B1C" w:rsidRDefault="0B78DD6F" w:rsidP="0B78DD6F">
      <w:pPr>
        <w:pStyle w:val="Odlomakpopisa"/>
        <w:numPr>
          <w:ilvl w:val="0"/>
          <w:numId w:val="1"/>
        </w:numPr>
        <w:rPr>
          <w:sz w:val="20"/>
          <w:szCs w:val="20"/>
          <w:lang w:val="sr-Latn-ME"/>
        </w:rPr>
      </w:pPr>
      <w:r w:rsidRPr="006F5B1C">
        <w:rPr>
          <w:sz w:val="20"/>
          <w:szCs w:val="20"/>
          <w:lang w:val="sr-Latn-ME"/>
        </w:rPr>
        <w:t>Evropska komisija. Izvještaj o Crnoj Gori za 2025. godinu.</w:t>
      </w:r>
    </w:p>
    <w:p w14:paraId="4EC94B5B" w14:textId="1B52A6CE" w:rsidR="00CB3EDB" w:rsidRPr="006F5B1C" w:rsidRDefault="0B78DD6F" w:rsidP="0B78DD6F">
      <w:pPr>
        <w:pStyle w:val="Odlomakpopisa"/>
        <w:numPr>
          <w:ilvl w:val="0"/>
          <w:numId w:val="1"/>
        </w:numPr>
        <w:rPr>
          <w:sz w:val="20"/>
          <w:szCs w:val="20"/>
          <w:lang w:val="sr-Latn-ME"/>
        </w:rPr>
      </w:pPr>
      <w:r w:rsidRPr="006F5B1C">
        <w:rPr>
          <w:sz w:val="20"/>
          <w:szCs w:val="20"/>
          <w:lang w:val="sr-Latn-ME"/>
        </w:rPr>
        <w:t>Vlada Crne Gore. Reformska agenda Crne Gore 2024–2027.</w:t>
      </w:r>
    </w:p>
    <w:p w14:paraId="4EC9A1ED" w14:textId="4CD5F07F" w:rsidR="00CB3EDB" w:rsidRPr="006F5B1C" w:rsidRDefault="0B78DD6F" w:rsidP="0B78DD6F">
      <w:pPr>
        <w:pStyle w:val="Odlomakpopisa"/>
        <w:numPr>
          <w:ilvl w:val="0"/>
          <w:numId w:val="1"/>
        </w:numPr>
        <w:rPr>
          <w:sz w:val="20"/>
          <w:szCs w:val="20"/>
          <w:lang w:val="sr-Latn-ME"/>
        </w:rPr>
      </w:pPr>
      <w:r w:rsidRPr="006F5B1C">
        <w:rPr>
          <w:sz w:val="20"/>
          <w:szCs w:val="20"/>
          <w:lang w:val="sr-Latn-ME"/>
        </w:rPr>
        <w:t>Vlada Crne Gore. Strategija razvoja mikro, malih i srednjih preduzeća u Crnoj Gori 2023–2026.</w:t>
      </w:r>
    </w:p>
    <w:p w14:paraId="00FF17E4" w14:textId="467812CD" w:rsidR="00CB3EDB" w:rsidRPr="006F5B1C" w:rsidRDefault="0B78DD6F" w:rsidP="0B78DD6F">
      <w:pPr>
        <w:pStyle w:val="Odlomakpopisa"/>
        <w:numPr>
          <w:ilvl w:val="0"/>
          <w:numId w:val="1"/>
        </w:numPr>
        <w:rPr>
          <w:sz w:val="20"/>
          <w:szCs w:val="20"/>
          <w:lang w:val="sr-Latn-ME"/>
        </w:rPr>
      </w:pPr>
      <w:r w:rsidRPr="006F5B1C">
        <w:rPr>
          <w:sz w:val="20"/>
          <w:szCs w:val="20"/>
          <w:lang w:val="sr-Latn-ME"/>
        </w:rPr>
        <w:t>Vlada Crne Gore. Industrijska politika Crne Gore 2024–2028.</w:t>
      </w:r>
    </w:p>
    <w:p w14:paraId="329136F4" w14:textId="07761413" w:rsidR="00CB3EDB" w:rsidRPr="006F5B1C" w:rsidRDefault="0B78DD6F" w:rsidP="0B78DD6F">
      <w:pPr>
        <w:pStyle w:val="Odlomakpopisa"/>
        <w:numPr>
          <w:ilvl w:val="0"/>
          <w:numId w:val="1"/>
        </w:numPr>
        <w:rPr>
          <w:sz w:val="20"/>
          <w:szCs w:val="20"/>
          <w:lang w:val="sr-Latn-ME"/>
        </w:rPr>
      </w:pPr>
      <w:r w:rsidRPr="006F5B1C">
        <w:rPr>
          <w:sz w:val="20"/>
          <w:szCs w:val="20"/>
          <w:lang w:val="sr-Latn-ME"/>
        </w:rPr>
        <w:t>Vlada Crne Gore. Strategija razvoja ženskog preduzetništva u Crnoj Gori 2025–2028.</w:t>
      </w:r>
    </w:p>
    <w:p w14:paraId="03A7B442" w14:textId="57ECC8F6" w:rsidR="00CB3EDB" w:rsidRPr="006F5B1C" w:rsidRDefault="0B78DD6F" w:rsidP="0B78DD6F">
      <w:pPr>
        <w:pStyle w:val="Odlomakpopisa"/>
        <w:numPr>
          <w:ilvl w:val="0"/>
          <w:numId w:val="1"/>
        </w:numPr>
        <w:rPr>
          <w:sz w:val="20"/>
          <w:szCs w:val="20"/>
          <w:lang w:val="sr-Latn-ME"/>
        </w:rPr>
      </w:pPr>
      <w:r w:rsidRPr="006F5B1C">
        <w:rPr>
          <w:sz w:val="20"/>
          <w:szCs w:val="20"/>
          <w:lang w:val="sr-Latn-ME"/>
        </w:rPr>
        <w:t>Vlada Crne Gore. Nacionalna strategija cirkularne tranzicije do 2030. godine.</w:t>
      </w:r>
    </w:p>
    <w:p w14:paraId="468FAB59" w14:textId="4DE4049C" w:rsidR="00CB3EDB" w:rsidRPr="006F5B1C" w:rsidRDefault="0B78DD6F" w:rsidP="0B78DD6F">
      <w:pPr>
        <w:pStyle w:val="Odlomakpopisa"/>
        <w:numPr>
          <w:ilvl w:val="0"/>
          <w:numId w:val="1"/>
        </w:numPr>
        <w:rPr>
          <w:sz w:val="20"/>
          <w:szCs w:val="20"/>
          <w:lang w:val="sr-Latn-ME"/>
        </w:rPr>
      </w:pPr>
      <w:r w:rsidRPr="006F5B1C">
        <w:rPr>
          <w:sz w:val="20"/>
          <w:szCs w:val="20"/>
          <w:lang w:val="sr-Latn-ME"/>
        </w:rPr>
        <w:t xml:space="preserve">Vlada Crne Gore. </w:t>
      </w:r>
      <w:r w:rsidR="00F07F60" w:rsidRPr="006F5B1C">
        <w:rPr>
          <w:sz w:val="20"/>
          <w:szCs w:val="20"/>
          <w:lang w:val="sr-Latn-ME"/>
        </w:rPr>
        <w:t>F</w:t>
      </w:r>
      <w:r w:rsidRPr="006F5B1C">
        <w:rPr>
          <w:sz w:val="20"/>
          <w:szCs w:val="20"/>
          <w:lang w:val="sr-Latn-ME"/>
        </w:rPr>
        <w:t>iskaln</w:t>
      </w:r>
      <w:r w:rsidR="00F07F60" w:rsidRPr="006F5B1C">
        <w:rPr>
          <w:sz w:val="20"/>
          <w:szCs w:val="20"/>
          <w:lang w:val="sr-Latn-ME"/>
        </w:rPr>
        <w:t>a</w:t>
      </w:r>
      <w:r w:rsidRPr="006F5B1C">
        <w:rPr>
          <w:sz w:val="20"/>
          <w:szCs w:val="20"/>
          <w:lang w:val="sr-Latn-ME"/>
        </w:rPr>
        <w:t xml:space="preserve"> strategij</w:t>
      </w:r>
      <w:r w:rsidR="00F07F60" w:rsidRPr="006F5B1C">
        <w:rPr>
          <w:sz w:val="20"/>
          <w:szCs w:val="20"/>
          <w:lang w:val="sr-Latn-ME"/>
        </w:rPr>
        <w:t>a</w:t>
      </w:r>
      <w:r w:rsidRPr="006F5B1C">
        <w:rPr>
          <w:sz w:val="20"/>
          <w:szCs w:val="20"/>
          <w:lang w:val="sr-Latn-ME"/>
        </w:rPr>
        <w:t xml:space="preserve"> Crne Gore 2024–2027.</w:t>
      </w:r>
    </w:p>
    <w:p w14:paraId="4A6CC620" w14:textId="2994FF18" w:rsidR="00174F1C" w:rsidRPr="006F5B1C" w:rsidRDefault="00174F1C" w:rsidP="00174F1C">
      <w:pPr>
        <w:pStyle w:val="Odlomakpopisa"/>
        <w:numPr>
          <w:ilvl w:val="0"/>
          <w:numId w:val="1"/>
        </w:numPr>
        <w:rPr>
          <w:sz w:val="20"/>
          <w:szCs w:val="20"/>
          <w:lang w:val="sr-Latn-ME"/>
        </w:rPr>
      </w:pPr>
      <w:r w:rsidRPr="006F5B1C">
        <w:rPr>
          <w:sz w:val="20"/>
          <w:szCs w:val="20"/>
          <w:lang w:val="sr-Latn-ME"/>
        </w:rPr>
        <w:t>Vlada Crne Gore. Strategija razvoja socijalne i solidarne ekonomije 2025–2029 s Akcionim planom 2026–2027, Podgorica, 2025.</w:t>
      </w:r>
    </w:p>
    <w:p w14:paraId="09E26825" w14:textId="1428B47C" w:rsidR="00174F1C" w:rsidRPr="006F5B1C" w:rsidRDefault="00174F1C" w:rsidP="00174F1C">
      <w:pPr>
        <w:pStyle w:val="Odlomakpopisa"/>
        <w:numPr>
          <w:ilvl w:val="0"/>
          <w:numId w:val="1"/>
        </w:numPr>
        <w:rPr>
          <w:sz w:val="20"/>
          <w:szCs w:val="20"/>
          <w:lang w:val="sr-Latn-ME"/>
        </w:rPr>
      </w:pPr>
      <w:r w:rsidRPr="006F5B1C">
        <w:rPr>
          <w:sz w:val="20"/>
          <w:szCs w:val="20"/>
          <w:lang w:val="sr-Latn-ME"/>
        </w:rPr>
        <w:t>Vlada Crne Gore. Program razvoja zelenog vodonika sa Akcionim planom za period 2026–2028, Podgorica, 2025.</w:t>
      </w:r>
    </w:p>
    <w:p w14:paraId="3731CCD4" w14:textId="6F0A7B01" w:rsidR="00174F1C" w:rsidRPr="006F5B1C" w:rsidRDefault="00174F1C" w:rsidP="00174F1C">
      <w:pPr>
        <w:pStyle w:val="Odlomakpopisa"/>
        <w:numPr>
          <w:ilvl w:val="0"/>
          <w:numId w:val="1"/>
        </w:numPr>
        <w:rPr>
          <w:sz w:val="20"/>
          <w:szCs w:val="20"/>
          <w:lang w:val="sr-Latn-ME"/>
        </w:rPr>
      </w:pPr>
      <w:r w:rsidRPr="006F5B1C">
        <w:rPr>
          <w:sz w:val="20"/>
          <w:szCs w:val="20"/>
          <w:lang w:val="sr-Latn-ME"/>
        </w:rPr>
        <w:t>Vlada Crne Gore. Mapa puta Crne Gore ka cirkularnoj ekonomiji, Podgorica.</w:t>
      </w:r>
    </w:p>
    <w:p w14:paraId="6436177B" w14:textId="742A5744" w:rsidR="00CB3EDB" w:rsidRPr="006F5B1C" w:rsidRDefault="0B78DD6F" w:rsidP="0B78DD6F">
      <w:pPr>
        <w:pStyle w:val="Odlomakpopisa"/>
        <w:numPr>
          <w:ilvl w:val="0"/>
          <w:numId w:val="1"/>
        </w:numPr>
        <w:rPr>
          <w:sz w:val="20"/>
          <w:szCs w:val="20"/>
          <w:lang w:val="sr-Latn-ME"/>
        </w:rPr>
      </w:pPr>
      <w:r w:rsidRPr="006F5B1C">
        <w:rPr>
          <w:sz w:val="20"/>
          <w:szCs w:val="20"/>
          <w:lang w:val="sr-Latn-ME"/>
        </w:rPr>
        <w:t>Izvještaj o statusu realizacije aktivnosti iz Akcionog plana za I kvartal 2026. godine.</w:t>
      </w:r>
    </w:p>
    <w:p w14:paraId="67FC102D" w14:textId="671145C5" w:rsidR="00CB3EDB" w:rsidRPr="006F5B1C" w:rsidRDefault="0B78DD6F" w:rsidP="0B78DD6F">
      <w:pPr>
        <w:pStyle w:val="Odlomakpopisa"/>
        <w:numPr>
          <w:ilvl w:val="0"/>
          <w:numId w:val="1"/>
        </w:numPr>
        <w:rPr>
          <w:sz w:val="20"/>
          <w:szCs w:val="20"/>
          <w:lang w:val="sr-Latn-ME"/>
        </w:rPr>
      </w:pPr>
      <w:r w:rsidRPr="006F5B1C">
        <w:rPr>
          <w:sz w:val="20"/>
          <w:szCs w:val="20"/>
          <w:lang w:val="sr-Latn-ME"/>
        </w:rPr>
        <w:t>Izvještaj o statusu realizacije aktivnosti iz Akcionog plana za eliminisanje biznis barijera za I kvartal 2026. godine.</w:t>
      </w:r>
    </w:p>
    <w:p w14:paraId="07AB7D68" w14:textId="1CAE7A60" w:rsidR="00CB3EDB" w:rsidRPr="006F5B1C" w:rsidRDefault="0B78DD6F" w:rsidP="0B78DD6F">
      <w:pPr>
        <w:pStyle w:val="Odlomakpopisa"/>
        <w:numPr>
          <w:ilvl w:val="0"/>
          <w:numId w:val="1"/>
        </w:numPr>
        <w:rPr>
          <w:sz w:val="20"/>
          <w:szCs w:val="20"/>
          <w:lang w:val="sr-Latn-ME"/>
        </w:rPr>
      </w:pPr>
      <w:r w:rsidRPr="006F5B1C">
        <w:rPr>
          <w:sz w:val="20"/>
          <w:szCs w:val="20"/>
          <w:lang w:val="sr-Latn-ME"/>
        </w:rPr>
        <w:t xml:space="preserve">Vlada Crne Gore. </w:t>
      </w:r>
      <w:proofErr w:type="spellStart"/>
      <w:r w:rsidRPr="006F5B1C">
        <w:rPr>
          <w:sz w:val="20"/>
          <w:szCs w:val="20"/>
          <w:lang w:val="sr-Latn-ME"/>
        </w:rPr>
        <w:t>Subcommittee</w:t>
      </w:r>
      <w:proofErr w:type="spellEnd"/>
      <w:r w:rsidRPr="006F5B1C">
        <w:rPr>
          <w:sz w:val="20"/>
          <w:szCs w:val="20"/>
          <w:lang w:val="sr-Latn-ME"/>
        </w:rPr>
        <w:t xml:space="preserve"> IMC 2026 MNE </w:t>
      </w:r>
      <w:proofErr w:type="spellStart"/>
      <w:r w:rsidRPr="006F5B1C">
        <w:rPr>
          <w:sz w:val="20"/>
          <w:szCs w:val="20"/>
          <w:lang w:val="sr-Latn-ME"/>
        </w:rPr>
        <w:t>Contribution</w:t>
      </w:r>
      <w:proofErr w:type="spellEnd"/>
      <w:r w:rsidRPr="006F5B1C">
        <w:rPr>
          <w:sz w:val="20"/>
          <w:szCs w:val="20"/>
          <w:lang w:val="sr-Latn-ME"/>
        </w:rPr>
        <w:t>.</w:t>
      </w:r>
    </w:p>
    <w:p w14:paraId="08D6FA09" w14:textId="6C996640" w:rsidR="00CB3EDB" w:rsidRPr="006F5B1C" w:rsidRDefault="0B78DD6F" w:rsidP="0B78DD6F">
      <w:pPr>
        <w:pStyle w:val="Odlomakpopisa"/>
        <w:numPr>
          <w:ilvl w:val="0"/>
          <w:numId w:val="1"/>
        </w:numPr>
        <w:rPr>
          <w:sz w:val="20"/>
          <w:szCs w:val="20"/>
          <w:lang w:val="sr-Latn-ME"/>
        </w:rPr>
      </w:pPr>
      <w:r w:rsidRPr="006F5B1C">
        <w:rPr>
          <w:sz w:val="20"/>
          <w:szCs w:val="20"/>
          <w:lang w:val="sr-Latn-ME"/>
        </w:rPr>
        <w:t xml:space="preserve">Evropska unija i Crna Gora. </w:t>
      </w:r>
      <w:proofErr w:type="spellStart"/>
      <w:r w:rsidRPr="006F5B1C">
        <w:rPr>
          <w:sz w:val="20"/>
          <w:szCs w:val="20"/>
          <w:lang w:val="sr-Latn-ME"/>
        </w:rPr>
        <w:t>Sub-Committee</w:t>
      </w:r>
      <w:proofErr w:type="spellEnd"/>
      <w:r w:rsidRPr="006F5B1C">
        <w:rPr>
          <w:sz w:val="20"/>
          <w:szCs w:val="20"/>
          <w:lang w:val="sr-Latn-ME"/>
        </w:rPr>
        <w:t xml:space="preserve"> </w:t>
      </w:r>
      <w:proofErr w:type="spellStart"/>
      <w:r w:rsidRPr="006F5B1C">
        <w:rPr>
          <w:sz w:val="20"/>
          <w:szCs w:val="20"/>
          <w:lang w:val="sr-Latn-ME"/>
        </w:rPr>
        <w:t>Meeting</w:t>
      </w:r>
      <w:proofErr w:type="spellEnd"/>
      <w:r w:rsidRPr="006F5B1C">
        <w:rPr>
          <w:sz w:val="20"/>
          <w:szCs w:val="20"/>
          <w:lang w:val="sr-Latn-ME"/>
        </w:rPr>
        <w:t xml:space="preserve"> on </w:t>
      </w:r>
      <w:proofErr w:type="spellStart"/>
      <w:r w:rsidRPr="006F5B1C">
        <w:rPr>
          <w:sz w:val="20"/>
          <w:szCs w:val="20"/>
          <w:lang w:val="sr-Latn-ME"/>
        </w:rPr>
        <w:t>Trade</w:t>
      </w:r>
      <w:proofErr w:type="spellEnd"/>
      <w:r w:rsidRPr="006F5B1C">
        <w:rPr>
          <w:sz w:val="20"/>
          <w:szCs w:val="20"/>
          <w:lang w:val="sr-Latn-ME"/>
        </w:rPr>
        <w:t xml:space="preserve">, </w:t>
      </w:r>
      <w:proofErr w:type="spellStart"/>
      <w:r w:rsidRPr="006F5B1C">
        <w:rPr>
          <w:sz w:val="20"/>
          <w:szCs w:val="20"/>
          <w:lang w:val="sr-Latn-ME"/>
        </w:rPr>
        <w:t>Industry</w:t>
      </w:r>
      <w:proofErr w:type="spellEnd"/>
      <w:r w:rsidRPr="006F5B1C">
        <w:rPr>
          <w:sz w:val="20"/>
          <w:szCs w:val="20"/>
          <w:lang w:val="sr-Latn-ME"/>
        </w:rPr>
        <w:t xml:space="preserve">, </w:t>
      </w:r>
      <w:proofErr w:type="spellStart"/>
      <w:r w:rsidRPr="006F5B1C">
        <w:rPr>
          <w:sz w:val="20"/>
          <w:szCs w:val="20"/>
          <w:lang w:val="sr-Latn-ME"/>
        </w:rPr>
        <w:t>Customs</w:t>
      </w:r>
      <w:proofErr w:type="spellEnd"/>
      <w:r w:rsidRPr="006F5B1C">
        <w:rPr>
          <w:sz w:val="20"/>
          <w:szCs w:val="20"/>
          <w:lang w:val="sr-Latn-ME"/>
        </w:rPr>
        <w:t xml:space="preserve"> </w:t>
      </w:r>
      <w:proofErr w:type="spellStart"/>
      <w:r w:rsidRPr="006F5B1C">
        <w:rPr>
          <w:sz w:val="20"/>
          <w:szCs w:val="20"/>
          <w:lang w:val="sr-Latn-ME"/>
        </w:rPr>
        <w:t>and</w:t>
      </w:r>
      <w:proofErr w:type="spellEnd"/>
      <w:r w:rsidRPr="006F5B1C">
        <w:rPr>
          <w:sz w:val="20"/>
          <w:szCs w:val="20"/>
          <w:lang w:val="sr-Latn-ME"/>
        </w:rPr>
        <w:t xml:space="preserve"> </w:t>
      </w:r>
      <w:proofErr w:type="spellStart"/>
      <w:r w:rsidRPr="006F5B1C">
        <w:rPr>
          <w:sz w:val="20"/>
          <w:szCs w:val="20"/>
          <w:lang w:val="sr-Latn-ME"/>
        </w:rPr>
        <w:t>Taxation</w:t>
      </w:r>
      <w:proofErr w:type="spellEnd"/>
      <w:r w:rsidRPr="006F5B1C">
        <w:rPr>
          <w:sz w:val="20"/>
          <w:szCs w:val="20"/>
          <w:lang w:val="sr-Latn-ME"/>
        </w:rPr>
        <w:t>.</w:t>
      </w:r>
    </w:p>
    <w:p w14:paraId="31D85D87" w14:textId="53F499FD" w:rsidR="00CB3EDB" w:rsidRPr="006F5B1C" w:rsidRDefault="0B78DD6F" w:rsidP="0B78DD6F">
      <w:pPr>
        <w:pStyle w:val="Odlomakpopisa"/>
        <w:numPr>
          <w:ilvl w:val="0"/>
          <w:numId w:val="1"/>
        </w:numPr>
        <w:rPr>
          <w:sz w:val="20"/>
          <w:szCs w:val="20"/>
          <w:lang w:val="sr-Latn-ME"/>
        </w:rPr>
      </w:pPr>
      <w:r w:rsidRPr="006F5B1C">
        <w:rPr>
          <w:sz w:val="20"/>
          <w:szCs w:val="20"/>
          <w:lang w:val="sr-Latn-ME"/>
        </w:rPr>
        <w:t>Evropska komisija. Prvi prilog Izvještaju o Crnoj Gori za 2026. godinu.</w:t>
      </w:r>
    </w:p>
    <w:p w14:paraId="1E062332" w14:textId="71560372" w:rsidR="00CB3EDB" w:rsidRPr="006F5B1C" w:rsidRDefault="0B78DD6F" w:rsidP="0B78DD6F">
      <w:pPr>
        <w:pStyle w:val="Odlomakpopisa"/>
        <w:numPr>
          <w:ilvl w:val="0"/>
          <w:numId w:val="1"/>
        </w:numPr>
        <w:rPr>
          <w:sz w:val="20"/>
          <w:szCs w:val="20"/>
          <w:lang w:val="sr-Latn-ME"/>
        </w:rPr>
      </w:pPr>
      <w:r w:rsidRPr="006F5B1C">
        <w:rPr>
          <w:sz w:val="20"/>
          <w:szCs w:val="20"/>
          <w:lang w:val="sr-Latn-ME"/>
        </w:rPr>
        <w:t>Zakon o privrednim društvima.</w:t>
      </w:r>
    </w:p>
    <w:p w14:paraId="29B15E82" w14:textId="0BCF1ED5" w:rsidR="00CB3EDB" w:rsidRPr="006F5B1C" w:rsidRDefault="0B78DD6F" w:rsidP="0B78DD6F">
      <w:pPr>
        <w:pStyle w:val="Odlomakpopisa"/>
        <w:numPr>
          <w:ilvl w:val="0"/>
          <w:numId w:val="1"/>
        </w:numPr>
        <w:rPr>
          <w:sz w:val="20"/>
          <w:szCs w:val="20"/>
          <w:lang w:val="sr-Latn-ME"/>
        </w:rPr>
      </w:pPr>
      <w:r w:rsidRPr="006F5B1C">
        <w:rPr>
          <w:sz w:val="20"/>
          <w:szCs w:val="20"/>
          <w:lang w:val="sr-Latn-ME"/>
        </w:rPr>
        <w:t>Zakon o registraciji poslovnih i drugih subjekata.</w:t>
      </w:r>
    </w:p>
    <w:p w14:paraId="11999DEC" w14:textId="2CB7FEEB" w:rsidR="00CB3EDB" w:rsidRPr="006F5B1C" w:rsidRDefault="0B78DD6F" w:rsidP="0B78DD6F">
      <w:pPr>
        <w:pStyle w:val="Odlomakpopisa"/>
        <w:numPr>
          <w:ilvl w:val="0"/>
          <w:numId w:val="1"/>
        </w:numPr>
        <w:rPr>
          <w:sz w:val="20"/>
          <w:szCs w:val="20"/>
          <w:lang w:val="sr-Latn-ME"/>
        </w:rPr>
      </w:pPr>
      <w:r w:rsidRPr="006F5B1C">
        <w:rPr>
          <w:sz w:val="20"/>
          <w:szCs w:val="20"/>
          <w:lang w:val="sr-Latn-ME"/>
        </w:rPr>
        <w:t>Zakon o zanatstvu.</w:t>
      </w:r>
    </w:p>
    <w:p w14:paraId="7C8D902A" w14:textId="5F710BDC" w:rsidR="00CB3EDB" w:rsidRPr="006F5B1C" w:rsidRDefault="0B78DD6F" w:rsidP="0B78DD6F">
      <w:pPr>
        <w:pStyle w:val="Odlomakpopisa"/>
        <w:numPr>
          <w:ilvl w:val="0"/>
          <w:numId w:val="1"/>
        </w:numPr>
        <w:rPr>
          <w:sz w:val="20"/>
          <w:szCs w:val="20"/>
          <w:lang w:val="sr-Latn-ME"/>
        </w:rPr>
      </w:pPr>
      <w:r w:rsidRPr="006F5B1C">
        <w:rPr>
          <w:sz w:val="20"/>
          <w:szCs w:val="20"/>
          <w:lang w:val="sr-Latn-ME"/>
        </w:rPr>
        <w:lastRenderedPageBreak/>
        <w:t>Zakon o Kreditno-garantnom fondu Crne Gore.</w:t>
      </w:r>
    </w:p>
    <w:p w14:paraId="0B48E02C" w14:textId="0EE0EA2A" w:rsidR="00CB3EDB" w:rsidRPr="006F5B1C" w:rsidRDefault="0B78DD6F" w:rsidP="0B78DD6F">
      <w:pPr>
        <w:pStyle w:val="Odlomakpopisa"/>
        <w:numPr>
          <w:ilvl w:val="0"/>
          <w:numId w:val="1"/>
        </w:numPr>
        <w:rPr>
          <w:sz w:val="20"/>
          <w:szCs w:val="20"/>
          <w:lang w:val="sr-Latn-ME"/>
        </w:rPr>
      </w:pPr>
      <w:r w:rsidRPr="006F5B1C">
        <w:rPr>
          <w:sz w:val="20"/>
          <w:szCs w:val="20"/>
          <w:lang w:val="sr-Latn-ME"/>
        </w:rPr>
        <w:t>Zakon o zaštiti konkurencije.</w:t>
      </w:r>
    </w:p>
    <w:p w14:paraId="1764C4D8" w14:textId="42BA64FD" w:rsidR="00CB3EDB" w:rsidRPr="006F5B1C" w:rsidRDefault="0B78DD6F" w:rsidP="0B78DD6F">
      <w:pPr>
        <w:pStyle w:val="Odlomakpopisa"/>
        <w:numPr>
          <w:ilvl w:val="0"/>
          <w:numId w:val="1"/>
        </w:numPr>
        <w:rPr>
          <w:sz w:val="20"/>
          <w:szCs w:val="20"/>
          <w:lang w:val="sr-Latn-ME"/>
        </w:rPr>
      </w:pPr>
      <w:r w:rsidRPr="006F5B1C">
        <w:rPr>
          <w:sz w:val="20"/>
          <w:szCs w:val="20"/>
          <w:lang w:val="sr-Latn-ME"/>
        </w:rPr>
        <w:t>Zakon o kontroli državne pomoći.</w:t>
      </w:r>
    </w:p>
    <w:p w14:paraId="2C29EC98" w14:textId="1F2F4FA7" w:rsidR="00CB3EDB" w:rsidRPr="006F5B1C" w:rsidRDefault="0B78DD6F" w:rsidP="0B78DD6F">
      <w:pPr>
        <w:pStyle w:val="Odlomakpopisa"/>
        <w:numPr>
          <w:ilvl w:val="0"/>
          <w:numId w:val="1"/>
        </w:numPr>
        <w:rPr>
          <w:sz w:val="20"/>
          <w:szCs w:val="20"/>
          <w:lang w:val="sr-Latn-ME"/>
        </w:rPr>
      </w:pPr>
      <w:r w:rsidRPr="006F5B1C">
        <w:rPr>
          <w:sz w:val="20"/>
          <w:szCs w:val="20"/>
          <w:lang w:val="sr-Latn-ME"/>
        </w:rPr>
        <w:t>Zakon o javnim nabavkama.</w:t>
      </w:r>
    </w:p>
    <w:p w14:paraId="7194A214" w14:textId="1ECEA0B8" w:rsidR="00CB3EDB" w:rsidRPr="006F5B1C" w:rsidRDefault="0B78DD6F" w:rsidP="0B78DD6F">
      <w:pPr>
        <w:pStyle w:val="Odlomakpopisa"/>
        <w:numPr>
          <w:ilvl w:val="0"/>
          <w:numId w:val="1"/>
        </w:numPr>
        <w:rPr>
          <w:sz w:val="20"/>
          <w:szCs w:val="20"/>
          <w:lang w:val="sr-Latn-ME"/>
        </w:rPr>
      </w:pPr>
      <w:r w:rsidRPr="006F5B1C">
        <w:rPr>
          <w:sz w:val="20"/>
          <w:szCs w:val="20"/>
          <w:lang w:val="sr-Latn-ME"/>
        </w:rPr>
        <w:t>Zakon o unutrašnjoj trgovini.</w:t>
      </w:r>
    </w:p>
    <w:p w14:paraId="6E1AE06F" w14:textId="77F86ABD" w:rsidR="00CB3EDB" w:rsidRPr="006F5B1C" w:rsidRDefault="0B78DD6F" w:rsidP="0B78DD6F">
      <w:pPr>
        <w:pStyle w:val="Odlomakpopisa"/>
        <w:numPr>
          <w:ilvl w:val="0"/>
          <w:numId w:val="1"/>
        </w:numPr>
        <w:rPr>
          <w:sz w:val="20"/>
          <w:szCs w:val="20"/>
          <w:lang w:val="sr-Latn-ME"/>
        </w:rPr>
      </w:pPr>
      <w:r w:rsidRPr="006F5B1C">
        <w:rPr>
          <w:sz w:val="20"/>
          <w:szCs w:val="20"/>
          <w:lang w:val="sr-Latn-ME"/>
        </w:rPr>
        <w:t>Zakon o Razvojnoj banci Crne Gore.</w:t>
      </w:r>
    </w:p>
    <w:p w14:paraId="073D3DAD" w14:textId="46CFD4E1" w:rsidR="00CB3EDB" w:rsidRPr="006F5B1C" w:rsidRDefault="0B78DD6F" w:rsidP="0B78DD6F">
      <w:pPr>
        <w:pStyle w:val="Odlomakpopisa"/>
        <w:numPr>
          <w:ilvl w:val="0"/>
          <w:numId w:val="1"/>
        </w:numPr>
        <w:rPr>
          <w:sz w:val="20"/>
          <w:szCs w:val="20"/>
          <w:lang w:val="sr-Latn-ME"/>
        </w:rPr>
      </w:pPr>
      <w:r w:rsidRPr="006F5B1C">
        <w:rPr>
          <w:sz w:val="20"/>
          <w:szCs w:val="20"/>
          <w:lang w:val="sr-Latn-ME"/>
        </w:rPr>
        <w:t xml:space="preserve">Zakon o postupcima za naknadu štete zbog </w:t>
      </w:r>
      <w:proofErr w:type="spellStart"/>
      <w:r w:rsidRPr="006F5B1C">
        <w:rPr>
          <w:sz w:val="20"/>
          <w:szCs w:val="20"/>
          <w:lang w:val="sr-Latn-ME"/>
        </w:rPr>
        <w:t>povreda</w:t>
      </w:r>
      <w:proofErr w:type="spellEnd"/>
      <w:r w:rsidRPr="006F5B1C">
        <w:rPr>
          <w:sz w:val="20"/>
          <w:szCs w:val="20"/>
          <w:lang w:val="sr-Latn-ME"/>
        </w:rPr>
        <w:t xml:space="preserve"> konkurencije na tržištu.</w:t>
      </w:r>
    </w:p>
    <w:p w14:paraId="6A10A299" w14:textId="77777777" w:rsidR="00CB3EDB" w:rsidRPr="006F5B1C" w:rsidRDefault="0B78DD6F" w:rsidP="0B78DD6F">
      <w:pPr>
        <w:pStyle w:val="Odlomakpopisa"/>
        <w:numPr>
          <w:ilvl w:val="0"/>
          <w:numId w:val="1"/>
        </w:numPr>
        <w:rPr>
          <w:sz w:val="20"/>
          <w:szCs w:val="20"/>
          <w:lang w:val="sr-Latn-ME"/>
        </w:rPr>
      </w:pPr>
      <w:r w:rsidRPr="006F5B1C">
        <w:rPr>
          <w:sz w:val="20"/>
          <w:szCs w:val="20"/>
          <w:lang w:val="sr-Latn-ME"/>
        </w:rPr>
        <w:t xml:space="preserve">OECD. SME </w:t>
      </w:r>
      <w:proofErr w:type="spellStart"/>
      <w:r w:rsidRPr="006F5B1C">
        <w:rPr>
          <w:sz w:val="20"/>
          <w:szCs w:val="20"/>
          <w:lang w:val="sr-Latn-ME"/>
        </w:rPr>
        <w:t>Policy</w:t>
      </w:r>
      <w:proofErr w:type="spellEnd"/>
      <w:r w:rsidRPr="006F5B1C">
        <w:rPr>
          <w:sz w:val="20"/>
          <w:szCs w:val="20"/>
          <w:lang w:val="sr-Latn-ME"/>
        </w:rPr>
        <w:t xml:space="preserve"> </w:t>
      </w:r>
      <w:proofErr w:type="spellStart"/>
      <w:r w:rsidRPr="006F5B1C">
        <w:rPr>
          <w:sz w:val="20"/>
          <w:szCs w:val="20"/>
          <w:lang w:val="sr-Latn-ME"/>
        </w:rPr>
        <w:t>Index</w:t>
      </w:r>
      <w:proofErr w:type="spellEnd"/>
      <w:r w:rsidRPr="006F5B1C">
        <w:rPr>
          <w:sz w:val="20"/>
          <w:szCs w:val="20"/>
          <w:lang w:val="sr-Latn-ME"/>
        </w:rPr>
        <w:t xml:space="preserve">: </w:t>
      </w:r>
      <w:proofErr w:type="spellStart"/>
      <w:r w:rsidRPr="006F5B1C">
        <w:rPr>
          <w:sz w:val="20"/>
          <w:szCs w:val="20"/>
          <w:lang w:val="sr-Latn-ME"/>
        </w:rPr>
        <w:t>Western</w:t>
      </w:r>
      <w:proofErr w:type="spellEnd"/>
      <w:r w:rsidRPr="006F5B1C">
        <w:rPr>
          <w:sz w:val="20"/>
          <w:szCs w:val="20"/>
          <w:lang w:val="sr-Latn-ME"/>
        </w:rPr>
        <w:t xml:space="preserve"> </w:t>
      </w:r>
      <w:proofErr w:type="spellStart"/>
      <w:r w:rsidRPr="006F5B1C">
        <w:rPr>
          <w:sz w:val="20"/>
          <w:szCs w:val="20"/>
          <w:lang w:val="sr-Latn-ME"/>
        </w:rPr>
        <w:t>Balkans</w:t>
      </w:r>
      <w:proofErr w:type="spellEnd"/>
      <w:r w:rsidRPr="006F5B1C">
        <w:rPr>
          <w:sz w:val="20"/>
          <w:szCs w:val="20"/>
          <w:lang w:val="sr-Latn-ME"/>
        </w:rPr>
        <w:t xml:space="preserve"> </w:t>
      </w:r>
      <w:proofErr w:type="spellStart"/>
      <w:r w:rsidRPr="006F5B1C">
        <w:rPr>
          <w:sz w:val="20"/>
          <w:szCs w:val="20"/>
          <w:lang w:val="sr-Latn-ME"/>
        </w:rPr>
        <w:t>and</w:t>
      </w:r>
      <w:proofErr w:type="spellEnd"/>
      <w:r w:rsidRPr="006F5B1C">
        <w:rPr>
          <w:sz w:val="20"/>
          <w:szCs w:val="20"/>
          <w:lang w:val="sr-Latn-ME"/>
        </w:rPr>
        <w:t xml:space="preserve"> </w:t>
      </w:r>
      <w:proofErr w:type="spellStart"/>
      <w:r w:rsidRPr="006F5B1C">
        <w:rPr>
          <w:sz w:val="20"/>
          <w:szCs w:val="20"/>
          <w:lang w:val="sr-Latn-ME"/>
        </w:rPr>
        <w:t>Turkey</w:t>
      </w:r>
      <w:proofErr w:type="spellEnd"/>
      <w:r w:rsidRPr="006F5B1C">
        <w:rPr>
          <w:sz w:val="20"/>
          <w:szCs w:val="20"/>
          <w:lang w:val="sr-Latn-ME"/>
        </w:rPr>
        <w:t xml:space="preserve"> 2022.</w:t>
      </w:r>
    </w:p>
    <w:p w14:paraId="2C582102" w14:textId="38E6FD81" w:rsidR="00CB3EDB" w:rsidRPr="006F5B1C" w:rsidRDefault="0B78DD6F" w:rsidP="0B78DD6F">
      <w:pPr>
        <w:pStyle w:val="Odlomakpopisa"/>
        <w:numPr>
          <w:ilvl w:val="0"/>
          <w:numId w:val="1"/>
        </w:numPr>
        <w:rPr>
          <w:sz w:val="20"/>
          <w:szCs w:val="20"/>
          <w:lang w:val="sr-Latn-ME"/>
        </w:rPr>
      </w:pPr>
      <w:r w:rsidRPr="006F5B1C">
        <w:rPr>
          <w:sz w:val="20"/>
          <w:szCs w:val="20"/>
          <w:lang w:val="sr-Latn-ME"/>
        </w:rPr>
        <w:t xml:space="preserve">OECD. </w:t>
      </w:r>
      <w:proofErr w:type="spellStart"/>
      <w:r w:rsidRPr="006F5B1C">
        <w:rPr>
          <w:sz w:val="20"/>
          <w:szCs w:val="20"/>
          <w:lang w:val="sr-Latn-ME"/>
        </w:rPr>
        <w:t>Western</w:t>
      </w:r>
      <w:proofErr w:type="spellEnd"/>
      <w:r w:rsidRPr="006F5B1C">
        <w:rPr>
          <w:sz w:val="20"/>
          <w:szCs w:val="20"/>
          <w:lang w:val="sr-Latn-ME"/>
        </w:rPr>
        <w:t xml:space="preserve"> </w:t>
      </w:r>
      <w:proofErr w:type="spellStart"/>
      <w:r w:rsidRPr="006F5B1C">
        <w:rPr>
          <w:sz w:val="20"/>
          <w:szCs w:val="20"/>
          <w:lang w:val="sr-Latn-ME"/>
        </w:rPr>
        <w:t>Balkans</w:t>
      </w:r>
      <w:proofErr w:type="spellEnd"/>
      <w:r w:rsidRPr="006F5B1C">
        <w:rPr>
          <w:sz w:val="20"/>
          <w:szCs w:val="20"/>
          <w:lang w:val="sr-Latn-ME"/>
        </w:rPr>
        <w:t xml:space="preserve"> </w:t>
      </w:r>
      <w:proofErr w:type="spellStart"/>
      <w:r w:rsidRPr="006F5B1C">
        <w:rPr>
          <w:sz w:val="20"/>
          <w:szCs w:val="20"/>
          <w:lang w:val="sr-Latn-ME"/>
        </w:rPr>
        <w:t>Competitiveness</w:t>
      </w:r>
      <w:proofErr w:type="spellEnd"/>
      <w:r w:rsidRPr="006F5B1C">
        <w:rPr>
          <w:sz w:val="20"/>
          <w:szCs w:val="20"/>
          <w:lang w:val="sr-Latn-ME"/>
        </w:rPr>
        <w:t xml:space="preserve"> Outlook 2024: Montenegro.</w:t>
      </w:r>
    </w:p>
    <w:p w14:paraId="5E6AB968" w14:textId="10980439" w:rsidR="00CB3EDB" w:rsidRPr="006F5B1C" w:rsidRDefault="0B78DD6F" w:rsidP="0B78DD6F">
      <w:pPr>
        <w:pStyle w:val="Odlomakpopisa"/>
        <w:numPr>
          <w:ilvl w:val="0"/>
          <w:numId w:val="1"/>
        </w:numPr>
        <w:rPr>
          <w:sz w:val="20"/>
          <w:szCs w:val="20"/>
          <w:lang w:val="sr-Latn-ME"/>
        </w:rPr>
      </w:pPr>
      <w:r w:rsidRPr="006F5B1C">
        <w:rPr>
          <w:sz w:val="20"/>
          <w:szCs w:val="20"/>
          <w:lang w:val="sr-Latn-ME"/>
        </w:rPr>
        <w:t xml:space="preserve">OECD. </w:t>
      </w:r>
      <w:proofErr w:type="spellStart"/>
      <w:r w:rsidRPr="006F5B1C">
        <w:rPr>
          <w:sz w:val="20"/>
          <w:szCs w:val="20"/>
          <w:lang w:val="sr-Latn-ME"/>
        </w:rPr>
        <w:t>Financial</w:t>
      </w:r>
      <w:proofErr w:type="spellEnd"/>
      <w:r w:rsidRPr="006F5B1C">
        <w:rPr>
          <w:sz w:val="20"/>
          <w:szCs w:val="20"/>
          <w:lang w:val="sr-Latn-ME"/>
        </w:rPr>
        <w:t xml:space="preserve"> </w:t>
      </w:r>
      <w:proofErr w:type="spellStart"/>
      <w:r w:rsidRPr="006F5B1C">
        <w:rPr>
          <w:sz w:val="20"/>
          <w:szCs w:val="20"/>
          <w:lang w:val="sr-Latn-ME"/>
        </w:rPr>
        <w:t>Literacy</w:t>
      </w:r>
      <w:proofErr w:type="spellEnd"/>
      <w:r w:rsidRPr="006F5B1C">
        <w:rPr>
          <w:sz w:val="20"/>
          <w:szCs w:val="20"/>
          <w:lang w:val="sr-Latn-ME"/>
        </w:rPr>
        <w:t xml:space="preserve"> </w:t>
      </w:r>
      <w:proofErr w:type="spellStart"/>
      <w:r w:rsidRPr="006F5B1C">
        <w:rPr>
          <w:sz w:val="20"/>
          <w:szCs w:val="20"/>
          <w:lang w:val="sr-Latn-ME"/>
        </w:rPr>
        <w:t>and</w:t>
      </w:r>
      <w:proofErr w:type="spellEnd"/>
      <w:r w:rsidRPr="006F5B1C">
        <w:rPr>
          <w:sz w:val="20"/>
          <w:szCs w:val="20"/>
          <w:lang w:val="sr-Latn-ME"/>
        </w:rPr>
        <w:t xml:space="preserve"> </w:t>
      </w:r>
      <w:proofErr w:type="spellStart"/>
      <w:r w:rsidRPr="006F5B1C">
        <w:rPr>
          <w:sz w:val="20"/>
          <w:szCs w:val="20"/>
          <w:lang w:val="sr-Latn-ME"/>
        </w:rPr>
        <w:t>Digitalisation</w:t>
      </w:r>
      <w:proofErr w:type="spellEnd"/>
      <w:r w:rsidRPr="006F5B1C">
        <w:rPr>
          <w:sz w:val="20"/>
          <w:szCs w:val="20"/>
          <w:lang w:val="sr-Latn-ME"/>
        </w:rPr>
        <w:t xml:space="preserve"> </w:t>
      </w:r>
      <w:proofErr w:type="spellStart"/>
      <w:r w:rsidRPr="006F5B1C">
        <w:rPr>
          <w:sz w:val="20"/>
          <w:szCs w:val="20"/>
          <w:lang w:val="sr-Latn-ME"/>
        </w:rPr>
        <w:t>for</w:t>
      </w:r>
      <w:proofErr w:type="spellEnd"/>
      <w:r w:rsidRPr="006F5B1C">
        <w:rPr>
          <w:sz w:val="20"/>
          <w:szCs w:val="20"/>
          <w:lang w:val="sr-Latn-ME"/>
        </w:rPr>
        <w:t xml:space="preserve"> </w:t>
      </w:r>
      <w:proofErr w:type="spellStart"/>
      <w:r w:rsidRPr="006F5B1C">
        <w:rPr>
          <w:sz w:val="20"/>
          <w:szCs w:val="20"/>
          <w:lang w:val="sr-Latn-ME"/>
        </w:rPr>
        <w:t>MSMEs</w:t>
      </w:r>
      <w:proofErr w:type="spellEnd"/>
      <w:r w:rsidRPr="006F5B1C">
        <w:rPr>
          <w:sz w:val="20"/>
          <w:szCs w:val="20"/>
          <w:lang w:val="sr-Latn-ME"/>
        </w:rPr>
        <w:t xml:space="preserve"> in </w:t>
      </w:r>
      <w:proofErr w:type="spellStart"/>
      <w:r w:rsidRPr="006F5B1C">
        <w:rPr>
          <w:sz w:val="20"/>
          <w:szCs w:val="20"/>
          <w:lang w:val="sr-Latn-ME"/>
        </w:rPr>
        <w:t>South</w:t>
      </w:r>
      <w:proofErr w:type="spellEnd"/>
      <w:r w:rsidRPr="006F5B1C">
        <w:rPr>
          <w:sz w:val="20"/>
          <w:szCs w:val="20"/>
          <w:lang w:val="sr-Latn-ME"/>
        </w:rPr>
        <w:t xml:space="preserve"> </w:t>
      </w:r>
      <w:proofErr w:type="spellStart"/>
      <w:r w:rsidRPr="006F5B1C">
        <w:rPr>
          <w:sz w:val="20"/>
          <w:szCs w:val="20"/>
          <w:lang w:val="sr-Latn-ME"/>
        </w:rPr>
        <w:t>East</w:t>
      </w:r>
      <w:proofErr w:type="spellEnd"/>
      <w:r w:rsidRPr="006F5B1C">
        <w:rPr>
          <w:sz w:val="20"/>
          <w:szCs w:val="20"/>
          <w:lang w:val="sr-Latn-ME"/>
        </w:rPr>
        <w:t xml:space="preserve"> </w:t>
      </w:r>
      <w:proofErr w:type="spellStart"/>
      <w:r w:rsidRPr="006F5B1C">
        <w:rPr>
          <w:sz w:val="20"/>
          <w:szCs w:val="20"/>
          <w:lang w:val="sr-Latn-ME"/>
        </w:rPr>
        <w:t>Europe</w:t>
      </w:r>
      <w:proofErr w:type="spellEnd"/>
      <w:r w:rsidRPr="006F5B1C">
        <w:rPr>
          <w:sz w:val="20"/>
          <w:szCs w:val="20"/>
          <w:lang w:val="sr-Latn-ME"/>
        </w:rPr>
        <w:t>.</w:t>
      </w:r>
    </w:p>
    <w:p w14:paraId="72AFC864" w14:textId="33E81978" w:rsidR="00B71B91" w:rsidRPr="006F5B1C" w:rsidRDefault="0B78DD6F" w:rsidP="0B78DD6F">
      <w:pPr>
        <w:pStyle w:val="Odlomakpopisa"/>
        <w:numPr>
          <w:ilvl w:val="0"/>
          <w:numId w:val="1"/>
        </w:numPr>
        <w:rPr>
          <w:sz w:val="20"/>
          <w:szCs w:val="20"/>
          <w:lang w:val="sr-Latn-ME"/>
        </w:rPr>
      </w:pPr>
      <w:r w:rsidRPr="006F5B1C">
        <w:rPr>
          <w:sz w:val="20"/>
          <w:szCs w:val="20"/>
          <w:lang w:val="sr-Latn-ME"/>
        </w:rPr>
        <w:t xml:space="preserve">SIGMA/OECD. </w:t>
      </w:r>
      <w:proofErr w:type="spellStart"/>
      <w:r w:rsidRPr="006F5B1C">
        <w:rPr>
          <w:sz w:val="20"/>
          <w:szCs w:val="20"/>
          <w:lang w:val="sr-Latn-ME"/>
        </w:rPr>
        <w:t>The</w:t>
      </w:r>
      <w:proofErr w:type="spellEnd"/>
      <w:r w:rsidRPr="006F5B1C">
        <w:rPr>
          <w:sz w:val="20"/>
          <w:szCs w:val="20"/>
          <w:lang w:val="sr-Latn-ME"/>
        </w:rPr>
        <w:t xml:space="preserve"> </w:t>
      </w:r>
      <w:proofErr w:type="spellStart"/>
      <w:r w:rsidRPr="006F5B1C">
        <w:rPr>
          <w:sz w:val="20"/>
          <w:szCs w:val="20"/>
          <w:lang w:val="sr-Latn-ME"/>
        </w:rPr>
        <w:t>Principles</w:t>
      </w:r>
      <w:proofErr w:type="spellEnd"/>
      <w:r w:rsidRPr="006F5B1C">
        <w:rPr>
          <w:sz w:val="20"/>
          <w:szCs w:val="20"/>
          <w:lang w:val="sr-Latn-ME"/>
        </w:rPr>
        <w:t xml:space="preserve"> </w:t>
      </w:r>
      <w:proofErr w:type="spellStart"/>
      <w:r w:rsidRPr="006F5B1C">
        <w:rPr>
          <w:sz w:val="20"/>
          <w:szCs w:val="20"/>
          <w:lang w:val="sr-Latn-ME"/>
        </w:rPr>
        <w:t>of</w:t>
      </w:r>
      <w:proofErr w:type="spellEnd"/>
      <w:r w:rsidRPr="006F5B1C">
        <w:rPr>
          <w:sz w:val="20"/>
          <w:szCs w:val="20"/>
          <w:lang w:val="sr-Latn-ME"/>
        </w:rPr>
        <w:t xml:space="preserve"> </w:t>
      </w:r>
      <w:proofErr w:type="spellStart"/>
      <w:r w:rsidRPr="006F5B1C">
        <w:rPr>
          <w:sz w:val="20"/>
          <w:szCs w:val="20"/>
          <w:lang w:val="sr-Latn-ME"/>
        </w:rPr>
        <w:t>Public</w:t>
      </w:r>
      <w:proofErr w:type="spellEnd"/>
      <w:r w:rsidRPr="006F5B1C">
        <w:rPr>
          <w:sz w:val="20"/>
          <w:szCs w:val="20"/>
          <w:lang w:val="sr-Latn-ME"/>
        </w:rPr>
        <w:t xml:space="preserve"> </w:t>
      </w:r>
      <w:proofErr w:type="spellStart"/>
      <w:r w:rsidRPr="006F5B1C">
        <w:rPr>
          <w:sz w:val="20"/>
          <w:szCs w:val="20"/>
          <w:lang w:val="sr-Latn-ME"/>
        </w:rPr>
        <w:t>Administration</w:t>
      </w:r>
      <w:proofErr w:type="spellEnd"/>
      <w:r w:rsidRPr="006F5B1C">
        <w:rPr>
          <w:sz w:val="20"/>
          <w:szCs w:val="20"/>
          <w:lang w:val="sr-Latn-ME"/>
        </w:rPr>
        <w:t>.</w:t>
      </w:r>
    </w:p>
    <w:sectPr w:rsidR="00B71B91" w:rsidRPr="006F5B1C" w:rsidSect="00FC4212">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1B4CF" w14:textId="77777777" w:rsidR="00CD6BC4" w:rsidRDefault="00CD6BC4" w:rsidP="000D7037">
      <w:pPr>
        <w:spacing w:after="0" w:line="240" w:lineRule="auto"/>
      </w:pPr>
      <w:r>
        <w:separator/>
      </w:r>
    </w:p>
  </w:endnote>
  <w:endnote w:type="continuationSeparator" w:id="0">
    <w:p w14:paraId="6DF9C860" w14:textId="77777777" w:rsidR="00CD6BC4" w:rsidRDefault="00CD6BC4" w:rsidP="000D7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346414"/>
      <w:docPartObj>
        <w:docPartGallery w:val="Page Numbers (Bottom of Page)"/>
        <w:docPartUnique/>
      </w:docPartObj>
    </w:sdtPr>
    <w:sdtEndPr>
      <w:rPr>
        <w:noProof/>
      </w:rPr>
    </w:sdtEndPr>
    <w:sdtContent>
      <w:p w14:paraId="1FCDC861" w14:textId="1DD59F25" w:rsidR="000D7037" w:rsidRDefault="000D7037">
        <w:pPr>
          <w:pStyle w:val="Podnoje"/>
          <w:jc w:val="right"/>
        </w:pPr>
        <w:r>
          <w:fldChar w:fldCharType="begin"/>
        </w:r>
        <w:r>
          <w:instrText xml:space="preserve"> PAGE   \* MERGEFORMAT </w:instrText>
        </w:r>
        <w:r>
          <w:fldChar w:fldCharType="separate"/>
        </w:r>
        <w:r w:rsidR="00F83806">
          <w:rPr>
            <w:noProof/>
          </w:rPr>
          <w:t>16</w:t>
        </w:r>
        <w:r>
          <w:rPr>
            <w:noProof/>
          </w:rPr>
          <w:fldChar w:fldCharType="end"/>
        </w:r>
      </w:p>
    </w:sdtContent>
  </w:sdt>
  <w:p w14:paraId="1EF7E093" w14:textId="77777777" w:rsidR="000D7037" w:rsidRDefault="000D703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37EDF" w14:textId="77777777" w:rsidR="00CD6BC4" w:rsidRDefault="00CD6BC4" w:rsidP="000D7037">
      <w:pPr>
        <w:spacing w:after="0" w:line="240" w:lineRule="auto"/>
      </w:pPr>
      <w:r>
        <w:separator/>
      </w:r>
    </w:p>
  </w:footnote>
  <w:footnote w:type="continuationSeparator" w:id="0">
    <w:p w14:paraId="34B3D003" w14:textId="77777777" w:rsidR="00CD6BC4" w:rsidRDefault="00CD6BC4" w:rsidP="000D7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25F2" w14:textId="236957F9" w:rsidR="00FC4212" w:rsidRDefault="00FC4212" w:rsidP="00FC4212">
    <w:pPr>
      <w:pStyle w:val="Zaglavlje"/>
    </w:pPr>
    <w:r w:rsidRPr="00095509">
      <w:rPr>
        <w:noProof/>
        <w:lang w:val="en-US"/>
      </w:rPr>
      <w:drawing>
        <wp:inline distT="0" distB="0" distL="0" distR="0" wp14:anchorId="4DF50EBC" wp14:editId="1B60A441">
          <wp:extent cx="1749973" cy="874987"/>
          <wp:effectExtent l="0" t="0" r="3175" b="0"/>
          <wp:docPr id="702134619"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756081" cy="878041"/>
                  </a:xfrm>
                  <a:prstGeom prst="rect">
                    <a:avLst/>
                  </a:prstGeom>
                </pic:spPr>
              </pic:pic>
            </a:graphicData>
          </a:graphic>
        </wp:inline>
      </w:drawing>
    </w:r>
  </w:p>
  <w:p w14:paraId="46DA715E" w14:textId="77777777" w:rsidR="00FC4212" w:rsidRDefault="00FC4212" w:rsidP="00FC4212">
    <w:pPr>
      <w:pStyle w:val="Zaglavlje"/>
    </w:pPr>
  </w:p>
  <w:p w14:paraId="282915CF" w14:textId="77777777" w:rsidR="00FC4212" w:rsidRDefault="00FC4212" w:rsidP="00FC4212">
    <w:pPr>
      <w:pStyle w:val="Zaglavlje"/>
    </w:pPr>
  </w:p>
  <w:p w14:paraId="0807796A" w14:textId="2EC05DF5" w:rsidR="00FC4212" w:rsidRDefault="00FC4212" w:rsidP="00FC4212">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CBA61"/>
    <w:multiLevelType w:val="hybridMultilevel"/>
    <w:tmpl w:val="FFFFFFFF"/>
    <w:lvl w:ilvl="0" w:tplc="3D1A7A0E">
      <w:start w:val="1"/>
      <w:numFmt w:val="bullet"/>
      <w:lvlText w:val=""/>
      <w:lvlJc w:val="left"/>
      <w:pPr>
        <w:ind w:left="720" w:hanging="360"/>
      </w:pPr>
      <w:rPr>
        <w:rFonts w:ascii="Symbol" w:hAnsi="Symbol" w:hint="default"/>
      </w:rPr>
    </w:lvl>
    <w:lvl w:ilvl="1" w:tplc="08C6FF02">
      <w:start w:val="1"/>
      <w:numFmt w:val="bullet"/>
      <w:lvlText w:val="o"/>
      <w:lvlJc w:val="left"/>
      <w:pPr>
        <w:ind w:left="1440" w:hanging="360"/>
      </w:pPr>
      <w:rPr>
        <w:rFonts w:ascii="Courier New" w:hAnsi="Courier New" w:hint="default"/>
      </w:rPr>
    </w:lvl>
    <w:lvl w:ilvl="2" w:tplc="B1C42E4C">
      <w:start w:val="1"/>
      <w:numFmt w:val="bullet"/>
      <w:lvlText w:val=""/>
      <w:lvlJc w:val="left"/>
      <w:pPr>
        <w:ind w:left="2160" w:hanging="360"/>
      </w:pPr>
      <w:rPr>
        <w:rFonts w:ascii="Wingdings" w:hAnsi="Wingdings" w:hint="default"/>
      </w:rPr>
    </w:lvl>
    <w:lvl w:ilvl="3" w:tplc="9C7CCDC8">
      <w:start w:val="1"/>
      <w:numFmt w:val="bullet"/>
      <w:lvlText w:val=""/>
      <w:lvlJc w:val="left"/>
      <w:pPr>
        <w:ind w:left="2880" w:hanging="360"/>
      </w:pPr>
      <w:rPr>
        <w:rFonts w:ascii="Symbol" w:hAnsi="Symbol" w:hint="default"/>
      </w:rPr>
    </w:lvl>
    <w:lvl w:ilvl="4" w:tplc="EF54FAF6">
      <w:start w:val="1"/>
      <w:numFmt w:val="bullet"/>
      <w:lvlText w:val="o"/>
      <w:lvlJc w:val="left"/>
      <w:pPr>
        <w:ind w:left="3600" w:hanging="360"/>
      </w:pPr>
      <w:rPr>
        <w:rFonts w:ascii="Courier New" w:hAnsi="Courier New" w:hint="default"/>
      </w:rPr>
    </w:lvl>
    <w:lvl w:ilvl="5" w:tplc="39142F08">
      <w:start w:val="1"/>
      <w:numFmt w:val="bullet"/>
      <w:lvlText w:val=""/>
      <w:lvlJc w:val="left"/>
      <w:pPr>
        <w:ind w:left="4320" w:hanging="360"/>
      </w:pPr>
      <w:rPr>
        <w:rFonts w:ascii="Wingdings" w:hAnsi="Wingdings" w:hint="default"/>
      </w:rPr>
    </w:lvl>
    <w:lvl w:ilvl="6" w:tplc="9FCC00F6">
      <w:start w:val="1"/>
      <w:numFmt w:val="bullet"/>
      <w:lvlText w:val=""/>
      <w:lvlJc w:val="left"/>
      <w:pPr>
        <w:ind w:left="5040" w:hanging="360"/>
      </w:pPr>
      <w:rPr>
        <w:rFonts w:ascii="Symbol" w:hAnsi="Symbol" w:hint="default"/>
      </w:rPr>
    </w:lvl>
    <w:lvl w:ilvl="7" w:tplc="2AD2478C">
      <w:start w:val="1"/>
      <w:numFmt w:val="bullet"/>
      <w:lvlText w:val="o"/>
      <w:lvlJc w:val="left"/>
      <w:pPr>
        <w:ind w:left="5760" w:hanging="360"/>
      </w:pPr>
      <w:rPr>
        <w:rFonts w:ascii="Courier New" w:hAnsi="Courier New" w:hint="default"/>
      </w:rPr>
    </w:lvl>
    <w:lvl w:ilvl="8" w:tplc="246809A2">
      <w:start w:val="1"/>
      <w:numFmt w:val="bullet"/>
      <w:lvlText w:val=""/>
      <w:lvlJc w:val="left"/>
      <w:pPr>
        <w:ind w:left="6480" w:hanging="360"/>
      </w:pPr>
      <w:rPr>
        <w:rFonts w:ascii="Wingdings" w:hAnsi="Wingdings" w:hint="default"/>
      </w:rPr>
    </w:lvl>
  </w:abstractNum>
  <w:abstractNum w:abstractNumId="1" w15:restartNumberingAfterBreak="0">
    <w:nsid w:val="1F083737"/>
    <w:multiLevelType w:val="hybridMultilevel"/>
    <w:tmpl w:val="138A052A"/>
    <w:lvl w:ilvl="0" w:tplc="7278D602">
      <w:start w:val="1"/>
      <w:numFmt w:val="bullet"/>
      <w:lvlText w:val=""/>
      <w:lvlJc w:val="left"/>
      <w:pPr>
        <w:ind w:left="720" w:hanging="360"/>
      </w:pPr>
      <w:rPr>
        <w:rFonts w:ascii="Symbol" w:hAnsi="Symbol" w:hint="default"/>
      </w:rPr>
    </w:lvl>
    <w:lvl w:ilvl="1" w:tplc="C408DA28">
      <w:start w:val="1"/>
      <w:numFmt w:val="bullet"/>
      <w:lvlText w:val="o"/>
      <w:lvlJc w:val="left"/>
      <w:pPr>
        <w:ind w:left="1440" w:hanging="360"/>
      </w:pPr>
      <w:rPr>
        <w:rFonts w:ascii="Courier New" w:hAnsi="Courier New" w:hint="default"/>
      </w:rPr>
    </w:lvl>
    <w:lvl w:ilvl="2" w:tplc="D982DF90">
      <w:start w:val="1"/>
      <w:numFmt w:val="bullet"/>
      <w:lvlText w:val=""/>
      <w:lvlJc w:val="left"/>
      <w:pPr>
        <w:ind w:left="2160" w:hanging="360"/>
      </w:pPr>
      <w:rPr>
        <w:rFonts w:ascii="Wingdings" w:hAnsi="Wingdings" w:hint="default"/>
      </w:rPr>
    </w:lvl>
    <w:lvl w:ilvl="3" w:tplc="4F84CD46">
      <w:start w:val="1"/>
      <w:numFmt w:val="bullet"/>
      <w:lvlText w:val=""/>
      <w:lvlJc w:val="left"/>
      <w:pPr>
        <w:ind w:left="2880" w:hanging="360"/>
      </w:pPr>
      <w:rPr>
        <w:rFonts w:ascii="Symbol" w:hAnsi="Symbol" w:hint="default"/>
      </w:rPr>
    </w:lvl>
    <w:lvl w:ilvl="4" w:tplc="9DF07118">
      <w:start w:val="1"/>
      <w:numFmt w:val="bullet"/>
      <w:lvlText w:val="o"/>
      <w:lvlJc w:val="left"/>
      <w:pPr>
        <w:ind w:left="3600" w:hanging="360"/>
      </w:pPr>
      <w:rPr>
        <w:rFonts w:ascii="Courier New" w:hAnsi="Courier New" w:hint="default"/>
      </w:rPr>
    </w:lvl>
    <w:lvl w:ilvl="5" w:tplc="44B06B90">
      <w:start w:val="1"/>
      <w:numFmt w:val="bullet"/>
      <w:lvlText w:val=""/>
      <w:lvlJc w:val="left"/>
      <w:pPr>
        <w:ind w:left="4320" w:hanging="360"/>
      </w:pPr>
      <w:rPr>
        <w:rFonts w:ascii="Wingdings" w:hAnsi="Wingdings" w:hint="default"/>
      </w:rPr>
    </w:lvl>
    <w:lvl w:ilvl="6" w:tplc="055C0DCA">
      <w:start w:val="1"/>
      <w:numFmt w:val="bullet"/>
      <w:lvlText w:val=""/>
      <w:lvlJc w:val="left"/>
      <w:pPr>
        <w:ind w:left="5040" w:hanging="360"/>
      </w:pPr>
      <w:rPr>
        <w:rFonts w:ascii="Symbol" w:hAnsi="Symbol" w:hint="default"/>
      </w:rPr>
    </w:lvl>
    <w:lvl w:ilvl="7" w:tplc="3DC04378">
      <w:start w:val="1"/>
      <w:numFmt w:val="bullet"/>
      <w:lvlText w:val="o"/>
      <w:lvlJc w:val="left"/>
      <w:pPr>
        <w:ind w:left="5760" w:hanging="360"/>
      </w:pPr>
      <w:rPr>
        <w:rFonts w:ascii="Courier New" w:hAnsi="Courier New" w:hint="default"/>
      </w:rPr>
    </w:lvl>
    <w:lvl w:ilvl="8" w:tplc="CA8CF0A8">
      <w:start w:val="1"/>
      <w:numFmt w:val="bullet"/>
      <w:lvlText w:val=""/>
      <w:lvlJc w:val="left"/>
      <w:pPr>
        <w:ind w:left="6480" w:hanging="360"/>
      </w:pPr>
      <w:rPr>
        <w:rFonts w:ascii="Wingdings" w:hAnsi="Wingdings" w:hint="default"/>
      </w:rPr>
    </w:lvl>
  </w:abstractNum>
  <w:abstractNum w:abstractNumId="2" w15:restartNumberingAfterBreak="0">
    <w:nsid w:val="4315440B"/>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num w:numId="1" w16cid:durableId="273440923">
    <w:abstractNumId w:val="1"/>
  </w:num>
  <w:num w:numId="2" w16cid:durableId="108669810">
    <w:abstractNumId w:val="2"/>
  </w:num>
  <w:num w:numId="3" w16cid:durableId="204420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9F5"/>
    <w:rsid w:val="00004A22"/>
    <w:rsid w:val="000264DC"/>
    <w:rsid w:val="00062B38"/>
    <w:rsid w:val="000704B4"/>
    <w:rsid w:val="00076D54"/>
    <w:rsid w:val="000A11D3"/>
    <w:rsid w:val="000A2D83"/>
    <w:rsid w:val="000A6391"/>
    <w:rsid w:val="000D1D60"/>
    <w:rsid w:val="000D7037"/>
    <w:rsid w:val="000F2AAC"/>
    <w:rsid w:val="00112D31"/>
    <w:rsid w:val="00113845"/>
    <w:rsid w:val="00135B4E"/>
    <w:rsid w:val="001410B1"/>
    <w:rsid w:val="00174F1C"/>
    <w:rsid w:val="0019013D"/>
    <w:rsid w:val="001B112A"/>
    <w:rsid w:val="001C70AB"/>
    <w:rsid w:val="001C7AE4"/>
    <w:rsid w:val="0021066E"/>
    <w:rsid w:val="00220CDF"/>
    <w:rsid w:val="00246375"/>
    <w:rsid w:val="00257E8A"/>
    <w:rsid w:val="002977BE"/>
    <w:rsid w:val="002A663A"/>
    <w:rsid w:val="002D6FE8"/>
    <w:rsid w:val="002F256C"/>
    <w:rsid w:val="00302198"/>
    <w:rsid w:val="0030605C"/>
    <w:rsid w:val="00307A35"/>
    <w:rsid w:val="00311BC7"/>
    <w:rsid w:val="00312E6D"/>
    <w:rsid w:val="003235A7"/>
    <w:rsid w:val="00354681"/>
    <w:rsid w:val="003630F9"/>
    <w:rsid w:val="003773C4"/>
    <w:rsid w:val="00381A38"/>
    <w:rsid w:val="003C0FE6"/>
    <w:rsid w:val="00412E88"/>
    <w:rsid w:val="0045374E"/>
    <w:rsid w:val="00477D6D"/>
    <w:rsid w:val="004A744F"/>
    <w:rsid w:val="004D0CEC"/>
    <w:rsid w:val="004D65D7"/>
    <w:rsid w:val="005040C4"/>
    <w:rsid w:val="00535BA2"/>
    <w:rsid w:val="005766BE"/>
    <w:rsid w:val="005A5FBA"/>
    <w:rsid w:val="00614387"/>
    <w:rsid w:val="006146E4"/>
    <w:rsid w:val="0062475B"/>
    <w:rsid w:val="00635844"/>
    <w:rsid w:val="006361A1"/>
    <w:rsid w:val="00672BA3"/>
    <w:rsid w:val="006A1BFC"/>
    <w:rsid w:val="006A6DBF"/>
    <w:rsid w:val="006D08DD"/>
    <w:rsid w:val="006F5B1C"/>
    <w:rsid w:val="0071575B"/>
    <w:rsid w:val="00743AE8"/>
    <w:rsid w:val="0078107D"/>
    <w:rsid w:val="007B1BE5"/>
    <w:rsid w:val="007F5B5F"/>
    <w:rsid w:val="007F7A7F"/>
    <w:rsid w:val="00811E78"/>
    <w:rsid w:val="0081223B"/>
    <w:rsid w:val="008447C3"/>
    <w:rsid w:val="0087152E"/>
    <w:rsid w:val="008C0AF9"/>
    <w:rsid w:val="008C25F8"/>
    <w:rsid w:val="008D062B"/>
    <w:rsid w:val="0093136E"/>
    <w:rsid w:val="00961CE1"/>
    <w:rsid w:val="00961FBC"/>
    <w:rsid w:val="00970925"/>
    <w:rsid w:val="00973963"/>
    <w:rsid w:val="009A0264"/>
    <w:rsid w:val="009A04CD"/>
    <w:rsid w:val="009B09EF"/>
    <w:rsid w:val="009D066B"/>
    <w:rsid w:val="009E3ACF"/>
    <w:rsid w:val="00A05E53"/>
    <w:rsid w:val="00A1491C"/>
    <w:rsid w:val="00A21D29"/>
    <w:rsid w:val="00A73D1B"/>
    <w:rsid w:val="00A93C02"/>
    <w:rsid w:val="00A96957"/>
    <w:rsid w:val="00AD544A"/>
    <w:rsid w:val="00AE712B"/>
    <w:rsid w:val="00AF11FF"/>
    <w:rsid w:val="00B04703"/>
    <w:rsid w:val="00B17B5B"/>
    <w:rsid w:val="00B71B91"/>
    <w:rsid w:val="00B722BD"/>
    <w:rsid w:val="00B7581A"/>
    <w:rsid w:val="00B913EB"/>
    <w:rsid w:val="00B96841"/>
    <w:rsid w:val="00BC1999"/>
    <w:rsid w:val="00BD1487"/>
    <w:rsid w:val="00C05D8A"/>
    <w:rsid w:val="00C17E79"/>
    <w:rsid w:val="00C94037"/>
    <w:rsid w:val="00CB3EDB"/>
    <w:rsid w:val="00CC5CA9"/>
    <w:rsid w:val="00CD6BC4"/>
    <w:rsid w:val="00CE2C74"/>
    <w:rsid w:val="00CF57DA"/>
    <w:rsid w:val="00D13A85"/>
    <w:rsid w:val="00D21E1E"/>
    <w:rsid w:val="00D24F9B"/>
    <w:rsid w:val="00D32B4B"/>
    <w:rsid w:val="00D66483"/>
    <w:rsid w:val="00E10CD5"/>
    <w:rsid w:val="00E8284D"/>
    <w:rsid w:val="00E87853"/>
    <w:rsid w:val="00E92DFE"/>
    <w:rsid w:val="00EF1988"/>
    <w:rsid w:val="00EF738C"/>
    <w:rsid w:val="00F07F60"/>
    <w:rsid w:val="00F16C1B"/>
    <w:rsid w:val="00F415F5"/>
    <w:rsid w:val="00F4622C"/>
    <w:rsid w:val="00F579F5"/>
    <w:rsid w:val="00F83806"/>
    <w:rsid w:val="00F95230"/>
    <w:rsid w:val="00FC4212"/>
    <w:rsid w:val="0B78DD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2E6B"/>
  <w15:chartTrackingRefBased/>
  <w15:docId w15:val="{95921294-6A19-4CD1-9D16-38096EAC6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999"/>
    <w:pPr>
      <w:jc w:val="both"/>
    </w:pPr>
    <w:rPr>
      <w:sz w:val="22"/>
    </w:rPr>
  </w:style>
  <w:style w:type="paragraph" w:styleId="Naslov1">
    <w:name w:val="heading 1"/>
    <w:basedOn w:val="Normal"/>
    <w:next w:val="Normal"/>
    <w:link w:val="Naslov1Char"/>
    <w:uiPriority w:val="9"/>
    <w:qFormat/>
    <w:rsid w:val="00F579F5"/>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F579F5"/>
    <w:pPr>
      <w:keepNext/>
      <w:keepLines/>
      <w:numPr>
        <w:ilvl w:val="1"/>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F579F5"/>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579F5"/>
    <w:pPr>
      <w:keepNext/>
      <w:keepLines/>
      <w:numPr>
        <w:ilvl w:val="3"/>
        <w:numId w:val="2"/>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579F5"/>
    <w:pPr>
      <w:keepNext/>
      <w:keepLines/>
      <w:numPr>
        <w:ilvl w:val="4"/>
        <w:numId w:val="2"/>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579F5"/>
    <w:pPr>
      <w:keepNext/>
      <w:keepLines/>
      <w:numPr>
        <w:ilvl w:val="5"/>
        <w:numId w:val="2"/>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579F5"/>
    <w:pPr>
      <w:keepNext/>
      <w:keepLines/>
      <w:numPr>
        <w:ilvl w:val="6"/>
        <w:numId w:val="2"/>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579F5"/>
    <w:pPr>
      <w:keepNext/>
      <w:keepLines/>
      <w:numPr>
        <w:ilvl w:val="7"/>
        <w:numId w:val="2"/>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579F5"/>
    <w:pPr>
      <w:keepNext/>
      <w:keepLines/>
      <w:numPr>
        <w:ilvl w:val="8"/>
        <w:numId w:val="2"/>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579F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F579F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F579F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579F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579F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579F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579F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579F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579F5"/>
    <w:rPr>
      <w:rFonts w:eastAsiaTheme="majorEastAsia" w:cstheme="majorBidi"/>
      <w:color w:val="272727" w:themeColor="text1" w:themeTint="D8"/>
    </w:rPr>
  </w:style>
  <w:style w:type="paragraph" w:styleId="Naslov">
    <w:name w:val="Title"/>
    <w:basedOn w:val="Normal"/>
    <w:next w:val="Normal"/>
    <w:link w:val="NaslovChar"/>
    <w:uiPriority w:val="10"/>
    <w:qFormat/>
    <w:rsid w:val="00F57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579F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579F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579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79F5"/>
    <w:pPr>
      <w:spacing w:before="160"/>
      <w:jc w:val="center"/>
    </w:pPr>
    <w:rPr>
      <w:i/>
      <w:iCs/>
      <w:color w:val="404040" w:themeColor="text1" w:themeTint="BF"/>
    </w:rPr>
  </w:style>
  <w:style w:type="character" w:customStyle="1" w:styleId="CitatChar">
    <w:name w:val="Citat Char"/>
    <w:basedOn w:val="Zadanifontodlomka"/>
    <w:link w:val="Citat"/>
    <w:uiPriority w:val="29"/>
    <w:rsid w:val="00F579F5"/>
    <w:rPr>
      <w:i/>
      <w:iCs/>
      <w:color w:val="404040" w:themeColor="text1" w:themeTint="BF"/>
    </w:rPr>
  </w:style>
  <w:style w:type="paragraph" w:styleId="Odlomakpopisa">
    <w:name w:val="List Paragraph"/>
    <w:basedOn w:val="Normal"/>
    <w:uiPriority w:val="34"/>
    <w:qFormat/>
    <w:rsid w:val="00F579F5"/>
    <w:pPr>
      <w:ind w:left="720"/>
      <w:contextualSpacing/>
    </w:pPr>
  </w:style>
  <w:style w:type="character" w:styleId="Jakoisticanje">
    <w:name w:val="Intense Emphasis"/>
    <w:basedOn w:val="Zadanifontodlomka"/>
    <w:uiPriority w:val="21"/>
    <w:qFormat/>
    <w:rsid w:val="00F579F5"/>
    <w:rPr>
      <w:i/>
      <w:iCs/>
      <w:color w:val="0F4761" w:themeColor="accent1" w:themeShade="BF"/>
    </w:rPr>
  </w:style>
  <w:style w:type="paragraph" w:styleId="Naglaencitat">
    <w:name w:val="Intense Quote"/>
    <w:basedOn w:val="Normal"/>
    <w:next w:val="Normal"/>
    <w:link w:val="NaglaencitatChar"/>
    <w:uiPriority w:val="30"/>
    <w:qFormat/>
    <w:rsid w:val="00F57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579F5"/>
    <w:rPr>
      <w:i/>
      <w:iCs/>
      <w:color w:val="0F4761" w:themeColor="accent1" w:themeShade="BF"/>
    </w:rPr>
  </w:style>
  <w:style w:type="character" w:styleId="Istaknutareferenca">
    <w:name w:val="Intense Reference"/>
    <w:basedOn w:val="Zadanifontodlomka"/>
    <w:uiPriority w:val="32"/>
    <w:qFormat/>
    <w:rsid w:val="00F579F5"/>
    <w:rPr>
      <w:b/>
      <w:bCs/>
      <w:smallCaps/>
      <w:color w:val="0F4761" w:themeColor="accent1" w:themeShade="BF"/>
      <w:spacing w:val="5"/>
    </w:rPr>
  </w:style>
  <w:style w:type="table" w:styleId="Reetkatablice">
    <w:name w:val="Table Grid"/>
    <w:basedOn w:val="Obinatablica"/>
    <w:uiPriority w:val="39"/>
    <w:rsid w:val="00F5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0D7037"/>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0D7037"/>
  </w:style>
  <w:style w:type="paragraph" w:styleId="Podnoje">
    <w:name w:val="footer"/>
    <w:basedOn w:val="Normal"/>
    <w:link w:val="PodnojeChar"/>
    <w:uiPriority w:val="99"/>
    <w:unhideWhenUsed/>
    <w:rsid w:val="000D7037"/>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0D7037"/>
  </w:style>
  <w:style w:type="table" w:styleId="Tablicapopisa3-isticanje4">
    <w:name w:val="List Table 3 Accent 4"/>
    <w:basedOn w:val="Obinatablica"/>
    <w:uiPriority w:val="48"/>
    <w:rsid w:val="00BC1999"/>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Svijetlatablicareetke1-isticanje4">
    <w:name w:val="Grid Table 1 Light Accent 4"/>
    <w:basedOn w:val="Obinatablica"/>
    <w:uiPriority w:val="46"/>
    <w:rsid w:val="00BC1999"/>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paragraph" w:styleId="Tekstbalonia">
    <w:name w:val="Balloon Text"/>
    <w:basedOn w:val="Normal"/>
    <w:link w:val="TekstbaloniaChar"/>
    <w:uiPriority w:val="99"/>
    <w:semiHidden/>
    <w:unhideWhenUsed/>
    <w:rsid w:val="0078107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8107D"/>
    <w:rPr>
      <w:rFonts w:ascii="Segoe UI" w:hAnsi="Segoe UI" w:cs="Segoe UI"/>
      <w:sz w:val="18"/>
      <w:szCs w:val="18"/>
    </w:rPr>
  </w:style>
  <w:style w:type="table" w:styleId="ivopisnatablicareetke6-isticanje4">
    <w:name w:val="Grid Table 6 Colorful Accent 4"/>
    <w:basedOn w:val="Obinatablica"/>
    <w:uiPriority w:val="51"/>
    <w:rsid w:val="00F415F5"/>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391515">
      <w:bodyDiv w:val="1"/>
      <w:marLeft w:val="0"/>
      <w:marRight w:val="0"/>
      <w:marTop w:val="0"/>
      <w:marBottom w:val="0"/>
      <w:divBdr>
        <w:top w:val="none" w:sz="0" w:space="0" w:color="auto"/>
        <w:left w:val="none" w:sz="0" w:space="0" w:color="auto"/>
        <w:bottom w:val="none" w:sz="0" w:space="0" w:color="auto"/>
        <w:right w:val="none" w:sz="0" w:space="0" w:color="auto"/>
      </w:divBdr>
    </w:div>
    <w:div w:id="195605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50DBB-BEEC-4887-A5CD-B1F6F7F99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7628</Words>
  <Characters>43481</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Kresimir Ivancic</dc:creator>
  <cp:keywords/>
  <dc:description/>
  <cp:lastModifiedBy>Kresimir Ivancic</cp:lastModifiedBy>
  <cp:revision>27</cp:revision>
  <dcterms:created xsi:type="dcterms:W3CDTF">2026-05-31T09:49:00Z</dcterms:created>
  <dcterms:modified xsi:type="dcterms:W3CDTF">2026-06-02T10:20:00Z</dcterms:modified>
</cp:coreProperties>
</file>