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61F6A" w14:textId="51582016" w:rsidR="0087152E" w:rsidRPr="00AC5CD7" w:rsidRDefault="00AC5CD7" w:rsidP="00AC5CD7">
      <w:pPr>
        <w:jc w:val="center"/>
        <w:rPr>
          <w:lang w:val="sr-Latn-ME"/>
        </w:rPr>
      </w:pPr>
      <w:r w:rsidRPr="00AC5CD7">
        <w:rPr>
          <w:lang w:val="sr-Latn-ME"/>
        </w:rPr>
        <w:drawing>
          <wp:inline distT="0" distB="0" distL="0" distR="0" wp14:anchorId="2CEF96F1" wp14:editId="7E7E6DE5">
            <wp:extent cx="4177324" cy="2088662"/>
            <wp:effectExtent l="0" t="0" r="0" b="0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B462C3E9-0F16-3A9C-C01E-9CF55F5E68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B462C3E9-0F16-3A9C-C01E-9CF55F5E68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324" cy="208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CD7">
        <w:rPr>
          <w:noProof/>
          <w:lang w:val="sr-Latn-ME"/>
        </w:rPr>
        <w:drawing>
          <wp:inline distT="0" distB="0" distL="0" distR="0" wp14:anchorId="14F7F9C8" wp14:editId="2B540532">
            <wp:extent cx="5752465" cy="5752465"/>
            <wp:effectExtent l="0" t="0" r="635" b="635"/>
            <wp:docPr id="114178758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D1464" w14:textId="77777777" w:rsidR="00AC5CD7" w:rsidRPr="00AC5CD7" w:rsidRDefault="00AC5CD7" w:rsidP="00AC5CD7">
      <w:pPr>
        <w:rPr>
          <w:lang w:val="sr-Latn-ME"/>
        </w:rPr>
      </w:pPr>
    </w:p>
    <w:p w14:paraId="7909FCAD" w14:textId="77777777" w:rsidR="00AC5CD7" w:rsidRPr="00AC5CD7" w:rsidRDefault="00AC5CD7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sr-Latn-ME"/>
        </w:rPr>
      </w:pPr>
      <w:r w:rsidRPr="00AC5CD7">
        <w:rPr>
          <w:lang w:val="sr-Latn-ME"/>
        </w:rPr>
        <w:br w:type="page"/>
      </w:r>
    </w:p>
    <w:p w14:paraId="6B615FC9" w14:textId="5513F0CE" w:rsidR="00F579F5" w:rsidRPr="00AC5CD7" w:rsidRDefault="667A61A2" w:rsidP="667A61A2">
      <w:pPr>
        <w:pStyle w:val="Naslov1"/>
        <w:rPr>
          <w:lang w:val="sr-Latn-ME"/>
        </w:rPr>
      </w:pPr>
      <w:r w:rsidRPr="00AC5CD7">
        <w:rPr>
          <w:lang w:val="sr-Latn-ME"/>
        </w:rPr>
        <w:lastRenderedPageBreak/>
        <w:t>Uvod i važnost</w:t>
      </w:r>
    </w:p>
    <w:p w14:paraId="40DD36CE" w14:textId="411B9641" w:rsidR="667A61A2" w:rsidRPr="00AC5CD7" w:rsidRDefault="667A61A2" w:rsidP="667A61A2">
      <w:pPr>
        <w:rPr>
          <w:rFonts w:ascii="Aptos" w:eastAsia="Aptos" w:hAnsi="Aptos" w:cs="Aptos"/>
          <w:color w:val="000000" w:themeColor="text1"/>
          <w:lang w:val="sr-Latn-ME"/>
        </w:rPr>
      </w:pPr>
      <w:r w:rsidRPr="00AC5CD7">
        <w:rPr>
          <w:rFonts w:ascii="Aptos" w:eastAsia="Aptos" w:hAnsi="Aptos" w:cs="Aptos"/>
          <w:color w:val="000000" w:themeColor="text1"/>
          <w:lang w:val="sr-Latn-ME"/>
        </w:rPr>
        <w:t>Situaciona analiza predstavlja analitičku osnovu za pripremu Strateškog planskog dokumenta Crne Gore za potrebe korišćenja fondova Evropske unije u okviru budućeg Nacionalnog i regionalnog partnerskog plana. Njena svrha je da, na sistematičan i na dokazima zasnovan način, identifikuje glavne razvojne izazove, potrebe, ciljne grupe, razvojne nejednakosti i investiciona uska grla u okviru predmetne oblasti politike, uzimajući u obzir ekonomske, socijalne, teritorijalne i, gdje je relevantno, ekološke dimenzije razvoja.</w:t>
      </w:r>
    </w:p>
    <w:p w14:paraId="7C8CEDC9" w14:textId="2582BB10" w:rsidR="667A61A2" w:rsidRPr="00AC5CD7" w:rsidRDefault="667A61A2" w:rsidP="667A61A2">
      <w:pPr>
        <w:rPr>
          <w:rFonts w:ascii="Aptos" w:eastAsia="Aptos" w:hAnsi="Aptos" w:cs="Aptos"/>
          <w:color w:val="000000" w:themeColor="text1"/>
          <w:lang w:val="sr-Latn-ME"/>
        </w:rPr>
      </w:pPr>
      <w:r w:rsidRPr="00AC5CD7">
        <w:rPr>
          <w:rFonts w:ascii="Aptos" w:eastAsia="Aptos" w:hAnsi="Aptos" w:cs="Aptos"/>
          <w:color w:val="000000" w:themeColor="text1"/>
          <w:lang w:val="sr-Latn-ME"/>
        </w:rPr>
        <w:t>Značaj situacione analize dodatno proizlazi iz činjenice da je Strateški planski dokument prepoznat od strane Evropske komisije kao jedan od ključnih elemenata za ispunjenje mjerila za zatvaranje Poglavlja 22 – Regionalna politika i koordinacija strukturnih instrumenata, konkretno mjerila 2. Evropska komisija očekuje dostavljanje sveobuhvatnog, sažetog i kvalitetnog nacrta strateškog planskog dokumenta, koji u kontekstu finansijske perspektive 2021–2027 odgovara logici „</w:t>
      </w:r>
      <w:proofErr w:type="spellStart"/>
      <w:r w:rsidRPr="00AC5CD7">
        <w:rPr>
          <w:rFonts w:ascii="Aptos" w:eastAsia="Aptos" w:hAnsi="Aptos" w:cs="Aptos"/>
          <w:color w:val="000000" w:themeColor="text1"/>
          <w:lang w:val="sr-Latn-ME"/>
        </w:rPr>
        <w:t>Partnership</w:t>
      </w:r>
      <w:proofErr w:type="spellEnd"/>
      <w:r w:rsidRPr="00AC5CD7">
        <w:rPr>
          <w:rFonts w:ascii="Aptos" w:eastAsia="Aptos" w:hAnsi="Aptos" w:cs="Aptos"/>
          <w:color w:val="000000" w:themeColor="text1"/>
          <w:lang w:val="sr-Latn-ME"/>
        </w:rPr>
        <w:t xml:space="preserve"> </w:t>
      </w:r>
      <w:proofErr w:type="spellStart"/>
      <w:r w:rsidRPr="00AC5CD7">
        <w:rPr>
          <w:rFonts w:ascii="Aptos" w:eastAsia="Aptos" w:hAnsi="Aptos" w:cs="Aptos"/>
          <w:color w:val="000000" w:themeColor="text1"/>
          <w:lang w:val="sr-Latn-ME"/>
        </w:rPr>
        <w:t>Agreement</w:t>
      </w:r>
      <w:proofErr w:type="spellEnd"/>
      <w:r w:rsidRPr="00AC5CD7">
        <w:rPr>
          <w:rFonts w:ascii="Aptos" w:eastAsia="Aptos" w:hAnsi="Aptos" w:cs="Aptos"/>
          <w:color w:val="000000" w:themeColor="text1"/>
          <w:lang w:val="sr-Latn-ME"/>
        </w:rPr>
        <w:t xml:space="preserve">“, a koji treba da obuhvati stratešku analizu, uključujući izazove, potrebe i ciljne grupe, odabrane prioritete i ciljeve, glavne očekivane rezultate, planirane tematske cjeline i izvore finansiranja, mehanizme za </w:t>
      </w:r>
      <w:proofErr w:type="spellStart"/>
      <w:r w:rsidRPr="00AC5CD7">
        <w:rPr>
          <w:rFonts w:ascii="Aptos" w:eastAsia="Aptos" w:hAnsi="Aptos" w:cs="Aptos"/>
          <w:color w:val="000000" w:themeColor="text1"/>
          <w:lang w:val="sr-Latn-ME"/>
        </w:rPr>
        <w:t>obezbjeđivanje</w:t>
      </w:r>
      <w:proofErr w:type="spellEnd"/>
      <w:r w:rsidRPr="00AC5CD7">
        <w:rPr>
          <w:rFonts w:ascii="Aptos" w:eastAsia="Aptos" w:hAnsi="Aptos" w:cs="Aptos"/>
          <w:color w:val="000000" w:themeColor="text1"/>
          <w:lang w:val="sr-Latn-ME"/>
        </w:rPr>
        <w:t xml:space="preserve"> usklađenosti sa relevantnim prioritetima i strategijama Evropske unije, kao i okvir upravljanja u skladu sa Evropskim kodeksom ponašanja o partnerstvu.</w:t>
      </w:r>
    </w:p>
    <w:p w14:paraId="4FDACB8A" w14:textId="269172F4" w:rsidR="667A61A2" w:rsidRPr="00AC5CD7" w:rsidRDefault="667A61A2" w:rsidP="667A61A2">
      <w:pPr>
        <w:rPr>
          <w:rFonts w:ascii="Aptos" w:eastAsia="Aptos" w:hAnsi="Aptos" w:cs="Aptos"/>
          <w:color w:val="000000" w:themeColor="text1"/>
          <w:lang w:val="sr-Latn-ME"/>
        </w:rPr>
      </w:pPr>
      <w:r w:rsidRPr="00AC5CD7">
        <w:rPr>
          <w:rFonts w:ascii="Aptos" w:eastAsia="Aptos" w:hAnsi="Aptos" w:cs="Aptos"/>
          <w:color w:val="000000" w:themeColor="text1"/>
          <w:lang w:val="sr-Latn-ME"/>
        </w:rPr>
        <w:t xml:space="preserve">U tom smislu, situaciona analiza ne služi samo kao opis postojećeg stanja, već kao polazna tačka za definisanje prioritetnih pravaca djelovanja, očekivanih rezultata i budućih reformskih i investicionih intervencija. U skladu sa metodološkim pristupom za izradu Strateškog planskog dokumenta, razvojni izazovi se posmatraju kao problemi koji zahtijevaju </w:t>
      </w:r>
      <w:proofErr w:type="spellStart"/>
      <w:r w:rsidRPr="00AC5CD7">
        <w:rPr>
          <w:rFonts w:ascii="Aptos" w:eastAsia="Aptos" w:hAnsi="Aptos" w:cs="Aptos"/>
          <w:color w:val="000000" w:themeColor="text1"/>
          <w:lang w:val="sr-Latn-ME"/>
        </w:rPr>
        <w:t>javnopolitički</w:t>
      </w:r>
      <w:proofErr w:type="spellEnd"/>
      <w:r w:rsidRPr="00AC5CD7">
        <w:rPr>
          <w:rFonts w:ascii="Aptos" w:eastAsia="Aptos" w:hAnsi="Aptos" w:cs="Aptos"/>
          <w:color w:val="000000" w:themeColor="text1"/>
          <w:lang w:val="sr-Latn-ME"/>
        </w:rPr>
        <w:t xml:space="preserve"> odgovor, a ne kao unaprijed definisane mjere ili rješenja. Zbog toga analiza mora da poveže raspoložive statističke i administrativne podatke, nalaze nacionalnih strateških dokumenata, relevantne međunarodne i EU izvore, kao i uvide ključnih institucija i partnera.</w:t>
      </w:r>
    </w:p>
    <w:p w14:paraId="356C40D4" w14:textId="2113A928" w:rsidR="667A61A2" w:rsidRPr="00AC5CD7" w:rsidRDefault="667A61A2" w:rsidP="667A61A2">
      <w:pPr>
        <w:rPr>
          <w:rFonts w:ascii="Aptos" w:eastAsia="Aptos" w:hAnsi="Aptos" w:cs="Aptos"/>
          <w:color w:val="000000" w:themeColor="text1"/>
          <w:lang w:val="sr-Latn-ME"/>
        </w:rPr>
      </w:pPr>
      <w:r w:rsidRPr="00AC5CD7">
        <w:rPr>
          <w:rFonts w:ascii="Aptos" w:eastAsia="Aptos" w:hAnsi="Aptos" w:cs="Aptos"/>
          <w:color w:val="000000" w:themeColor="text1"/>
          <w:lang w:val="sr-Latn-ME"/>
        </w:rPr>
        <w:t xml:space="preserve">Situaciona analiza istovremeno ima i važnu funkciju u </w:t>
      </w:r>
      <w:proofErr w:type="spellStart"/>
      <w:r w:rsidRPr="00AC5CD7">
        <w:rPr>
          <w:rFonts w:ascii="Aptos" w:eastAsia="Aptos" w:hAnsi="Aptos" w:cs="Aptos"/>
          <w:color w:val="000000" w:themeColor="text1"/>
          <w:lang w:val="sr-Latn-ME"/>
        </w:rPr>
        <w:t>obezbjeđivanju</w:t>
      </w:r>
      <w:proofErr w:type="spellEnd"/>
      <w:r w:rsidRPr="00AC5CD7">
        <w:rPr>
          <w:rFonts w:ascii="Aptos" w:eastAsia="Aptos" w:hAnsi="Aptos" w:cs="Aptos"/>
          <w:color w:val="000000" w:themeColor="text1"/>
          <w:lang w:val="sr-Latn-ME"/>
        </w:rPr>
        <w:t xml:space="preserve"> usklađenosti budućeg strateškog dokumenta sa prioritetima Evropske unije, pravnom tekovinom EU i programskim okvirom za period nakon 2027. godine. Kroz </w:t>
      </w:r>
      <w:proofErr w:type="spellStart"/>
      <w:r w:rsidRPr="00AC5CD7">
        <w:rPr>
          <w:rFonts w:ascii="Aptos" w:eastAsia="Aptos" w:hAnsi="Aptos" w:cs="Aptos"/>
          <w:color w:val="000000" w:themeColor="text1"/>
          <w:lang w:val="sr-Latn-ME"/>
        </w:rPr>
        <w:t>pregled</w:t>
      </w:r>
      <w:proofErr w:type="spellEnd"/>
      <w:r w:rsidRPr="00AC5CD7">
        <w:rPr>
          <w:rFonts w:ascii="Aptos" w:eastAsia="Aptos" w:hAnsi="Aptos" w:cs="Aptos"/>
          <w:color w:val="000000" w:themeColor="text1"/>
          <w:lang w:val="sr-Latn-ME"/>
        </w:rPr>
        <w:t xml:space="preserve"> međunarodnog i nacionalnog strateškog i pravnog okvira, planiranih reformi i ključnih pokazatelja, analiza omogućava da se predmetna oblast politike sagleda u širem razvojnom i pristupnom kontekstu, uključujući doprinos pametnom, održivom i </w:t>
      </w:r>
      <w:proofErr w:type="spellStart"/>
      <w:r w:rsidRPr="00AC5CD7">
        <w:rPr>
          <w:rFonts w:ascii="Aptos" w:eastAsia="Aptos" w:hAnsi="Aptos" w:cs="Aptos"/>
          <w:color w:val="000000" w:themeColor="text1"/>
          <w:lang w:val="sr-Latn-ME"/>
        </w:rPr>
        <w:t>inkluzivnom</w:t>
      </w:r>
      <w:proofErr w:type="spellEnd"/>
      <w:r w:rsidRPr="00AC5CD7">
        <w:rPr>
          <w:rFonts w:ascii="Aptos" w:eastAsia="Aptos" w:hAnsi="Aptos" w:cs="Aptos"/>
          <w:color w:val="000000" w:themeColor="text1"/>
          <w:lang w:val="sr-Latn-ME"/>
        </w:rPr>
        <w:t xml:space="preserve"> rastu, ekonomskoj, socijalnoj i teritorijalnoj koheziji, kao i smanjenju razvojnih dispariteta.</w:t>
      </w:r>
    </w:p>
    <w:p w14:paraId="6AC07392" w14:textId="6F42B871" w:rsidR="667A61A2" w:rsidRPr="00AC5CD7" w:rsidRDefault="667A61A2" w:rsidP="667A61A2">
      <w:pPr>
        <w:rPr>
          <w:rFonts w:ascii="Aptos" w:eastAsia="Aptos" w:hAnsi="Aptos" w:cs="Aptos"/>
          <w:color w:val="000000" w:themeColor="text1"/>
          <w:lang w:val="sr-Latn-ME"/>
        </w:rPr>
      </w:pPr>
      <w:r w:rsidRPr="00AC5CD7">
        <w:rPr>
          <w:rFonts w:ascii="Aptos" w:eastAsia="Aptos" w:hAnsi="Aptos" w:cs="Aptos"/>
          <w:color w:val="000000" w:themeColor="text1"/>
          <w:lang w:val="sr-Latn-ME"/>
        </w:rPr>
        <w:t xml:space="preserve">Pored toga, situaciona analiza je važan alat za strukturiranje dijaloga unutar radnih grupa i sa širim krugom partnera. Njome se obezbjeđuje zajednička analitička osnova za SWOT razmatranje, </w:t>
      </w:r>
      <w:proofErr w:type="spellStart"/>
      <w:r w:rsidRPr="00AC5CD7">
        <w:rPr>
          <w:rFonts w:ascii="Aptos" w:eastAsia="Aptos" w:hAnsi="Aptos" w:cs="Aptos"/>
          <w:color w:val="000000" w:themeColor="text1"/>
          <w:lang w:val="sr-Latn-ME"/>
        </w:rPr>
        <w:t>validaciju</w:t>
      </w:r>
      <w:proofErr w:type="spellEnd"/>
      <w:r w:rsidRPr="00AC5CD7">
        <w:rPr>
          <w:rFonts w:ascii="Aptos" w:eastAsia="Aptos" w:hAnsi="Aptos" w:cs="Aptos"/>
          <w:color w:val="000000" w:themeColor="text1"/>
          <w:lang w:val="sr-Latn-ME"/>
        </w:rPr>
        <w:t xml:space="preserve"> nalaza i identifikaciju dugog spiska razvojnih izazova, koji će u narednim koracima biti </w:t>
      </w:r>
      <w:proofErr w:type="spellStart"/>
      <w:r w:rsidRPr="00AC5CD7">
        <w:rPr>
          <w:rFonts w:ascii="Aptos" w:eastAsia="Aptos" w:hAnsi="Aptos" w:cs="Aptos"/>
          <w:color w:val="000000" w:themeColor="text1"/>
          <w:lang w:val="sr-Latn-ME"/>
        </w:rPr>
        <w:t>prioritizovani</w:t>
      </w:r>
      <w:proofErr w:type="spellEnd"/>
      <w:r w:rsidRPr="00AC5CD7">
        <w:rPr>
          <w:rFonts w:ascii="Aptos" w:eastAsia="Aptos" w:hAnsi="Aptos" w:cs="Aptos"/>
          <w:color w:val="000000" w:themeColor="text1"/>
          <w:lang w:val="sr-Latn-ME"/>
        </w:rPr>
        <w:t xml:space="preserve">. Na taj način, situaciona analiza doprinosi transparentnom, </w:t>
      </w:r>
      <w:proofErr w:type="spellStart"/>
      <w:r w:rsidRPr="00AC5CD7">
        <w:rPr>
          <w:rFonts w:ascii="Aptos" w:eastAsia="Aptos" w:hAnsi="Aptos" w:cs="Aptos"/>
          <w:color w:val="000000" w:themeColor="text1"/>
          <w:lang w:val="sr-Latn-ME"/>
        </w:rPr>
        <w:t>participativnom</w:t>
      </w:r>
      <w:proofErr w:type="spellEnd"/>
      <w:r w:rsidRPr="00AC5CD7">
        <w:rPr>
          <w:rFonts w:ascii="Aptos" w:eastAsia="Aptos" w:hAnsi="Aptos" w:cs="Aptos"/>
          <w:color w:val="000000" w:themeColor="text1"/>
          <w:lang w:val="sr-Latn-ME"/>
        </w:rPr>
        <w:t xml:space="preserve"> i metodološki utemeljenom procesu planiranja, u skladu sa principom partnerstva i </w:t>
      </w:r>
      <w:proofErr w:type="spellStart"/>
      <w:r w:rsidRPr="00AC5CD7">
        <w:rPr>
          <w:rFonts w:ascii="Aptos" w:eastAsia="Aptos" w:hAnsi="Aptos" w:cs="Aptos"/>
          <w:color w:val="000000" w:themeColor="text1"/>
          <w:lang w:val="sr-Latn-ME"/>
        </w:rPr>
        <w:t>višerazinskog</w:t>
      </w:r>
      <w:proofErr w:type="spellEnd"/>
      <w:r w:rsidRPr="00AC5CD7">
        <w:rPr>
          <w:rFonts w:ascii="Aptos" w:eastAsia="Aptos" w:hAnsi="Aptos" w:cs="Aptos"/>
          <w:color w:val="000000" w:themeColor="text1"/>
          <w:lang w:val="sr-Latn-ME"/>
        </w:rPr>
        <w:t xml:space="preserve"> upravljanja.</w:t>
      </w:r>
    </w:p>
    <w:p w14:paraId="68AAD0E9" w14:textId="03D21792" w:rsidR="00F579F5" w:rsidRPr="00AC5CD7" w:rsidRDefault="00F579F5" w:rsidP="00F579F5">
      <w:pPr>
        <w:pStyle w:val="Naslov1"/>
        <w:rPr>
          <w:lang w:val="sr-Latn-ME"/>
        </w:rPr>
      </w:pPr>
      <w:r w:rsidRPr="00AC5CD7">
        <w:rPr>
          <w:lang w:val="sr-Latn-ME"/>
        </w:rPr>
        <w:t>Op</w:t>
      </w:r>
      <w:r w:rsidR="007C109F" w:rsidRPr="00AC5CD7">
        <w:rPr>
          <w:lang w:val="sr-Latn-ME"/>
        </w:rPr>
        <w:t>i</w:t>
      </w:r>
      <w:r w:rsidRPr="00AC5CD7">
        <w:rPr>
          <w:lang w:val="sr-Latn-ME"/>
        </w:rPr>
        <w:t xml:space="preserve">s prioritetnih područja </w:t>
      </w:r>
    </w:p>
    <w:tbl>
      <w:tblPr>
        <w:tblStyle w:val="Svijetlatablicareetke1-isticanje4"/>
        <w:tblpPr w:leftFromText="180" w:rightFromText="180" w:vertAnchor="text" w:horzAnchor="margin" w:tblpY="564"/>
        <w:tblW w:w="5000" w:type="pct"/>
        <w:tblLook w:val="04A0" w:firstRow="1" w:lastRow="0" w:firstColumn="1" w:lastColumn="0" w:noHBand="0" w:noVBand="1"/>
      </w:tblPr>
      <w:tblGrid>
        <w:gridCol w:w="1615"/>
        <w:gridCol w:w="2249"/>
        <w:gridCol w:w="2072"/>
        <w:gridCol w:w="3126"/>
      </w:tblGrid>
      <w:tr w:rsidR="00274F61" w:rsidRPr="00AC5CD7" w14:paraId="37EAB35A" w14:textId="77777777" w:rsidTr="007C1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3899B8EA" w14:textId="77777777" w:rsidR="00274F61" w:rsidRPr="00AC5CD7" w:rsidRDefault="00274F61" w:rsidP="00274F61">
            <w:pPr>
              <w:rPr>
                <w:b w:val="0"/>
                <w:sz w:val="18"/>
                <w:szCs w:val="18"/>
                <w:lang w:val="sr-Latn-ME"/>
              </w:rPr>
            </w:pPr>
            <w:r w:rsidRPr="00AC5CD7">
              <w:rPr>
                <w:sz w:val="18"/>
                <w:szCs w:val="18"/>
                <w:lang w:val="sr-Latn-ME"/>
              </w:rPr>
              <w:t>Kod prioritetne oblasti nivo 1</w:t>
            </w:r>
          </w:p>
        </w:tc>
        <w:tc>
          <w:tcPr>
            <w:tcW w:w="1241" w:type="pct"/>
          </w:tcPr>
          <w:p w14:paraId="7C57C95D" w14:textId="77777777" w:rsidR="00274F61" w:rsidRPr="00AC5CD7" w:rsidRDefault="00274F61" w:rsidP="00274F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sr-Latn-ME"/>
              </w:rPr>
            </w:pPr>
            <w:r w:rsidRPr="00AC5CD7">
              <w:rPr>
                <w:sz w:val="18"/>
                <w:szCs w:val="18"/>
                <w:lang w:val="sr-Latn-ME"/>
              </w:rPr>
              <w:t>Naziv  prioritetne oblasti nivo 1</w:t>
            </w:r>
          </w:p>
        </w:tc>
        <w:tc>
          <w:tcPr>
            <w:tcW w:w="1143" w:type="pct"/>
          </w:tcPr>
          <w:p w14:paraId="4ED4E540" w14:textId="77777777" w:rsidR="00274F61" w:rsidRPr="00AC5CD7" w:rsidRDefault="00274F61" w:rsidP="00274F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sr-Latn-ME"/>
              </w:rPr>
            </w:pPr>
            <w:r w:rsidRPr="00AC5CD7">
              <w:rPr>
                <w:sz w:val="18"/>
                <w:szCs w:val="18"/>
                <w:lang w:val="sr-Latn-ME"/>
              </w:rPr>
              <w:t>Kod  prioritetne oblasti nivo 2</w:t>
            </w:r>
          </w:p>
        </w:tc>
        <w:tc>
          <w:tcPr>
            <w:tcW w:w="1725" w:type="pct"/>
          </w:tcPr>
          <w:p w14:paraId="586BBAD0" w14:textId="77777777" w:rsidR="00274F61" w:rsidRPr="00AC5CD7" w:rsidRDefault="00274F61" w:rsidP="00274F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sr-Latn-ME"/>
              </w:rPr>
            </w:pPr>
            <w:r w:rsidRPr="00AC5CD7">
              <w:rPr>
                <w:sz w:val="18"/>
                <w:szCs w:val="18"/>
                <w:lang w:val="sr-Latn-ME"/>
              </w:rPr>
              <w:t>Naziv  prioritetne oblasti nivo 2</w:t>
            </w:r>
          </w:p>
        </w:tc>
      </w:tr>
      <w:tr w:rsidR="00274F61" w:rsidRPr="00AC5CD7" w14:paraId="7B4B5966" w14:textId="77777777" w:rsidTr="007C1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0EFA82B1" w14:textId="77777777" w:rsidR="00274F61" w:rsidRPr="00AC5CD7" w:rsidRDefault="00274F61" w:rsidP="00274F61">
            <w:pPr>
              <w:rPr>
                <w:b w:val="0"/>
                <w:sz w:val="18"/>
                <w:szCs w:val="18"/>
                <w:lang w:val="sr-Latn-ME"/>
              </w:rPr>
            </w:pPr>
            <w:r w:rsidRPr="00AC5CD7">
              <w:rPr>
                <w:sz w:val="18"/>
                <w:szCs w:val="18"/>
                <w:lang w:val="sr-Latn-ME"/>
              </w:rPr>
              <w:t>13</w:t>
            </w:r>
          </w:p>
        </w:tc>
        <w:tc>
          <w:tcPr>
            <w:tcW w:w="1241" w:type="pct"/>
          </w:tcPr>
          <w:p w14:paraId="3B748C81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AC5CD7">
              <w:rPr>
                <w:b/>
                <w:sz w:val="18"/>
                <w:szCs w:val="18"/>
                <w:lang w:val="sr-Latn-ME"/>
              </w:rPr>
              <w:t>Istraživanje i inovacije</w:t>
            </w:r>
          </w:p>
        </w:tc>
        <w:tc>
          <w:tcPr>
            <w:tcW w:w="1143" w:type="pct"/>
          </w:tcPr>
          <w:p w14:paraId="013F004B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AC5CD7">
              <w:rPr>
                <w:b/>
                <w:sz w:val="18"/>
                <w:szCs w:val="18"/>
                <w:lang w:val="sr-Latn-ME"/>
              </w:rPr>
              <w:t>13.54</w:t>
            </w:r>
          </w:p>
        </w:tc>
        <w:tc>
          <w:tcPr>
            <w:tcW w:w="1725" w:type="pct"/>
          </w:tcPr>
          <w:p w14:paraId="68FADF09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AC5CD7">
              <w:rPr>
                <w:b/>
                <w:sz w:val="18"/>
                <w:szCs w:val="18"/>
                <w:lang w:val="sr-Latn-ME"/>
              </w:rPr>
              <w:t>Fundamentalna istraživanja</w:t>
            </w:r>
          </w:p>
        </w:tc>
      </w:tr>
      <w:tr w:rsidR="00274F61" w:rsidRPr="00AC5CD7" w14:paraId="51A5CD76" w14:textId="77777777" w:rsidTr="007C1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14B19066" w14:textId="77777777" w:rsidR="00274F61" w:rsidRPr="00AC5CD7" w:rsidRDefault="00274F61" w:rsidP="00274F61">
            <w:pPr>
              <w:rPr>
                <w:b w:val="0"/>
                <w:sz w:val="18"/>
                <w:szCs w:val="18"/>
                <w:lang w:val="sr-Latn-ME"/>
              </w:rPr>
            </w:pPr>
          </w:p>
        </w:tc>
        <w:tc>
          <w:tcPr>
            <w:tcW w:w="1241" w:type="pct"/>
          </w:tcPr>
          <w:p w14:paraId="7AFD53B8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</w:p>
        </w:tc>
        <w:tc>
          <w:tcPr>
            <w:tcW w:w="1143" w:type="pct"/>
          </w:tcPr>
          <w:p w14:paraId="6381C2A9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AC5CD7">
              <w:rPr>
                <w:b/>
                <w:sz w:val="18"/>
                <w:szCs w:val="18"/>
                <w:lang w:val="sr-Latn-ME"/>
              </w:rPr>
              <w:t>13.55</w:t>
            </w:r>
          </w:p>
        </w:tc>
        <w:tc>
          <w:tcPr>
            <w:tcW w:w="1725" w:type="pct"/>
          </w:tcPr>
          <w:p w14:paraId="0415C150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AC5CD7">
              <w:rPr>
                <w:b/>
                <w:sz w:val="18"/>
                <w:szCs w:val="18"/>
                <w:lang w:val="sr-Latn-ME"/>
              </w:rPr>
              <w:t>Kapitalna imovina</w:t>
            </w:r>
          </w:p>
        </w:tc>
      </w:tr>
      <w:tr w:rsidR="00274F61" w:rsidRPr="00AC5CD7" w14:paraId="2C3532BA" w14:textId="77777777" w:rsidTr="007C1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60C818EF" w14:textId="77777777" w:rsidR="00274F61" w:rsidRPr="00AC5CD7" w:rsidRDefault="00274F61" w:rsidP="00274F61">
            <w:pPr>
              <w:rPr>
                <w:b w:val="0"/>
                <w:sz w:val="18"/>
                <w:szCs w:val="18"/>
                <w:lang w:val="sr-Latn-ME"/>
              </w:rPr>
            </w:pPr>
          </w:p>
        </w:tc>
        <w:tc>
          <w:tcPr>
            <w:tcW w:w="1241" w:type="pct"/>
          </w:tcPr>
          <w:p w14:paraId="77716655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</w:p>
        </w:tc>
        <w:tc>
          <w:tcPr>
            <w:tcW w:w="1143" w:type="pct"/>
          </w:tcPr>
          <w:p w14:paraId="546FBF17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AC5CD7">
              <w:rPr>
                <w:b/>
                <w:sz w:val="18"/>
                <w:szCs w:val="18"/>
                <w:lang w:val="sr-Latn-ME"/>
              </w:rPr>
              <w:t>13.21</w:t>
            </w:r>
          </w:p>
        </w:tc>
        <w:tc>
          <w:tcPr>
            <w:tcW w:w="1725" w:type="pct"/>
          </w:tcPr>
          <w:p w14:paraId="5E02CB11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AC5CD7">
              <w:rPr>
                <w:b/>
                <w:sz w:val="18"/>
                <w:szCs w:val="18"/>
                <w:lang w:val="sr-Latn-ME"/>
              </w:rPr>
              <w:t>Saradnja</w:t>
            </w:r>
          </w:p>
        </w:tc>
      </w:tr>
      <w:tr w:rsidR="00274F61" w:rsidRPr="00AC5CD7" w14:paraId="3F8FFD96" w14:textId="77777777" w:rsidTr="007C1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0FE7E476" w14:textId="77777777" w:rsidR="00274F61" w:rsidRPr="00AC5CD7" w:rsidRDefault="00274F61" w:rsidP="00274F61">
            <w:pPr>
              <w:rPr>
                <w:b w:val="0"/>
                <w:sz w:val="18"/>
                <w:szCs w:val="18"/>
                <w:lang w:val="sr-Latn-ME"/>
              </w:rPr>
            </w:pPr>
          </w:p>
        </w:tc>
        <w:tc>
          <w:tcPr>
            <w:tcW w:w="1241" w:type="pct"/>
          </w:tcPr>
          <w:p w14:paraId="4E344301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</w:p>
        </w:tc>
        <w:tc>
          <w:tcPr>
            <w:tcW w:w="1143" w:type="pct"/>
          </w:tcPr>
          <w:p w14:paraId="45FB69C9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AC5CD7">
              <w:rPr>
                <w:b/>
                <w:sz w:val="18"/>
                <w:szCs w:val="18"/>
                <w:lang w:val="sr-Latn-ME"/>
              </w:rPr>
              <w:t>13.56</w:t>
            </w:r>
          </w:p>
        </w:tc>
        <w:tc>
          <w:tcPr>
            <w:tcW w:w="1725" w:type="pct"/>
          </w:tcPr>
          <w:p w14:paraId="5916177D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AC5CD7">
              <w:rPr>
                <w:b/>
                <w:sz w:val="18"/>
                <w:szCs w:val="18"/>
                <w:lang w:val="sr-Latn-ME"/>
              </w:rPr>
              <w:t>Digitalizacija</w:t>
            </w:r>
          </w:p>
        </w:tc>
      </w:tr>
      <w:tr w:rsidR="00274F61" w:rsidRPr="00AC5CD7" w14:paraId="4CA6E59A" w14:textId="77777777" w:rsidTr="007C1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120041E8" w14:textId="77777777" w:rsidR="00274F61" w:rsidRPr="00AC5CD7" w:rsidRDefault="00274F61" w:rsidP="00274F61">
            <w:pPr>
              <w:rPr>
                <w:b w:val="0"/>
                <w:sz w:val="18"/>
                <w:szCs w:val="18"/>
                <w:lang w:val="sr-Latn-ME"/>
              </w:rPr>
            </w:pPr>
          </w:p>
        </w:tc>
        <w:tc>
          <w:tcPr>
            <w:tcW w:w="1241" w:type="pct"/>
          </w:tcPr>
          <w:p w14:paraId="2EED0FAA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</w:p>
        </w:tc>
        <w:tc>
          <w:tcPr>
            <w:tcW w:w="1143" w:type="pct"/>
          </w:tcPr>
          <w:p w14:paraId="577EB0F1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AC5CD7">
              <w:rPr>
                <w:b/>
                <w:sz w:val="18"/>
                <w:szCs w:val="18"/>
                <w:lang w:val="sr-Latn-ME"/>
              </w:rPr>
              <w:t>13.05</w:t>
            </w:r>
          </w:p>
        </w:tc>
        <w:tc>
          <w:tcPr>
            <w:tcW w:w="1725" w:type="pct"/>
          </w:tcPr>
          <w:p w14:paraId="3256F2A1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AC5CD7">
              <w:rPr>
                <w:b/>
                <w:sz w:val="18"/>
                <w:szCs w:val="18"/>
                <w:lang w:val="sr-Latn-ME"/>
              </w:rPr>
              <w:t>Reforme</w:t>
            </w:r>
          </w:p>
        </w:tc>
      </w:tr>
      <w:tr w:rsidR="00274F61" w:rsidRPr="00AC5CD7" w14:paraId="376D782E" w14:textId="77777777" w:rsidTr="007C1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39C319FD" w14:textId="77777777" w:rsidR="00274F61" w:rsidRPr="00AC5CD7" w:rsidRDefault="00274F61" w:rsidP="00274F61">
            <w:pPr>
              <w:rPr>
                <w:b w:val="0"/>
                <w:sz w:val="18"/>
                <w:szCs w:val="18"/>
                <w:lang w:val="sr-Latn-ME"/>
              </w:rPr>
            </w:pPr>
          </w:p>
        </w:tc>
        <w:tc>
          <w:tcPr>
            <w:tcW w:w="1241" w:type="pct"/>
          </w:tcPr>
          <w:p w14:paraId="0CC8DEF9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</w:p>
        </w:tc>
        <w:tc>
          <w:tcPr>
            <w:tcW w:w="1143" w:type="pct"/>
          </w:tcPr>
          <w:p w14:paraId="111EA4B1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AC5CD7">
              <w:rPr>
                <w:b/>
                <w:sz w:val="18"/>
                <w:szCs w:val="18"/>
                <w:lang w:val="sr-Latn-ME"/>
              </w:rPr>
              <w:t>13.57</w:t>
            </w:r>
          </w:p>
        </w:tc>
        <w:tc>
          <w:tcPr>
            <w:tcW w:w="1725" w:type="pct"/>
          </w:tcPr>
          <w:p w14:paraId="5FA0D08C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AC5CD7">
              <w:rPr>
                <w:b/>
                <w:sz w:val="18"/>
                <w:szCs w:val="18"/>
                <w:lang w:val="sr-Latn-ME"/>
              </w:rPr>
              <w:t>Otpornost, odbrana i bezbjednost</w:t>
            </w:r>
          </w:p>
        </w:tc>
      </w:tr>
      <w:tr w:rsidR="00274F61" w:rsidRPr="00AC5CD7" w14:paraId="5E620048" w14:textId="77777777" w:rsidTr="007C1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7DA85712" w14:textId="77777777" w:rsidR="00274F61" w:rsidRPr="00AC5CD7" w:rsidRDefault="00274F61" w:rsidP="00274F61">
            <w:pPr>
              <w:rPr>
                <w:b w:val="0"/>
                <w:sz w:val="18"/>
                <w:szCs w:val="18"/>
                <w:lang w:val="sr-Latn-ME"/>
              </w:rPr>
            </w:pPr>
          </w:p>
        </w:tc>
        <w:tc>
          <w:tcPr>
            <w:tcW w:w="1241" w:type="pct"/>
          </w:tcPr>
          <w:p w14:paraId="3E214FFD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</w:p>
        </w:tc>
        <w:tc>
          <w:tcPr>
            <w:tcW w:w="1143" w:type="pct"/>
          </w:tcPr>
          <w:p w14:paraId="1F067FE5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AC5CD7">
              <w:rPr>
                <w:b/>
                <w:sz w:val="18"/>
                <w:szCs w:val="18"/>
                <w:lang w:val="sr-Latn-ME"/>
              </w:rPr>
              <w:t>13.58</w:t>
            </w:r>
          </w:p>
        </w:tc>
        <w:tc>
          <w:tcPr>
            <w:tcW w:w="1725" w:type="pct"/>
          </w:tcPr>
          <w:p w14:paraId="576525A5" w14:textId="77777777" w:rsidR="00274F61" w:rsidRPr="00AC5CD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AC5CD7">
              <w:rPr>
                <w:b/>
                <w:sz w:val="18"/>
                <w:szCs w:val="18"/>
                <w:lang w:val="sr-Latn-ME"/>
              </w:rPr>
              <w:t>Društvene nauke</w:t>
            </w:r>
          </w:p>
        </w:tc>
      </w:tr>
    </w:tbl>
    <w:p w14:paraId="1B481561" w14:textId="6D967865" w:rsidR="00F579F5" w:rsidRPr="00AC5CD7" w:rsidRDefault="667A61A2" w:rsidP="00F579F5">
      <w:pPr>
        <w:pStyle w:val="Naslov1"/>
        <w:rPr>
          <w:lang w:val="sr-Latn-ME"/>
        </w:rPr>
      </w:pPr>
      <w:r w:rsidRPr="00AC5CD7">
        <w:rPr>
          <w:lang w:val="sr-Latn-ME"/>
        </w:rPr>
        <w:t>Situaci</w:t>
      </w:r>
      <w:r w:rsidR="007C109F" w:rsidRPr="00AC5CD7">
        <w:rPr>
          <w:lang w:val="sr-Latn-ME"/>
        </w:rPr>
        <w:t>ona</w:t>
      </w:r>
      <w:r w:rsidRPr="00AC5CD7">
        <w:rPr>
          <w:lang w:val="sr-Latn-ME"/>
        </w:rPr>
        <w:t xml:space="preserve"> analiza </w:t>
      </w:r>
    </w:p>
    <w:p w14:paraId="370D6FC9" w14:textId="3D06F27A" w:rsidR="00F579F5" w:rsidRPr="00AC5CD7" w:rsidRDefault="00F579F5" w:rsidP="00F579F5">
      <w:pPr>
        <w:pStyle w:val="Naslov2"/>
        <w:rPr>
          <w:lang w:val="sr-Latn-ME"/>
        </w:rPr>
      </w:pPr>
      <w:r w:rsidRPr="00AC5CD7">
        <w:rPr>
          <w:lang w:val="sr-Latn-ME"/>
        </w:rPr>
        <w:t xml:space="preserve">Prioritetno područje </w:t>
      </w:r>
      <w:r w:rsidR="00257AA7" w:rsidRPr="00AC5CD7">
        <w:rPr>
          <w:lang w:val="sr-Latn-ME"/>
        </w:rPr>
        <w:t>nivo</w:t>
      </w:r>
      <w:r w:rsidRPr="00AC5CD7">
        <w:rPr>
          <w:lang w:val="sr-Latn-ME"/>
        </w:rPr>
        <w:t xml:space="preserve"> 1</w:t>
      </w:r>
    </w:p>
    <w:p w14:paraId="08EE7DA4" w14:textId="430892D3" w:rsidR="00543599" w:rsidRPr="00AC5CD7" w:rsidRDefault="667A61A2" w:rsidP="00184FE0">
      <w:pPr>
        <w:rPr>
          <w:lang w:val="sr-Latn-ME"/>
        </w:rPr>
      </w:pPr>
      <w:r w:rsidRPr="00AC5CD7">
        <w:rPr>
          <w:lang w:val="sr-Latn-ME"/>
        </w:rPr>
        <w:t xml:space="preserve">Oblast </w:t>
      </w:r>
      <w:r w:rsidRPr="00AC5CD7">
        <w:rPr>
          <w:b/>
          <w:bCs/>
          <w:lang w:val="sr-Latn-ME"/>
        </w:rPr>
        <w:t>Istraživanja i inovacija</w:t>
      </w:r>
      <w:r w:rsidRPr="00AC5CD7">
        <w:rPr>
          <w:lang w:val="sr-Latn-ME"/>
        </w:rPr>
        <w:t xml:space="preserve"> ima strateški značaj za dugoročni razvoj Crne Gore, posebno u kontekstu jačanja konkurentnosti, modernizacije ekonomije, digitalne i zelene tranzicije, te procesa pristupanja Evropskoj uniji. Nacionalni okvir u ovoj oblasti polazi od potrebe da se istraživanje, razvoj i inovacije snažnije povežu sa potrebama privrede i društva, uz istovremeno jačanje naučne izvrsnosti, ljudskih resursa, istraživačke infrastrukture i institucionalne koordinacije.</w:t>
      </w:r>
    </w:p>
    <w:p w14:paraId="58006284" w14:textId="1D5F43F3" w:rsidR="00543599" w:rsidRPr="00AC5CD7" w:rsidRDefault="00543599" w:rsidP="00184FE0">
      <w:pPr>
        <w:rPr>
          <w:noProof/>
          <w:lang w:val="sr-Latn-ME"/>
        </w:rPr>
      </w:pPr>
      <w:r w:rsidRPr="00AC5CD7">
        <w:rPr>
          <w:lang w:val="sr-Latn-ME"/>
        </w:rPr>
        <w:t xml:space="preserve">U prethodnom periodu Crna Gora je ostvarila napredak u </w:t>
      </w:r>
      <w:proofErr w:type="spellStart"/>
      <w:r w:rsidRPr="00AC5CD7">
        <w:rPr>
          <w:lang w:val="sr-Latn-ME"/>
        </w:rPr>
        <w:t>unapređenju</w:t>
      </w:r>
      <w:proofErr w:type="spellEnd"/>
      <w:r w:rsidRPr="00AC5CD7">
        <w:rPr>
          <w:lang w:val="sr-Latn-ME"/>
        </w:rPr>
        <w:t xml:space="preserve"> zakonodavnog, strateškog i organizacionog okvira za istraživanje i inovacije, uključujući razvoj pametne specijalizacije, jačanje inovacione infrastrukture i uvođenje n</w:t>
      </w:r>
      <w:r w:rsidR="00274F61" w:rsidRPr="00AC5CD7">
        <w:rPr>
          <w:lang w:val="sr-Latn-ME"/>
        </w:rPr>
        <w:t xml:space="preserve">ovih </w:t>
      </w:r>
      <w:r w:rsidR="00274F61" w:rsidRPr="00AC5CD7">
        <w:rPr>
          <w:noProof/>
          <w:lang w:val="sr-Latn-ME"/>
        </w:rPr>
        <w:t>instrumenata podrške</w:t>
      </w:r>
      <w:r w:rsidRPr="00AC5CD7">
        <w:rPr>
          <w:noProof/>
          <w:lang w:val="sr-Latn-ME"/>
        </w:rPr>
        <w:t xml:space="preserve">. </w:t>
      </w:r>
      <w:r w:rsidR="007B7335" w:rsidRPr="00AC5CD7">
        <w:rPr>
          <w:noProof/>
          <w:lang w:val="sr-Latn-ME"/>
        </w:rPr>
        <w:t>Ipak, sistem je i dalje u fazi konsolidacije i suočava se sa izraženim strukturnim ograničenjima, među kojima se posebno izdvajaju nizak nivo ulaganja, ograničena komercijalizacija rezultata istraživanja, nedovoljno razvijena saradnja između nauke i privrede, neujednačeni kapaciteti ključnih aktera inovacionog ekosistema, kao i potreba za daljim jačanjem institucionalnog okvira za upravljanje, sprovođenje i praćenje politika u oblasti nauke i istraživanja.</w:t>
      </w:r>
    </w:p>
    <w:p w14:paraId="6B14ECF0" w14:textId="649DCE11" w:rsidR="00F579F5" w:rsidRPr="00AC5CD7" w:rsidRDefault="00543599" w:rsidP="00221807">
      <w:pPr>
        <w:rPr>
          <w:lang w:val="sr-Latn-ME"/>
        </w:rPr>
      </w:pPr>
      <w:r w:rsidRPr="00AC5CD7">
        <w:rPr>
          <w:lang w:val="sr-Latn-ME"/>
        </w:rPr>
        <w:t xml:space="preserve">Raspoloživi pokazatelji potvrđuju takvu poziciju. Prema </w:t>
      </w:r>
      <w:proofErr w:type="spellStart"/>
      <w:r w:rsidRPr="00AC5CD7">
        <w:rPr>
          <w:lang w:val="sr-Latn-ME"/>
        </w:rPr>
        <w:t>European</w:t>
      </w:r>
      <w:proofErr w:type="spellEnd"/>
      <w:r w:rsidRPr="00AC5CD7">
        <w:rPr>
          <w:lang w:val="sr-Latn-ME"/>
        </w:rPr>
        <w:t xml:space="preserve"> </w:t>
      </w:r>
      <w:proofErr w:type="spellStart"/>
      <w:r w:rsidRPr="00AC5CD7">
        <w:rPr>
          <w:lang w:val="sr-Latn-ME"/>
        </w:rPr>
        <w:t>Innovation</w:t>
      </w:r>
      <w:proofErr w:type="spellEnd"/>
      <w:r w:rsidRPr="00AC5CD7">
        <w:rPr>
          <w:lang w:val="sr-Latn-ME"/>
        </w:rPr>
        <w:t xml:space="preserve"> </w:t>
      </w:r>
      <w:proofErr w:type="spellStart"/>
      <w:r w:rsidRPr="00AC5CD7">
        <w:rPr>
          <w:lang w:val="sr-Latn-ME"/>
        </w:rPr>
        <w:t>Scoreboard</w:t>
      </w:r>
      <w:proofErr w:type="spellEnd"/>
      <w:r w:rsidRPr="00AC5CD7">
        <w:rPr>
          <w:lang w:val="sr-Latn-ME"/>
        </w:rPr>
        <w:t xml:space="preserve"> 2025, Crna Gora je klasifikovana kao </w:t>
      </w:r>
      <w:proofErr w:type="spellStart"/>
      <w:r w:rsidRPr="00AC5CD7">
        <w:rPr>
          <w:lang w:val="sr-Latn-ME"/>
        </w:rPr>
        <w:t>Emerging</w:t>
      </w:r>
      <w:proofErr w:type="spellEnd"/>
      <w:r w:rsidRPr="00AC5CD7">
        <w:rPr>
          <w:lang w:val="sr-Latn-ME"/>
        </w:rPr>
        <w:t xml:space="preserve"> </w:t>
      </w:r>
      <w:proofErr w:type="spellStart"/>
      <w:r w:rsidRPr="00AC5CD7">
        <w:rPr>
          <w:lang w:val="sr-Latn-ME"/>
        </w:rPr>
        <w:t>Innovator</w:t>
      </w:r>
      <w:proofErr w:type="spellEnd"/>
      <w:r w:rsidRPr="00AC5CD7">
        <w:rPr>
          <w:lang w:val="sr-Latn-ME"/>
        </w:rPr>
        <w:t>, sa ukupnim inovacionim učinkom n</w:t>
      </w:r>
      <w:r w:rsidR="00274F61" w:rsidRPr="00AC5CD7">
        <w:rPr>
          <w:lang w:val="sr-Latn-ME"/>
        </w:rPr>
        <w:t>a nivou od 45,3% prosjeka EU</w:t>
      </w:r>
      <w:r w:rsidRPr="00AC5CD7">
        <w:rPr>
          <w:lang w:val="sr-Latn-ME"/>
        </w:rPr>
        <w:t xml:space="preserve">. Evropska komisija je u Izvještaju za 2025. godinu dodatno ukazala da su </w:t>
      </w:r>
      <w:r w:rsidR="00221807" w:rsidRPr="00AC5CD7">
        <w:rPr>
          <w:lang w:val="sr-Latn-ME"/>
        </w:rPr>
        <w:t>R&amp;D</w:t>
      </w:r>
      <w:r w:rsidRPr="00AC5CD7">
        <w:rPr>
          <w:lang w:val="sr-Latn-ME"/>
        </w:rPr>
        <w:t xml:space="preserve"> područje sa značajnim potencijalom, ali i sa potrebom za daljim jačanjem strateškog usmjerenja, boljom koordinacijom politika i institucija, većim ulaganjima i snažnijim fokusom na rezultate, kako bi doprinos ove oblasti ekonomskom rastu i društvenom razvoj</w:t>
      </w:r>
      <w:r w:rsidR="00274F61" w:rsidRPr="00AC5CD7">
        <w:rPr>
          <w:lang w:val="sr-Latn-ME"/>
        </w:rPr>
        <w:t>u bio vidljiviji i održiviji.</w:t>
      </w:r>
    </w:p>
    <w:p w14:paraId="496280FB" w14:textId="28B028EF" w:rsidR="00F579F5" w:rsidRPr="00AC5CD7" w:rsidRDefault="00F579F5" w:rsidP="00F579F5">
      <w:pPr>
        <w:pStyle w:val="Naslov3"/>
        <w:rPr>
          <w:lang w:val="sr-Latn-ME"/>
        </w:rPr>
      </w:pPr>
      <w:r w:rsidRPr="00AC5CD7">
        <w:rPr>
          <w:lang w:val="sr-Latn-ME"/>
        </w:rPr>
        <w:t>Međunarodni i EU Strateški i pravni okvir</w:t>
      </w:r>
    </w:p>
    <w:p w14:paraId="21E3ED7A" w14:textId="70FE901E" w:rsidR="00543599" w:rsidRPr="00AC5CD7" w:rsidRDefault="00543599" w:rsidP="00184FE0">
      <w:pPr>
        <w:rPr>
          <w:lang w:val="sr-Latn-ME"/>
        </w:rPr>
      </w:pPr>
      <w:r w:rsidRPr="00AC5CD7">
        <w:rPr>
          <w:lang w:val="sr-Latn-ME"/>
        </w:rPr>
        <w:t>Evropski i međunarodni okvir za istraživanje i inovacije zasniva se na pristupu prema kojem su nauka, tehnologija i inovacije ključni pokretači produktivnosti, konkurentnosti, otpornosti i dugoročnog dru</w:t>
      </w:r>
      <w:r w:rsidR="00274F61" w:rsidRPr="00AC5CD7">
        <w:rPr>
          <w:lang w:val="sr-Latn-ME"/>
        </w:rPr>
        <w:t>štveno-ekonomskog razvoja</w:t>
      </w:r>
      <w:r w:rsidRPr="00AC5CD7">
        <w:rPr>
          <w:lang w:val="sr-Latn-ME"/>
        </w:rPr>
        <w:t>. Za Crnu Goru je ovaj okvir posebno važan jer određuje pravac reformi, standarde institucionalnog razvoja i nivo spremnosti za puniju integraciju u evropski prostor znanja i buduće instr</w:t>
      </w:r>
      <w:r w:rsidR="00274F61" w:rsidRPr="00AC5CD7">
        <w:rPr>
          <w:lang w:val="sr-Latn-ME"/>
        </w:rPr>
        <w:t>umente EU finansiranja</w:t>
      </w:r>
      <w:r w:rsidRPr="00AC5CD7">
        <w:rPr>
          <w:lang w:val="sr-Latn-ME"/>
        </w:rPr>
        <w:t>.</w:t>
      </w:r>
    </w:p>
    <w:p w14:paraId="46C46371" w14:textId="2CA09D2C" w:rsidR="00543599" w:rsidRPr="00AC5CD7" w:rsidRDefault="00543599" w:rsidP="00184FE0">
      <w:pPr>
        <w:rPr>
          <w:lang w:val="sr-Latn-ME"/>
        </w:rPr>
      </w:pPr>
      <w:r w:rsidRPr="00AC5CD7">
        <w:rPr>
          <w:lang w:val="sr-Latn-ME"/>
        </w:rPr>
        <w:t>Najvažniji operativni okvir Evropske unije u ovoj oblasti predstavlja Horizont Evropa 2021–2027, kao glavni program EU za istraživanje i inovacije, sa fokusom na naučnu izvrsnost, globalne izazove, industrijsku konkurentnost i inovacije zasnovane n</w:t>
      </w:r>
      <w:r w:rsidR="00274F61" w:rsidRPr="00AC5CD7">
        <w:rPr>
          <w:lang w:val="sr-Latn-ME"/>
        </w:rPr>
        <w:t>a naprednim tehnologijama</w:t>
      </w:r>
      <w:r w:rsidRPr="00AC5CD7">
        <w:rPr>
          <w:lang w:val="sr-Latn-ME"/>
        </w:rPr>
        <w:t>. Crna Gora učestvuje u programima EU za istraživanje i inovacije od 2008. godine, a punopravno je pridružena programu Horizont Ev</w:t>
      </w:r>
      <w:r w:rsidR="00274F61" w:rsidRPr="00AC5CD7">
        <w:rPr>
          <w:lang w:val="sr-Latn-ME"/>
        </w:rPr>
        <w:t>ropa od januara 2021. godine</w:t>
      </w:r>
      <w:r w:rsidRPr="00AC5CD7">
        <w:rPr>
          <w:lang w:val="sr-Latn-ME"/>
        </w:rPr>
        <w:t xml:space="preserve">. </w:t>
      </w:r>
    </w:p>
    <w:p w14:paraId="5A09C402" w14:textId="1C017CF4" w:rsidR="00543599" w:rsidRPr="00AC5CD7" w:rsidRDefault="00543599" w:rsidP="00184FE0">
      <w:pPr>
        <w:rPr>
          <w:lang w:val="sr-Latn-ME"/>
        </w:rPr>
      </w:pPr>
      <w:r w:rsidRPr="00AC5CD7">
        <w:rPr>
          <w:lang w:val="sr-Latn-ME"/>
        </w:rPr>
        <w:t>Drugi ključni okvir predstavlja Evropski istraživački prostor (ERA), čiji je cilj stvaranje jedinstvenog prostora znanja u kojem istraživači, rezultati istraživanja i te</w:t>
      </w:r>
      <w:r w:rsidR="00274F61" w:rsidRPr="00AC5CD7">
        <w:rPr>
          <w:lang w:val="sr-Latn-ME"/>
        </w:rPr>
        <w:t>hnologije slobodno cirkulišu</w:t>
      </w:r>
      <w:r w:rsidRPr="00AC5CD7">
        <w:rPr>
          <w:lang w:val="sr-Latn-ME"/>
        </w:rPr>
        <w:t>. Nova ERA agenda naglašava potrebu za jačanjem ulaganja i reformi u istraživanju i inovacijama, otvorenom naukom, razvojem istraživačkih karijera, boljim povezivanjem istraživanja sa zelenom i digitalnom tranzicijom i j</w:t>
      </w:r>
      <w:r w:rsidR="00274F61" w:rsidRPr="00AC5CD7">
        <w:rPr>
          <w:lang w:val="sr-Latn-ME"/>
        </w:rPr>
        <w:t>ačanjem međunarodne saradnje</w:t>
      </w:r>
      <w:r w:rsidRPr="00AC5CD7">
        <w:rPr>
          <w:lang w:val="sr-Latn-ME"/>
        </w:rPr>
        <w:t xml:space="preserve">. Za Crnu Goru je ERA posebno značajan jer postavlja standarde prema </w:t>
      </w:r>
      <w:r w:rsidRPr="00AC5CD7">
        <w:rPr>
          <w:lang w:val="sr-Latn-ME"/>
        </w:rPr>
        <w:lastRenderedPageBreak/>
        <w:t xml:space="preserve">kojima treba razvijati istraživački sistem i omogućava jasnije pozicioniranje reformi </w:t>
      </w:r>
      <w:r w:rsidR="00274F61" w:rsidRPr="00AC5CD7">
        <w:rPr>
          <w:lang w:val="sr-Latn-ME"/>
        </w:rPr>
        <w:t>u kontekstu pristupanja EU</w:t>
      </w:r>
      <w:r w:rsidRPr="00AC5CD7">
        <w:rPr>
          <w:lang w:val="sr-Latn-ME"/>
        </w:rPr>
        <w:t>.</w:t>
      </w:r>
    </w:p>
    <w:p w14:paraId="43B15672" w14:textId="02A5C259" w:rsidR="00543599" w:rsidRPr="00AC5CD7" w:rsidRDefault="00543599" w:rsidP="00184FE0">
      <w:pPr>
        <w:rPr>
          <w:lang w:val="sr-Latn-ME"/>
        </w:rPr>
      </w:pPr>
      <w:r w:rsidRPr="00AC5CD7">
        <w:rPr>
          <w:lang w:val="sr-Latn-ME"/>
        </w:rPr>
        <w:t xml:space="preserve">U inovacionom dijelu evropskog okvira posebno mjesto zauzima Nova evropska agenda inovacija, koja stavlja naglasak na razvoj </w:t>
      </w:r>
      <w:proofErr w:type="spellStart"/>
      <w:r w:rsidRPr="00AC5CD7">
        <w:rPr>
          <w:lang w:val="sr-Latn-ME"/>
        </w:rPr>
        <w:t>deep-tech</w:t>
      </w:r>
      <w:proofErr w:type="spellEnd"/>
      <w:r w:rsidRPr="00AC5CD7">
        <w:rPr>
          <w:lang w:val="sr-Latn-ME"/>
        </w:rPr>
        <w:t xml:space="preserve"> inovacija, </w:t>
      </w:r>
      <w:proofErr w:type="spellStart"/>
      <w:r w:rsidRPr="00AC5CD7">
        <w:rPr>
          <w:lang w:val="sr-Latn-ME"/>
        </w:rPr>
        <w:t>startup</w:t>
      </w:r>
      <w:proofErr w:type="spellEnd"/>
      <w:r w:rsidRPr="00AC5CD7">
        <w:rPr>
          <w:lang w:val="sr-Latn-ME"/>
        </w:rPr>
        <w:t xml:space="preserve"> i </w:t>
      </w:r>
      <w:proofErr w:type="spellStart"/>
      <w:r w:rsidRPr="00AC5CD7">
        <w:rPr>
          <w:lang w:val="sr-Latn-ME"/>
        </w:rPr>
        <w:t>scale-up</w:t>
      </w:r>
      <w:proofErr w:type="spellEnd"/>
      <w:r w:rsidRPr="00AC5CD7">
        <w:rPr>
          <w:lang w:val="sr-Latn-ME"/>
        </w:rPr>
        <w:t xml:space="preserve"> ekosistema, pristup talentima, finansiranju i bolju valorizaciju istraživačkih rezultata. Taj okvir je direktno relevantan za Crnu Goru, s obzirom na to da raspoloživi izvori ukazuju da su među najvećim slabostima sistema upravo niski izdaci poslovnog sektora za R&amp;D, skromna </w:t>
      </w:r>
      <w:proofErr w:type="spellStart"/>
      <w:r w:rsidRPr="00AC5CD7">
        <w:rPr>
          <w:lang w:val="sr-Latn-ME"/>
        </w:rPr>
        <w:t>venture</w:t>
      </w:r>
      <w:proofErr w:type="spellEnd"/>
      <w:r w:rsidRPr="00AC5CD7">
        <w:rPr>
          <w:lang w:val="sr-Latn-ME"/>
        </w:rPr>
        <w:t xml:space="preserve"> </w:t>
      </w:r>
      <w:proofErr w:type="spellStart"/>
      <w:r w:rsidRPr="00AC5CD7">
        <w:rPr>
          <w:lang w:val="sr-Latn-ME"/>
        </w:rPr>
        <w:t>capital</w:t>
      </w:r>
      <w:proofErr w:type="spellEnd"/>
      <w:r w:rsidRPr="00AC5CD7">
        <w:rPr>
          <w:lang w:val="sr-Latn-ME"/>
        </w:rPr>
        <w:t xml:space="preserve"> ulaganja, nizak broj novih doktora nauka i ograničen kapacitet</w:t>
      </w:r>
      <w:r w:rsidR="00274F61" w:rsidRPr="00AC5CD7">
        <w:rPr>
          <w:lang w:val="sr-Latn-ME"/>
        </w:rPr>
        <w:t xml:space="preserve"> za komercijalizaciju znanja</w:t>
      </w:r>
      <w:r w:rsidRPr="00AC5CD7">
        <w:rPr>
          <w:lang w:val="sr-Latn-ME"/>
        </w:rPr>
        <w:t>.</w:t>
      </w:r>
    </w:p>
    <w:p w14:paraId="21FFF5BD" w14:textId="24B9D1AD" w:rsidR="00543599" w:rsidRPr="00AC5CD7" w:rsidRDefault="00543599" w:rsidP="00184FE0">
      <w:pPr>
        <w:rPr>
          <w:lang w:val="sr-Latn-ME"/>
        </w:rPr>
      </w:pPr>
      <w:r w:rsidRPr="00AC5CD7">
        <w:rPr>
          <w:lang w:val="sr-Latn-ME"/>
        </w:rPr>
        <w:t>Evropski okvir za ovu oblast snažno je povezan i sa konceptom pametne specijalizacije (S3/RIS3), kao ključnim instrumentom za ciljano i dokazima zasnovano usmjeravanje ulaganja</w:t>
      </w:r>
      <w:r w:rsidR="00274F61" w:rsidRPr="00AC5CD7">
        <w:rPr>
          <w:lang w:val="sr-Latn-ME"/>
        </w:rPr>
        <w:t xml:space="preserve"> u istraživanje i inovacije.</w:t>
      </w:r>
      <w:r w:rsidRPr="00AC5CD7">
        <w:rPr>
          <w:lang w:val="sr-Latn-ME"/>
        </w:rPr>
        <w:t xml:space="preserve"> U tom smislu, kvalitetan i ažuriran strateški okvir za pametnu specijalizaciju nije važan samo za sektorsku politiku, već i za pripremu buduće kohezione politike. Time istraživanje i inovacije postaju i važan element šireg okvira spremnosti za buduće k</w:t>
      </w:r>
      <w:r w:rsidR="00274F61" w:rsidRPr="00AC5CD7">
        <w:rPr>
          <w:lang w:val="sr-Latn-ME"/>
        </w:rPr>
        <w:t>orišćenje strukturnih fondova</w:t>
      </w:r>
      <w:r w:rsidRPr="00AC5CD7">
        <w:rPr>
          <w:lang w:val="sr-Latn-ME"/>
        </w:rPr>
        <w:t>.</w:t>
      </w:r>
    </w:p>
    <w:p w14:paraId="05A150C9" w14:textId="0044C22C" w:rsidR="00543599" w:rsidRPr="00AC5CD7" w:rsidRDefault="00543599" w:rsidP="00184FE0">
      <w:pPr>
        <w:rPr>
          <w:lang w:val="sr-Latn-ME"/>
        </w:rPr>
      </w:pPr>
      <w:r w:rsidRPr="00AC5CD7">
        <w:rPr>
          <w:lang w:val="sr-Latn-ME"/>
        </w:rPr>
        <w:t xml:space="preserve">Pozicija Crne Gore u evropskom okviru istraživanja i inovacija i dalje je relativno slaba. Prema </w:t>
      </w:r>
      <w:proofErr w:type="spellStart"/>
      <w:r w:rsidRPr="00AC5CD7">
        <w:rPr>
          <w:lang w:val="sr-Latn-ME"/>
        </w:rPr>
        <w:t>European</w:t>
      </w:r>
      <w:proofErr w:type="spellEnd"/>
      <w:r w:rsidRPr="00AC5CD7">
        <w:rPr>
          <w:lang w:val="sr-Latn-ME"/>
        </w:rPr>
        <w:t xml:space="preserve"> </w:t>
      </w:r>
      <w:proofErr w:type="spellStart"/>
      <w:r w:rsidRPr="00AC5CD7">
        <w:rPr>
          <w:lang w:val="sr-Latn-ME"/>
        </w:rPr>
        <w:t>Innovation</w:t>
      </w:r>
      <w:proofErr w:type="spellEnd"/>
      <w:r w:rsidRPr="00AC5CD7">
        <w:rPr>
          <w:lang w:val="sr-Latn-ME"/>
        </w:rPr>
        <w:t xml:space="preserve"> </w:t>
      </w:r>
      <w:proofErr w:type="spellStart"/>
      <w:r w:rsidRPr="00AC5CD7">
        <w:rPr>
          <w:lang w:val="sr-Latn-ME"/>
        </w:rPr>
        <w:t>Scoreboard</w:t>
      </w:r>
      <w:proofErr w:type="spellEnd"/>
      <w:r w:rsidRPr="00AC5CD7">
        <w:rPr>
          <w:lang w:val="sr-Latn-ME"/>
        </w:rPr>
        <w:t xml:space="preserve"> 2025, Crna Gora je 33. među zemljama EU i susjednim zemljama, sa učinkom od 45,3% prosjeka EU, što je ispod prosj</w:t>
      </w:r>
      <w:r w:rsidR="00274F61" w:rsidRPr="00AC5CD7">
        <w:rPr>
          <w:lang w:val="sr-Latn-ME"/>
        </w:rPr>
        <w:t xml:space="preserve">eka grupe </w:t>
      </w:r>
      <w:proofErr w:type="spellStart"/>
      <w:r w:rsidR="00274F61" w:rsidRPr="00AC5CD7">
        <w:rPr>
          <w:lang w:val="sr-Latn-ME"/>
        </w:rPr>
        <w:t>Emerging</w:t>
      </w:r>
      <w:proofErr w:type="spellEnd"/>
      <w:r w:rsidR="00274F61" w:rsidRPr="00AC5CD7">
        <w:rPr>
          <w:lang w:val="sr-Latn-ME"/>
        </w:rPr>
        <w:t xml:space="preserve"> </w:t>
      </w:r>
      <w:proofErr w:type="spellStart"/>
      <w:r w:rsidR="00274F61" w:rsidRPr="00AC5CD7">
        <w:rPr>
          <w:lang w:val="sr-Latn-ME"/>
        </w:rPr>
        <w:t>Innovators</w:t>
      </w:r>
      <w:proofErr w:type="spellEnd"/>
      <w:r w:rsidRPr="00AC5CD7">
        <w:rPr>
          <w:lang w:val="sr-Latn-ME"/>
        </w:rPr>
        <w:t xml:space="preserve">. Među relativnim snagama navode se MSP koja uvode </w:t>
      </w:r>
      <w:proofErr w:type="spellStart"/>
      <w:r w:rsidRPr="00AC5CD7">
        <w:rPr>
          <w:lang w:val="sr-Latn-ME"/>
        </w:rPr>
        <w:t>produktne</w:t>
      </w:r>
      <w:proofErr w:type="spellEnd"/>
      <w:r w:rsidRPr="00AC5CD7">
        <w:rPr>
          <w:lang w:val="sr-Latn-ME"/>
        </w:rPr>
        <w:t xml:space="preserve"> i procesne inovacije, inovativna MSP koja sarađuju sa drugima i zaposlenost u inovativnim preduzećima, koj</w:t>
      </w:r>
      <w:r w:rsidR="00274F61" w:rsidRPr="00AC5CD7">
        <w:rPr>
          <w:lang w:val="sr-Latn-ME"/>
        </w:rPr>
        <w:t>a dostiže 137,0% prosjeka EU</w:t>
      </w:r>
      <w:r w:rsidRPr="00AC5CD7">
        <w:rPr>
          <w:lang w:val="sr-Latn-ME"/>
        </w:rPr>
        <w:t xml:space="preserve">. S druge strane, među najizraženijim slabostima su dizajn aplikacije, izdaci poslovnog sektora za R&amp;D, direktna i indirektna državna podrška poslovnom R&amp;D i </w:t>
      </w:r>
      <w:proofErr w:type="spellStart"/>
      <w:r w:rsidRPr="00AC5CD7">
        <w:rPr>
          <w:lang w:val="sr-Latn-ME"/>
        </w:rPr>
        <w:t>venture</w:t>
      </w:r>
      <w:proofErr w:type="spellEnd"/>
      <w:r w:rsidRPr="00AC5CD7">
        <w:rPr>
          <w:lang w:val="sr-Latn-ME"/>
        </w:rPr>
        <w:t xml:space="preserve"> </w:t>
      </w:r>
      <w:proofErr w:type="spellStart"/>
      <w:r w:rsidRPr="00AC5CD7">
        <w:rPr>
          <w:lang w:val="sr-Latn-ME"/>
        </w:rPr>
        <w:t>capital</w:t>
      </w:r>
      <w:proofErr w:type="spellEnd"/>
      <w:r w:rsidRPr="00AC5CD7">
        <w:rPr>
          <w:lang w:val="sr-Latn-ME"/>
        </w:rPr>
        <w:t xml:space="preserve"> izdaci, koji </w:t>
      </w:r>
      <w:r w:rsidR="00274F61" w:rsidRPr="00AC5CD7">
        <w:rPr>
          <w:lang w:val="sr-Latn-ME"/>
        </w:rPr>
        <w:t>su na svega 0,5% prosjeka EU</w:t>
      </w:r>
      <w:r w:rsidRPr="00AC5CD7">
        <w:rPr>
          <w:lang w:val="sr-Latn-ME"/>
        </w:rPr>
        <w:t>. Ulaganja u digitalne tehnologije jesu porasla i dostižu 50,9% prosjeka EU, ali rast zaposlenih ICT stručnjaka ostaje skroman, dok su digitalne vještine stanovništva i</w:t>
      </w:r>
      <w:r w:rsidR="00274F61" w:rsidRPr="00AC5CD7">
        <w:rPr>
          <w:lang w:val="sr-Latn-ME"/>
        </w:rPr>
        <w:t xml:space="preserve"> dalje ograničavajući faktor</w:t>
      </w:r>
      <w:r w:rsidRPr="00AC5CD7">
        <w:rPr>
          <w:lang w:val="sr-Latn-ME"/>
        </w:rPr>
        <w:t>.</w:t>
      </w:r>
    </w:p>
    <w:p w14:paraId="3BDF3C0F" w14:textId="5932FEED" w:rsidR="00F579F5" w:rsidRPr="00AC5CD7" w:rsidRDefault="00543599" w:rsidP="00184FE0">
      <w:pPr>
        <w:rPr>
          <w:lang w:val="sr-Latn-ME"/>
        </w:rPr>
      </w:pPr>
      <w:r w:rsidRPr="00AC5CD7">
        <w:rPr>
          <w:lang w:val="sr-Latn-ME"/>
        </w:rPr>
        <w:t xml:space="preserve">U dijelu ljudskih resursa i naučne izvrsnosti, okvirni pokazatelji ukazuju da je Crna Gora ostvarila rast međunarodnih naučnih </w:t>
      </w:r>
      <w:proofErr w:type="spellStart"/>
      <w:r w:rsidRPr="00AC5CD7">
        <w:rPr>
          <w:lang w:val="sr-Latn-ME"/>
        </w:rPr>
        <w:t>kopublikacija</w:t>
      </w:r>
      <w:proofErr w:type="spellEnd"/>
      <w:r w:rsidRPr="00AC5CD7">
        <w:rPr>
          <w:lang w:val="sr-Latn-ME"/>
        </w:rPr>
        <w:t xml:space="preserve"> za 40,2 procentna poena, te umjeren rast publikacija među 10% </w:t>
      </w:r>
      <w:proofErr w:type="spellStart"/>
      <w:r w:rsidRPr="00AC5CD7">
        <w:rPr>
          <w:lang w:val="sr-Latn-ME"/>
        </w:rPr>
        <w:t>najcitiranijih</w:t>
      </w:r>
      <w:proofErr w:type="spellEnd"/>
      <w:r w:rsidRPr="00AC5CD7">
        <w:rPr>
          <w:lang w:val="sr-Latn-ME"/>
        </w:rPr>
        <w:t xml:space="preserve"> za 17,6 procentn</w:t>
      </w:r>
      <w:r w:rsidR="00274F61" w:rsidRPr="00AC5CD7">
        <w:rPr>
          <w:lang w:val="sr-Latn-ME"/>
        </w:rPr>
        <w:t>ih poena u periodu 2018–2025</w:t>
      </w:r>
      <w:r w:rsidRPr="00AC5CD7">
        <w:rPr>
          <w:lang w:val="sr-Latn-ME"/>
        </w:rPr>
        <w:t xml:space="preserve">. Istovremeno, broj novih doktora nauka povećan je samo za 4,8 procentnih poena, dok je broj stranih </w:t>
      </w:r>
      <w:proofErr w:type="spellStart"/>
      <w:r w:rsidRPr="00AC5CD7">
        <w:rPr>
          <w:lang w:val="sr-Latn-ME"/>
        </w:rPr>
        <w:t>doktoranada</w:t>
      </w:r>
      <w:proofErr w:type="spellEnd"/>
      <w:r w:rsidRPr="00AC5CD7">
        <w:rPr>
          <w:lang w:val="sr-Latn-ME"/>
        </w:rPr>
        <w:t xml:space="preserve"> opao za 48,1 procentni poen, što ukazuje na ograničenu atrak</w:t>
      </w:r>
      <w:r w:rsidR="00274F61" w:rsidRPr="00AC5CD7">
        <w:rPr>
          <w:lang w:val="sr-Latn-ME"/>
        </w:rPr>
        <w:t>tivnost istraživačkog sistema</w:t>
      </w:r>
      <w:r w:rsidRPr="00AC5CD7">
        <w:rPr>
          <w:lang w:val="sr-Latn-ME"/>
        </w:rPr>
        <w:t>. Evropski okvir za istraživanje i inovacije zato za Crnu Goru nije samo referentni politički okvir, već i jasan signal da dalji razvoj mora istovremeno obuhvatiti jačanje naučne baze, veću uključenost privatnog sektora, bolju saradnju nauke i privrede i snažnije instrumente za komercijalizaciju i r</w:t>
      </w:r>
      <w:r w:rsidR="00274F61" w:rsidRPr="00AC5CD7">
        <w:rPr>
          <w:lang w:val="sr-Latn-ME"/>
        </w:rPr>
        <w:t>ast inovativnih firmi.</w:t>
      </w:r>
    </w:p>
    <w:p w14:paraId="096F3D65" w14:textId="78754DA8" w:rsidR="00F579F5" w:rsidRPr="00AC5CD7" w:rsidRDefault="00F579F5" w:rsidP="00F579F5">
      <w:pPr>
        <w:pStyle w:val="Naslov3"/>
        <w:rPr>
          <w:lang w:val="sr-Latn-ME"/>
        </w:rPr>
      </w:pPr>
      <w:r w:rsidRPr="00AC5CD7">
        <w:rPr>
          <w:lang w:val="sr-Latn-ME"/>
        </w:rPr>
        <w:t>Crnogorski strateški i pravni okvir</w:t>
      </w:r>
    </w:p>
    <w:p w14:paraId="6003DECA" w14:textId="67B2F942" w:rsidR="00663FC6" w:rsidRPr="00AC5CD7" w:rsidRDefault="667A61A2" w:rsidP="00184FE0">
      <w:pPr>
        <w:rPr>
          <w:lang w:val="sr-Latn-ME"/>
        </w:rPr>
      </w:pPr>
      <w:r w:rsidRPr="00AC5CD7">
        <w:rPr>
          <w:lang w:val="sr-Latn-ME"/>
        </w:rPr>
        <w:t>Crna Gora je u prethodnim godinama značajno unaprijedila strateški i pravni okvir za oblast istraživanja i inovacija, ali raspoloživi izvori ukazuju da je sistem i dalje u fazi konsolidacije i da ključni izazov više nije samo u donošenju dokumenata, već u njihovoj punoj implementaciji, međusobnoj usklađenosti i prevođenju strateških ciljeva u mjerljive rezultate.</w:t>
      </w:r>
    </w:p>
    <w:p w14:paraId="4381E843" w14:textId="7D0F51A2" w:rsidR="00663FC6" w:rsidRPr="00AC5CD7" w:rsidRDefault="667A61A2" w:rsidP="00184FE0">
      <w:pPr>
        <w:rPr>
          <w:lang w:val="sr-Latn-ME"/>
        </w:rPr>
      </w:pPr>
      <w:r w:rsidRPr="00AC5CD7">
        <w:rPr>
          <w:lang w:val="sr-Latn-ME"/>
        </w:rPr>
        <w:t xml:space="preserve">U dijelu nauke i istraživanja, centralni dokument predstavlja Strategija naučnoistraživačke djelatnosti Crne Gore 2024–2028, koja postavlja prioritete razvoja naučnoistraživačkog sistema, </w:t>
      </w:r>
      <w:proofErr w:type="spellStart"/>
      <w:r w:rsidRPr="00AC5CD7">
        <w:rPr>
          <w:lang w:val="sr-Latn-ME"/>
        </w:rPr>
        <w:t>unapređenja</w:t>
      </w:r>
      <w:proofErr w:type="spellEnd"/>
      <w:r w:rsidRPr="00AC5CD7">
        <w:rPr>
          <w:lang w:val="sr-Latn-ME"/>
        </w:rPr>
        <w:t xml:space="preserve"> istraživačke infrastrukture, ljudskih resursa, međunarodne saradnje i integracije u Evropski istraživački prostor. Strategija definiše devet prioritetnih istraživačkih oblasti i uvodi reformske mjere koje se odnose na pravni okvir, razvoj ljudskih resursa, otvorenu nauku i jačanje veza sa ERA.</w:t>
      </w:r>
    </w:p>
    <w:p w14:paraId="10A6B423" w14:textId="27A6DB82" w:rsidR="00663FC6" w:rsidRPr="00AC5CD7" w:rsidRDefault="667A61A2" w:rsidP="00184FE0">
      <w:pPr>
        <w:rPr>
          <w:lang w:val="sr-Latn-ME"/>
        </w:rPr>
      </w:pPr>
      <w:r w:rsidRPr="00AC5CD7">
        <w:rPr>
          <w:lang w:val="sr-Latn-ME"/>
        </w:rPr>
        <w:t xml:space="preserve">U dijelu povezivanja nauke, privrede i inovacionih politika, ključni dokument predstavlja Program za nauku i inovacije 2026–2030, koji uspostavlja stabilan i višegodišnje usmjeren okvir za razvoj istraživanja, razvoja i inovacija. Program predviđa indikativnu mogućnost ugovaranja do 131.822.000 eura za istraživanje, nauku </w:t>
      </w:r>
      <w:r w:rsidRPr="00AC5CD7">
        <w:rPr>
          <w:lang w:val="sr-Latn-ME"/>
        </w:rPr>
        <w:lastRenderedPageBreak/>
        <w:t xml:space="preserve">i inovacije u petogodišnjem periodu, uz kombinovanje budžetskih, EU i drugih međunarodnih izvora finansiranja. Time se </w:t>
      </w:r>
      <w:r w:rsidR="00A1003F" w:rsidRPr="00AC5CD7">
        <w:rPr>
          <w:lang w:val="sr-Latn-ME"/>
        </w:rPr>
        <w:t>ojačava</w:t>
      </w:r>
      <w:r w:rsidRPr="00AC5CD7">
        <w:rPr>
          <w:lang w:val="sr-Latn-ME"/>
        </w:rPr>
        <w:t xml:space="preserve"> logika višegodišnjeg finansijskog planiranja i koordinacije </w:t>
      </w:r>
      <w:r w:rsidR="0021377E" w:rsidRPr="00AC5CD7">
        <w:rPr>
          <w:lang w:val="sr-Latn-ME"/>
        </w:rPr>
        <w:t xml:space="preserve">na nivou institucionalnog okvira za podršku nauci i inovacijama – </w:t>
      </w:r>
      <w:r w:rsidRPr="00AC5CD7">
        <w:rPr>
          <w:lang w:val="sr-Latn-ME"/>
        </w:rPr>
        <w:t xml:space="preserve">Ministarstva prosvjete, nauke i inovacija, Fonda za inovacije, Naučno-tehnološkog parka, IPC </w:t>
      </w:r>
      <w:proofErr w:type="spellStart"/>
      <w:r w:rsidRPr="00AC5CD7">
        <w:rPr>
          <w:lang w:val="sr-Latn-ME"/>
        </w:rPr>
        <w:t>Tehnopolis</w:t>
      </w:r>
      <w:proofErr w:type="spellEnd"/>
      <w:r w:rsidR="0021377E" w:rsidRPr="00AC5CD7">
        <w:rPr>
          <w:lang w:val="sr-Latn-ME"/>
        </w:rPr>
        <w:t>, kao</w:t>
      </w:r>
      <w:r w:rsidRPr="00AC5CD7">
        <w:rPr>
          <w:lang w:val="sr-Latn-ME"/>
        </w:rPr>
        <w:t xml:space="preserve"> i drugih aktera sistema.</w:t>
      </w:r>
    </w:p>
    <w:p w14:paraId="665968EC" w14:textId="1A91A19B" w:rsidR="00663FC6" w:rsidRPr="00AC5CD7" w:rsidRDefault="667A61A2" w:rsidP="00184FE0">
      <w:pPr>
        <w:rPr>
          <w:lang w:val="sr-Latn-ME"/>
        </w:rPr>
      </w:pPr>
      <w:r w:rsidRPr="00AC5CD7">
        <w:rPr>
          <w:lang w:val="sr-Latn-ME"/>
        </w:rPr>
        <w:t xml:space="preserve">Posebno mjesto u nacionalnom okviru ima Strategija pametne specijalizacije Crne Gore 2019–2024, koja je usmjerila ulaganja prema prioritetnim oblastima sa najvećim razvojnim potencijalom i postavila temelje za povezanije usmjeravanje ekonomskih, naučnih i inovacionih politika. Prema raspoloživim nalazima, Crna Gora je realizovala više od 90% planiranog budžeta prvog ciklusa S3, u vrijednosti većoj od 168 miliona eura, i uspostavila infrastrukturu koja danas čini važnu osnovu </w:t>
      </w:r>
      <w:proofErr w:type="spellStart"/>
      <w:r w:rsidRPr="00AC5CD7">
        <w:rPr>
          <w:lang w:val="sr-Latn-ME"/>
        </w:rPr>
        <w:t>savremenog</w:t>
      </w:r>
      <w:proofErr w:type="spellEnd"/>
      <w:r w:rsidRPr="00AC5CD7">
        <w:rPr>
          <w:lang w:val="sr-Latn-ME"/>
        </w:rPr>
        <w:t xml:space="preserve"> inovacionog sistema. Istovremeno, nova Strategija pametne specijalizacije za period 2026–2031 još nije usvojena, iako bi trebalo da postane glavni okvir za dalje </w:t>
      </w:r>
      <w:proofErr w:type="spellStart"/>
      <w:r w:rsidRPr="00AC5CD7">
        <w:rPr>
          <w:lang w:val="sr-Latn-ME"/>
        </w:rPr>
        <w:t>prioritizovanje</w:t>
      </w:r>
      <w:proofErr w:type="spellEnd"/>
      <w:r w:rsidRPr="00AC5CD7">
        <w:rPr>
          <w:lang w:val="sr-Latn-ME"/>
        </w:rPr>
        <w:t xml:space="preserve"> ulaganja u istraživanje, razvoj i inovacije.</w:t>
      </w:r>
      <w:r w:rsidR="00B02DC5" w:rsidRPr="00AC5CD7">
        <w:rPr>
          <w:lang w:val="sr-Latn-ME"/>
        </w:rPr>
        <w:t xml:space="preserve"> Ministarstvo prosvjete, nauke i inovacija uputilo je 29/04/2026 na javnu raspravu Nacrt Strategije pametne specijalizacije 2026-2030 sa Akcionim planom 2026-2027 Poziv za javnu raspravu o Nacrtu Strategije pametne specijalizacije 2026-2031. Javna rasprava trajaće do 19/05/2026. Tokom juna 2026. biće stvoreni uslovi za formalno usvajanje nove Strategije.</w:t>
      </w:r>
    </w:p>
    <w:p w14:paraId="1AEDCF04" w14:textId="3096A22F" w:rsidR="00663FC6" w:rsidRPr="00AC5CD7" w:rsidRDefault="667A61A2" w:rsidP="00184FE0">
      <w:pPr>
        <w:rPr>
          <w:lang w:val="sr-Latn-ME"/>
        </w:rPr>
      </w:pPr>
      <w:r w:rsidRPr="00AC5CD7">
        <w:rPr>
          <w:lang w:val="sr-Latn-ME"/>
        </w:rPr>
        <w:t xml:space="preserve">U segmentu istraživačke infrastrukture, posebno mjesto zauzima Mapa puta za istraživačku infrastrukturu Crne Gore 2024–2028, koja istraživačku infrastrukturu prepoznaje kao ključni preduslov naučne izvrsnosti, međunarodne vidljivosti, razvoja istraživačkih kompetencija i snažnijeg povezivanja nauke i ekonomije. Ovaj dokument uvodi sistematičniji pristup razvoju istraživačke infrastrukture, </w:t>
      </w:r>
      <w:proofErr w:type="spellStart"/>
      <w:r w:rsidRPr="00AC5CD7">
        <w:rPr>
          <w:lang w:val="sr-Latn-ME"/>
        </w:rPr>
        <w:t>pregled</w:t>
      </w:r>
      <w:proofErr w:type="spellEnd"/>
      <w:r w:rsidRPr="00AC5CD7">
        <w:rPr>
          <w:lang w:val="sr-Latn-ME"/>
        </w:rPr>
        <w:t xml:space="preserve"> postojećih kapaciteta, okvir upravljanja i smjernice za buduće članstvo u međunarodnim i panevropskim istraživačkim infrastrukturama.</w:t>
      </w:r>
    </w:p>
    <w:p w14:paraId="738812FA" w14:textId="473FD860" w:rsidR="00663FC6" w:rsidRPr="00AC5CD7" w:rsidRDefault="667A61A2" w:rsidP="00184FE0">
      <w:pPr>
        <w:rPr>
          <w:lang w:val="sr-Latn-ME"/>
        </w:rPr>
      </w:pPr>
      <w:r w:rsidRPr="00AC5CD7">
        <w:rPr>
          <w:lang w:val="sr-Latn-ME"/>
        </w:rPr>
        <w:t xml:space="preserve">U zakonodavnom smislu, sistem se oslanja na Zakon o naučnoistraživačkoj djelatnosti, Zakon o inovacionoj djelatnosti, Zakon o podsticajnim mjerama za razvoj istraživanja i inovacijama i Zakon o visokom obrazovanju. Ovaj pravni okvir je postavio čvršću osnovu za razvoj sistema, ali njegov stvarni efekat zavisi od </w:t>
      </w:r>
      <w:r w:rsidR="0021377E" w:rsidRPr="00AC5CD7">
        <w:rPr>
          <w:lang w:val="sr-Latn-ME"/>
        </w:rPr>
        <w:t xml:space="preserve">implementacije </w:t>
      </w:r>
      <w:r w:rsidRPr="00AC5CD7">
        <w:rPr>
          <w:lang w:val="sr-Latn-ME"/>
        </w:rPr>
        <w:t xml:space="preserve">podzakonskih akata, </w:t>
      </w:r>
      <w:proofErr w:type="spellStart"/>
      <w:r w:rsidRPr="00AC5CD7">
        <w:rPr>
          <w:lang w:val="sr-Latn-ME"/>
        </w:rPr>
        <w:t>evaluacionih</w:t>
      </w:r>
      <w:proofErr w:type="spellEnd"/>
      <w:r w:rsidRPr="00AC5CD7">
        <w:rPr>
          <w:lang w:val="sr-Latn-ME"/>
        </w:rPr>
        <w:t xml:space="preserve"> mehanizama i kapaciteta institucija za sprovođenje. </w:t>
      </w:r>
    </w:p>
    <w:p w14:paraId="45BF833A" w14:textId="18DFF9E3" w:rsidR="00216393" w:rsidRPr="00AC5CD7" w:rsidRDefault="667A61A2" w:rsidP="00184FE0">
      <w:pPr>
        <w:rPr>
          <w:lang w:val="sr-Latn-ME"/>
        </w:rPr>
      </w:pPr>
      <w:r w:rsidRPr="00AC5CD7">
        <w:rPr>
          <w:lang w:val="sr-Latn-ME"/>
        </w:rPr>
        <w:t xml:space="preserve">Dodatni izazov predstavlja nedovoljna usklađenost između formalno unaprijeđenog okvira i stvarnih performansi sistema. Naime, sistem je i dalje opterećen niskim i nedovoljno ciljanim ulaganjima, ograničenom komercijalizacijom istraživanja, </w:t>
      </w:r>
      <w:r w:rsidR="00686E8D" w:rsidRPr="00AC5CD7">
        <w:rPr>
          <w:lang w:val="sr-Latn-ME"/>
        </w:rPr>
        <w:t xml:space="preserve">i </w:t>
      </w:r>
      <w:r w:rsidRPr="00AC5CD7">
        <w:rPr>
          <w:lang w:val="sr-Latn-ME"/>
        </w:rPr>
        <w:t>neujednačenim organizacionim kapacitetima</w:t>
      </w:r>
      <w:r w:rsidR="0021377E" w:rsidRPr="00AC5CD7">
        <w:rPr>
          <w:lang w:val="sr-Latn-ME"/>
        </w:rPr>
        <w:t xml:space="preserve"> aktera u sistemu</w:t>
      </w:r>
      <w:r w:rsidRPr="00AC5CD7">
        <w:rPr>
          <w:lang w:val="sr-Latn-ME"/>
        </w:rPr>
        <w:t xml:space="preserve">. To znači da </w:t>
      </w:r>
      <w:r w:rsidR="0021377E" w:rsidRPr="00AC5CD7">
        <w:rPr>
          <w:lang w:val="sr-Latn-ME"/>
        </w:rPr>
        <w:t xml:space="preserve">se </w:t>
      </w:r>
      <w:r w:rsidRPr="00AC5CD7">
        <w:rPr>
          <w:lang w:val="sr-Latn-ME"/>
        </w:rPr>
        <w:t>crnogorski strateški i pravni okvir</w:t>
      </w:r>
      <w:r w:rsidR="0021377E" w:rsidRPr="00AC5CD7">
        <w:rPr>
          <w:lang w:val="sr-Latn-ME"/>
        </w:rPr>
        <w:t xml:space="preserve">, </w:t>
      </w:r>
      <w:r w:rsidR="00686E8D" w:rsidRPr="00AC5CD7">
        <w:rPr>
          <w:lang w:val="sr-Latn-ME"/>
        </w:rPr>
        <w:t>nakon što je značajno</w:t>
      </w:r>
      <w:r w:rsidR="0021377E" w:rsidRPr="00AC5CD7">
        <w:rPr>
          <w:lang w:val="sr-Latn-ME"/>
        </w:rPr>
        <w:t xml:space="preserve"> unaprijeđen i zaokružen,</w:t>
      </w:r>
      <w:r w:rsidRPr="00AC5CD7">
        <w:rPr>
          <w:lang w:val="sr-Latn-ME"/>
        </w:rPr>
        <w:t xml:space="preserve"> </w:t>
      </w:r>
      <w:r w:rsidR="00686E8D" w:rsidRPr="00AC5CD7">
        <w:rPr>
          <w:lang w:val="sr-Latn-ME"/>
        </w:rPr>
        <w:t xml:space="preserve">u ovoj fazi </w:t>
      </w:r>
      <w:proofErr w:type="spellStart"/>
      <w:r w:rsidR="00686E8D" w:rsidRPr="00AC5CD7">
        <w:rPr>
          <w:lang w:val="sr-Latn-ME"/>
        </w:rPr>
        <w:t>susrijeće</w:t>
      </w:r>
      <w:proofErr w:type="spellEnd"/>
      <w:r w:rsidR="00686E8D" w:rsidRPr="00AC5CD7">
        <w:rPr>
          <w:lang w:val="sr-Latn-ME"/>
        </w:rPr>
        <w:t xml:space="preserve"> sa izazovima</w:t>
      </w:r>
      <w:r w:rsidRPr="00AC5CD7">
        <w:rPr>
          <w:lang w:val="sr-Latn-ME"/>
        </w:rPr>
        <w:t xml:space="preserve"> implementacije, koordinacije i ostvarivanja rezultata.</w:t>
      </w:r>
    </w:p>
    <w:p w14:paraId="42164ED2" w14:textId="6382393A" w:rsidR="00F579F5" w:rsidRPr="00AC5CD7" w:rsidRDefault="00F579F5" w:rsidP="00F579F5">
      <w:pPr>
        <w:pStyle w:val="Naslov3"/>
        <w:rPr>
          <w:lang w:val="sr-Latn-ME"/>
        </w:rPr>
      </w:pPr>
      <w:r w:rsidRPr="00AC5CD7">
        <w:rPr>
          <w:lang w:val="sr-Latn-ME"/>
        </w:rPr>
        <w:t>Planirane</w:t>
      </w:r>
      <w:r w:rsidR="00941732" w:rsidRPr="00AC5CD7">
        <w:rPr>
          <w:lang w:val="sr-Latn-ME"/>
        </w:rPr>
        <w:t xml:space="preserve">, </w:t>
      </w:r>
      <w:r w:rsidRPr="00AC5CD7">
        <w:rPr>
          <w:lang w:val="sr-Latn-ME"/>
        </w:rPr>
        <w:t>trenutne reforme</w:t>
      </w:r>
      <w:r w:rsidR="00941732" w:rsidRPr="00AC5CD7">
        <w:rPr>
          <w:lang w:val="sr-Latn-ME"/>
        </w:rPr>
        <w:t xml:space="preserve"> i investicije</w:t>
      </w:r>
    </w:p>
    <w:p w14:paraId="784DC41F" w14:textId="54071D59" w:rsidR="00663FC6" w:rsidRPr="00AC5CD7" w:rsidRDefault="00663FC6" w:rsidP="00184FE0">
      <w:pPr>
        <w:rPr>
          <w:lang w:val="sr-Latn-ME"/>
        </w:rPr>
      </w:pPr>
      <w:r w:rsidRPr="00AC5CD7">
        <w:rPr>
          <w:lang w:val="sr-Latn-ME"/>
        </w:rPr>
        <w:t>Planirane i aktuelne reforme u oblasti istraživanja i inovacija najjasnije su definisane kroz Reformsku agendu Crne Gore 2024–2027, u okviru Reforme 1.2.2 – Dalji razvoj ekosistema istraživanja i inovacija za ek</w:t>
      </w:r>
      <w:r w:rsidR="00C726A4" w:rsidRPr="00AC5CD7">
        <w:rPr>
          <w:lang w:val="sr-Latn-ME"/>
        </w:rPr>
        <w:t>onomiju zasnovanu na znanju</w:t>
      </w:r>
      <w:r w:rsidRPr="00AC5CD7">
        <w:rPr>
          <w:lang w:val="sr-Latn-ME"/>
        </w:rPr>
        <w:t>. Ova reforma ima za cilj jačanje mehanizama podrške razvoju istraživanja i inovacija u Crnoj Gori, kako bi se osnažili svi ključni akteri nacionalnog ekosistema, uključujući istraživače, inovatore, naučnoistraživačke ustanove, preduzeća, klaste</w:t>
      </w:r>
      <w:r w:rsidR="00C726A4" w:rsidRPr="00AC5CD7">
        <w:rPr>
          <w:lang w:val="sr-Latn-ME"/>
        </w:rPr>
        <w:t>re i nevladine organizacije</w:t>
      </w:r>
      <w:r w:rsidRPr="00AC5CD7">
        <w:rPr>
          <w:lang w:val="sr-Latn-ME"/>
        </w:rPr>
        <w:t>.</w:t>
      </w:r>
    </w:p>
    <w:p w14:paraId="29C59C2F" w14:textId="433C871B" w:rsidR="00663FC6" w:rsidRPr="00AC5CD7" w:rsidRDefault="00663FC6" w:rsidP="00184FE0">
      <w:pPr>
        <w:rPr>
          <w:lang w:val="sr-Latn-ME"/>
        </w:rPr>
      </w:pPr>
      <w:r w:rsidRPr="00AC5CD7">
        <w:rPr>
          <w:lang w:val="sr-Latn-ME"/>
        </w:rPr>
        <w:t>Reformska agenda za ovu mjeru predviđa vrlo konkretne rezultate. Predviđeno je povećanje broja finansiranih aktera u nacionalnom sistemu istraživanja i inovacija za 50%, kao i povećanje broja korisnika iz privrede koji koriste usluge inovacionih i tehnoloških infra</w:t>
      </w:r>
      <w:r w:rsidR="00C726A4" w:rsidRPr="00AC5CD7">
        <w:rPr>
          <w:lang w:val="sr-Latn-ME"/>
        </w:rPr>
        <w:t>struktura za 50%</w:t>
      </w:r>
      <w:r w:rsidRPr="00AC5CD7">
        <w:rPr>
          <w:lang w:val="sr-Latn-ME"/>
        </w:rPr>
        <w:t>. Istovremeno, planirano je da izdaci privatnog sektora za istraživanje i inovacije dostignu najmanje 15% prosjeka EU, dok izdaci javnog sektora za istraživanje i inovacije treba da porastu na najmanje 35% prosjeka EU, pri čemu se kao polazna pozicija za 2023. godi</w:t>
      </w:r>
      <w:r w:rsidR="00C726A4" w:rsidRPr="00AC5CD7">
        <w:rPr>
          <w:lang w:val="sr-Latn-ME"/>
        </w:rPr>
        <w:t>nu navodi 28,1% prosjeka EU</w:t>
      </w:r>
      <w:r w:rsidRPr="00AC5CD7">
        <w:rPr>
          <w:lang w:val="sr-Latn-ME"/>
        </w:rPr>
        <w:t xml:space="preserve">. </w:t>
      </w:r>
    </w:p>
    <w:p w14:paraId="7678F680" w14:textId="4268033D" w:rsidR="00663FC6" w:rsidRPr="00AC5CD7" w:rsidRDefault="00663FC6" w:rsidP="00184FE0">
      <w:pPr>
        <w:rPr>
          <w:lang w:val="sr-Latn-ME"/>
        </w:rPr>
      </w:pPr>
      <w:r w:rsidRPr="00AC5CD7">
        <w:rPr>
          <w:lang w:val="sr-Latn-ME"/>
        </w:rPr>
        <w:lastRenderedPageBreak/>
        <w:t>Program za nauku i inovacije 2026–2030 potvrđuje ovu reformsku usmjerenost i izričito navodi da daje poseban doprin</w:t>
      </w:r>
      <w:r w:rsidR="00C726A4" w:rsidRPr="00AC5CD7">
        <w:rPr>
          <w:lang w:val="sr-Latn-ME"/>
        </w:rPr>
        <w:t>os realizaciji Reforme 1.2.2</w:t>
      </w:r>
      <w:r w:rsidRPr="00AC5CD7">
        <w:rPr>
          <w:lang w:val="sr-Latn-ME"/>
        </w:rPr>
        <w:t>. Program operacionalizuje strateške pravce kroz dvije prioritetne ose: jačanje inovacionog ekosistema i poslovnih RDI kapaciteta, te modernizaciju istraživačke infrastruktu</w:t>
      </w:r>
      <w:r w:rsidR="00C726A4" w:rsidRPr="00AC5CD7">
        <w:rPr>
          <w:lang w:val="sr-Latn-ME"/>
        </w:rPr>
        <w:t>re i istraživačkih kapaciteta</w:t>
      </w:r>
      <w:r w:rsidRPr="00AC5CD7">
        <w:rPr>
          <w:lang w:val="sr-Latn-ME"/>
        </w:rPr>
        <w:t>. U tom smislu, reformski okvir dobija konkretnu operativnu razradu kroz programe, instrumente, korisnike i i</w:t>
      </w:r>
      <w:r w:rsidR="00C726A4" w:rsidRPr="00AC5CD7">
        <w:rPr>
          <w:lang w:val="sr-Latn-ME"/>
        </w:rPr>
        <w:t>ndikativni finansijski okvir</w:t>
      </w:r>
      <w:r w:rsidRPr="00AC5CD7">
        <w:rPr>
          <w:lang w:val="sr-Latn-ME"/>
        </w:rPr>
        <w:t>.</w:t>
      </w:r>
    </w:p>
    <w:p w14:paraId="17CB1802" w14:textId="5D5436FE" w:rsidR="00663FC6" w:rsidRPr="00AC5CD7" w:rsidRDefault="00663FC6" w:rsidP="00184FE0">
      <w:pPr>
        <w:rPr>
          <w:lang w:val="sr-Latn-ME"/>
        </w:rPr>
      </w:pPr>
      <w:r w:rsidRPr="00AC5CD7">
        <w:rPr>
          <w:lang w:val="sr-Latn-ME"/>
        </w:rPr>
        <w:t xml:space="preserve">Aktuelne reformske aktivnosti obuhvataju i dalje jačanje zakonodavnog i institucionalnog okvira. </w:t>
      </w:r>
      <w:r w:rsidR="00C726A4" w:rsidRPr="00AC5CD7">
        <w:rPr>
          <w:lang w:val="sr-Latn-ME"/>
        </w:rPr>
        <w:t xml:space="preserve">Naime, </w:t>
      </w:r>
      <w:r w:rsidRPr="00AC5CD7">
        <w:rPr>
          <w:lang w:val="sr-Latn-ME"/>
        </w:rPr>
        <w:t xml:space="preserve">Evropska komisija je u Izvještaju za 2025. godinu preporučila da se pripreme i sprovedu </w:t>
      </w:r>
      <w:r w:rsidR="00C726A4" w:rsidRPr="00AC5CD7">
        <w:rPr>
          <w:lang w:val="sr-Latn-ME"/>
        </w:rPr>
        <w:t xml:space="preserve">odgovarajući </w:t>
      </w:r>
      <w:proofErr w:type="spellStart"/>
      <w:r w:rsidR="00C726A4" w:rsidRPr="00AC5CD7">
        <w:rPr>
          <w:lang w:val="sr-Latn-ME"/>
        </w:rPr>
        <w:t>implementacioni</w:t>
      </w:r>
      <w:proofErr w:type="spellEnd"/>
      <w:r w:rsidR="00C726A4" w:rsidRPr="00AC5CD7">
        <w:rPr>
          <w:lang w:val="sr-Latn-ME"/>
        </w:rPr>
        <w:t xml:space="preserve"> propisi vezani za </w:t>
      </w:r>
      <w:r w:rsidRPr="00AC5CD7">
        <w:rPr>
          <w:lang w:val="sr-Latn-ME"/>
        </w:rPr>
        <w:t xml:space="preserve">Zakon o </w:t>
      </w:r>
      <w:r w:rsidR="00C726A4" w:rsidRPr="00AC5CD7">
        <w:rPr>
          <w:lang w:val="sr-Latn-ME"/>
        </w:rPr>
        <w:t>naučnoistraživačkoj djelatnosti</w:t>
      </w:r>
      <w:r w:rsidRPr="00AC5CD7">
        <w:rPr>
          <w:lang w:val="sr-Latn-ME"/>
        </w:rPr>
        <w:t xml:space="preserve">. </w:t>
      </w:r>
      <w:r w:rsidR="00C726A4" w:rsidRPr="00AC5CD7">
        <w:rPr>
          <w:lang w:val="sr-Latn-ME"/>
        </w:rPr>
        <w:t>N</w:t>
      </w:r>
      <w:r w:rsidRPr="00AC5CD7">
        <w:rPr>
          <w:lang w:val="sr-Latn-ME"/>
        </w:rPr>
        <w:t>ova generacija pravnih rješenja treba da unaprijedi prepoznavanje i praćenje istraživačkih aktera, evaluaciju sistema, digitalizaciju u skladu sa EU standardima, podsticajne mjere za razvoj istraživanja i inovacija i tehničko usklađivan</w:t>
      </w:r>
      <w:r w:rsidR="00C726A4" w:rsidRPr="00AC5CD7">
        <w:rPr>
          <w:lang w:val="sr-Latn-ME"/>
        </w:rPr>
        <w:t>je inovacionog zakonodavstva</w:t>
      </w:r>
      <w:r w:rsidR="00B02DC5" w:rsidRPr="00AC5CD7">
        <w:rPr>
          <w:rStyle w:val="Referencafusnote"/>
          <w:lang w:val="sr-Latn-ME"/>
        </w:rPr>
        <w:footnoteReference w:id="1"/>
      </w:r>
      <w:r w:rsidRPr="00AC5CD7">
        <w:rPr>
          <w:lang w:val="sr-Latn-ME"/>
        </w:rPr>
        <w:t>.</w:t>
      </w:r>
    </w:p>
    <w:p w14:paraId="6454908D" w14:textId="2EF696D8" w:rsidR="00663FC6" w:rsidRPr="00AC5CD7" w:rsidRDefault="00663FC6" w:rsidP="00184FE0">
      <w:pPr>
        <w:rPr>
          <w:lang w:val="sr-Latn-ME"/>
        </w:rPr>
      </w:pPr>
      <w:r w:rsidRPr="00AC5CD7">
        <w:rPr>
          <w:lang w:val="sr-Latn-ME"/>
        </w:rPr>
        <w:t xml:space="preserve">U reformskoj perspektivi veoma je važno i pitanje nove Strategije pametne specijalizacije. </w:t>
      </w:r>
      <w:r w:rsidR="00C726A4" w:rsidRPr="00AC5CD7">
        <w:rPr>
          <w:lang w:val="sr-Latn-ME"/>
        </w:rPr>
        <w:t>Nova S3, čije se usvajanje očekuje tokom 2026. godine, treba d</w:t>
      </w:r>
      <w:r w:rsidRPr="00AC5CD7">
        <w:rPr>
          <w:lang w:val="sr-Latn-ME"/>
        </w:rPr>
        <w:t xml:space="preserve">a postane glavni okvir za </w:t>
      </w:r>
      <w:proofErr w:type="spellStart"/>
      <w:r w:rsidRPr="00AC5CD7">
        <w:rPr>
          <w:lang w:val="sr-Latn-ME"/>
        </w:rPr>
        <w:t>prioritizaciju</w:t>
      </w:r>
      <w:proofErr w:type="spellEnd"/>
      <w:r w:rsidRPr="00AC5CD7">
        <w:rPr>
          <w:lang w:val="sr-Latn-ME"/>
        </w:rPr>
        <w:t xml:space="preserve"> ulaganja u istraživanje, razvoj i inovacije iz n</w:t>
      </w:r>
      <w:r w:rsidR="00C726A4" w:rsidRPr="00AC5CD7">
        <w:rPr>
          <w:lang w:val="sr-Latn-ME"/>
        </w:rPr>
        <w:t>acionalnog budžeta i IPA III</w:t>
      </w:r>
      <w:r w:rsidRPr="00AC5CD7">
        <w:rPr>
          <w:lang w:val="sr-Latn-ME"/>
        </w:rPr>
        <w:t>. U praksi, za oblast istraživanja i inovacija to znači da strateški okvir mora biti ažuran, dovoljno fokusiran, usklađen sa EU prioritetima i upotrebljiv za b</w:t>
      </w:r>
      <w:r w:rsidR="00C726A4" w:rsidRPr="00AC5CD7">
        <w:rPr>
          <w:lang w:val="sr-Latn-ME"/>
        </w:rPr>
        <w:t>uduće programiranje ulaganja</w:t>
      </w:r>
      <w:r w:rsidRPr="00AC5CD7">
        <w:rPr>
          <w:lang w:val="sr-Latn-ME"/>
        </w:rPr>
        <w:t>.</w:t>
      </w:r>
    </w:p>
    <w:p w14:paraId="72C66FB3" w14:textId="5C546EB8" w:rsidR="00F579F5" w:rsidRPr="00AC5CD7" w:rsidRDefault="00663FC6" w:rsidP="00184FE0">
      <w:pPr>
        <w:rPr>
          <w:lang w:val="sr-Latn-ME"/>
        </w:rPr>
      </w:pPr>
      <w:r w:rsidRPr="00AC5CD7">
        <w:rPr>
          <w:lang w:val="sr-Latn-ME"/>
        </w:rPr>
        <w:t xml:space="preserve">Reformski proces uključuje i jačanje koordinacije između ključnih institucija – Ministarstva prosvjete, nauke i inovacija, Fonda za inovacije, Naučno-tehnološkog parka, IPC </w:t>
      </w:r>
      <w:proofErr w:type="spellStart"/>
      <w:r w:rsidRPr="00AC5CD7">
        <w:rPr>
          <w:lang w:val="sr-Latn-ME"/>
        </w:rPr>
        <w:t>Tehnopolis</w:t>
      </w:r>
      <w:proofErr w:type="spellEnd"/>
      <w:r w:rsidRPr="00AC5CD7">
        <w:rPr>
          <w:lang w:val="sr-Latn-ME"/>
        </w:rPr>
        <w:t>, univerziteta i st</w:t>
      </w:r>
      <w:r w:rsidR="00C726A4" w:rsidRPr="00AC5CD7">
        <w:rPr>
          <w:lang w:val="sr-Latn-ME"/>
        </w:rPr>
        <w:t>ruktura za transfer tehnologije.</w:t>
      </w:r>
      <w:r w:rsidRPr="00AC5CD7">
        <w:rPr>
          <w:lang w:val="sr-Latn-ME"/>
        </w:rPr>
        <w:t xml:space="preserve"> U tom smislu, reformski pravac ide ka sistemu koji je manje </w:t>
      </w:r>
      <w:proofErr w:type="spellStart"/>
      <w:r w:rsidRPr="00AC5CD7">
        <w:rPr>
          <w:lang w:val="sr-Latn-ME"/>
        </w:rPr>
        <w:t>fragmentisan</w:t>
      </w:r>
      <w:proofErr w:type="spellEnd"/>
      <w:r w:rsidRPr="00AC5CD7">
        <w:rPr>
          <w:lang w:val="sr-Latn-ME"/>
        </w:rPr>
        <w:t>, više usmjeren na rezultate i bolje pripremljen za k</w:t>
      </w:r>
      <w:r w:rsidR="00C726A4" w:rsidRPr="00AC5CD7">
        <w:rPr>
          <w:lang w:val="sr-Latn-ME"/>
        </w:rPr>
        <w:t>orišćenje sredstava EU</w:t>
      </w:r>
      <w:r w:rsidRPr="00AC5CD7">
        <w:rPr>
          <w:lang w:val="sr-Latn-ME"/>
        </w:rPr>
        <w:t>.</w:t>
      </w:r>
    </w:p>
    <w:p w14:paraId="3C698635" w14:textId="5863FA6B" w:rsidR="00F579F5" w:rsidRPr="00AC5CD7" w:rsidRDefault="0021066E" w:rsidP="0021066E">
      <w:pPr>
        <w:pStyle w:val="Naslov2"/>
        <w:rPr>
          <w:lang w:val="sr-Latn-ME"/>
        </w:rPr>
      </w:pPr>
      <w:r w:rsidRPr="00AC5CD7">
        <w:rPr>
          <w:lang w:val="sr-Latn-ME"/>
        </w:rPr>
        <w:t>Ključni indikatori</w:t>
      </w:r>
    </w:p>
    <w:tbl>
      <w:tblPr>
        <w:tblStyle w:val="Svijetlatablicareetke1-isticanje4"/>
        <w:tblW w:w="5000" w:type="pct"/>
        <w:tblLook w:val="04A0" w:firstRow="1" w:lastRow="0" w:firstColumn="1" w:lastColumn="0" w:noHBand="0" w:noVBand="1"/>
      </w:tblPr>
      <w:tblGrid>
        <w:gridCol w:w="2335"/>
        <w:gridCol w:w="1531"/>
        <w:gridCol w:w="1571"/>
        <w:gridCol w:w="1579"/>
        <w:gridCol w:w="2046"/>
      </w:tblGrid>
      <w:tr w:rsidR="001A7F8A" w:rsidRPr="00AC5CD7" w14:paraId="36F3EB06" w14:textId="77777777" w:rsidTr="00AC5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2DD3B0A7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Indikator</w:t>
            </w:r>
          </w:p>
        </w:tc>
        <w:tc>
          <w:tcPr>
            <w:tcW w:w="845" w:type="pct"/>
          </w:tcPr>
          <w:p w14:paraId="2D2CCE1C" w14:textId="77777777" w:rsidR="001A7F8A" w:rsidRPr="00AC5CD7" w:rsidRDefault="667A61A2" w:rsidP="667A61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Crna Gora</w:t>
            </w:r>
          </w:p>
        </w:tc>
        <w:tc>
          <w:tcPr>
            <w:tcW w:w="867" w:type="pct"/>
          </w:tcPr>
          <w:p w14:paraId="2AEBE10A" w14:textId="77777777" w:rsidR="001A7F8A" w:rsidRPr="00AC5CD7" w:rsidRDefault="667A61A2" w:rsidP="667A61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EU-27</w:t>
            </w:r>
          </w:p>
        </w:tc>
        <w:tc>
          <w:tcPr>
            <w:tcW w:w="871" w:type="pct"/>
          </w:tcPr>
          <w:p w14:paraId="36250072" w14:textId="77777777" w:rsidR="001A7F8A" w:rsidRPr="00AC5CD7" w:rsidRDefault="667A61A2" w:rsidP="667A61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Godina / napomena</w:t>
            </w:r>
          </w:p>
        </w:tc>
        <w:tc>
          <w:tcPr>
            <w:tcW w:w="1129" w:type="pct"/>
          </w:tcPr>
          <w:p w14:paraId="448ED7A7" w14:textId="77777777" w:rsidR="001A7F8A" w:rsidRPr="00AC5CD7" w:rsidRDefault="667A61A2" w:rsidP="667A61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Izvor</w:t>
            </w:r>
          </w:p>
        </w:tc>
      </w:tr>
      <w:tr w:rsidR="001A7F8A" w:rsidRPr="00AC5CD7" w14:paraId="42B515F6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468C185A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Ukupni inovacioni učinak (</w:t>
            </w:r>
            <w:proofErr w:type="spellStart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European</w:t>
            </w:r>
            <w:proofErr w:type="spellEnd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Innovation</w:t>
            </w:r>
            <w:proofErr w:type="spellEnd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Scoreboard</w:t>
            </w:r>
            <w:proofErr w:type="spellEnd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)</w:t>
            </w:r>
          </w:p>
        </w:tc>
        <w:tc>
          <w:tcPr>
            <w:tcW w:w="845" w:type="pct"/>
          </w:tcPr>
          <w:p w14:paraId="078F0001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45,3</w:t>
            </w:r>
          </w:p>
        </w:tc>
        <w:tc>
          <w:tcPr>
            <w:tcW w:w="867" w:type="pct"/>
          </w:tcPr>
          <w:p w14:paraId="13FFC889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56BCDCA7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2025</w:t>
            </w:r>
          </w:p>
        </w:tc>
        <w:tc>
          <w:tcPr>
            <w:tcW w:w="1129" w:type="pct"/>
          </w:tcPr>
          <w:p w14:paraId="2669C4F1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 xml:space="preserve">EIS 2025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Country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Profile Montenegro /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Guideline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on R&amp;I</w:t>
            </w:r>
          </w:p>
        </w:tc>
      </w:tr>
      <w:tr w:rsidR="001A7F8A" w:rsidRPr="00AC5CD7" w14:paraId="1C8DB8B6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381851FD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Status na </w:t>
            </w:r>
            <w:proofErr w:type="spellStart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European</w:t>
            </w:r>
            <w:proofErr w:type="spellEnd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Innovation</w:t>
            </w:r>
            <w:proofErr w:type="spellEnd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Scoreboard</w:t>
            </w:r>
            <w:proofErr w:type="spellEnd"/>
          </w:p>
        </w:tc>
        <w:tc>
          <w:tcPr>
            <w:tcW w:w="845" w:type="pct"/>
          </w:tcPr>
          <w:p w14:paraId="180E25AA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proofErr w:type="spellStart"/>
            <w:r w:rsidRPr="00AC5CD7">
              <w:rPr>
                <w:sz w:val="16"/>
                <w:szCs w:val="16"/>
                <w:lang w:val="sr-Latn-ME"/>
              </w:rPr>
              <w:t>Emerging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Innovator</w:t>
            </w:r>
            <w:proofErr w:type="spellEnd"/>
          </w:p>
        </w:tc>
        <w:tc>
          <w:tcPr>
            <w:tcW w:w="867" w:type="pct"/>
          </w:tcPr>
          <w:p w14:paraId="71C79A8F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—</w:t>
            </w:r>
          </w:p>
        </w:tc>
        <w:tc>
          <w:tcPr>
            <w:tcW w:w="871" w:type="pct"/>
          </w:tcPr>
          <w:p w14:paraId="11815BCF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2025</w:t>
            </w:r>
          </w:p>
        </w:tc>
        <w:tc>
          <w:tcPr>
            <w:tcW w:w="1129" w:type="pct"/>
          </w:tcPr>
          <w:p w14:paraId="2AABD16B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 xml:space="preserve">EIS 2025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Country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Profile Montenegro /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Guideline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on R&amp;I</w:t>
            </w:r>
          </w:p>
        </w:tc>
      </w:tr>
      <w:tr w:rsidR="00221807" w:rsidRPr="00AC5CD7" w14:paraId="65BF4377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2363ACBC" w14:textId="072D5A37" w:rsidR="00221807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Budžetska izdvajanja države za istraživanje i razvoj (GBARD) (% BDP)</w:t>
            </w:r>
          </w:p>
        </w:tc>
        <w:tc>
          <w:tcPr>
            <w:tcW w:w="845" w:type="pct"/>
          </w:tcPr>
          <w:p w14:paraId="41E66583" w14:textId="7FE04397" w:rsidR="00221807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0,02</w:t>
            </w:r>
          </w:p>
        </w:tc>
        <w:tc>
          <w:tcPr>
            <w:tcW w:w="867" w:type="pct"/>
          </w:tcPr>
          <w:p w14:paraId="3ED13BCA" w14:textId="700EE32A" w:rsidR="00221807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0,71</w:t>
            </w:r>
          </w:p>
        </w:tc>
        <w:tc>
          <w:tcPr>
            <w:tcW w:w="871" w:type="pct"/>
          </w:tcPr>
          <w:p w14:paraId="7BEF8F1E" w14:textId="22E7A7EA" w:rsidR="00221807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2024</w:t>
            </w:r>
          </w:p>
        </w:tc>
        <w:tc>
          <w:tcPr>
            <w:tcW w:w="1129" w:type="pct"/>
          </w:tcPr>
          <w:p w14:paraId="305270D4" w14:textId="5606D27E" w:rsidR="00221807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proofErr w:type="spellStart"/>
            <w:r w:rsidRPr="00AC5CD7">
              <w:rPr>
                <w:sz w:val="16"/>
                <w:szCs w:val="16"/>
                <w:lang w:val="sr-Latn-ME"/>
              </w:rPr>
              <w:t>Eurostat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–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Government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budget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allocations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for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R&amp;D</w:t>
            </w:r>
          </w:p>
        </w:tc>
      </w:tr>
      <w:tr w:rsidR="001A7F8A" w:rsidRPr="00AC5CD7" w14:paraId="061BC1AE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03F3D27F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Izdaci za istraživanje i razvoj (% BDP)</w:t>
            </w:r>
          </w:p>
        </w:tc>
        <w:tc>
          <w:tcPr>
            <w:tcW w:w="845" w:type="pct"/>
          </w:tcPr>
          <w:p w14:paraId="3BDF0457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0,4%</w:t>
            </w:r>
          </w:p>
        </w:tc>
        <w:tc>
          <w:tcPr>
            <w:tcW w:w="867" w:type="pct"/>
          </w:tcPr>
          <w:p w14:paraId="75B64BE7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2,2%</w:t>
            </w:r>
          </w:p>
        </w:tc>
        <w:tc>
          <w:tcPr>
            <w:tcW w:w="871" w:type="pct"/>
          </w:tcPr>
          <w:p w14:paraId="6D8AD600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CG: procjena za 2024; EU: 2024</w:t>
            </w:r>
          </w:p>
        </w:tc>
        <w:tc>
          <w:tcPr>
            <w:tcW w:w="1129" w:type="pct"/>
          </w:tcPr>
          <w:p w14:paraId="0240AC39" w14:textId="19C120E3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 xml:space="preserve">EK Izvještaj o Crnoj Gori 2025 /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Eurostat</w:t>
            </w:r>
            <w:proofErr w:type="spellEnd"/>
          </w:p>
        </w:tc>
      </w:tr>
      <w:tr w:rsidR="001A7F8A" w:rsidRPr="00AC5CD7" w14:paraId="3777E028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71E1E1D0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Izdaci javnog sektora za istraživanje i razvoj (u odnosu na EU prosjek)</w:t>
            </w:r>
          </w:p>
        </w:tc>
        <w:tc>
          <w:tcPr>
            <w:tcW w:w="845" w:type="pct"/>
          </w:tcPr>
          <w:p w14:paraId="01A0E2D7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31,7</w:t>
            </w:r>
          </w:p>
        </w:tc>
        <w:tc>
          <w:tcPr>
            <w:tcW w:w="867" w:type="pct"/>
          </w:tcPr>
          <w:p w14:paraId="142B073C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51C133F5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2025</w:t>
            </w:r>
          </w:p>
        </w:tc>
        <w:tc>
          <w:tcPr>
            <w:tcW w:w="1129" w:type="pct"/>
          </w:tcPr>
          <w:p w14:paraId="7BF314F4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 xml:space="preserve">EIS 2025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Country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Profile Montenegro /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Guideline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on R&amp;I</w:t>
            </w:r>
          </w:p>
        </w:tc>
      </w:tr>
      <w:tr w:rsidR="001A7F8A" w:rsidRPr="00AC5CD7" w14:paraId="3FFE985E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0CDF40C4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Izdaci poslovnog sektora za istraživanje i razvoj (u odnosu na EU prosjek)</w:t>
            </w:r>
          </w:p>
        </w:tc>
        <w:tc>
          <w:tcPr>
            <w:tcW w:w="845" w:type="pct"/>
          </w:tcPr>
          <w:p w14:paraId="6BC457B2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9,7</w:t>
            </w:r>
          </w:p>
        </w:tc>
        <w:tc>
          <w:tcPr>
            <w:tcW w:w="867" w:type="pct"/>
          </w:tcPr>
          <w:p w14:paraId="66654637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5643A43D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2023</w:t>
            </w:r>
          </w:p>
        </w:tc>
        <w:tc>
          <w:tcPr>
            <w:tcW w:w="1129" w:type="pct"/>
          </w:tcPr>
          <w:p w14:paraId="7C00A674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Strategija naučnoistraživačke djelatnosti 2024–2028</w:t>
            </w:r>
          </w:p>
        </w:tc>
      </w:tr>
      <w:tr w:rsidR="001A7F8A" w:rsidRPr="00AC5CD7" w14:paraId="0727D253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25281B1A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Izdaci poslovnog sektora za istraživanje i razvoj (% BDP)</w:t>
            </w:r>
          </w:p>
        </w:tc>
        <w:tc>
          <w:tcPr>
            <w:tcW w:w="845" w:type="pct"/>
          </w:tcPr>
          <w:p w14:paraId="0EA47CD4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0,20%</w:t>
            </w:r>
          </w:p>
        </w:tc>
        <w:tc>
          <w:tcPr>
            <w:tcW w:w="867" w:type="pct"/>
          </w:tcPr>
          <w:p w14:paraId="57559653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—</w:t>
            </w:r>
          </w:p>
        </w:tc>
        <w:tc>
          <w:tcPr>
            <w:tcW w:w="871" w:type="pct"/>
          </w:tcPr>
          <w:p w14:paraId="0974C8AB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CG: 2018</w:t>
            </w:r>
          </w:p>
        </w:tc>
        <w:tc>
          <w:tcPr>
            <w:tcW w:w="1129" w:type="pct"/>
          </w:tcPr>
          <w:p w14:paraId="60430BC8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Program za nauku i inovacije 2026–2030</w:t>
            </w:r>
          </w:p>
        </w:tc>
      </w:tr>
      <w:tr w:rsidR="00CF7C40" w:rsidRPr="00AC5CD7" w14:paraId="0D2AB2B9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3F60EB13" w14:textId="07B5F213" w:rsidR="00CF7C40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lastRenderedPageBreak/>
              <w:t>Novi doktori nauka (indeks, EU=100)</w:t>
            </w:r>
          </w:p>
        </w:tc>
        <w:tc>
          <w:tcPr>
            <w:tcW w:w="845" w:type="pct"/>
          </w:tcPr>
          <w:p w14:paraId="042712F2" w14:textId="6C2DB570" w:rsidR="00CF7C40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9,8</w:t>
            </w:r>
          </w:p>
        </w:tc>
        <w:tc>
          <w:tcPr>
            <w:tcW w:w="867" w:type="pct"/>
          </w:tcPr>
          <w:p w14:paraId="6A0E75A0" w14:textId="42275177" w:rsidR="00CF7C40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100</w:t>
            </w:r>
          </w:p>
        </w:tc>
        <w:tc>
          <w:tcPr>
            <w:tcW w:w="871" w:type="pct"/>
          </w:tcPr>
          <w:p w14:paraId="47C35F4E" w14:textId="4DE543C8" w:rsidR="00CF7C40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2024</w:t>
            </w:r>
          </w:p>
        </w:tc>
        <w:tc>
          <w:tcPr>
            <w:tcW w:w="1129" w:type="pct"/>
          </w:tcPr>
          <w:p w14:paraId="2D2C078F" w14:textId="5C99B7E0" w:rsidR="00CF7C40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proofErr w:type="spellStart"/>
            <w:r w:rsidRPr="00AC5CD7">
              <w:rPr>
                <w:sz w:val="16"/>
                <w:szCs w:val="16"/>
                <w:lang w:val="sr-Latn-ME"/>
              </w:rPr>
              <w:t>European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Innovation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Scoreboard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2025: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Country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Profile – Montenegro</w:t>
            </w:r>
          </w:p>
        </w:tc>
      </w:tr>
      <w:tr w:rsidR="00CF7C40" w:rsidRPr="00AC5CD7" w14:paraId="61616659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452A1946" w14:textId="2168736C" w:rsidR="00CF7C40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Naučne publikacije među 10% </w:t>
            </w:r>
            <w:proofErr w:type="spellStart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najcitiranijih</w:t>
            </w:r>
            <w:proofErr w:type="spellEnd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 (indeks, </w:t>
            </w:r>
            <w:proofErr w:type="spellStart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Eu</w:t>
            </w:r>
            <w:proofErr w:type="spellEnd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=100)</w:t>
            </w:r>
          </w:p>
        </w:tc>
        <w:tc>
          <w:tcPr>
            <w:tcW w:w="845" w:type="pct"/>
          </w:tcPr>
          <w:p w14:paraId="7B187003" w14:textId="5F57989D" w:rsidR="00CF7C40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33,2</w:t>
            </w:r>
          </w:p>
        </w:tc>
        <w:tc>
          <w:tcPr>
            <w:tcW w:w="867" w:type="pct"/>
          </w:tcPr>
          <w:p w14:paraId="738E1E45" w14:textId="506BC173" w:rsidR="00CF7C40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100</w:t>
            </w:r>
          </w:p>
        </w:tc>
        <w:tc>
          <w:tcPr>
            <w:tcW w:w="871" w:type="pct"/>
          </w:tcPr>
          <w:p w14:paraId="2E2C2E96" w14:textId="73A73348" w:rsidR="00CF7C40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2024</w:t>
            </w:r>
          </w:p>
        </w:tc>
        <w:tc>
          <w:tcPr>
            <w:tcW w:w="1129" w:type="pct"/>
          </w:tcPr>
          <w:p w14:paraId="7003EB29" w14:textId="312A4DDC" w:rsidR="00CF7C40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proofErr w:type="spellStart"/>
            <w:r w:rsidRPr="00AC5CD7">
              <w:rPr>
                <w:sz w:val="16"/>
                <w:szCs w:val="16"/>
                <w:lang w:val="sr-Latn-ME"/>
              </w:rPr>
              <w:t>European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Innovation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Scoreboard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2025: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Country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Profile – Montenegro</w:t>
            </w:r>
          </w:p>
        </w:tc>
      </w:tr>
      <w:tr w:rsidR="001A7F8A" w:rsidRPr="00AC5CD7" w14:paraId="0DCCEF5A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1DBC6563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Javno-privatne ko-publikacije (u odnosu na EU prosjek)</w:t>
            </w:r>
          </w:p>
        </w:tc>
        <w:tc>
          <w:tcPr>
            <w:tcW w:w="845" w:type="pct"/>
          </w:tcPr>
          <w:p w14:paraId="5F8A5962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33,1</w:t>
            </w:r>
          </w:p>
        </w:tc>
        <w:tc>
          <w:tcPr>
            <w:tcW w:w="867" w:type="pct"/>
          </w:tcPr>
          <w:p w14:paraId="5993FD4F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1D69B171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2024</w:t>
            </w:r>
          </w:p>
        </w:tc>
        <w:tc>
          <w:tcPr>
            <w:tcW w:w="1129" w:type="pct"/>
          </w:tcPr>
          <w:p w14:paraId="7AC90B8C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Program za nauku i inovacije 2026–2030</w:t>
            </w:r>
          </w:p>
        </w:tc>
      </w:tr>
      <w:tr w:rsidR="001A7F8A" w:rsidRPr="00AC5CD7" w14:paraId="79BD1DCB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0A06FBFB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Zaposlenost u inovativnim preduzećima (u odnosu na EU prosjek)</w:t>
            </w:r>
          </w:p>
        </w:tc>
        <w:tc>
          <w:tcPr>
            <w:tcW w:w="845" w:type="pct"/>
          </w:tcPr>
          <w:p w14:paraId="48FD8D12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137,0</w:t>
            </w:r>
          </w:p>
        </w:tc>
        <w:tc>
          <w:tcPr>
            <w:tcW w:w="867" w:type="pct"/>
          </w:tcPr>
          <w:p w14:paraId="4219D0EB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737097FE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2025</w:t>
            </w:r>
          </w:p>
        </w:tc>
        <w:tc>
          <w:tcPr>
            <w:tcW w:w="1129" w:type="pct"/>
          </w:tcPr>
          <w:p w14:paraId="4183D632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 xml:space="preserve">EIS 2025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Country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Profile Montenegro /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Guideline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on R&amp;I</w:t>
            </w:r>
          </w:p>
        </w:tc>
      </w:tr>
      <w:tr w:rsidR="001A7F8A" w:rsidRPr="00AC5CD7" w14:paraId="79629D16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672CE895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Inovativna MSP koja sarađuju sa drugima (u odnosu na EU prosjek)</w:t>
            </w:r>
          </w:p>
        </w:tc>
        <w:tc>
          <w:tcPr>
            <w:tcW w:w="845" w:type="pct"/>
          </w:tcPr>
          <w:p w14:paraId="40E39570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146,0</w:t>
            </w:r>
          </w:p>
        </w:tc>
        <w:tc>
          <w:tcPr>
            <w:tcW w:w="867" w:type="pct"/>
          </w:tcPr>
          <w:p w14:paraId="75E8C672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7E11FEAB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2025</w:t>
            </w:r>
          </w:p>
        </w:tc>
        <w:tc>
          <w:tcPr>
            <w:tcW w:w="1129" w:type="pct"/>
          </w:tcPr>
          <w:p w14:paraId="1363DEAF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 xml:space="preserve">EIS 2025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Country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Profile Montenegro /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Guideline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on R&amp;I</w:t>
            </w:r>
          </w:p>
        </w:tc>
      </w:tr>
      <w:tr w:rsidR="001A7F8A" w:rsidRPr="00AC5CD7" w14:paraId="4C8B8936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57315A10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Izdaci za </w:t>
            </w:r>
            <w:proofErr w:type="spellStart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venture</w:t>
            </w:r>
            <w:proofErr w:type="spellEnd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capital</w:t>
            </w:r>
            <w:proofErr w:type="spellEnd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 (u odnosu na EU prosjek)</w:t>
            </w:r>
          </w:p>
        </w:tc>
        <w:tc>
          <w:tcPr>
            <w:tcW w:w="845" w:type="pct"/>
          </w:tcPr>
          <w:p w14:paraId="1B59086F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0,5</w:t>
            </w:r>
          </w:p>
        </w:tc>
        <w:tc>
          <w:tcPr>
            <w:tcW w:w="867" w:type="pct"/>
          </w:tcPr>
          <w:p w14:paraId="41A53E06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7B4952C1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2025</w:t>
            </w:r>
          </w:p>
        </w:tc>
        <w:tc>
          <w:tcPr>
            <w:tcW w:w="1129" w:type="pct"/>
          </w:tcPr>
          <w:p w14:paraId="46F8A981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 xml:space="preserve">EIS 2025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Country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Profile Montenegro /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Guideline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on R&amp;I</w:t>
            </w:r>
          </w:p>
        </w:tc>
      </w:tr>
      <w:tr w:rsidR="001A7F8A" w:rsidRPr="00AC5CD7" w14:paraId="6AA19F33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201BC42C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Ulaganja u digitalne tehnologije (u odnosu na EU prosjek)</w:t>
            </w:r>
          </w:p>
        </w:tc>
        <w:tc>
          <w:tcPr>
            <w:tcW w:w="845" w:type="pct"/>
          </w:tcPr>
          <w:p w14:paraId="64418082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50,9</w:t>
            </w:r>
          </w:p>
        </w:tc>
        <w:tc>
          <w:tcPr>
            <w:tcW w:w="867" w:type="pct"/>
          </w:tcPr>
          <w:p w14:paraId="3FEBE1BB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573F88FE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2025</w:t>
            </w:r>
          </w:p>
        </w:tc>
        <w:tc>
          <w:tcPr>
            <w:tcW w:w="1129" w:type="pct"/>
          </w:tcPr>
          <w:p w14:paraId="3B774BBF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 xml:space="preserve">EIS 2025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Country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Profile Montenegro /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Guideline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on R&amp;I</w:t>
            </w:r>
          </w:p>
        </w:tc>
      </w:tr>
      <w:tr w:rsidR="001A7F8A" w:rsidRPr="00AC5CD7" w14:paraId="545C7252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556545F0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Lica sa iznad osnovnog nivoa ukupnih digitalnih vještina (u odnosu na EU prosjek)</w:t>
            </w:r>
          </w:p>
        </w:tc>
        <w:tc>
          <w:tcPr>
            <w:tcW w:w="845" w:type="pct"/>
          </w:tcPr>
          <w:p w14:paraId="2938DCEF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28,1</w:t>
            </w:r>
          </w:p>
        </w:tc>
        <w:tc>
          <w:tcPr>
            <w:tcW w:w="867" w:type="pct"/>
          </w:tcPr>
          <w:p w14:paraId="05808103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2DE20ECE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2025</w:t>
            </w:r>
          </w:p>
        </w:tc>
        <w:tc>
          <w:tcPr>
            <w:tcW w:w="1129" w:type="pct"/>
          </w:tcPr>
          <w:p w14:paraId="545ECFF3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 xml:space="preserve">EIS 2025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Country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Profile Montenegro /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Guideline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on R&amp;I</w:t>
            </w:r>
          </w:p>
        </w:tc>
      </w:tr>
      <w:tr w:rsidR="001A7F8A" w:rsidRPr="00AC5CD7" w14:paraId="1255507F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799A93D8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Broj potpisanih </w:t>
            </w:r>
            <w:proofErr w:type="spellStart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Horizon</w:t>
            </w:r>
            <w:proofErr w:type="spellEnd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Europe</w:t>
            </w:r>
            <w:proofErr w:type="spellEnd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 grantova</w:t>
            </w:r>
          </w:p>
        </w:tc>
        <w:tc>
          <w:tcPr>
            <w:tcW w:w="845" w:type="pct"/>
          </w:tcPr>
          <w:p w14:paraId="3A26C06D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31</w:t>
            </w:r>
          </w:p>
        </w:tc>
        <w:tc>
          <w:tcPr>
            <w:tcW w:w="867" w:type="pct"/>
          </w:tcPr>
          <w:p w14:paraId="7BB0F248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—</w:t>
            </w:r>
          </w:p>
        </w:tc>
        <w:tc>
          <w:tcPr>
            <w:tcW w:w="871" w:type="pct"/>
          </w:tcPr>
          <w:p w14:paraId="4E4BA872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stanje do 2025</w:t>
            </w:r>
          </w:p>
        </w:tc>
        <w:tc>
          <w:tcPr>
            <w:tcW w:w="1129" w:type="pct"/>
          </w:tcPr>
          <w:p w14:paraId="4789F3A8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proofErr w:type="spellStart"/>
            <w:r w:rsidRPr="00AC5CD7">
              <w:rPr>
                <w:sz w:val="16"/>
                <w:szCs w:val="16"/>
                <w:lang w:val="sr-Latn-ME"/>
              </w:rPr>
              <w:t>Horizon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Europe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dashboard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/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Guideline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on R&amp;I</w:t>
            </w:r>
          </w:p>
        </w:tc>
      </w:tr>
      <w:tr w:rsidR="001A7F8A" w:rsidRPr="00AC5CD7" w14:paraId="4223D82C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6DFDD128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proofErr w:type="spellStart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Horizon</w:t>
            </w:r>
            <w:proofErr w:type="spellEnd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Europe</w:t>
            </w:r>
            <w:proofErr w:type="spellEnd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 finansiranje</w:t>
            </w:r>
          </w:p>
        </w:tc>
        <w:tc>
          <w:tcPr>
            <w:tcW w:w="845" w:type="pct"/>
          </w:tcPr>
          <w:p w14:paraId="3D4DCE23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 xml:space="preserve">4,83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mil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>. €</w:t>
            </w:r>
          </w:p>
        </w:tc>
        <w:tc>
          <w:tcPr>
            <w:tcW w:w="867" w:type="pct"/>
          </w:tcPr>
          <w:p w14:paraId="6CE9F00D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—</w:t>
            </w:r>
          </w:p>
        </w:tc>
        <w:tc>
          <w:tcPr>
            <w:tcW w:w="871" w:type="pct"/>
          </w:tcPr>
          <w:p w14:paraId="65AB0CAB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stanje do 2025</w:t>
            </w:r>
          </w:p>
        </w:tc>
        <w:tc>
          <w:tcPr>
            <w:tcW w:w="1129" w:type="pct"/>
          </w:tcPr>
          <w:p w14:paraId="6E11F654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proofErr w:type="spellStart"/>
            <w:r w:rsidRPr="00AC5CD7">
              <w:rPr>
                <w:sz w:val="16"/>
                <w:szCs w:val="16"/>
                <w:lang w:val="sr-Latn-ME"/>
              </w:rPr>
              <w:t>Horizon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Europe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dashboard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/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Guideline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on R&amp;I</w:t>
            </w:r>
          </w:p>
        </w:tc>
      </w:tr>
      <w:tr w:rsidR="0074092B" w:rsidRPr="00AC5CD7" w14:paraId="45D4E387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658E4235" w14:textId="6747577A" w:rsidR="0074092B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Istraživači, ekvivalent punog radnog </w:t>
            </w:r>
            <w:proofErr w:type="spellStart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vremena</w:t>
            </w:r>
            <w:proofErr w:type="spellEnd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 (FTE)</w:t>
            </w:r>
          </w:p>
        </w:tc>
        <w:tc>
          <w:tcPr>
            <w:tcW w:w="845" w:type="pct"/>
          </w:tcPr>
          <w:p w14:paraId="1D8EC864" w14:textId="1F0E72F3" w:rsidR="0074092B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469</w:t>
            </w:r>
          </w:p>
        </w:tc>
        <w:tc>
          <w:tcPr>
            <w:tcW w:w="867" w:type="pct"/>
          </w:tcPr>
          <w:p w14:paraId="09AA75B4" w14:textId="5B9C5283" w:rsidR="0074092B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1,86 miliona</w:t>
            </w:r>
          </w:p>
        </w:tc>
        <w:tc>
          <w:tcPr>
            <w:tcW w:w="871" w:type="pct"/>
          </w:tcPr>
          <w:p w14:paraId="6B7237E8" w14:textId="1D1EE66B" w:rsidR="0074092B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2019</w:t>
            </w:r>
          </w:p>
        </w:tc>
        <w:tc>
          <w:tcPr>
            <w:tcW w:w="1129" w:type="pct"/>
          </w:tcPr>
          <w:p w14:paraId="17D79DFE" w14:textId="2E2D20EC" w:rsidR="0074092B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proofErr w:type="spellStart"/>
            <w:r w:rsidRPr="00AC5CD7">
              <w:rPr>
                <w:sz w:val="16"/>
                <w:szCs w:val="16"/>
                <w:lang w:val="sr-Latn-ME"/>
              </w:rPr>
              <w:t>Eurostat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,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researchers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in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full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-time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equivalent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(FTE);</w:t>
            </w:r>
          </w:p>
        </w:tc>
      </w:tr>
      <w:tr w:rsidR="0074092B" w:rsidRPr="00AC5CD7" w14:paraId="238AC6DB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0D8B3658" w14:textId="7C0EB25C" w:rsidR="0074092B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Ukupno osoblje u istraživanju i razvoju, ekvivalent punog radnog </w:t>
            </w:r>
            <w:proofErr w:type="spellStart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vremena</w:t>
            </w:r>
            <w:proofErr w:type="spellEnd"/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 xml:space="preserve"> (FTE)</w:t>
            </w:r>
          </w:p>
        </w:tc>
        <w:tc>
          <w:tcPr>
            <w:tcW w:w="845" w:type="pct"/>
          </w:tcPr>
          <w:p w14:paraId="30B081E5" w14:textId="63627798" w:rsidR="0074092B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685</w:t>
            </w:r>
          </w:p>
        </w:tc>
        <w:tc>
          <w:tcPr>
            <w:tcW w:w="867" w:type="pct"/>
          </w:tcPr>
          <w:p w14:paraId="7E74034E" w14:textId="7D3E7DCC" w:rsidR="0074092B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2,9 miliona</w:t>
            </w:r>
          </w:p>
        </w:tc>
        <w:tc>
          <w:tcPr>
            <w:tcW w:w="871" w:type="pct"/>
          </w:tcPr>
          <w:p w14:paraId="43AFD4BA" w14:textId="697C0F00" w:rsidR="0074092B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2019</w:t>
            </w:r>
          </w:p>
        </w:tc>
        <w:tc>
          <w:tcPr>
            <w:tcW w:w="1129" w:type="pct"/>
          </w:tcPr>
          <w:p w14:paraId="4B80B41E" w14:textId="13A62010" w:rsidR="0074092B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proofErr w:type="spellStart"/>
            <w:r w:rsidRPr="00AC5CD7">
              <w:rPr>
                <w:sz w:val="16"/>
                <w:szCs w:val="16"/>
                <w:lang w:val="sr-Latn-ME"/>
              </w:rPr>
              <w:t>Eurostat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,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researchers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in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full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-time </w:t>
            </w:r>
            <w:proofErr w:type="spellStart"/>
            <w:r w:rsidRPr="00AC5CD7">
              <w:rPr>
                <w:sz w:val="16"/>
                <w:szCs w:val="16"/>
                <w:lang w:val="sr-Latn-ME"/>
              </w:rPr>
              <w:t>equivalent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(FTE);</w:t>
            </w:r>
          </w:p>
        </w:tc>
      </w:tr>
      <w:tr w:rsidR="001A7F8A" w:rsidRPr="00AC5CD7" w14:paraId="5C477389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5D0E8F7F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Istraživanje i razvoj u radnoj snazi</w:t>
            </w:r>
          </w:p>
        </w:tc>
        <w:tc>
          <w:tcPr>
            <w:tcW w:w="845" w:type="pct"/>
          </w:tcPr>
          <w:p w14:paraId="12A3D521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oko 0,3%</w:t>
            </w:r>
          </w:p>
        </w:tc>
        <w:tc>
          <w:tcPr>
            <w:tcW w:w="867" w:type="pct"/>
          </w:tcPr>
          <w:p w14:paraId="32340C3C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oko 1%</w:t>
            </w:r>
          </w:p>
        </w:tc>
        <w:tc>
          <w:tcPr>
            <w:tcW w:w="871" w:type="pct"/>
          </w:tcPr>
          <w:p w14:paraId="11C62AF3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posljednji raspoloživi podaci u izvoru</w:t>
            </w:r>
          </w:p>
        </w:tc>
        <w:tc>
          <w:tcPr>
            <w:tcW w:w="1129" w:type="pct"/>
          </w:tcPr>
          <w:p w14:paraId="7A6A54E3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proofErr w:type="spellStart"/>
            <w:r w:rsidRPr="00AC5CD7">
              <w:rPr>
                <w:sz w:val="16"/>
                <w:szCs w:val="16"/>
                <w:lang w:val="sr-Latn-ME"/>
              </w:rPr>
              <w:t>Guideline</w:t>
            </w:r>
            <w:proofErr w:type="spellEnd"/>
            <w:r w:rsidRPr="00AC5CD7">
              <w:rPr>
                <w:sz w:val="16"/>
                <w:szCs w:val="16"/>
                <w:lang w:val="sr-Latn-ME"/>
              </w:rPr>
              <w:t xml:space="preserve"> on R&amp;I</w:t>
            </w:r>
          </w:p>
        </w:tc>
      </w:tr>
      <w:tr w:rsidR="001A7F8A" w:rsidRPr="00AC5CD7" w14:paraId="3485320F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3C283E57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Broj licenciranih naučnoistraživačkih ustanova</w:t>
            </w:r>
          </w:p>
        </w:tc>
        <w:tc>
          <w:tcPr>
            <w:tcW w:w="845" w:type="pct"/>
          </w:tcPr>
          <w:p w14:paraId="6EEC54D6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48</w:t>
            </w:r>
          </w:p>
        </w:tc>
        <w:tc>
          <w:tcPr>
            <w:tcW w:w="867" w:type="pct"/>
          </w:tcPr>
          <w:p w14:paraId="7B7F8FA6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—</w:t>
            </w:r>
          </w:p>
        </w:tc>
        <w:tc>
          <w:tcPr>
            <w:tcW w:w="871" w:type="pct"/>
          </w:tcPr>
          <w:p w14:paraId="67B6C186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stanje u PPCG 2026–2027</w:t>
            </w:r>
          </w:p>
        </w:tc>
        <w:tc>
          <w:tcPr>
            <w:tcW w:w="1129" w:type="pct"/>
          </w:tcPr>
          <w:p w14:paraId="692B1302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PPCG 2026–2027</w:t>
            </w:r>
          </w:p>
        </w:tc>
      </w:tr>
      <w:tr w:rsidR="001A7F8A" w:rsidRPr="00AC5CD7" w14:paraId="24A5B6A1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74DE265D" w14:textId="77777777" w:rsidR="001A7F8A" w:rsidRPr="00AC5CD7" w:rsidRDefault="667A61A2" w:rsidP="667A61A2">
            <w:pPr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sz w:val="16"/>
                <w:szCs w:val="16"/>
                <w:lang w:val="sr-Latn-ME"/>
              </w:rPr>
              <w:t>Broj registrovanih subjekata inovacione djelatnosti</w:t>
            </w:r>
          </w:p>
        </w:tc>
        <w:tc>
          <w:tcPr>
            <w:tcW w:w="845" w:type="pct"/>
          </w:tcPr>
          <w:p w14:paraId="0972B17A" w14:textId="58850475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294</w:t>
            </w:r>
          </w:p>
        </w:tc>
        <w:tc>
          <w:tcPr>
            <w:tcW w:w="867" w:type="pct"/>
          </w:tcPr>
          <w:p w14:paraId="100F5A2F" w14:textId="77777777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—</w:t>
            </w:r>
          </w:p>
        </w:tc>
        <w:tc>
          <w:tcPr>
            <w:tcW w:w="871" w:type="pct"/>
          </w:tcPr>
          <w:p w14:paraId="38036DC7" w14:textId="5D3727AE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Stanje na kraju 2025</w:t>
            </w:r>
          </w:p>
        </w:tc>
        <w:tc>
          <w:tcPr>
            <w:tcW w:w="1129" w:type="pct"/>
          </w:tcPr>
          <w:p w14:paraId="769747AD" w14:textId="7042FF90" w:rsidR="001A7F8A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sr-Latn-ME"/>
              </w:rPr>
            </w:pPr>
            <w:r w:rsidRPr="00AC5CD7">
              <w:rPr>
                <w:sz w:val="16"/>
                <w:szCs w:val="16"/>
                <w:lang w:val="sr-Latn-ME"/>
              </w:rPr>
              <w:t>Izvještaj MPNI</w:t>
            </w:r>
          </w:p>
        </w:tc>
      </w:tr>
      <w:tr w:rsidR="00A67C18" w:rsidRPr="00AC5CD7" w14:paraId="4F66B919" w14:textId="77777777" w:rsidTr="00AC5C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20C2CE34" w14:textId="39B7CF4C" w:rsidR="00A67C18" w:rsidRPr="00AC5CD7" w:rsidRDefault="667A61A2" w:rsidP="667A61A2">
            <w:pPr>
              <w:rPr>
                <w:b w:val="0"/>
                <w:bCs w:val="0"/>
                <w:noProof/>
                <w:sz w:val="16"/>
                <w:szCs w:val="16"/>
                <w:lang w:val="sr-Latn-ME"/>
              </w:rPr>
            </w:pPr>
            <w:r w:rsidRPr="00AC5CD7">
              <w:rPr>
                <w:b w:val="0"/>
                <w:bCs w:val="0"/>
                <w:noProof/>
                <w:sz w:val="16"/>
                <w:szCs w:val="16"/>
                <w:lang w:val="sr-Latn-ME"/>
              </w:rPr>
              <w:t>Broj zasebnih operativnih tijela za sprovođenje programa podrške nauci i istraživanju</w:t>
            </w:r>
          </w:p>
        </w:tc>
        <w:tc>
          <w:tcPr>
            <w:tcW w:w="845" w:type="pct"/>
          </w:tcPr>
          <w:p w14:paraId="6C6D5F14" w14:textId="22CED45C" w:rsidR="00A67C18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sr-Latn-ME"/>
              </w:rPr>
            </w:pPr>
            <w:r w:rsidRPr="00AC5CD7">
              <w:rPr>
                <w:noProof/>
                <w:sz w:val="16"/>
                <w:szCs w:val="16"/>
                <w:lang w:val="sr-Latn-ME"/>
              </w:rPr>
              <w:t>0</w:t>
            </w:r>
          </w:p>
        </w:tc>
        <w:tc>
          <w:tcPr>
            <w:tcW w:w="867" w:type="pct"/>
          </w:tcPr>
          <w:p w14:paraId="3AE57954" w14:textId="674190E5" w:rsidR="00A67C18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sr-Latn-ME"/>
              </w:rPr>
            </w:pPr>
            <w:r w:rsidRPr="00AC5CD7">
              <w:rPr>
                <w:noProof/>
                <w:sz w:val="16"/>
                <w:szCs w:val="16"/>
                <w:lang w:val="sr-Latn-ME"/>
              </w:rPr>
              <w:t>_</w:t>
            </w:r>
          </w:p>
        </w:tc>
        <w:tc>
          <w:tcPr>
            <w:tcW w:w="871" w:type="pct"/>
          </w:tcPr>
          <w:p w14:paraId="106C571F" w14:textId="695BEF97" w:rsidR="00A67C18" w:rsidRPr="00AC5CD7" w:rsidRDefault="667A61A2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sr-Latn-ME"/>
              </w:rPr>
            </w:pPr>
            <w:r w:rsidRPr="00AC5CD7">
              <w:rPr>
                <w:noProof/>
                <w:sz w:val="16"/>
                <w:szCs w:val="16"/>
                <w:lang w:val="sr-Latn-ME"/>
              </w:rPr>
              <w:t>Stanje na kraju 2025</w:t>
            </w:r>
          </w:p>
        </w:tc>
        <w:tc>
          <w:tcPr>
            <w:tcW w:w="1129" w:type="pct"/>
          </w:tcPr>
          <w:p w14:paraId="2756FE4E" w14:textId="77777777" w:rsidR="00A67C18" w:rsidRPr="00AC5CD7" w:rsidRDefault="00A67C18" w:rsidP="667A6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sr-Latn-ME"/>
              </w:rPr>
            </w:pPr>
          </w:p>
        </w:tc>
      </w:tr>
    </w:tbl>
    <w:p w14:paraId="55AE590B" w14:textId="77777777" w:rsidR="0021066E" w:rsidRPr="00AC5CD7" w:rsidRDefault="0021066E" w:rsidP="0021066E">
      <w:pPr>
        <w:pStyle w:val="Naslov2"/>
        <w:rPr>
          <w:lang w:val="sr-Latn-ME"/>
        </w:rPr>
      </w:pPr>
      <w:r w:rsidRPr="00AC5CD7">
        <w:rPr>
          <w:lang w:val="sr-Latn-ME"/>
        </w:rPr>
        <w:t>Tematske cjeline</w:t>
      </w:r>
    </w:p>
    <w:p w14:paraId="5C627E64" w14:textId="0B9E3630" w:rsidR="001A7F8A" w:rsidRPr="00AC5CD7" w:rsidRDefault="001A7F8A" w:rsidP="00184FE0">
      <w:pPr>
        <w:rPr>
          <w:lang w:val="sr-Latn-ME"/>
        </w:rPr>
      </w:pPr>
      <w:r w:rsidRPr="00AC5CD7">
        <w:rPr>
          <w:lang w:val="sr-Latn-ME"/>
        </w:rPr>
        <w:t>Za oblast politike Istraživanje i inovacije, tematske cjeline su definisane na osnovu:</w:t>
      </w:r>
    </w:p>
    <w:p w14:paraId="49979965" w14:textId="77777777" w:rsidR="001A7F8A" w:rsidRPr="00AC5CD7" w:rsidRDefault="001A7F8A" w:rsidP="00184FE0">
      <w:pPr>
        <w:rPr>
          <w:lang w:val="sr-Latn-ME"/>
        </w:rPr>
      </w:pPr>
      <w:r w:rsidRPr="00AC5CD7">
        <w:rPr>
          <w:lang w:val="sr-Latn-ME"/>
        </w:rPr>
        <w:t>(i) ključnih nalaza o stanju sistema istraživanja i inovacija u Crnoj Gori;</w:t>
      </w:r>
    </w:p>
    <w:p w14:paraId="57E49414" w14:textId="54A74BEB" w:rsidR="001A7F8A" w:rsidRPr="00AC5CD7" w:rsidRDefault="001A7F8A" w:rsidP="00184FE0">
      <w:pPr>
        <w:rPr>
          <w:lang w:val="sr-Latn-ME"/>
        </w:rPr>
      </w:pPr>
      <w:r w:rsidRPr="00AC5CD7">
        <w:rPr>
          <w:lang w:val="sr-Latn-ME"/>
        </w:rPr>
        <w:t xml:space="preserve">(ii) relevantnih </w:t>
      </w:r>
      <w:r w:rsidR="00073C95" w:rsidRPr="00AC5CD7">
        <w:rPr>
          <w:lang w:val="sr-Latn-ME"/>
        </w:rPr>
        <w:t>interventnih polja u ovoj oblasti politike</w:t>
      </w:r>
      <w:r w:rsidRPr="00AC5CD7">
        <w:rPr>
          <w:lang w:val="sr-Latn-ME"/>
        </w:rPr>
        <w:t xml:space="preserve"> i</w:t>
      </w:r>
    </w:p>
    <w:p w14:paraId="77119BAE" w14:textId="48F67CD1" w:rsidR="001A7F8A" w:rsidRPr="00AC5CD7" w:rsidRDefault="001A7F8A" w:rsidP="00184FE0">
      <w:pPr>
        <w:rPr>
          <w:lang w:val="sr-Latn-ME"/>
        </w:rPr>
      </w:pPr>
      <w:r w:rsidRPr="00AC5CD7">
        <w:rPr>
          <w:lang w:val="sr-Latn-ME"/>
        </w:rPr>
        <w:t>(iii) nacionalnog i EU strateškog okvira koji ovu oblast posmatra kroz istraživačke kapacitete, infrastrukturu, saradnju sa privredom, inovacioni ekosistem i reformske pretpostavke z</w:t>
      </w:r>
      <w:r w:rsidR="00073C95" w:rsidRPr="00AC5CD7">
        <w:rPr>
          <w:lang w:val="sr-Latn-ME"/>
        </w:rPr>
        <w:t>a efikasno upravljanje</w:t>
      </w:r>
      <w:r w:rsidRPr="00AC5CD7">
        <w:rPr>
          <w:lang w:val="sr-Latn-ME"/>
        </w:rPr>
        <w:t>.</w:t>
      </w:r>
    </w:p>
    <w:p w14:paraId="6290FA39" w14:textId="0222B123" w:rsidR="001A7F8A" w:rsidRPr="00AC5CD7" w:rsidRDefault="00073C95" w:rsidP="00184FE0">
      <w:pPr>
        <w:rPr>
          <w:lang w:val="sr-Latn-ME"/>
        </w:rPr>
      </w:pPr>
      <w:r w:rsidRPr="00AC5CD7">
        <w:rPr>
          <w:lang w:val="sr-Latn-ME"/>
        </w:rPr>
        <w:t>Prema tome, p</w:t>
      </w:r>
      <w:r w:rsidR="001A7F8A" w:rsidRPr="00AC5CD7">
        <w:rPr>
          <w:lang w:val="sr-Latn-ME"/>
        </w:rPr>
        <w:t>redlažu se sljedeće</w:t>
      </w:r>
      <w:r w:rsidR="00314077" w:rsidRPr="00AC5CD7">
        <w:rPr>
          <w:lang w:val="sr-Latn-ME"/>
        </w:rPr>
        <w:t xml:space="preserve"> indikativne</w:t>
      </w:r>
      <w:r w:rsidR="001A7F8A" w:rsidRPr="00AC5CD7">
        <w:rPr>
          <w:lang w:val="sr-Latn-ME"/>
        </w:rPr>
        <w:t xml:space="preserve"> tematske cjeline:</w:t>
      </w:r>
    </w:p>
    <w:tbl>
      <w:tblPr>
        <w:tblStyle w:val="Svijetlatablicareetke1-isticanje4"/>
        <w:tblW w:w="5000" w:type="pct"/>
        <w:tblLook w:val="04A0" w:firstRow="1" w:lastRow="0" w:firstColumn="1" w:lastColumn="0" w:noHBand="0" w:noVBand="1"/>
      </w:tblPr>
      <w:tblGrid>
        <w:gridCol w:w="2334"/>
        <w:gridCol w:w="6728"/>
      </w:tblGrid>
      <w:tr w:rsidR="0021066E" w:rsidRPr="00AC5CD7" w14:paraId="4B4FD3E9" w14:textId="77777777" w:rsidTr="00AC5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7A00D1A1" w14:textId="77777777" w:rsidR="0021066E" w:rsidRPr="00AC5CD7" w:rsidRDefault="0021066E" w:rsidP="00073C95">
            <w:pPr>
              <w:rPr>
                <w:b w:val="0"/>
                <w:szCs w:val="20"/>
                <w:lang w:val="sr-Latn-ME"/>
              </w:rPr>
            </w:pPr>
            <w:r w:rsidRPr="00AC5CD7">
              <w:rPr>
                <w:szCs w:val="20"/>
                <w:lang w:val="sr-Latn-ME"/>
              </w:rPr>
              <w:t>Kod tematske cjeline</w:t>
            </w:r>
          </w:p>
        </w:tc>
        <w:tc>
          <w:tcPr>
            <w:tcW w:w="3712" w:type="pct"/>
          </w:tcPr>
          <w:p w14:paraId="0C76F98A" w14:textId="77777777" w:rsidR="0021066E" w:rsidRPr="00AC5CD7" w:rsidRDefault="0021066E" w:rsidP="00073C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0"/>
                <w:lang w:val="sr-Latn-ME"/>
              </w:rPr>
            </w:pPr>
            <w:r w:rsidRPr="00AC5CD7">
              <w:rPr>
                <w:szCs w:val="20"/>
                <w:lang w:val="sr-Latn-ME"/>
              </w:rPr>
              <w:t>Naziv tematske cjeline</w:t>
            </w:r>
          </w:p>
        </w:tc>
      </w:tr>
      <w:tr w:rsidR="0021066E" w:rsidRPr="00AC5CD7" w14:paraId="6A3F0558" w14:textId="77777777" w:rsidTr="00AC5CD7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50817500" w14:textId="7C583541" w:rsidR="0021066E" w:rsidRPr="00AC5CD7" w:rsidRDefault="00941732" w:rsidP="00073C95">
            <w:pPr>
              <w:rPr>
                <w:szCs w:val="20"/>
                <w:lang w:val="sr-Latn-ME"/>
              </w:rPr>
            </w:pPr>
            <w:r w:rsidRPr="00AC5CD7">
              <w:rPr>
                <w:szCs w:val="20"/>
                <w:lang w:val="sr-Latn-ME"/>
              </w:rPr>
              <w:t>13.</w:t>
            </w:r>
            <w:r w:rsidR="0021066E" w:rsidRPr="00AC5CD7">
              <w:rPr>
                <w:szCs w:val="20"/>
                <w:lang w:val="sr-Latn-ME"/>
              </w:rPr>
              <w:t>1</w:t>
            </w:r>
          </w:p>
        </w:tc>
        <w:tc>
          <w:tcPr>
            <w:tcW w:w="3712" w:type="pct"/>
          </w:tcPr>
          <w:p w14:paraId="1172554C" w14:textId="0F0798CA" w:rsidR="0021066E" w:rsidRPr="00AC5CD7" w:rsidRDefault="009370D2" w:rsidP="00257A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sr-Latn-ME"/>
              </w:rPr>
            </w:pPr>
            <w:r w:rsidRPr="00AC5CD7">
              <w:rPr>
                <w:szCs w:val="20"/>
                <w:lang w:val="sr-Latn-ME"/>
              </w:rPr>
              <w:t>Istraživački kapaciteti, ljudski resursi i naučna izvrsnost</w:t>
            </w:r>
          </w:p>
        </w:tc>
      </w:tr>
      <w:tr w:rsidR="0021066E" w:rsidRPr="00AC5CD7" w14:paraId="651EB7EB" w14:textId="77777777" w:rsidTr="00AC5CD7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0EBCFEC7" w14:textId="723B1B39" w:rsidR="0021066E" w:rsidRPr="00AC5CD7" w:rsidRDefault="00941732" w:rsidP="00073C95">
            <w:pPr>
              <w:rPr>
                <w:szCs w:val="20"/>
                <w:lang w:val="sr-Latn-ME"/>
              </w:rPr>
            </w:pPr>
            <w:r w:rsidRPr="00AC5CD7">
              <w:rPr>
                <w:szCs w:val="20"/>
                <w:lang w:val="sr-Latn-ME"/>
              </w:rPr>
              <w:t>13.</w:t>
            </w:r>
            <w:r w:rsidR="009370D2" w:rsidRPr="00AC5CD7">
              <w:rPr>
                <w:szCs w:val="20"/>
                <w:lang w:val="sr-Latn-ME"/>
              </w:rPr>
              <w:t>2</w:t>
            </w:r>
          </w:p>
        </w:tc>
        <w:tc>
          <w:tcPr>
            <w:tcW w:w="3712" w:type="pct"/>
          </w:tcPr>
          <w:p w14:paraId="0386CACC" w14:textId="0CF78720" w:rsidR="0021066E" w:rsidRPr="00AC5CD7" w:rsidRDefault="009370D2" w:rsidP="00257A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sr-Latn-ME"/>
              </w:rPr>
            </w:pPr>
            <w:r w:rsidRPr="00AC5CD7">
              <w:rPr>
                <w:szCs w:val="20"/>
                <w:lang w:val="sr-Latn-ME"/>
              </w:rPr>
              <w:t>Istraživačka i inovaciona infrastruktura i podrška razvoju ekosistema</w:t>
            </w:r>
          </w:p>
        </w:tc>
      </w:tr>
      <w:tr w:rsidR="009370D2" w:rsidRPr="00AC5CD7" w14:paraId="22382623" w14:textId="77777777" w:rsidTr="00AC5CD7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4E8EF8E0" w14:textId="609043F4" w:rsidR="009370D2" w:rsidRPr="00AC5CD7" w:rsidRDefault="00941732" w:rsidP="00073C95">
            <w:pPr>
              <w:rPr>
                <w:szCs w:val="20"/>
                <w:lang w:val="sr-Latn-ME"/>
              </w:rPr>
            </w:pPr>
            <w:r w:rsidRPr="00AC5CD7">
              <w:rPr>
                <w:szCs w:val="20"/>
                <w:lang w:val="sr-Latn-ME"/>
              </w:rPr>
              <w:t>13.</w:t>
            </w:r>
            <w:r w:rsidR="009370D2" w:rsidRPr="00AC5CD7">
              <w:rPr>
                <w:szCs w:val="20"/>
                <w:lang w:val="sr-Latn-ME"/>
              </w:rPr>
              <w:t>3</w:t>
            </w:r>
          </w:p>
        </w:tc>
        <w:tc>
          <w:tcPr>
            <w:tcW w:w="3712" w:type="pct"/>
          </w:tcPr>
          <w:p w14:paraId="5DEE8383" w14:textId="0BBBED14" w:rsidR="009370D2" w:rsidRPr="00AC5CD7" w:rsidRDefault="009370D2" w:rsidP="00937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sr-Latn-ME"/>
              </w:rPr>
            </w:pPr>
            <w:r w:rsidRPr="00AC5CD7">
              <w:rPr>
                <w:szCs w:val="20"/>
                <w:lang w:val="sr-Latn-ME"/>
              </w:rPr>
              <w:t>Saradnja nauke i privrede, transfer tehnologije i inovacije u preduzećima</w:t>
            </w:r>
          </w:p>
        </w:tc>
      </w:tr>
      <w:tr w:rsidR="009370D2" w:rsidRPr="00AC5CD7" w14:paraId="04894070" w14:textId="77777777" w:rsidTr="00AC5CD7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</w:tcPr>
          <w:p w14:paraId="3FBD9D9C" w14:textId="198BD75D" w:rsidR="009370D2" w:rsidRPr="00AC5CD7" w:rsidRDefault="00941732" w:rsidP="00073C95">
            <w:pPr>
              <w:rPr>
                <w:szCs w:val="20"/>
                <w:lang w:val="sr-Latn-ME"/>
              </w:rPr>
            </w:pPr>
            <w:r w:rsidRPr="00AC5CD7">
              <w:rPr>
                <w:szCs w:val="20"/>
                <w:lang w:val="sr-Latn-ME"/>
              </w:rPr>
              <w:t>13.</w:t>
            </w:r>
            <w:r w:rsidR="009370D2" w:rsidRPr="00AC5CD7">
              <w:rPr>
                <w:szCs w:val="20"/>
                <w:lang w:val="sr-Latn-ME"/>
              </w:rPr>
              <w:t>4</w:t>
            </w:r>
          </w:p>
        </w:tc>
        <w:tc>
          <w:tcPr>
            <w:tcW w:w="3712" w:type="pct"/>
          </w:tcPr>
          <w:p w14:paraId="68544934" w14:textId="7958863E" w:rsidR="009370D2" w:rsidRPr="00AC5CD7" w:rsidRDefault="009370D2" w:rsidP="00937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sr-Latn-ME"/>
              </w:rPr>
            </w:pPr>
            <w:r w:rsidRPr="00AC5CD7">
              <w:rPr>
                <w:szCs w:val="20"/>
                <w:lang w:val="sr-Latn-ME"/>
              </w:rPr>
              <w:t>Upravljanje sistemom, reformski okvir i međunarodna integracija</w:t>
            </w:r>
          </w:p>
        </w:tc>
      </w:tr>
    </w:tbl>
    <w:p w14:paraId="66829AF8" w14:textId="77777777" w:rsidR="0021066E" w:rsidRPr="00AC5CD7" w:rsidRDefault="0021066E" w:rsidP="0021066E">
      <w:pPr>
        <w:rPr>
          <w:lang w:val="sr-Latn-ME"/>
        </w:rPr>
      </w:pPr>
    </w:p>
    <w:p w14:paraId="1996737A" w14:textId="24D1B798" w:rsidR="009370D2" w:rsidRPr="00AC5CD7" w:rsidRDefault="00941732" w:rsidP="009370D2">
      <w:pPr>
        <w:rPr>
          <w:lang w:val="sr-Latn-ME"/>
        </w:rPr>
      </w:pPr>
      <w:r w:rsidRPr="00AC5CD7">
        <w:rPr>
          <w:b/>
          <w:bCs/>
          <w:lang w:val="sr-Latn-ME"/>
        </w:rPr>
        <w:t>13.</w:t>
      </w:r>
      <w:r w:rsidR="667A61A2" w:rsidRPr="00AC5CD7">
        <w:rPr>
          <w:b/>
          <w:bCs/>
          <w:lang w:val="sr-Latn-ME"/>
        </w:rPr>
        <w:t xml:space="preserve">1 Istraživački kapaciteti, ljudski resursi i naučna izvrsnost </w:t>
      </w:r>
      <w:r w:rsidR="667A61A2" w:rsidRPr="00AC5CD7">
        <w:rPr>
          <w:lang w:val="sr-Latn-ME"/>
        </w:rPr>
        <w:t>ova tematska cjelina obuhvata osnovne strukturne elemente javnog istraživačkog sistema: nivo ulaganja u istraživanje i razvoj, broj i strukturu istraživača, atraktivnost istraživačke karijere, doktorske studije, međunarodnu naučnu vidljivost i kvalitet istraživačkih rezultata. Ovakvo grupisanje je opravdano jer raspoloživi izvori ukazuju da su nizak intenzitet ulaganja, ograničeni ljudski resursi i potreba za jačanjem izvrsnosti među ključnim razvojnim pitanjima u ovoj oblasti.</w:t>
      </w:r>
    </w:p>
    <w:p w14:paraId="61BA68F2" w14:textId="1C7D0D86" w:rsidR="009370D2" w:rsidRPr="00AC5CD7" w:rsidRDefault="00941732" w:rsidP="009370D2">
      <w:pPr>
        <w:rPr>
          <w:lang w:val="sr-Latn-ME"/>
        </w:rPr>
      </w:pPr>
      <w:r w:rsidRPr="00AC5CD7">
        <w:rPr>
          <w:b/>
          <w:bCs/>
          <w:lang w:val="sr-Latn-ME"/>
        </w:rPr>
        <w:t>13.</w:t>
      </w:r>
      <w:r w:rsidR="667A61A2" w:rsidRPr="00AC5CD7">
        <w:rPr>
          <w:b/>
          <w:bCs/>
          <w:lang w:val="sr-Latn-ME"/>
        </w:rPr>
        <w:t xml:space="preserve">2 Istraživačka i inovaciona infrastruktura i podrška razvoju ekosistema </w:t>
      </w:r>
      <w:r w:rsidR="667A61A2" w:rsidRPr="00AC5CD7">
        <w:rPr>
          <w:lang w:val="sr-Latn-ME"/>
        </w:rPr>
        <w:t xml:space="preserve">ova cjelina obuhvata istraživačku infrastrukturu u užem smislu, ali i širi ekosistem podrške koji čine Naučno-tehnološki park, IPC </w:t>
      </w:r>
      <w:proofErr w:type="spellStart"/>
      <w:r w:rsidR="667A61A2" w:rsidRPr="00AC5CD7">
        <w:rPr>
          <w:lang w:val="sr-Latn-ME"/>
        </w:rPr>
        <w:t>Tehnopolis</w:t>
      </w:r>
      <w:proofErr w:type="spellEnd"/>
      <w:r w:rsidR="667A61A2" w:rsidRPr="00AC5CD7">
        <w:rPr>
          <w:lang w:val="sr-Latn-ME"/>
        </w:rPr>
        <w:t>, Fond za inovacije, centri izvrsnosti, laboratorije, oprema i usluge podrške inovacionim akterima. Njeno izdvajanje je važno jer kvalitet i dostupnost infrastrukture predstavljaju ključan preduslov za naučnu izvrsnost, razvoj inovacija i dugoročnu održivost sistema.</w:t>
      </w:r>
    </w:p>
    <w:p w14:paraId="6069F59D" w14:textId="27BAF205" w:rsidR="00413AD9" w:rsidRPr="00AC5CD7" w:rsidRDefault="00413AD9" w:rsidP="009370D2">
      <w:pPr>
        <w:rPr>
          <w:lang w:val="sr-Latn-ME"/>
        </w:rPr>
      </w:pPr>
      <w:r w:rsidRPr="00AC5CD7">
        <w:rPr>
          <w:lang w:val="sr-Latn-ME"/>
        </w:rPr>
        <w:t xml:space="preserve">U okviru ove tematske cjeline posebno je važno sagledati i teritorijalnu dostupnost istraživačke i inovacione infrastrukture, imajući u vidu da su ključni infrastrukturni i organizacioni kapaciteti koncentrisani u ograničenom broju lokacija, dok se značajni prirodni i sektorski potencijali za primijenjena istraživanja nalaze i u manje razvijenim područjima, posebno na sjeveru Crne Gore. U tom kontekstu, modeli teritorijalno usmjerenog transfera znanja i tehnologije, uključujući pilot-pristupe zasnovane na konceptu živih laboratorija, mogu doprinijeti povezivanju lokalnih resursa, privrede, lokalnih zajednica i istraživačko-inovacionih aktera u oblastima </w:t>
      </w:r>
      <w:proofErr w:type="spellStart"/>
      <w:r w:rsidRPr="00AC5CD7">
        <w:rPr>
          <w:lang w:val="sr-Latn-ME"/>
        </w:rPr>
        <w:t>bioekonomije</w:t>
      </w:r>
      <w:proofErr w:type="spellEnd"/>
      <w:r w:rsidRPr="00AC5CD7">
        <w:rPr>
          <w:lang w:val="sr-Latn-ME"/>
        </w:rPr>
        <w:t>, održivog upravljanja prirodnim resursima, zelenih tehnologija i obnovljivih izvora energije.</w:t>
      </w:r>
    </w:p>
    <w:p w14:paraId="556746D1" w14:textId="047C9637" w:rsidR="009370D2" w:rsidRPr="00AC5CD7" w:rsidRDefault="00941732" w:rsidP="009370D2">
      <w:pPr>
        <w:rPr>
          <w:lang w:val="sr-Latn-ME"/>
        </w:rPr>
      </w:pPr>
      <w:r w:rsidRPr="00AC5CD7">
        <w:rPr>
          <w:b/>
          <w:bCs/>
          <w:lang w:val="sr-Latn-ME"/>
        </w:rPr>
        <w:t>13.</w:t>
      </w:r>
      <w:r w:rsidR="667A61A2" w:rsidRPr="00AC5CD7">
        <w:rPr>
          <w:b/>
          <w:bCs/>
          <w:lang w:val="sr-Latn-ME"/>
        </w:rPr>
        <w:t xml:space="preserve">3 Saradnja nauke i privrede, transfer tehnologije i inovacije u preduzećima </w:t>
      </w:r>
      <w:r w:rsidR="667A61A2" w:rsidRPr="00AC5CD7">
        <w:rPr>
          <w:lang w:val="sr-Latn-ME"/>
        </w:rPr>
        <w:t xml:space="preserve">ova cjelina objedinjuje pitanja saradnje između istraživačkih organizacija i poslovnog sektora, tehnološkog transfera, komercijalizacije rezultata istraživanja, podrške inovativnim MSP i </w:t>
      </w:r>
      <w:proofErr w:type="spellStart"/>
      <w:r w:rsidR="667A61A2" w:rsidRPr="00AC5CD7">
        <w:rPr>
          <w:lang w:val="sr-Latn-ME"/>
        </w:rPr>
        <w:t>startapovima</w:t>
      </w:r>
      <w:proofErr w:type="spellEnd"/>
      <w:r w:rsidR="667A61A2" w:rsidRPr="00AC5CD7">
        <w:rPr>
          <w:lang w:val="sr-Latn-ME"/>
        </w:rPr>
        <w:t>, kao i razvoja inovacija u preduzećima. Takav pristup je opravdan jer se upravo u toj vezi nalazi jedan od najizraženijih razvojnih izazova Crne Gore koji se ogleda u nedovoljno snažnoj povezanosti sa potrebama privrede i tržišnom valorizacijom znanja.</w:t>
      </w:r>
    </w:p>
    <w:p w14:paraId="3CB8CDA5" w14:textId="3A9B68DD" w:rsidR="00F579F5" w:rsidRPr="00AC5CD7" w:rsidRDefault="00941732" w:rsidP="00420BA4">
      <w:pPr>
        <w:rPr>
          <w:noProof/>
          <w:lang w:val="sr-Latn-ME"/>
        </w:rPr>
      </w:pPr>
      <w:r w:rsidRPr="00AC5CD7">
        <w:rPr>
          <w:b/>
          <w:bCs/>
          <w:lang w:val="sr-Latn-ME"/>
        </w:rPr>
        <w:t>13.</w:t>
      </w:r>
      <w:r w:rsidR="667A61A2" w:rsidRPr="00AC5CD7">
        <w:rPr>
          <w:b/>
          <w:bCs/>
          <w:lang w:val="sr-Latn-ME"/>
        </w:rPr>
        <w:t xml:space="preserve">4 Upravljanje sistemom, reformski okvir i međunarodna integracija </w:t>
      </w:r>
      <w:r w:rsidR="667A61A2" w:rsidRPr="00AC5CD7">
        <w:rPr>
          <w:lang w:val="sr-Latn-ME"/>
        </w:rPr>
        <w:t>o</w:t>
      </w:r>
      <w:r w:rsidR="667A61A2" w:rsidRPr="00AC5CD7">
        <w:rPr>
          <w:noProof/>
          <w:lang w:val="sr-Latn-ME"/>
        </w:rPr>
        <w:t>va cjelina obuhvata zakonodavni i strateški okvir, institucionalnu koordinaciju i razvoj sistema, upravljanje i praćenje, usklađenost sa evropskim prioritetima, međunarodnu i evropsku istraživačku saradnju, kao i reformske zahtjeve koji proizlaze iz Reformske agende i procesa pripreme za buduće korišćenje EU fondova. Njeno izdvajanje je važno jer razvoj sistema ne zavisi samo od pojedinačnih instrumenata podrške, već i od daljeg jačanja institucionalnog okvira, kvaliteta upravljanja, koordinacije i integracije u evropski prostor istraživanja i inovacija.</w:t>
      </w:r>
    </w:p>
    <w:p w14:paraId="3777CC6E" w14:textId="5F709E3A" w:rsidR="00F579F5" w:rsidRPr="00AC5CD7" w:rsidRDefault="00AC5CD7" w:rsidP="0021066E">
      <w:pPr>
        <w:pStyle w:val="Naslov2"/>
        <w:rPr>
          <w:lang w:val="sr-Latn-ME"/>
        </w:rPr>
      </w:pPr>
      <w:r w:rsidRPr="00AC5CD7">
        <w:rPr>
          <w:lang w:val="sr-Latn-ME"/>
        </w:rPr>
        <w:t>L</w:t>
      </w:r>
      <w:r w:rsidR="0021066E" w:rsidRPr="00AC5CD7">
        <w:rPr>
          <w:lang w:val="sr-Latn-ME"/>
        </w:rPr>
        <w:t>ista razvojnih izazova</w:t>
      </w:r>
    </w:p>
    <w:tbl>
      <w:tblPr>
        <w:tblStyle w:val="Svijetlatablicareetke1-isticanje4"/>
        <w:tblW w:w="4925" w:type="pct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2694"/>
        <w:gridCol w:w="4677"/>
      </w:tblGrid>
      <w:tr w:rsidR="00AC5CD7" w:rsidRPr="00AC5CD7" w14:paraId="508F1357" w14:textId="77777777" w:rsidTr="00AC5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44D401CB" w14:textId="77777777" w:rsidR="00AC5CD7" w:rsidRPr="00AC5CD7" w:rsidRDefault="00AC5CD7" w:rsidP="00AC5CD7">
            <w:pPr>
              <w:jc w:val="lef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Broj</w:t>
            </w:r>
          </w:p>
        </w:tc>
        <w:tc>
          <w:tcPr>
            <w:tcW w:w="556" w:type="pct"/>
            <w:noWrap/>
            <w:hideMark/>
          </w:tcPr>
          <w:p w14:paraId="1455A1FE" w14:textId="77777777" w:rsidR="00AC5CD7" w:rsidRPr="00AC5CD7" w:rsidRDefault="00AC5CD7" w:rsidP="00AC5CD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Kod</w:t>
            </w:r>
          </w:p>
        </w:tc>
        <w:tc>
          <w:tcPr>
            <w:tcW w:w="1509" w:type="pct"/>
            <w:noWrap/>
            <w:hideMark/>
          </w:tcPr>
          <w:p w14:paraId="34343E34" w14:textId="77777777" w:rsidR="00AC5CD7" w:rsidRPr="00AC5CD7" w:rsidRDefault="00AC5CD7" w:rsidP="00AC5CD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Naziv razvojnog izazova</w:t>
            </w:r>
          </w:p>
        </w:tc>
        <w:tc>
          <w:tcPr>
            <w:tcW w:w="2620" w:type="pct"/>
            <w:noWrap/>
            <w:hideMark/>
          </w:tcPr>
          <w:p w14:paraId="53431BD1" w14:textId="77777777" w:rsidR="00AC5CD7" w:rsidRPr="00AC5CD7" w:rsidRDefault="00AC5CD7" w:rsidP="00AC5CD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Obrazloženje</w:t>
            </w:r>
          </w:p>
        </w:tc>
      </w:tr>
      <w:tr w:rsidR="00AC5CD7" w:rsidRPr="00AC5CD7" w14:paraId="6A1FC5C5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1BE5D875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01</w:t>
            </w:r>
          </w:p>
        </w:tc>
        <w:tc>
          <w:tcPr>
            <w:tcW w:w="556" w:type="pct"/>
            <w:noWrap/>
            <w:hideMark/>
          </w:tcPr>
          <w:p w14:paraId="5BADD0E7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PA13-01</w:t>
            </w:r>
          </w:p>
        </w:tc>
        <w:tc>
          <w:tcPr>
            <w:tcW w:w="1509" w:type="pct"/>
            <w:noWrap/>
            <w:hideMark/>
          </w:tcPr>
          <w:p w14:paraId="363403F0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Nizak intenzitet ulaganja u istraživanje i razvoj</w:t>
            </w:r>
          </w:p>
        </w:tc>
        <w:tc>
          <w:tcPr>
            <w:tcW w:w="2620" w:type="pct"/>
            <w:noWrap/>
            <w:hideMark/>
          </w:tcPr>
          <w:p w14:paraId="0487D5B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Izdaci za istraživanje i razvoj u Crnoj Gori procijenjeni su na 0,4% BDP-a u 2024, dok je prosjek EU iznosio 2,2% BDP-a, što ukazuje na značajan investicioni jaz i ograničene mogućnosti za snažniji razvoj istraživačkih kapaciteta i rezultata.</w:t>
            </w:r>
          </w:p>
        </w:tc>
      </w:tr>
      <w:tr w:rsidR="00AC5CD7" w:rsidRPr="00AC5CD7" w14:paraId="597A3B3E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5FF2F80C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02</w:t>
            </w:r>
          </w:p>
        </w:tc>
        <w:tc>
          <w:tcPr>
            <w:tcW w:w="556" w:type="pct"/>
            <w:noWrap/>
            <w:hideMark/>
          </w:tcPr>
          <w:p w14:paraId="0722CA44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PA13-02</w:t>
            </w:r>
          </w:p>
        </w:tc>
        <w:tc>
          <w:tcPr>
            <w:tcW w:w="1509" w:type="pct"/>
            <w:noWrap/>
            <w:hideMark/>
          </w:tcPr>
          <w:p w14:paraId="5CB64760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atraktivnost istraživačkog sistema</w:t>
            </w:r>
          </w:p>
        </w:tc>
        <w:tc>
          <w:tcPr>
            <w:tcW w:w="2620" w:type="pct"/>
            <w:noWrap/>
            <w:hideMark/>
          </w:tcPr>
          <w:p w14:paraId="57DD2250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Crna Gora bilježi samo ograničen napredak u indikatoru novih doktora nauka (+4,8 procentnih poena u periodu 2018–2025), dok je broj stranih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doktoranada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opao, što ukazuje na ograničenu atraktivnost sistema i izazove u privlačenju i zadržavanju istraživača.</w:t>
            </w:r>
          </w:p>
        </w:tc>
      </w:tr>
      <w:tr w:rsidR="00AC5CD7" w:rsidRPr="00AC5CD7" w14:paraId="5A86F006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413F8DBE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03</w:t>
            </w:r>
          </w:p>
        </w:tc>
        <w:tc>
          <w:tcPr>
            <w:tcW w:w="556" w:type="pct"/>
            <w:noWrap/>
            <w:hideMark/>
          </w:tcPr>
          <w:p w14:paraId="3E2D922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PA13-03</w:t>
            </w:r>
          </w:p>
        </w:tc>
        <w:tc>
          <w:tcPr>
            <w:tcW w:w="1509" w:type="pct"/>
            <w:noWrap/>
            <w:hideMark/>
          </w:tcPr>
          <w:p w14:paraId="754CE417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Odliv istraživača i visokoobrazovanih kadrova</w:t>
            </w:r>
          </w:p>
        </w:tc>
        <w:tc>
          <w:tcPr>
            <w:tcW w:w="2620" w:type="pct"/>
            <w:noWrap/>
            <w:hideMark/>
          </w:tcPr>
          <w:p w14:paraId="21D7453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Brain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drain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se prepoznaje kao jedno od ključnih ograničenja sistema. U uslovima male istraživačke baze, odlazak kvalifikovanih kadrova </w:t>
            </w: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lastRenderedPageBreak/>
              <w:t>dodatno smanjuje kapacitet za izvrsna istraživanja i međunarodnu konkurentnost.</w:t>
            </w:r>
          </w:p>
        </w:tc>
      </w:tr>
      <w:tr w:rsidR="00AC5CD7" w:rsidRPr="00AC5CD7" w14:paraId="2068DC6A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05B2F3FE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lastRenderedPageBreak/>
              <w:t>04</w:t>
            </w:r>
          </w:p>
        </w:tc>
        <w:tc>
          <w:tcPr>
            <w:tcW w:w="556" w:type="pct"/>
            <w:noWrap/>
            <w:hideMark/>
          </w:tcPr>
          <w:p w14:paraId="3D471AA2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PA13-04</w:t>
            </w:r>
          </w:p>
        </w:tc>
        <w:tc>
          <w:tcPr>
            <w:tcW w:w="1509" w:type="pct"/>
            <w:noWrap/>
            <w:hideMark/>
          </w:tcPr>
          <w:p w14:paraId="6BD59E01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Ograničena istraživačka baza i mali obim sistema</w:t>
            </w:r>
          </w:p>
        </w:tc>
        <w:tc>
          <w:tcPr>
            <w:tcW w:w="2620" w:type="pct"/>
            <w:noWrap/>
            <w:hideMark/>
          </w:tcPr>
          <w:p w14:paraId="7D1B6E71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Prema raspoloživim podacima, u istraživanju i razvoju bilo je zaposleno 2.330 lica u 2023, dok se procjenjuje da istraživanje i razvoj obuhvata oko 0,3% ukupne radne snage, naspram približno 1% na nivou EU, što ukazuje na usku istraživačku bazu.</w:t>
            </w:r>
          </w:p>
        </w:tc>
      </w:tr>
      <w:tr w:rsidR="00AC5CD7" w:rsidRPr="00AC5CD7" w14:paraId="617FEE96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71DC8F9E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05</w:t>
            </w:r>
          </w:p>
        </w:tc>
        <w:tc>
          <w:tcPr>
            <w:tcW w:w="556" w:type="pct"/>
            <w:noWrap/>
            <w:hideMark/>
          </w:tcPr>
          <w:p w14:paraId="357E9AA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PA13-05</w:t>
            </w:r>
          </w:p>
        </w:tc>
        <w:tc>
          <w:tcPr>
            <w:tcW w:w="1509" w:type="pct"/>
            <w:noWrap/>
            <w:hideMark/>
          </w:tcPr>
          <w:p w14:paraId="5500EFD5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Nedovoljan broj novih doktora nauka i ograničen talenat u ICT-u</w:t>
            </w:r>
          </w:p>
        </w:tc>
        <w:tc>
          <w:tcPr>
            <w:tcW w:w="2620" w:type="pct"/>
            <w:noWrap/>
            <w:hideMark/>
          </w:tcPr>
          <w:p w14:paraId="1FFDAA6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U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European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Innovation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Scoreboard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profilu za Crnu Goru, novi doktori nauka i raspoloživ talenat u ICT sektoru identifikovani su među slabijim tačkama sistema, što ograničava razvoj naučne izvrsnosti i tehnološki intenzivnih inovacija.</w:t>
            </w:r>
          </w:p>
        </w:tc>
      </w:tr>
      <w:tr w:rsidR="00AC5CD7" w:rsidRPr="00AC5CD7" w14:paraId="610ECB52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03F0EC47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06</w:t>
            </w:r>
          </w:p>
        </w:tc>
        <w:tc>
          <w:tcPr>
            <w:tcW w:w="556" w:type="pct"/>
            <w:noWrap/>
            <w:hideMark/>
          </w:tcPr>
          <w:p w14:paraId="4CA515F7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PA13-06</w:t>
            </w:r>
          </w:p>
        </w:tc>
        <w:tc>
          <w:tcPr>
            <w:tcW w:w="1509" w:type="pct"/>
            <w:noWrap/>
            <w:hideMark/>
          </w:tcPr>
          <w:p w14:paraId="74488B14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međunarodna konkurentnost istraživanja</w:t>
            </w:r>
          </w:p>
        </w:tc>
        <w:tc>
          <w:tcPr>
            <w:tcW w:w="2620" w:type="pct"/>
            <w:noWrap/>
            <w:hideMark/>
          </w:tcPr>
          <w:p w14:paraId="1E0C831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Iako Crna Gora bilježi rast međunarodnih naučnih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kopublikacija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(+40,2 procentna poena) i publikacija među 10%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najcitiranijih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(+17,6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p.p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.) u periodu 2018–2025, ukupna veličina sistema ostaje mala, a međunarodna vidljivost još nedovoljna za snažnije pozicioniranje.</w:t>
            </w:r>
          </w:p>
        </w:tc>
      </w:tr>
      <w:tr w:rsidR="00AC5CD7" w:rsidRPr="00AC5CD7" w14:paraId="2D91AE73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0F9AF630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07</w:t>
            </w:r>
          </w:p>
        </w:tc>
        <w:tc>
          <w:tcPr>
            <w:tcW w:w="556" w:type="pct"/>
            <w:noWrap/>
            <w:hideMark/>
          </w:tcPr>
          <w:p w14:paraId="46E34A6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PA13-07</w:t>
            </w:r>
          </w:p>
        </w:tc>
        <w:tc>
          <w:tcPr>
            <w:tcW w:w="1509" w:type="pct"/>
            <w:noWrap/>
            <w:hideMark/>
          </w:tcPr>
          <w:p w14:paraId="18AA4FC0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razvijen sistem praćenja performansi istraživanja</w:t>
            </w:r>
          </w:p>
        </w:tc>
        <w:tc>
          <w:tcPr>
            <w:tcW w:w="2620" w:type="pct"/>
            <w:noWrap/>
            <w:hideMark/>
          </w:tcPr>
          <w:p w14:paraId="58C235AA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 više strateških dokumenata navodi se potreba za jačanjem praćenja i evaluacije sistema. Bez pouzdanijih i redovno ažuriranih podataka o učincima, teže je usmjeravati ulaganja i donositi politike zasnovane na dokazima.</w:t>
            </w:r>
          </w:p>
        </w:tc>
      </w:tr>
      <w:tr w:rsidR="00AC5CD7" w:rsidRPr="00AC5CD7" w14:paraId="61110D5F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48DE36A3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08</w:t>
            </w:r>
          </w:p>
        </w:tc>
        <w:tc>
          <w:tcPr>
            <w:tcW w:w="556" w:type="pct"/>
            <w:noWrap/>
            <w:hideMark/>
          </w:tcPr>
          <w:p w14:paraId="0FE2E24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PA13-08</w:t>
            </w:r>
          </w:p>
        </w:tc>
        <w:tc>
          <w:tcPr>
            <w:tcW w:w="1509" w:type="pct"/>
            <w:noWrap/>
            <w:hideMark/>
          </w:tcPr>
          <w:p w14:paraId="0E0FC08C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usmjerenje istraživanja ka društvenim i ekonomskim potrebama</w:t>
            </w:r>
          </w:p>
        </w:tc>
        <w:tc>
          <w:tcPr>
            <w:tcW w:w="2620" w:type="pct"/>
            <w:noWrap/>
            <w:hideMark/>
          </w:tcPr>
          <w:p w14:paraId="0D5A6CEA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Više izvora ukazuje da sistem još nije dovoljno usmjeren na istraživanja sa jačim potencijalom primjene. To ograničava doprinos nauke razvoju privrede, javnih politika i odgovoru na društvene izazove.</w:t>
            </w:r>
          </w:p>
        </w:tc>
      </w:tr>
      <w:tr w:rsidR="00AC5CD7" w:rsidRPr="00AC5CD7" w14:paraId="2B716BC9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663AD079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09</w:t>
            </w:r>
          </w:p>
        </w:tc>
        <w:tc>
          <w:tcPr>
            <w:tcW w:w="556" w:type="pct"/>
            <w:noWrap/>
            <w:hideMark/>
          </w:tcPr>
          <w:p w14:paraId="795C9F6D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PA13-09</w:t>
            </w:r>
          </w:p>
        </w:tc>
        <w:tc>
          <w:tcPr>
            <w:tcW w:w="1509" w:type="pct"/>
            <w:noWrap/>
            <w:hideMark/>
          </w:tcPr>
          <w:p w14:paraId="715D00E5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Izazovi u održavanju i daljem razvoju istraživačke infrastrukture</w:t>
            </w:r>
          </w:p>
        </w:tc>
        <w:tc>
          <w:tcPr>
            <w:tcW w:w="2620" w:type="pct"/>
            <w:noWrap/>
            <w:hideMark/>
          </w:tcPr>
          <w:p w14:paraId="17F84B67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Više izvora naglašava da, pored novih ulaganja, poseban izazov predstavljaju održavanje, modernizacija i dugoročna održivost istraživačke infrastrukture, kao i potreba da se postojeće usluge nadograđuju i šire.</w:t>
            </w:r>
          </w:p>
        </w:tc>
      </w:tr>
      <w:tr w:rsidR="00AC5CD7" w:rsidRPr="00AC5CD7" w14:paraId="5C9841A8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3940CECB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10</w:t>
            </w:r>
          </w:p>
        </w:tc>
        <w:tc>
          <w:tcPr>
            <w:tcW w:w="556" w:type="pct"/>
            <w:noWrap/>
            <w:hideMark/>
          </w:tcPr>
          <w:p w14:paraId="064A143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PA13-10</w:t>
            </w:r>
          </w:p>
        </w:tc>
        <w:tc>
          <w:tcPr>
            <w:tcW w:w="1509" w:type="pct"/>
            <w:noWrap/>
            <w:hideMark/>
          </w:tcPr>
          <w:p w14:paraId="62F767D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dostupnost i otvoreni pristup istraživačkoj infrastrukturi</w:t>
            </w:r>
          </w:p>
        </w:tc>
        <w:tc>
          <w:tcPr>
            <w:tcW w:w="2620" w:type="pct"/>
            <w:noWrap/>
            <w:hideMark/>
          </w:tcPr>
          <w:p w14:paraId="48576A5D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Otvoreni pristup istraživačkoj infrastrukturi još nije u potpunosti implementiran. Time se smanjuje mogućnost da infrastrukturu šire koriste istraživači i privreda, posebno za primijenjena istraživanja i transfer znanja.</w:t>
            </w:r>
          </w:p>
        </w:tc>
      </w:tr>
      <w:tr w:rsidR="00AC5CD7" w:rsidRPr="00AC5CD7" w14:paraId="5782B592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581BBBFF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11</w:t>
            </w:r>
          </w:p>
        </w:tc>
        <w:tc>
          <w:tcPr>
            <w:tcW w:w="556" w:type="pct"/>
            <w:noWrap/>
            <w:hideMark/>
          </w:tcPr>
          <w:p w14:paraId="3B080A0B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PA13-11</w:t>
            </w:r>
          </w:p>
        </w:tc>
        <w:tc>
          <w:tcPr>
            <w:tcW w:w="1509" w:type="pct"/>
            <w:noWrap/>
            <w:hideMark/>
          </w:tcPr>
          <w:p w14:paraId="3E760AC2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funkcionalna povezanost istraživačke i inovacione infrastrukture</w:t>
            </w:r>
          </w:p>
        </w:tc>
        <w:tc>
          <w:tcPr>
            <w:tcW w:w="2620" w:type="pct"/>
            <w:noWrap/>
            <w:hideMark/>
          </w:tcPr>
          <w:p w14:paraId="5187883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Crna Gora je razvila važnu inovacionu infrastrukturu, uključujući NTP CG, IPC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Tehnopolis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i Fond za inovacije. Međutim, izazov se odnosi na njihovo dalje funkcionalno povezivanje u koherentan razvojni lanac koji korisnike vodi od istraživanja, ideje i prototipa do komercijalizacije, internacionalizacije i rasta.</w:t>
            </w:r>
          </w:p>
        </w:tc>
      </w:tr>
      <w:tr w:rsidR="00AC5CD7" w:rsidRPr="00AC5CD7" w14:paraId="5035F1A5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4C7C9654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12</w:t>
            </w:r>
          </w:p>
        </w:tc>
        <w:tc>
          <w:tcPr>
            <w:tcW w:w="556" w:type="pct"/>
            <w:noWrap/>
            <w:hideMark/>
          </w:tcPr>
          <w:p w14:paraId="629FEAC2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PA13-12</w:t>
            </w:r>
          </w:p>
        </w:tc>
        <w:tc>
          <w:tcPr>
            <w:tcW w:w="1509" w:type="pct"/>
            <w:noWrap/>
            <w:hideMark/>
          </w:tcPr>
          <w:p w14:paraId="2BFDF0F1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Nedovoljno specijalizovane usluge podrške za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startapove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i inovativna preduzeća</w:t>
            </w:r>
          </w:p>
        </w:tc>
        <w:tc>
          <w:tcPr>
            <w:tcW w:w="2620" w:type="pct"/>
            <w:noWrap/>
            <w:hideMark/>
          </w:tcPr>
          <w:p w14:paraId="48110692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Iako je inovacioni ekosistem ojačan, ipak ostaje izazov u daljem razvoju specijalizovanih usluga koje odgovaraju različitim fazama razvoja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startapova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i inovativnih MSP. </w:t>
            </w:r>
          </w:p>
        </w:tc>
      </w:tr>
      <w:tr w:rsidR="00AC5CD7" w:rsidRPr="00AC5CD7" w14:paraId="36F45D5C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40842247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13</w:t>
            </w:r>
          </w:p>
        </w:tc>
        <w:tc>
          <w:tcPr>
            <w:tcW w:w="556" w:type="pct"/>
            <w:noWrap/>
            <w:hideMark/>
          </w:tcPr>
          <w:p w14:paraId="2823E7B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PA13-13</w:t>
            </w:r>
          </w:p>
        </w:tc>
        <w:tc>
          <w:tcPr>
            <w:tcW w:w="1509" w:type="pct"/>
            <w:noWrap/>
            <w:hideMark/>
          </w:tcPr>
          <w:p w14:paraId="047E37B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Nedovoljno integrisana podrška za akceleraciju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iskaliranja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inovativnih projekata</w:t>
            </w:r>
          </w:p>
        </w:tc>
        <w:tc>
          <w:tcPr>
            <w:tcW w:w="2620" w:type="pct"/>
            <w:noWrap/>
            <w:hideMark/>
          </w:tcPr>
          <w:p w14:paraId="792C638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Postoje programi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predakceleracije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i akceleracije, uključujući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BoostMeUp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, programe Fonda za inovacije, NTP-a i IPC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Tehnopolisa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, kao i Regionalni akcelerator. Međutim, podrška još nije dovoljno integrisana i kontinuirana kroz sve faze razvoja, posebno u dijelu investicione spremnosti, pristupa kapitalu, internacionalizacije i izlaska na tržišta.</w:t>
            </w:r>
          </w:p>
        </w:tc>
      </w:tr>
      <w:tr w:rsidR="00AC5CD7" w:rsidRPr="00AC5CD7" w14:paraId="7C7DE735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57AE685D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14</w:t>
            </w:r>
          </w:p>
        </w:tc>
        <w:tc>
          <w:tcPr>
            <w:tcW w:w="556" w:type="pct"/>
            <w:noWrap/>
            <w:hideMark/>
          </w:tcPr>
          <w:p w14:paraId="58E69EBC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PA13-14</w:t>
            </w:r>
          </w:p>
        </w:tc>
        <w:tc>
          <w:tcPr>
            <w:tcW w:w="1509" w:type="pct"/>
            <w:noWrap/>
            <w:hideMark/>
          </w:tcPr>
          <w:p w14:paraId="2264822B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teritorijalna rasprostranjenost podrške inovacijama</w:t>
            </w:r>
          </w:p>
        </w:tc>
        <w:tc>
          <w:tcPr>
            <w:tcW w:w="2620" w:type="pct"/>
            <w:noWrap/>
            <w:hideMark/>
          </w:tcPr>
          <w:p w14:paraId="04E2665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Ključni infrastrukturni i organizacioni kapaciteti koncentrisani su u ograničenom broju lokacija, što umanjuje dostupnost usluga podrške inovacijama za aktere iz drugih djelova zemlje.</w:t>
            </w:r>
          </w:p>
        </w:tc>
      </w:tr>
      <w:tr w:rsidR="00AC5CD7" w:rsidRPr="00AC5CD7" w14:paraId="10A51127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051BCBE7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15</w:t>
            </w:r>
          </w:p>
        </w:tc>
        <w:tc>
          <w:tcPr>
            <w:tcW w:w="556" w:type="pct"/>
            <w:noWrap/>
            <w:hideMark/>
          </w:tcPr>
          <w:p w14:paraId="166A02E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PA13-15</w:t>
            </w:r>
          </w:p>
        </w:tc>
        <w:tc>
          <w:tcPr>
            <w:tcW w:w="1509" w:type="pct"/>
            <w:noWrap/>
            <w:hideMark/>
          </w:tcPr>
          <w:p w14:paraId="7BFE5BA3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Ograničeni kapaciteti za strateško upravljanje infrastrukturom</w:t>
            </w:r>
          </w:p>
        </w:tc>
        <w:tc>
          <w:tcPr>
            <w:tcW w:w="2620" w:type="pct"/>
            <w:noWrap/>
            <w:hideMark/>
          </w:tcPr>
          <w:p w14:paraId="680E88DA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Postoji potreba za održivije modele upravljanja i finansiranja infrastrukture, uključujući bolji balans javnih sredstava, prihoda korisnika i međunarodnih izvora, posebno za NTP i druge nove strukture.</w:t>
            </w:r>
          </w:p>
        </w:tc>
      </w:tr>
      <w:tr w:rsidR="00AC5CD7" w:rsidRPr="00AC5CD7" w14:paraId="19C5FB3F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278FC59C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16</w:t>
            </w:r>
          </w:p>
        </w:tc>
        <w:tc>
          <w:tcPr>
            <w:tcW w:w="556" w:type="pct"/>
            <w:noWrap/>
            <w:hideMark/>
          </w:tcPr>
          <w:p w14:paraId="519CAD3D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PA13-16</w:t>
            </w:r>
          </w:p>
        </w:tc>
        <w:tc>
          <w:tcPr>
            <w:tcW w:w="1509" w:type="pct"/>
            <w:noWrap/>
            <w:hideMark/>
          </w:tcPr>
          <w:p w14:paraId="02AEE683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integracija u panevropske istraživačke infrastrukture</w:t>
            </w:r>
          </w:p>
        </w:tc>
        <w:tc>
          <w:tcPr>
            <w:tcW w:w="2620" w:type="pct"/>
            <w:noWrap/>
            <w:hideMark/>
          </w:tcPr>
          <w:p w14:paraId="0ACDF1E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Mapa puta za istraživačku infrastrukturu naglašava važnost pristupa i članstva u panevropskim istraživačkim infrastrukturama, ali taj segment još nije dovoljno razvijen da bi značajnije povećao međunarodnu povezanost i pristup vrhunskim kapacitetima.</w:t>
            </w:r>
          </w:p>
        </w:tc>
      </w:tr>
      <w:tr w:rsidR="00AC5CD7" w:rsidRPr="00AC5CD7" w14:paraId="63A223ED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5B445F91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17</w:t>
            </w:r>
          </w:p>
        </w:tc>
        <w:tc>
          <w:tcPr>
            <w:tcW w:w="556" w:type="pct"/>
            <w:noWrap/>
            <w:hideMark/>
          </w:tcPr>
          <w:p w14:paraId="6913176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PA13-17</w:t>
            </w:r>
          </w:p>
        </w:tc>
        <w:tc>
          <w:tcPr>
            <w:tcW w:w="1509" w:type="pct"/>
            <w:noWrap/>
            <w:hideMark/>
          </w:tcPr>
          <w:p w14:paraId="1C75A4C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specijalizacija i koordinacija usluga inovacione infrastrukture</w:t>
            </w:r>
          </w:p>
        </w:tc>
        <w:tc>
          <w:tcPr>
            <w:tcW w:w="2620" w:type="pct"/>
            <w:noWrap/>
            <w:hideMark/>
          </w:tcPr>
          <w:p w14:paraId="683F68B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Iako NTP CG i IPC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Tehnopolis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obezbjeđuju niz javno dostupnih infrastrukturnih, programskih i savjetodavnih usluga, njihov portfolio još nije dovoljno razvijen, specijalizovan i međusobno povezan da u kontinuitetu podrži korisnike od ideje i inkubacije do komercijalizacije, internacionalizacije i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skaliranja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inovativnih rješenja.</w:t>
            </w:r>
          </w:p>
        </w:tc>
      </w:tr>
      <w:tr w:rsidR="00AC5CD7" w:rsidRPr="00AC5CD7" w14:paraId="3DB4BF48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5E49324F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18</w:t>
            </w:r>
          </w:p>
        </w:tc>
        <w:tc>
          <w:tcPr>
            <w:tcW w:w="556" w:type="pct"/>
            <w:noWrap/>
            <w:hideMark/>
          </w:tcPr>
          <w:p w14:paraId="391BDA2A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PA13-18</w:t>
            </w:r>
          </w:p>
        </w:tc>
        <w:tc>
          <w:tcPr>
            <w:tcW w:w="1509" w:type="pct"/>
            <w:noWrap/>
            <w:hideMark/>
          </w:tcPr>
          <w:p w14:paraId="7C8D5273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razvijena saradnja nauke i privrede</w:t>
            </w:r>
          </w:p>
        </w:tc>
        <w:tc>
          <w:tcPr>
            <w:tcW w:w="2620" w:type="pct"/>
            <w:noWrap/>
            <w:hideMark/>
          </w:tcPr>
          <w:p w14:paraId="54A0F3C5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Saradnja između istraživačkih organizacija i poslovnog sektora i dalje je ograničena. To potvrđuje i nizak nivo javno-privatnih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kopublikacija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, koji iznosi 33,1% prosjeka EU, kao i mali obim zajedničkih projekata.</w:t>
            </w:r>
          </w:p>
        </w:tc>
      </w:tr>
      <w:tr w:rsidR="00AC5CD7" w:rsidRPr="00AC5CD7" w14:paraId="0F1D284D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5A1B0A84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19</w:t>
            </w:r>
          </w:p>
        </w:tc>
        <w:tc>
          <w:tcPr>
            <w:tcW w:w="556" w:type="pct"/>
            <w:noWrap/>
            <w:hideMark/>
          </w:tcPr>
          <w:p w14:paraId="5A6F503B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PA13-19</w:t>
            </w:r>
          </w:p>
        </w:tc>
        <w:tc>
          <w:tcPr>
            <w:tcW w:w="1509" w:type="pct"/>
            <w:noWrap/>
            <w:hideMark/>
          </w:tcPr>
          <w:p w14:paraId="7B65BEF2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Ograničeni kapaciteti za transfer tehnologije</w:t>
            </w:r>
          </w:p>
        </w:tc>
        <w:tc>
          <w:tcPr>
            <w:tcW w:w="2620" w:type="pct"/>
            <w:noWrap/>
            <w:hideMark/>
          </w:tcPr>
          <w:p w14:paraId="095B501D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Više izvora ukazuje na ograničene kapacitete univerziteta za transfer tehnologije. Time se smanjuje mogućnost da istraživački rezultati budu pretvoreni u patente, spin-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off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kompanije i tržišno primjenjiva rješenja.</w:t>
            </w:r>
          </w:p>
        </w:tc>
      </w:tr>
      <w:tr w:rsidR="00AC5CD7" w:rsidRPr="00AC5CD7" w14:paraId="58B45E54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6C9FDB8D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lastRenderedPageBreak/>
              <w:t>20</w:t>
            </w:r>
          </w:p>
        </w:tc>
        <w:tc>
          <w:tcPr>
            <w:tcW w:w="556" w:type="pct"/>
            <w:noWrap/>
            <w:hideMark/>
          </w:tcPr>
          <w:p w14:paraId="4BB6984C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PA13-20</w:t>
            </w:r>
          </w:p>
        </w:tc>
        <w:tc>
          <w:tcPr>
            <w:tcW w:w="1509" w:type="pct"/>
            <w:noWrap/>
            <w:hideMark/>
          </w:tcPr>
          <w:p w14:paraId="36FD80FD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Nizak nivo povjerenja između istraživačkog i poslovnog sektora</w:t>
            </w:r>
          </w:p>
        </w:tc>
        <w:tc>
          <w:tcPr>
            <w:tcW w:w="2620" w:type="pct"/>
            <w:noWrap/>
            <w:hideMark/>
          </w:tcPr>
          <w:p w14:paraId="364A3A8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Postoji nizak nivo povjerenja između biznisa i istraživača, što otežava razvoj zajedničkih projekata, ugovornih istraživanja i dugoročnih partnerstava.</w:t>
            </w:r>
          </w:p>
        </w:tc>
      </w:tr>
      <w:tr w:rsidR="00AC5CD7" w:rsidRPr="00AC5CD7" w14:paraId="5FE75312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1A939E13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21</w:t>
            </w:r>
          </w:p>
        </w:tc>
        <w:tc>
          <w:tcPr>
            <w:tcW w:w="556" w:type="pct"/>
            <w:noWrap/>
            <w:hideMark/>
          </w:tcPr>
          <w:p w14:paraId="2C24056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PA13-21</w:t>
            </w:r>
          </w:p>
        </w:tc>
        <w:tc>
          <w:tcPr>
            <w:tcW w:w="1509" w:type="pct"/>
            <w:noWrap/>
            <w:hideMark/>
          </w:tcPr>
          <w:p w14:paraId="7CF0640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uključivanje poslovnog sektora u istraživanje i razvoj</w:t>
            </w:r>
          </w:p>
        </w:tc>
        <w:tc>
          <w:tcPr>
            <w:tcW w:w="2620" w:type="pct"/>
            <w:noWrap/>
            <w:hideMark/>
          </w:tcPr>
          <w:p w14:paraId="2D3B8844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Izdaci poslovnog sektora za R&amp;D i dalje su vrlo niski. Prema raspoloživim podacima, oni iznose 9,7% prosjeka EU, a u jednom od nacionalnih izvora za raniji period procjenjuju se na svega 0,20% BDP-a.</w:t>
            </w:r>
          </w:p>
        </w:tc>
      </w:tr>
      <w:tr w:rsidR="00AC5CD7" w:rsidRPr="00AC5CD7" w14:paraId="7C734EFB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486AC67C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22</w:t>
            </w:r>
          </w:p>
        </w:tc>
        <w:tc>
          <w:tcPr>
            <w:tcW w:w="556" w:type="pct"/>
            <w:noWrap/>
            <w:hideMark/>
          </w:tcPr>
          <w:p w14:paraId="434D60E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PA13-22</w:t>
            </w:r>
          </w:p>
        </w:tc>
        <w:tc>
          <w:tcPr>
            <w:tcW w:w="1509" w:type="pct"/>
            <w:noWrap/>
            <w:hideMark/>
          </w:tcPr>
          <w:p w14:paraId="0A8C7B2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Mali broj korisnika i ograničen obim zajedničkih projekata</w:t>
            </w:r>
          </w:p>
        </w:tc>
        <w:tc>
          <w:tcPr>
            <w:tcW w:w="2620" w:type="pct"/>
            <w:noWrap/>
            <w:hideMark/>
          </w:tcPr>
          <w:p w14:paraId="4A5D6833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Postoji mali broj korisnika i ograničen obim projekata saradnje. To znači da postojeći instrumenti još nemaju dovoljan sistemski uticaj na transformaciju odnosa nauke i privrede.</w:t>
            </w:r>
          </w:p>
        </w:tc>
      </w:tr>
      <w:tr w:rsidR="00AC5CD7" w:rsidRPr="00AC5CD7" w14:paraId="6527EA5C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6EA9E6F2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23</w:t>
            </w:r>
          </w:p>
        </w:tc>
        <w:tc>
          <w:tcPr>
            <w:tcW w:w="556" w:type="pct"/>
            <w:noWrap/>
            <w:hideMark/>
          </w:tcPr>
          <w:p w14:paraId="070DC42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PA13-23</w:t>
            </w:r>
          </w:p>
        </w:tc>
        <w:tc>
          <w:tcPr>
            <w:tcW w:w="1509" w:type="pct"/>
            <w:noWrap/>
            <w:hideMark/>
          </w:tcPr>
          <w:p w14:paraId="362BF2B3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Slaba komercijalizacija rezultata istraživanja</w:t>
            </w:r>
          </w:p>
        </w:tc>
        <w:tc>
          <w:tcPr>
            <w:tcW w:w="2620" w:type="pct"/>
            <w:noWrap/>
            <w:hideMark/>
          </w:tcPr>
          <w:p w14:paraId="4F0A9CA3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Kapacitet za komercijalizaciju istraživanja i podršku rastu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startapova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i inovativnih MSP ostaje ograničen. To znači da formalno jačanje sistema još ne daje dovoljno snažne tržišne ishode.</w:t>
            </w:r>
          </w:p>
        </w:tc>
      </w:tr>
      <w:tr w:rsidR="00AC5CD7" w:rsidRPr="00AC5CD7" w14:paraId="4D03EFD1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4756C0C2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24</w:t>
            </w:r>
          </w:p>
        </w:tc>
        <w:tc>
          <w:tcPr>
            <w:tcW w:w="556" w:type="pct"/>
            <w:noWrap/>
            <w:hideMark/>
          </w:tcPr>
          <w:p w14:paraId="662DBD8C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PA13-24</w:t>
            </w:r>
          </w:p>
        </w:tc>
        <w:tc>
          <w:tcPr>
            <w:tcW w:w="1509" w:type="pct"/>
            <w:noWrap/>
            <w:hideMark/>
          </w:tcPr>
          <w:p w14:paraId="03CD935B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razvijena preduzetnička kultura zasnovana na znanju</w:t>
            </w:r>
          </w:p>
        </w:tc>
        <w:tc>
          <w:tcPr>
            <w:tcW w:w="2620" w:type="pct"/>
            <w:noWrap/>
            <w:hideMark/>
          </w:tcPr>
          <w:p w14:paraId="009AC854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Ovo je jedan od razvojnih izazova u obrazovnom sistemu što ograničava bazu za nastanak novih inovativnih poduhvata.</w:t>
            </w:r>
          </w:p>
        </w:tc>
      </w:tr>
      <w:tr w:rsidR="00AC5CD7" w:rsidRPr="00AC5CD7" w14:paraId="4D63DFE4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2B1412B3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25</w:t>
            </w:r>
          </w:p>
        </w:tc>
        <w:tc>
          <w:tcPr>
            <w:tcW w:w="556" w:type="pct"/>
            <w:noWrap/>
            <w:hideMark/>
          </w:tcPr>
          <w:p w14:paraId="3C1E1FF0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PA13-25</w:t>
            </w:r>
          </w:p>
        </w:tc>
        <w:tc>
          <w:tcPr>
            <w:tcW w:w="1509" w:type="pct"/>
            <w:noWrap/>
            <w:hideMark/>
          </w:tcPr>
          <w:p w14:paraId="6ABC1BE4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 pristup finansiranju za inovativna preduzeća</w:t>
            </w:r>
          </w:p>
        </w:tc>
        <w:tc>
          <w:tcPr>
            <w:tcW w:w="2620" w:type="pct"/>
            <w:noWrap/>
            <w:hideMark/>
          </w:tcPr>
          <w:p w14:paraId="4D86F4A3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Venture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capital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izdaci u Crnoj Gori iznose svega 0,5% prosjeka EU. </w:t>
            </w:r>
          </w:p>
        </w:tc>
      </w:tr>
      <w:tr w:rsidR="00AC5CD7" w:rsidRPr="00AC5CD7" w14:paraId="1179E7E9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0B90FD08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26</w:t>
            </w:r>
          </w:p>
        </w:tc>
        <w:tc>
          <w:tcPr>
            <w:tcW w:w="556" w:type="pct"/>
            <w:noWrap/>
            <w:hideMark/>
          </w:tcPr>
          <w:p w14:paraId="5447CF2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PA13-26</w:t>
            </w:r>
          </w:p>
        </w:tc>
        <w:tc>
          <w:tcPr>
            <w:tcW w:w="1509" w:type="pct"/>
            <w:noWrap/>
            <w:hideMark/>
          </w:tcPr>
          <w:p w14:paraId="61E314A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sektorska orijentacija istraživanja i inovacija</w:t>
            </w:r>
          </w:p>
        </w:tc>
        <w:tc>
          <w:tcPr>
            <w:tcW w:w="2620" w:type="pct"/>
            <w:noWrap/>
            <w:hideMark/>
          </w:tcPr>
          <w:p w14:paraId="5F9C7D25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Postoji nedovoljno uključivanje privatnog sektora u istraživanja u oblastima kao što su digitalne tehnologije, energija, zelena tranzicija, zdravlje, industrija, otpornost i svemir, iako su to oblasti sa velikim razvojnim potencijalom.</w:t>
            </w:r>
          </w:p>
        </w:tc>
      </w:tr>
      <w:tr w:rsidR="00AC5CD7" w:rsidRPr="00AC5CD7" w14:paraId="342A2FAA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0CC2859A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27</w:t>
            </w:r>
          </w:p>
        </w:tc>
        <w:tc>
          <w:tcPr>
            <w:tcW w:w="556" w:type="pct"/>
            <w:noWrap/>
            <w:hideMark/>
          </w:tcPr>
          <w:p w14:paraId="1D8C2204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PA13-27</w:t>
            </w:r>
          </w:p>
        </w:tc>
        <w:tc>
          <w:tcPr>
            <w:tcW w:w="1509" w:type="pct"/>
            <w:noWrap/>
            <w:hideMark/>
          </w:tcPr>
          <w:p w14:paraId="2401A85B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 obuhvat inovativnih preduzeća instrumentima podrške</w:t>
            </w:r>
          </w:p>
        </w:tc>
        <w:tc>
          <w:tcPr>
            <w:tcW w:w="2620" w:type="pct"/>
            <w:noWrap/>
            <w:hideMark/>
          </w:tcPr>
          <w:p w14:paraId="6EA467AC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Uprkos rastu broja programa i korisnika podrške, inovacioni ekosistem zahtijeva širi i bolje diferenciran portfolio instrumenata. Izazov se odnosi na obuhvat različitih faza razvoja preduzeća, dostupnost podrške van glavnih inovacionih centara i jačanje kontinuiteta podrške od ideje do komercijalizacije i rasta.</w:t>
            </w:r>
          </w:p>
        </w:tc>
      </w:tr>
      <w:tr w:rsidR="00AC5CD7" w:rsidRPr="00AC5CD7" w14:paraId="77C02677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5173621A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28</w:t>
            </w:r>
          </w:p>
        </w:tc>
        <w:tc>
          <w:tcPr>
            <w:tcW w:w="556" w:type="pct"/>
            <w:noWrap/>
            <w:hideMark/>
          </w:tcPr>
          <w:p w14:paraId="52875503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PA13-28</w:t>
            </w:r>
          </w:p>
        </w:tc>
        <w:tc>
          <w:tcPr>
            <w:tcW w:w="1509" w:type="pct"/>
            <w:noWrap/>
            <w:hideMark/>
          </w:tcPr>
          <w:p w14:paraId="2CD53E90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Nedovoljna operativna koordinacija instrumenata podrške u nacionalnom inovacionom ekosistemu</w:t>
            </w:r>
          </w:p>
        </w:tc>
        <w:tc>
          <w:tcPr>
            <w:tcW w:w="2620" w:type="pct"/>
            <w:noWrap/>
            <w:hideMark/>
          </w:tcPr>
          <w:p w14:paraId="0BCDF86D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Koordinacioni okvir je uspostavljen kroz pametnu specijalizaciju i Program za nauku i inovacije 2026–2030. Međutim, prostor za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unapređenje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postoji u operativnom usklađivanju instrumenata podrške, razmjeni podataka, izbjegavanju preklapanja i zajedničkom praćenju rezultata između ključnih aktera sistema.</w:t>
            </w:r>
          </w:p>
        </w:tc>
      </w:tr>
      <w:tr w:rsidR="00AC5CD7" w:rsidRPr="00AC5CD7" w14:paraId="03C9F945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21909E44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29</w:t>
            </w:r>
          </w:p>
        </w:tc>
        <w:tc>
          <w:tcPr>
            <w:tcW w:w="556" w:type="pct"/>
            <w:noWrap/>
            <w:hideMark/>
          </w:tcPr>
          <w:p w14:paraId="44145412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PA13-29</w:t>
            </w:r>
          </w:p>
        </w:tc>
        <w:tc>
          <w:tcPr>
            <w:tcW w:w="1509" w:type="pct"/>
            <w:noWrap/>
            <w:hideMark/>
          </w:tcPr>
          <w:p w14:paraId="5AEA074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razgraničene funkcije strateškog upravljanja i operativne implementacije u sistemu nauke i istraživanja</w:t>
            </w:r>
          </w:p>
        </w:tc>
        <w:tc>
          <w:tcPr>
            <w:tcW w:w="2620" w:type="pct"/>
            <w:noWrap/>
            <w:hideMark/>
          </w:tcPr>
          <w:p w14:paraId="5F275A8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 oblasti inovacija uspostavljen je jasniji institucionalni model u kojem Fond za inovacije ima operativni mandat za sprovođenje instrumenata podrške, dok su u oblasti nauke i istraživanja funkcije planiranja, finansiranja i implementacije nacionalnih programa dominantno koncentrisane u resornom ministarstvu. Iako takav model nije ocijenjen kao nedovoljan, međunarodne analize ukazuju da bi dalje razgraničenje strateških i operativnih funkcija moglo doprinijeti većoj efikasnosti, specijalizaciji i održivosti sistema.</w:t>
            </w:r>
          </w:p>
        </w:tc>
      </w:tr>
      <w:tr w:rsidR="00AC5CD7" w:rsidRPr="00AC5CD7" w14:paraId="25D58C9A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766C6CF5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30</w:t>
            </w:r>
          </w:p>
        </w:tc>
        <w:tc>
          <w:tcPr>
            <w:tcW w:w="556" w:type="pct"/>
            <w:noWrap/>
            <w:hideMark/>
          </w:tcPr>
          <w:p w14:paraId="389CE93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PA13-30</w:t>
            </w:r>
          </w:p>
        </w:tc>
        <w:tc>
          <w:tcPr>
            <w:tcW w:w="1509" w:type="pct"/>
            <w:noWrap/>
            <w:hideMark/>
          </w:tcPr>
          <w:p w14:paraId="76ACBB4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Ograničeni mehanizmi za praćenje efekata unaprijeđenog pravnog okvira u oblasti nauke i inovacija</w:t>
            </w:r>
          </w:p>
        </w:tc>
        <w:tc>
          <w:tcPr>
            <w:tcW w:w="2620" w:type="pct"/>
            <w:noWrap/>
            <w:hideMark/>
          </w:tcPr>
          <w:p w14:paraId="5B995EC5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Pravni i podzakonski okvir u oblasti nauke i inovacija značajno je unaprijeđen tokom 2024. i 2025. godine i usklađivan sa evropskim okvirom i praksom. Izazov se više ne odnosi na njegovu formalnu zaokruženost, već na dosljednu primjenu, praćenje efekata novih rješenja i korišćenje nalaza evaluacija za dalje prilagođavanje instrumenata podrške i institucionalnih procedura.</w:t>
            </w:r>
          </w:p>
        </w:tc>
      </w:tr>
      <w:tr w:rsidR="00AC5CD7" w:rsidRPr="00AC5CD7" w14:paraId="6D09ED60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0C7FAC0B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31</w:t>
            </w:r>
          </w:p>
        </w:tc>
        <w:tc>
          <w:tcPr>
            <w:tcW w:w="556" w:type="pct"/>
            <w:noWrap/>
            <w:hideMark/>
          </w:tcPr>
          <w:p w14:paraId="18F7C90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PA13-31</w:t>
            </w:r>
          </w:p>
        </w:tc>
        <w:tc>
          <w:tcPr>
            <w:tcW w:w="1509" w:type="pct"/>
            <w:noWrap/>
            <w:hideMark/>
          </w:tcPr>
          <w:p w14:paraId="74E82A1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Nedovoljna usklađenost sistema sa potrebama buduće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kohezijske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politike</w:t>
            </w:r>
          </w:p>
        </w:tc>
        <w:tc>
          <w:tcPr>
            <w:tcW w:w="2620" w:type="pct"/>
            <w:noWrap/>
            <w:hideMark/>
          </w:tcPr>
          <w:p w14:paraId="09A3D40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Potreban novi kvalitetan strateški planski dokument kako bi sistem istraživanja i inovacija bio bolje pripremljen za programiranje budućih ulaganja iz EU fondova.</w:t>
            </w:r>
          </w:p>
        </w:tc>
      </w:tr>
      <w:tr w:rsidR="00AC5CD7" w:rsidRPr="00AC5CD7" w14:paraId="1ED8FE66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30E47E1A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32</w:t>
            </w:r>
          </w:p>
        </w:tc>
        <w:tc>
          <w:tcPr>
            <w:tcW w:w="556" w:type="pct"/>
            <w:noWrap/>
            <w:hideMark/>
          </w:tcPr>
          <w:p w14:paraId="48C6799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PA13-32</w:t>
            </w:r>
          </w:p>
        </w:tc>
        <w:tc>
          <w:tcPr>
            <w:tcW w:w="1509" w:type="pct"/>
            <w:noWrap/>
            <w:hideMark/>
          </w:tcPr>
          <w:p w14:paraId="0133A75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Ograničeno učešće u međunarodnim i EU programima</w:t>
            </w:r>
          </w:p>
        </w:tc>
        <w:tc>
          <w:tcPr>
            <w:tcW w:w="2620" w:type="pct"/>
            <w:noWrap/>
            <w:hideMark/>
          </w:tcPr>
          <w:p w14:paraId="35A8913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Crna Gora je do sada u okviru Horizont Evropa potpisala 31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grant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u vrijednosti od 4,83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mil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. eura. To potvrđuje napredak, ali i dalje relativno skroman obim učešća u odnosu na potencijal i potrebe sistema.</w:t>
            </w:r>
          </w:p>
        </w:tc>
      </w:tr>
      <w:tr w:rsidR="00AC5CD7" w:rsidRPr="00AC5CD7" w14:paraId="7E3FDE53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05A44C33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33</w:t>
            </w:r>
          </w:p>
        </w:tc>
        <w:tc>
          <w:tcPr>
            <w:tcW w:w="556" w:type="pct"/>
            <w:noWrap/>
            <w:hideMark/>
          </w:tcPr>
          <w:p w14:paraId="0B0BFC6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PA13-33</w:t>
            </w:r>
          </w:p>
        </w:tc>
        <w:tc>
          <w:tcPr>
            <w:tcW w:w="1509" w:type="pct"/>
            <w:noWrap/>
            <w:hideMark/>
          </w:tcPr>
          <w:p w14:paraId="65DE8D8C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Nedovoljno korišćenje potencijala međunarodne i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dijasporske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saradnje</w:t>
            </w:r>
          </w:p>
        </w:tc>
        <w:tc>
          <w:tcPr>
            <w:tcW w:w="2620" w:type="pct"/>
            <w:noWrap/>
            <w:hideMark/>
          </w:tcPr>
          <w:p w14:paraId="25E9326A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Strategija naučnoistraživačke djelatnosti i drugi dokumenti naglašavaju međunarodnu saradnju, ali raspoloživi izvori ukazuju da potencijal regionalnog, bilateralnog i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dijasporskog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povezivanja još nije dovoljno iskorišćen.</w:t>
            </w:r>
          </w:p>
        </w:tc>
      </w:tr>
      <w:tr w:rsidR="00AC5CD7" w:rsidRPr="00AC5CD7" w14:paraId="04005482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734123D7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34</w:t>
            </w:r>
          </w:p>
        </w:tc>
        <w:tc>
          <w:tcPr>
            <w:tcW w:w="556" w:type="pct"/>
            <w:noWrap/>
            <w:hideMark/>
          </w:tcPr>
          <w:p w14:paraId="2508DB87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PA13-34</w:t>
            </w:r>
          </w:p>
        </w:tc>
        <w:tc>
          <w:tcPr>
            <w:tcW w:w="1509" w:type="pct"/>
            <w:noWrap/>
            <w:hideMark/>
          </w:tcPr>
          <w:p w14:paraId="5FDA9D9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Nedovoljno razvijen pravni okvir za intelektualnu svojinu i AI</w:t>
            </w:r>
          </w:p>
        </w:tc>
        <w:tc>
          <w:tcPr>
            <w:tcW w:w="2620" w:type="pct"/>
            <w:noWrap/>
            <w:hideMark/>
          </w:tcPr>
          <w:p w14:paraId="60DC71A3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Pravni okvir za zaštitu intelektualne svojine i za proizvodnju i upotrebu vještačke inteligencije nije uspostavljen, što može usporiti razvoj inovacija u naprednim tehnološkim oblastima.</w:t>
            </w:r>
          </w:p>
        </w:tc>
      </w:tr>
      <w:tr w:rsidR="00AC5CD7" w:rsidRPr="00AC5CD7" w14:paraId="314D9F68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" w:type="pct"/>
            <w:noWrap/>
            <w:hideMark/>
          </w:tcPr>
          <w:p w14:paraId="1BB6ADFC" w14:textId="77777777" w:rsidR="00AC5CD7" w:rsidRPr="00AC5CD7" w:rsidRDefault="00AC5CD7" w:rsidP="00AC5CD7">
            <w:pPr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35</w:t>
            </w:r>
          </w:p>
        </w:tc>
        <w:tc>
          <w:tcPr>
            <w:tcW w:w="556" w:type="pct"/>
            <w:noWrap/>
            <w:hideMark/>
          </w:tcPr>
          <w:p w14:paraId="4A3D5D3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sr-Latn-ME" w:eastAsia="en-GB"/>
                <w14:ligatures w14:val="none"/>
              </w:rPr>
              <w:t>PA13-35</w:t>
            </w:r>
          </w:p>
        </w:tc>
        <w:tc>
          <w:tcPr>
            <w:tcW w:w="1509" w:type="pct"/>
            <w:noWrap/>
            <w:hideMark/>
          </w:tcPr>
          <w:p w14:paraId="2F2DB117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Ograničena raspoloživost i uporedivost podataka za upravljanje sistemom</w:t>
            </w:r>
          </w:p>
        </w:tc>
        <w:tc>
          <w:tcPr>
            <w:tcW w:w="2620" w:type="pct"/>
            <w:noWrap/>
            <w:hideMark/>
          </w:tcPr>
          <w:p w14:paraId="06EF9C5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Za dio važnih pokazatelja u oblasti istraživanja i inovacija i dalje postoje praznine ili neujednačenosti u podacima, što otežava precizno praćenje učinaka i planiranje intervencija zasnovanih na dokazima.</w:t>
            </w:r>
          </w:p>
        </w:tc>
      </w:tr>
    </w:tbl>
    <w:p w14:paraId="44BBD0D9" w14:textId="77777777" w:rsidR="00F579F5" w:rsidRPr="00AC5CD7" w:rsidRDefault="00F579F5" w:rsidP="00F579F5">
      <w:pPr>
        <w:rPr>
          <w:lang w:val="sr-Latn-ME"/>
        </w:rPr>
      </w:pPr>
    </w:p>
    <w:p w14:paraId="5EFFEAE2" w14:textId="77777777" w:rsidR="0011243E" w:rsidRPr="00AC5CD7" w:rsidRDefault="0011243E" w:rsidP="00F579F5">
      <w:pPr>
        <w:rPr>
          <w:lang w:val="sr-Latn-ME"/>
        </w:rPr>
      </w:pPr>
    </w:p>
    <w:p w14:paraId="1AE2CC13" w14:textId="77777777" w:rsidR="0011243E" w:rsidRPr="00AC5CD7" w:rsidRDefault="0011243E" w:rsidP="00F579F5">
      <w:pPr>
        <w:rPr>
          <w:lang w:val="sr-Latn-ME"/>
        </w:rPr>
      </w:pPr>
    </w:p>
    <w:p w14:paraId="09BBC4EE" w14:textId="77777777" w:rsidR="0011243E" w:rsidRPr="00AC5CD7" w:rsidRDefault="0011243E" w:rsidP="00F579F5">
      <w:pPr>
        <w:rPr>
          <w:lang w:val="sr-Latn-ME"/>
        </w:rPr>
      </w:pPr>
    </w:p>
    <w:p w14:paraId="037E91A4" w14:textId="1024A127" w:rsidR="0011243E" w:rsidRPr="00AC5CD7" w:rsidRDefault="0011243E" w:rsidP="00AC5CD7">
      <w:pPr>
        <w:pStyle w:val="Naslov1"/>
        <w:rPr>
          <w:lang w:val="sr-Latn-ME"/>
        </w:rPr>
      </w:pPr>
      <w:r w:rsidRPr="00AC5CD7">
        <w:rPr>
          <w:lang w:val="sr-Latn-ME"/>
        </w:rPr>
        <w:t>SWOT analiza</w:t>
      </w:r>
    </w:p>
    <w:tbl>
      <w:tblPr>
        <w:tblStyle w:val="Svijetlatablicareetke1-isticanje4"/>
        <w:tblW w:w="4925" w:type="pct"/>
        <w:tblLayout w:type="fixed"/>
        <w:tblLook w:val="04A0" w:firstRow="1" w:lastRow="0" w:firstColumn="1" w:lastColumn="0" w:noHBand="0" w:noVBand="1"/>
      </w:tblPr>
      <w:tblGrid>
        <w:gridCol w:w="1128"/>
        <w:gridCol w:w="6609"/>
        <w:gridCol w:w="1189"/>
      </w:tblGrid>
      <w:tr w:rsidR="00AC5CD7" w:rsidRPr="00AC5CD7" w14:paraId="344DB4A7" w14:textId="77777777" w:rsidTr="00AC5C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noWrap/>
            <w:hideMark/>
          </w:tcPr>
          <w:p w14:paraId="7A6B0F35" w14:textId="77777777" w:rsidR="00AC5CD7" w:rsidRPr="00AC5CD7" w:rsidRDefault="00AC5CD7" w:rsidP="00AC5CD7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  <w:t>S-W-O-T</w:t>
            </w:r>
          </w:p>
        </w:tc>
        <w:tc>
          <w:tcPr>
            <w:tcW w:w="3702" w:type="pct"/>
            <w:noWrap/>
            <w:hideMark/>
          </w:tcPr>
          <w:p w14:paraId="783367E6" w14:textId="77777777" w:rsidR="00AC5CD7" w:rsidRPr="00AC5CD7" w:rsidRDefault="00AC5CD7" w:rsidP="00AC5CD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  <w:t>IZJAVA</w:t>
            </w:r>
          </w:p>
        </w:tc>
        <w:tc>
          <w:tcPr>
            <w:tcW w:w="666" w:type="pct"/>
            <w:noWrap/>
            <w:hideMark/>
          </w:tcPr>
          <w:p w14:paraId="6725E84D" w14:textId="77777777" w:rsidR="00AC5CD7" w:rsidRPr="00AC5CD7" w:rsidRDefault="00AC5CD7" w:rsidP="00AC5CD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  <w:t>Povezani izazovi</w:t>
            </w:r>
          </w:p>
        </w:tc>
      </w:tr>
      <w:tr w:rsidR="00AC5CD7" w:rsidRPr="00AC5CD7" w14:paraId="0401890E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 w:val="restart"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24184CFA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  <w:t>SNAGE</w:t>
            </w:r>
          </w:p>
        </w:tc>
        <w:tc>
          <w:tcPr>
            <w:tcW w:w="3702" w:type="pct"/>
            <w:shd w:val="clear" w:color="auto" w:fill="D9F2D0" w:themeFill="accent6" w:themeFillTint="33"/>
            <w:noWrap/>
            <w:hideMark/>
          </w:tcPr>
          <w:p w14:paraId="534DD24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Bilježi se rast međunarodnih naučnih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kopublikacija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.</w:t>
            </w:r>
          </w:p>
        </w:tc>
        <w:tc>
          <w:tcPr>
            <w:tcW w:w="666" w:type="pct"/>
            <w:shd w:val="clear" w:color="auto" w:fill="D9F2D0" w:themeFill="accent6" w:themeFillTint="33"/>
            <w:noWrap/>
            <w:hideMark/>
          </w:tcPr>
          <w:p w14:paraId="6B890E9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PA13-31, PA13-32, PA13-33</w:t>
            </w:r>
          </w:p>
        </w:tc>
      </w:tr>
      <w:tr w:rsidR="00AC5CD7" w:rsidRPr="00AC5CD7" w14:paraId="05498E96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49F39B9A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D9F2D0" w:themeFill="accent6" w:themeFillTint="33"/>
            <w:noWrap/>
            <w:hideMark/>
          </w:tcPr>
          <w:p w14:paraId="21A541A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Crna Gora je punopravno pridružena programu Horizont Evropa.</w:t>
            </w:r>
          </w:p>
        </w:tc>
        <w:tc>
          <w:tcPr>
            <w:tcW w:w="666" w:type="pct"/>
            <w:shd w:val="clear" w:color="auto" w:fill="D9F2D0" w:themeFill="accent6" w:themeFillTint="33"/>
            <w:noWrap/>
            <w:hideMark/>
          </w:tcPr>
          <w:p w14:paraId="5BD4944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PA13-32</w:t>
            </w:r>
          </w:p>
        </w:tc>
      </w:tr>
      <w:tr w:rsidR="00AC5CD7" w:rsidRPr="00AC5CD7" w14:paraId="370B11EA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71EFD0B4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D9F2D0" w:themeFill="accent6" w:themeFillTint="33"/>
            <w:noWrap/>
            <w:hideMark/>
          </w:tcPr>
          <w:p w14:paraId="18267CC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Postoje institucije i instrumenti za podršku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startapovima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i inovativnim preduzećima.</w:t>
            </w:r>
          </w:p>
        </w:tc>
        <w:tc>
          <w:tcPr>
            <w:tcW w:w="666" w:type="pct"/>
            <w:shd w:val="clear" w:color="auto" w:fill="D9F2D0" w:themeFill="accent6" w:themeFillTint="33"/>
            <w:noWrap/>
            <w:hideMark/>
          </w:tcPr>
          <w:p w14:paraId="178DD402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PA13-12, PA13-13, PA13-27</w:t>
            </w:r>
          </w:p>
        </w:tc>
      </w:tr>
      <w:tr w:rsidR="00AC5CD7" w:rsidRPr="00AC5CD7" w14:paraId="3C7D9DAD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3EBB18E5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D9F2D0" w:themeFill="accent6" w:themeFillTint="33"/>
            <w:noWrap/>
            <w:hideMark/>
          </w:tcPr>
          <w:p w14:paraId="2AB6EFB2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Postoje relativne snage u inovativnim MSP koja sarađuju sa drugima.</w:t>
            </w:r>
          </w:p>
        </w:tc>
        <w:tc>
          <w:tcPr>
            <w:tcW w:w="666" w:type="pct"/>
            <w:shd w:val="clear" w:color="auto" w:fill="D9F2D0" w:themeFill="accent6" w:themeFillTint="33"/>
            <w:noWrap/>
            <w:hideMark/>
          </w:tcPr>
          <w:p w14:paraId="471645B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PA13-32</w:t>
            </w:r>
          </w:p>
        </w:tc>
      </w:tr>
      <w:tr w:rsidR="00AC5CD7" w:rsidRPr="00AC5CD7" w14:paraId="04008E22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3A16DD06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D9F2D0" w:themeFill="accent6" w:themeFillTint="33"/>
            <w:noWrap/>
            <w:hideMark/>
          </w:tcPr>
          <w:p w14:paraId="1A2A0D9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Postoji Mapa puta za istraživačku infrastrukturu 2024–2028.</w:t>
            </w:r>
          </w:p>
        </w:tc>
        <w:tc>
          <w:tcPr>
            <w:tcW w:w="666" w:type="pct"/>
            <w:shd w:val="clear" w:color="auto" w:fill="D9F2D0" w:themeFill="accent6" w:themeFillTint="33"/>
            <w:noWrap/>
            <w:hideMark/>
          </w:tcPr>
          <w:p w14:paraId="5A582E9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PA13-16</w:t>
            </w:r>
          </w:p>
        </w:tc>
      </w:tr>
      <w:tr w:rsidR="00AC5CD7" w:rsidRPr="00AC5CD7" w14:paraId="60CCC327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24596D12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D9F2D0" w:themeFill="accent6" w:themeFillTint="33"/>
            <w:noWrap/>
            <w:hideMark/>
          </w:tcPr>
          <w:p w14:paraId="15BA004B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Postoji unaprijeđen strateški i pravni okvir za istraživanje i inovacije.</w:t>
            </w:r>
          </w:p>
        </w:tc>
        <w:tc>
          <w:tcPr>
            <w:tcW w:w="666" w:type="pct"/>
            <w:shd w:val="clear" w:color="auto" w:fill="D9F2D0" w:themeFill="accent6" w:themeFillTint="33"/>
            <w:noWrap/>
            <w:hideMark/>
          </w:tcPr>
          <w:p w14:paraId="1BA9EBE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PA13-30</w:t>
            </w:r>
          </w:p>
        </w:tc>
      </w:tr>
      <w:tr w:rsidR="00AC5CD7" w:rsidRPr="00AC5CD7" w14:paraId="43A4F243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2A67AA20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D9F2D0" w:themeFill="accent6" w:themeFillTint="33"/>
            <w:noWrap/>
            <w:hideMark/>
          </w:tcPr>
          <w:p w14:paraId="65F66A3C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Program za nauku i inovacije 2026-2030 uspostavlja dugoročniji i programski uređen okvir za razvoj istraživanja, inovacija i infrastrukture.</w:t>
            </w:r>
          </w:p>
        </w:tc>
        <w:tc>
          <w:tcPr>
            <w:tcW w:w="666" w:type="pct"/>
            <w:shd w:val="clear" w:color="auto" w:fill="D9F2D0" w:themeFill="accent6" w:themeFillTint="33"/>
            <w:noWrap/>
            <w:hideMark/>
          </w:tcPr>
          <w:p w14:paraId="39566D1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PA13-28</w:t>
            </w:r>
          </w:p>
        </w:tc>
      </w:tr>
      <w:tr w:rsidR="00AC5CD7" w:rsidRPr="00AC5CD7" w14:paraId="33C69895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29EED06E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D9F2D0" w:themeFill="accent6" w:themeFillTint="33"/>
            <w:noWrap/>
            <w:hideMark/>
          </w:tcPr>
          <w:p w14:paraId="49BEC881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Program za nauku i inovacije 2026–2030 uvodi višegodišnji okvir finansiranja.</w:t>
            </w:r>
          </w:p>
        </w:tc>
        <w:tc>
          <w:tcPr>
            <w:tcW w:w="666" w:type="pct"/>
            <w:shd w:val="clear" w:color="auto" w:fill="D9F2D0" w:themeFill="accent6" w:themeFillTint="33"/>
            <w:noWrap/>
            <w:hideMark/>
          </w:tcPr>
          <w:p w14:paraId="371ECDB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PA13-28</w:t>
            </w:r>
          </w:p>
        </w:tc>
      </w:tr>
      <w:tr w:rsidR="00AC5CD7" w:rsidRPr="00AC5CD7" w14:paraId="3CFD8CDF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64D86152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D9F2D0" w:themeFill="accent6" w:themeFillTint="33"/>
            <w:noWrap/>
            <w:hideMark/>
          </w:tcPr>
          <w:p w14:paraId="5C1A74C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Prvi i drugi ciklus pametne specijalizacije uspostavio je osnovu za ciljano usmjeravanje ulaganja.</w:t>
            </w:r>
          </w:p>
        </w:tc>
        <w:tc>
          <w:tcPr>
            <w:tcW w:w="666" w:type="pct"/>
            <w:shd w:val="clear" w:color="auto" w:fill="D9F2D0" w:themeFill="accent6" w:themeFillTint="33"/>
            <w:noWrap/>
            <w:hideMark/>
          </w:tcPr>
          <w:p w14:paraId="7DFF0F5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PA13-17</w:t>
            </w:r>
          </w:p>
        </w:tc>
      </w:tr>
      <w:tr w:rsidR="00AC5CD7" w:rsidRPr="00AC5CD7" w14:paraId="73F4D1EB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66122D70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D9F2D0" w:themeFill="accent6" w:themeFillTint="33"/>
            <w:noWrap/>
            <w:hideMark/>
          </w:tcPr>
          <w:p w14:paraId="62660723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Raste broj programa i instrumenata podrške koji su usmjereni na povezivanje naučnoistraživačke zajednice, privrede i inovacionih aktera.</w:t>
            </w:r>
          </w:p>
        </w:tc>
        <w:tc>
          <w:tcPr>
            <w:tcW w:w="666" w:type="pct"/>
            <w:shd w:val="clear" w:color="auto" w:fill="D9F2D0" w:themeFill="accent6" w:themeFillTint="33"/>
            <w:noWrap/>
            <w:hideMark/>
          </w:tcPr>
          <w:p w14:paraId="7F2CC7AA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PA13-28</w:t>
            </w:r>
          </w:p>
        </w:tc>
      </w:tr>
      <w:tr w:rsidR="00AC5CD7" w:rsidRPr="00AC5CD7" w14:paraId="59200A42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12262CAB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D9F2D0" w:themeFill="accent6" w:themeFillTint="33"/>
            <w:noWrap/>
            <w:hideMark/>
          </w:tcPr>
          <w:p w14:paraId="5D8C5F2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Razvijena je inovaciona infrastruktura: NTP CG, IPC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Tehnopolis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i Fond za inovacije.</w:t>
            </w:r>
          </w:p>
        </w:tc>
        <w:tc>
          <w:tcPr>
            <w:tcW w:w="666" w:type="pct"/>
            <w:shd w:val="clear" w:color="auto" w:fill="D9F2D0" w:themeFill="accent6" w:themeFillTint="33"/>
            <w:noWrap/>
            <w:hideMark/>
          </w:tcPr>
          <w:p w14:paraId="6D2C575A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PA13-11, PA13-17</w:t>
            </w:r>
          </w:p>
        </w:tc>
      </w:tr>
      <w:tr w:rsidR="00AC5CD7" w:rsidRPr="00AC5CD7" w14:paraId="19D88E98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3D367BD7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D9F2D0" w:themeFill="accent6" w:themeFillTint="33"/>
            <w:noWrap/>
            <w:hideMark/>
          </w:tcPr>
          <w:p w14:paraId="6E39B63A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Reformska agenda prepoznaje R&amp;I kao dio razvoja ekonomije zasnovane na znanju.</w:t>
            </w:r>
          </w:p>
        </w:tc>
        <w:tc>
          <w:tcPr>
            <w:tcW w:w="666" w:type="pct"/>
            <w:shd w:val="clear" w:color="auto" w:fill="D9F2D0" w:themeFill="accent6" w:themeFillTint="33"/>
            <w:noWrap/>
            <w:hideMark/>
          </w:tcPr>
          <w:p w14:paraId="3710C815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PA13-24</w:t>
            </w:r>
          </w:p>
        </w:tc>
      </w:tr>
      <w:tr w:rsidR="00AC5CD7" w:rsidRPr="00AC5CD7" w14:paraId="37FF0129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23E32334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D9F2D0" w:themeFill="accent6" w:themeFillTint="33"/>
            <w:noWrap/>
            <w:hideMark/>
          </w:tcPr>
          <w:p w14:paraId="5BCA4E64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Uspostavljena funkcionalna Kancelarija za transfer tehnologije predstavlja važan institucionalni iskorak za jačanje zaštite intelektualne svojine, komercijalizacije rezultata istraživanja i povezivanja akademskog sektora sa tržištem.</w:t>
            </w:r>
          </w:p>
        </w:tc>
        <w:tc>
          <w:tcPr>
            <w:tcW w:w="666" w:type="pct"/>
            <w:shd w:val="clear" w:color="auto" w:fill="D9F2D0" w:themeFill="accent6" w:themeFillTint="33"/>
            <w:noWrap/>
            <w:hideMark/>
          </w:tcPr>
          <w:p w14:paraId="7B2E3D9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PA13-18, PA13-19, PA13-20, PA13-23</w:t>
            </w:r>
          </w:p>
        </w:tc>
      </w:tr>
      <w:tr w:rsidR="00AC5CD7" w:rsidRPr="00AC5CD7" w14:paraId="2823A238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noWrap/>
            <w:textDirection w:val="btLr"/>
            <w:vAlign w:val="center"/>
            <w:hideMark/>
          </w:tcPr>
          <w:p w14:paraId="4CDC5A3C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D9F2D0" w:themeFill="accent6" w:themeFillTint="33"/>
            <w:noWrap/>
            <w:hideMark/>
          </w:tcPr>
          <w:p w14:paraId="3C7E8F8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Uspostavljena je Strategija naučnoistraživačke djelatnosti 2024–2028.</w:t>
            </w:r>
          </w:p>
        </w:tc>
        <w:tc>
          <w:tcPr>
            <w:tcW w:w="666" w:type="pct"/>
            <w:shd w:val="clear" w:color="auto" w:fill="D9F2D0" w:themeFill="accent6" w:themeFillTint="33"/>
            <w:noWrap/>
            <w:hideMark/>
          </w:tcPr>
          <w:p w14:paraId="5E5619AB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PA13-33</w:t>
            </w:r>
          </w:p>
        </w:tc>
      </w:tr>
      <w:tr w:rsidR="00AC5CD7" w:rsidRPr="00AC5CD7" w14:paraId="451EF51B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noWrap/>
            <w:textDirection w:val="btLr"/>
            <w:vAlign w:val="center"/>
            <w:hideMark/>
          </w:tcPr>
          <w:p w14:paraId="7A1303CD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D9F2D0" w:themeFill="accent6" w:themeFillTint="33"/>
            <w:noWrap/>
            <w:hideMark/>
          </w:tcPr>
          <w:p w14:paraId="4685B7EC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Zaposlenost u inovativnim preduzećima je relativno povoljna u odnosu na EU prosjek.</w:t>
            </w:r>
          </w:p>
        </w:tc>
        <w:tc>
          <w:tcPr>
            <w:tcW w:w="666" w:type="pct"/>
            <w:shd w:val="clear" w:color="auto" w:fill="D9F2D0" w:themeFill="accent6" w:themeFillTint="33"/>
            <w:noWrap/>
            <w:hideMark/>
          </w:tcPr>
          <w:p w14:paraId="12EDBAAB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PA13-25</w:t>
            </w:r>
          </w:p>
        </w:tc>
      </w:tr>
      <w:tr w:rsidR="00AC5CD7" w:rsidRPr="00AC5CD7" w14:paraId="309C74FE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 w:val="restart"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4FADF57C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  <w:t>SLABOSTI</w:t>
            </w: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5FAF665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Finansiranje inovativnih preduzeća i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venture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capital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tržište su veoma ograničeni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66F7198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PA13-25</w:t>
            </w:r>
          </w:p>
        </w:tc>
      </w:tr>
      <w:tr w:rsidR="00AC5CD7" w:rsidRPr="00AC5CD7" w14:paraId="048111CD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D40F947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40A8242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Integracija u panevropske istraživačke infrastrukture je nedovoljna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0D800D0B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PA13-16</w:t>
            </w:r>
          </w:p>
        </w:tc>
      </w:tr>
      <w:tr w:rsidR="00AC5CD7" w:rsidRPr="00AC5CD7" w14:paraId="641B803C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66949ECA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6E9CA9DC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Istraživačka baza je uska, a obim sistema mali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0B2D4E24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PA13-04</w:t>
            </w:r>
          </w:p>
        </w:tc>
      </w:tr>
      <w:tr w:rsidR="00AC5CD7" w:rsidRPr="00AC5CD7" w14:paraId="693B3DB5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0E1370BE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1AD8CE91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Istraživačka i inovaciona infrastruktura nijesu dovoljno povezane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0A79443B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PA13-11</w:t>
            </w:r>
          </w:p>
        </w:tc>
      </w:tr>
      <w:tr w:rsidR="00AC5CD7" w:rsidRPr="00AC5CD7" w14:paraId="1F94F405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20BB4463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4B3B5890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Istraživački sistem nije dovoljno atraktivan za mlade i strane istraživače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3EC17AE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PA13-02</w:t>
            </w:r>
          </w:p>
        </w:tc>
      </w:tr>
      <w:tr w:rsidR="00AC5CD7" w:rsidRPr="00AC5CD7" w14:paraId="29949032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30622036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3F7A7A87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Istraživačko-inovaciona infrastruktura i usluge podrške teritorijalno su koncentrisane, dok potrebe, potencijalna tražnja i najprimjereniji modeli dostupnosti podrške u manjim sredinama nijesu dovoljno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mapirani</w:t>
            </w:r>
            <w:proofErr w:type="spellEnd"/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58BB6EC0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PA13-14</w:t>
            </w:r>
          </w:p>
        </w:tc>
      </w:tr>
      <w:tr w:rsidR="00AC5CD7" w:rsidRPr="00AC5CD7" w14:paraId="23F59D69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436C9CD7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38C9B34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Istraživanja nijesu dovoljno usmjerena ka društvenim i ekonomskim potrebama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2CF090F4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PA13-08</w:t>
            </w:r>
          </w:p>
        </w:tc>
      </w:tr>
      <w:tr w:rsidR="00AC5CD7" w:rsidRPr="00AC5CD7" w14:paraId="63129EF2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20A48489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627D48D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Kapaciteti za akceleraciju i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skaliranje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inovativnih projekata su ograničeni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7B616953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PA13-13</w:t>
            </w:r>
          </w:p>
        </w:tc>
      </w:tr>
      <w:tr w:rsidR="00AC5CD7" w:rsidRPr="00AC5CD7" w14:paraId="312FDA6D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C688540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30CCD233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Kapaciteti za strateško upravljanje infrastrukturom su ograničeni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3CA8C23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PA13-15</w:t>
            </w:r>
          </w:p>
        </w:tc>
      </w:tr>
      <w:tr w:rsidR="00AC5CD7" w:rsidRPr="00AC5CD7" w14:paraId="55E50DB3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13DB59A6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610AE4C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Kapaciteti za transfer tehnologije su ograničeni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79F8B92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PA13-19</w:t>
            </w:r>
          </w:p>
        </w:tc>
      </w:tr>
      <w:tr w:rsidR="00AC5CD7" w:rsidRPr="00AC5CD7" w14:paraId="57A27B97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4F4B6CC2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1B983B6D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Kapaciteti za upravljanje i sprovođenje politika su ograničeni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3A2C7C1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PA13-29</w:t>
            </w:r>
          </w:p>
        </w:tc>
      </w:tr>
      <w:tr w:rsidR="00AC5CD7" w:rsidRPr="00AC5CD7" w14:paraId="16312F8C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0F6C30E4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449C56EC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Komercijalizacija rezultata istraživanja je slaba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3CBF6923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PA13-23</w:t>
            </w:r>
          </w:p>
        </w:tc>
      </w:tr>
      <w:tr w:rsidR="00AC5CD7" w:rsidRPr="00AC5CD7" w14:paraId="7F941F5D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7F9BA70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42725DD0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Međunarodna konkurentnost istraživanja je ograničena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3885C99B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PA13-06</w:t>
            </w:r>
          </w:p>
        </w:tc>
      </w:tr>
      <w:tr w:rsidR="00AC5CD7" w:rsidRPr="00AC5CD7" w14:paraId="3A8A3E1C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0842DBD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19DBAEB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Nedovoljan je broj novih doktora nauka i talenata u ICT-u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1BCA4A1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PA13-05</w:t>
            </w:r>
          </w:p>
        </w:tc>
      </w:tr>
      <w:tr w:rsidR="00AC5CD7" w:rsidRPr="00AC5CD7" w14:paraId="2136299B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647D9083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401DD15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Obim zajedničkih projekata i korisnika podrške je ograničen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52F5226A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PA13-22, PA13-27</w:t>
            </w:r>
          </w:p>
        </w:tc>
      </w:tr>
      <w:tr w:rsidR="00AC5CD7" w:rsidRPr="00AC5CD7" w14:paraId="77929243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35E6E4C5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75E31BA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Odliv istraživača i visokoobrazovanih kadrova smanjuje kapacitet sistema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24A8B774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PA13-03</w:t>
            </w:r>
          </w:p>
        </w:tc>
      </w:tr>
      <w:tr w:rsidR="00AC5CD7" w:rsidRPr="00AC5CD7" w14:paraId="7BBE73CE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4D020C3A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629BD885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Održavanje i modernizacija istraživačke infrastrukture ostaju izazov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0FCE632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PA13-09</w:t>
            </w:r>
          </w:p>
        </w:tc>
      </w:tr>
      <w:tr w:rsidR="00AC5CD7" w:rsidRPr="00AC5CD7" w14:paraId="4C26C758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46D9F38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0C820B14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Ograničeni mehanizmi za praćenje efekata unaprijeđenog pravnog okvira u oblasti nauke i inovacija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73EFA8AC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PA13-30</w:t>
            </w:r>
          </w:p>
        </w:tc>
      </w:tr>
      <w:tr w:rsidR="00AC5CD7" w:rsidRPr="00AC5CD7" w14:paraId="10E5BA6E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06BA545D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35431BA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Otvoreni pristup istraživačkoj infrastrukturi nije u potpunosti razvijen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6A887B0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PA13-10</w:t>
            </w:r>
          </w:p>
        </w:tc>
      </w:tr>
      <w:tr w:rsidR="00AC5CD7" w:rsidRPr="00AC5CD7" w14:paraId="3386F5EC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82DC87B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6F70EB33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Pravni okvir za intelektualnu svojinu i AI nije dovoljno razvijen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59FBFF8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PA13-34</w:t>
            </w:r>
          </w:p>
        </w:tc>
      </w:tr>
      <w:tr w:rsidR="00AC5CD7" w:rsidRPr="00AC5CD7" w14:paraId="72C4F1BB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B953FB1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07B944CB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Preduzetnička kultura zasnovana na znanju nije dovoljno razvijena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6990CAE7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PA13-24</w:t>
            </w:r>
          </w:p>
        </w:tc>
      </w:tr>
      <w:tr w:rsidR="00AC5CD7" w:rsidRPr="00AC5CD7" w14:paraId="75812DF0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087A8FC5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60EA1D5B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Privatni sektor je nedovoljno uključen u istraživanje i razvoj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10750D05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PA13-21</w:t>
            </w:r>
          </w:p>
        </w:tc>
      </w:tr>
      <w:tr w:rsidR="00AC5CD7" w:rsidRPr="00AC5CD7" w14:paraId="505106FE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7CC4812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72F5CC5A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Saradnja nauke i privrede je nedovoljno razvijena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5AAD959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PA13-18</w:t>
            </w:r>
          </w:p>
        </w:tc>
      </w:tr>
      <w:tr w:rsidR="00AC5CD7" w:rsidRPr="00AC5CD7" w14:paraId="33BCC16C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4F861424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65BF890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Sistem nije dovoljno pripremljen za buduće programiranje kohezionih ulaganja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7FF9F86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PA13-31</w:t>
            </w:r>
          </w:p>
        </w:tc>
      </w:tr>
      <w:tr w:rsidR="00AC5CD7" w:rsidRPr="00AC5CD7" w14:paraId="6DF45DCD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6B5512E4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39C299A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Sistem podrške nije dovoljno fleksibilan za specijalističke i brzo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razvijajuće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oblasti istraživanja i inovacija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798E94E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PA13-26, PA13-12</w:t>
            </w:r>
          </w:p>
        </w:tc>
      </w:tr>
      <w:tr w:rsidR="00AC5CD7" w:rsidRPr="00AC5CD7" w14:paraId="792ACDC2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2BF7EAD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176BA0C5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Sistem praćenja performansi istraživanja nije dovoljno razvijen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17036AF4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PA13-07, PA13-35</w:t>
            </w:r>
          </w:p>
        </w:tc>
      </w:tr>
      <w:tr w:rsidR="00AC5CD7" w:rsidRPr="00AC5CD7" w14:paraId="08CECEB4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A247160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631E714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Učešće u međunarodnim i EU programima ostaje ograničeno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21EC7EF2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PA13-32, PA13-33</w:t>
            </w:r>
          </w:p>
        </w:tc>
      </w:tr>
      <w:tr w:rsidR="00AC5CD7" w:rsidRPr="00AC5CD7" w14:paraId="38F28B14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00DC7921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251FA122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Ulaganja u istraživanje i razvoj su znatno ispod EU prosjeka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49756D65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PA13-01</w:t>
            </w:r>
          </w:p>
        </w:tc>
      </w:tr>
      <w:tr w:rsidR="00AC5CD7" w:rsidRPr="00AC5CD7" w14:paraId="0F3E96A8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4BCE5615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AE2D5" w:themeFill="accent2" w:themeFillTint="33"/>
            <w:noWrap/>
            <w:hideMark/>
          </w:tcPr>
          <w:p w14:paraId="45C938F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Usluge podrške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startapovima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i inovativnim preduzećima nijesu dovoljno kontinuirane i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ravnomjernodostupne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tokom godine</w:t>
            </w:r>
          </w:p>
        </w:tc>
        <w:tc>
          <w:tcPr>
            <w:tcW w:w="666" w:type="pct"/>
            <w:shd w:val="clear" w:color="auto" w:fill="FAE2D5" w:themeFill="accent2" w:themeFillTint="33"/>
            <w:noWrap/>
            <w:hideMark/>
          </w:tcPr>
          <w:p w14:paraId="539B7E0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PA13-12, PA13-14, PA13-17</w:t>
            </w:r>
          </w:p>
        </w:tc>
      </w:tr>
      <w:tr w:rsidR="00AC5CD7" w:rsidRPr="00AC5CD7" w14:paraId="34E95F92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 w:val="restart"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6F2662C6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  <w:t>PRILIKE</w:t>
            </w:r>
          </w:p>
        </w:tc>
        <w:tc>
          <w:tcPr>
            <w:tcW w:w="3702" w:type="pct"/>
            <w:shd w:val="clear" w:color="auto" w:fill="CAEDFB" w:themeFill="accent4" w:themeFillTint="33"/>
            <w:noWrap/>
            <w:hideMark/>
          </w:tcPr>
          <w:p w14:paraId="2EA84B87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Budući NRPP i kohezioni okvir mogu podržati veća ulaganja u R&amp;I.</w:t>
            </w:r>
          </w:p>
        </w:tc>
        <w:tc>
          <w:tcPr>
            <w:tcW w:w="666" w:type="pct"/>
            <w:shd w:val="clear" w:color="auto" w:fill="CAEDFB" w:themeFill="accent4" w:themeFillTint="33"/>
            <w:noWrap/>
            <w:hideMark/>
          </w:tcPr>
          <w:p w14:paraId="09664ECA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PA13-31</w:t>
            </w:r>
          </w:p>
        </w:tc>
      </w:tr>
      <w:tr w:rsidR="00AC5CD7" w:rsidRPr="00AC5CD7" w14:paraId="6123CF97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780422C0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CAEDFB" w:themeFill="accent4" w:themeFillTint="33"/>
            <w:noWrap/>
            <w:hideMark/>
          </w:tcPr>
          <w:p w14:paraId="51B6213A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Digitalna i zelena tranzicija mogu povećati tražnju za primijenjenim istraživanjima.</w:t>
            </w:r>
          </w:p>
        </w:tc>
        <w:tc>
          <w:tcPr>
            <w:tcW w:w="666" w:type="pct"/>
            <w:shd w:val="clear" w:color="auto" w:fill="CAEDFB" w:themeFill="accent4" w:themeFillTint="33"/>
            <w:noWrap/>
            <w:hideMark/>
          </w:tcPr>
          <w:p w14:paraId="5325831D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PA13-26</w:t>
            </w:r>
          </w:p>
        </w:tc>
      </w:tr>
      <w:tr w:rsidR="00AC5CD7" w:rsidRPr="00AC5CD7" w14:paraId="56B729B3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35DFCED0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CAEDFB" w:themeFill="accent4" w:themeFillTint="33"/>
            <w:noWrap/>
            <w:hideMark/>
          </w:tcPr>
          <w:p w14:paraId="660DDE2C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Dijasporska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i bilateralna saradnja mogu proširiti istraživačke mreže i mentorstvo.</w:t>
            </w:r>
          </w:p>
        </w:tc>
        <w:tc>
          <w:tcPr>
            <w:tcW w:w="666" w:type="pct"/>
            <w:shd w:val="clear" w:color="auto" w:fill="CAEDFB" w:themeFill="accent4" w:themeFillTint="33"/>
            <w:noWrap/>
            <w:hideMark/>
          </w:tcPr>
          <w:p w14:paraId="3D112B4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PA13-31, PA13-32, PA13-33</w:t>
            </w:r>
          </w:p>
        </w:tc>
      </w:tr>
      <w:tr w:rsidR="00AC5CD7" w:rsidRPr="00AC5CD7" w14:paraId="3FF3EB05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4BC7941D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CAEDFB" w:themeFill="accent4" w:themeFillTint="33"/>
            <w:noWrap/>
            <w:hideMark/>
          </w:tcPr>
          <w:p w14:paraId="4289FF71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ERA agenda može podržati otvorenu nauku, istraživačke karijere i mobilnost.</w:t>
            </w:r>
          </w:p>
        </w:tc>
        <w:tc>
          <w:tcPr>
            <w:tcW w:w="666" w:type="pct"/>
            <w:shd w:val="clear" w:color="auto" w:fill="CAEDFB" w:themeFill="accent4" w:themeFillTint="33"/>
            <w:noWrap/>
            <w:hideMark/>
          </w:tcPr>
          <w:p w14:paraId="431962E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PA13-16</w:t>
            </w:r>
          </w:p>
        </w:tc>
      </w:tr>
      <w:tr w:rsidR="00AC5CD7" w:rsidRPr="00AC5CD7" w14:paraId="7028EA4F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0B8BF403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CAEDFB" w:themeFill="accent4" w:themeFillTint="33"/>
            <w:noWrap/>
            <w:hideMark/>
          </w:tcPr>
          <w:p w14:paraId="131CDEB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EU i regionalne mreže mogu ojačati saradnju nauke i privrede.</w:t>
            </w:r>
          </w:p>
        </w:tc>
        <w:tc>
          <w:tcPr>
            <w:tcW w:w="666" w:type="pct"/>
            <w:shd w:val="clear" w:color="auto" w:fill="CAEDFB" w:themeFill="accent4" w:themeFillTint="33"/>
            <w:noWrap/>
            <w:hideMark/>
          </w:tcPr>
          <w:p w14:paraId="55992B8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PA13-18</w:t>
            </w:r>
          </w:p>
        </w:tc>
      </w:tr>
      <w:tr w:rsidR="00AC5CD7" w:rsidRPr="00AC5CD7" w14:paraId="7AA4D3CA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6CB1BEF9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CAEDFB" w:themeFill="accent4" w:themeFillTint="33"/>
            <w:noWrap/>
            <w:hideMark/>
          </w:tcPr>
          <w:p w14:paraId="79F8546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Horizont Evropa i budući EU programi mogu povećati međunarodnu integraciju istraživača.</w:t>
            </w:r>
          </w:p>
        </w:tc>
        <w:tc>
          <w:tcPr>
            <w:tcW w:w="666" w:type="pct"/>
            <w:shd w:val="clear" w:color="auto" w:fill="CAEDFB" w:themeFill="accent4" w:themeFillTint="33"/>
            <w:noWrap/>
            <w:hideMark/>
          </w:tcPr>
          <w:p w14:paraId="46CB2705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PA13-31, PA13-32, PA13-33</w:t>
            </w:r>
          </w:p>
        </w:tc>
      </w:tr>
      <w:tr w:rsidR="00AC5CD7" w:rsidRPr="00AC5CD7" w14:paraId="6FE26463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205DD895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CAEDFB" w:themeFill="accent4" w:themeFillTint="33"/>
            <w:noWrap/>
            <w:hideMark/>
          </w:tcPr>
          <w:p w14:paraId="4B4A8AB2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Nova evropska agenda inovacija otvara prostor za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deep-tech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, startap i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scale-up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razvoj.</w:t>
            </w:r>
          </w:p>
        </w:tc>
        <w:tc>
          <w:tcPr>
            <w:tcW w:w="666" w:type="pct"/>
            <w:shd w:val="clear" w:color="auto" w:fill="CAEDFB" w:themeFill="accent4" w:themeFillTint="33"/>
            <w:noWrap/>
            <w:hideMark/>
          </w:tcPr>
          <w:p w14:paraId="05B79BD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PA13-12, PA13-13, PA13-27</w:t>
            </w:r>
          </w:p>
        </w:tc>
      </w:tr>
      <w:tr w:rsidR="00AC5CD7" w:rsidRPr="00AC5CD7" w14:paraId="054D853F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5B322FA3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CAEDFB" w:themeFill="accent4" w:themeFillTint="33"/>
            <w:noWrap/>
            <w:hideMark/>
          </w:tcPr>
          <w:p w14:paraId="2F5A5BDA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Nova Strategija pametne specijalizacije može bolje usmjeriti ulaganja ka prioritetima rasta.</w:t>
            </w:r>
          </w:p>
        </w:tc>
        <w:tc>
          <w:tcPr>
            <w:tcW w:w="666" w:type="pct"/>
            <w:shd w:val="clear" w:color="auto" w:fill="CAEDFB" w:themeFill="accent4" w:themeFillTint="33"/>
            <w:noWrap/>
            <w:hideMark/>
          </w:tcPr>
          <w:p w14:paraId="388299A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PA13-17</w:t>
            </w:r>
          </w:p>
        </w:tc>
      </w:tr>
      <w:tr w:rsidR="00AC5CD7" w:rsidRPr="00AC5CD7" w14:paraId="30093752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09FD72BE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CAEDFB" w:themeFill="accent4" w:themeFillTint="33"/>
            <w:noWrap/>
            <w:hideMark/>
          </w:tcPr>
          <w:p w14:paraId="5B27A6FB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Otvoreni pristup infrastrukturi može proširiti krug korisnika i zajedničkih projekata.</w:t>
            </w:r>
          </w:p>
        </w:tc>
        <w:tc>
          <w:tcPr>
            <w:tcW w:w="666" w:type="pct"/>
            <w:shd w:val="clear" w:color="auto" w:fill="CAEDFB" w:themeFill="accent4" w:themeFillTint="33"/>
            <w:noWrap/>
            <w:hideMark/>
          </w:tcPr>
          <w:p w14:paraId="1B3DE1B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PA13-10, PA13-22</w:t>
            </w:r>
          </w:p>
        </w:tc>
      </w:tr>
      <w:tr w:rsidR="00AC5CD7" w:rsidRPr="00AC5CD7" w14:paraId="3350BC99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6C9C18B5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CAEDFB" w:themeFill="accent4" w:themeFillTint="33"/>
            <w:noWrap/>
            <w:hideMark/>
          </w:tcPr>
          <w:p w14:paraId="3B6CC261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Panevropske istraživačke infrastrukture mogu otvoriti pristup vrhunskim kapacitetima.</w:t>
            </w:r>
          </w:p>
        </w:tc>
        <w:tc>
          <w:tcPr>
            <w:tcW w:w="666" w:type="pct"/>
            <w:shd w:val="clear" w:color="auto" w:fill="CAEDFB" w:themeFill="accent4" w:themeFillTint="33"/>
            <w:noWrap/>
            <w:hideMark/>
          </w:tcPr>
          <w:p w14:paraId="5669C8F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PA13-09, PA13-10, PA13-16</w:t>
            </w:r>
          </w:p>
        </w:tc>
      </w:tr>
      <w:tr w:rsidR="00AC5CD7" w:rsidRPr="00AC5CD7" w14:paraId="284245AC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3B600AE1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CAEDFB" w:themeFill="accent4" w:themeFillTint="33"/>
            <w:noWrap/>
            <w:hideMark/>
          </w:tcPr>
          <w:p w14:paraId="6E8E36A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Razvoj AI i digitalnih tehnologija može otvoriti nove niše za istraživanje i inovacije.</w:t>
            </w:r>
          </w:p>
        </w:tc>
        <w:tc>
          <w:tcPr>
            <w:tcW w:w="666" w:type="pct"/>
            <w:shd w:val="clear" w:color="auto" w:fill="CAEDFB" w:themeFill="accent4" w:themeFillTint="33"/>
            <w:noWrap/>
            <w:hideMark/>
          </w:tcPr>
          <w:p w14:paraId="60D36122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PA13-30, PA13-34</w:t>
            </w:r>
          </w:p>
        </w:tc>
      </w:tr>
      <w:tr w:rsidR="00AC5CD7" w:rsidRPr="00AC5CD7" w14:paraId="7A75EF66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117795AE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CAEDFB" w:themeFill="accent4" w:themeFillTint="33"/>
            <w:noWrap/>
            <w:hideMark/>
          </w:tcPr>
          <w:p w14:paraId="33B5DE8C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Veća uključenost privatnog sektora može povećati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primijenjenost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istraživanja.</w:t>
            </w:r>
          </w:p>
        </w:tc>
        <w:tc>
          <w:tcPr>
            <w:tcW w:w="666" w:type="pct"/>
            <w:shd w:val="clear" w:color="auto" w:fill="CAEDFB" w:themeFill="accent4" w:themeFillTint="33"/>
            <w:noWrap/>
            <w:hideMark/>
          </w:tcPr>
          <w:p w14:paraId="63276C63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PA13-26</w:t>
            </w:r>
          </w:p>
        </w:tc>
      </w:tr>
      <w:tr w:rsidR="00AC5CD7" w:rsidRPr="00AC5CD7" w14:paraId="57EEE95F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 w:val="restart"/>
            <w:shd w:val="clear" w:color="auto" w:fill="FFFFCC"/>
            <w:noWrap/>
            <w:textDirection w:val="btLr"/>
            <w:vAlign w:val="center"/>
            <w:hideMark/>
          </w:tcPr>
          <w:p w14:paraId="196E094E" w14:textId="77777777" w:rsidR="00AC5CD7" w:rsidRPr="00AC5CD7" w:rsidRDefault="00AC5CD7" w:rsidP="00AC5CD7">
            <w:pPr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  <w14:ligatures w14:val="none"/>
              </w:rPr>
              <w:t>PRIJETNJE</w:t>
            </w:r>
          </w:p>
        </w:tc>
        <w:tc>
          <w:tcPr>
            <w:tcW w:w="3702" w:type="pct"/>
            <w:shd w:val="clear" w:color="auto" w:fill="FFFFCC"/>
            <w:noWrap/>
            <w:hideMark/>
          </w:tcPr>
          <w:p w14:paraId="2D67A285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Brz razvoj regulative EU u oblasti AI i IP može povećati zahtjeve za usklađivanje</w:t>
            </w:r>
          </w:p>
        </w:tc>
        <w:tc>
          <w:tcPr>
            <w:tcW w:w="666" w:type="pct"/>
            <w:shd w:val="clear" w:color="auto" w:fill="FFFFCC"/>
            <w:noWrap/>
            <w:hideMark/>
          </w:tcPr>
          <w:p w14:paraId="7BD2901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PA13-34</w:t>
            </w:r>
          </w:p>
        </w:tc>
      </w:tr>
      <w:tr w:rsidR="00AC5CD7" w:rsidRPr="00AC5CD7" w14:paraId="68A8C7C9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FFFCC"/>
            <w:noWrap/>
            <w:hideMark/>
          </w:tcPr>
          <w:p w14:paraId="037BB6B6" w14:textId="77777777" w:rsidR="00AC5CD7" w:rsidRPr="00AC5CD7" w:rsidRDefault="00AC5CD7" w:rsidP="00AC5CD7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FFFCC"/>
            <w:noWrap/>
            <w:hideMark/>
          </w:tcPr>
          <w:p w14:paraId="3C1D0563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Brz tehnološki razvoj u EU može produbiti inovacioni jaz Crne Gore</w:t>
            </w:r>
          </w:p>
        </w:tc>
        <w:tc>
          <w:tcPr>
            <w:tcW w:w="666" w:type="pct"/>
            <w:shd w:val="clear" w:color="auto" w:fill="FFFFCC"/>
            <w:noWrap/>
            <w:hideMark/>
          </w:tcPr>
          <w:p w14:paraId="40647351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PA13-01, PA13-05, PA13-21, PA13-26</w:t>
            </w:r>
          </w:p>
        </w:tc>
      </w:tr>
      <w:tr w:rsidR="00AC5CD7" w:rsidRPr="00AC5CD7" w14:paraId="3B1B708F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FFFCC"/>
            <w:noWrap/>
            <w:hideMark/>
          </w:tcPr>
          <w:p w14:paraId="2E05504C" w14:textId="77777777" w:rsidR="00AC5CD7" w:rsidRPr="00AC5CD7" w:rsidRDefault="00AC5CD7" w:rsidP="00AC5CD7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FFFCC"/>
            <w:noWrap/>
            <w:hideMark/>
          </w:tcPr>
          <w:p w14:paraId="1CE64B21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Brzo zastarijevanje istraživačke i digitalne opreme može smanjiti relevantnost postojećih kapaciteta</w:t>
            </w:r>
          </w:p>
        </w:tc>
        <w:tc>
          <w:tcPr>
            <w:tcW w:w="666" w:type="pct"/>
            <w:shd w:val="clear" w:color="auto" w:fill="FFFFCC"/>
            <w:noWrap/>
            <w:hideMark/>
          </w:tcPr>
          <w:p w14:paraId="49DCEA75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PA13-09, PA13-16</w:t>
            </w:r>
          </w:p>
        </w:tc>
      </w:tr>
      <w:tr w:rsidR="00AC5CD7" w:rsidRPr="00AC5CD7" w14:paraId="1679C3B1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FFFCC"/>
            <w:noWrap/>
            <w:hideMark/>
          </w:tcPr>
          <w:p w14:paraId="26B9E090" w14:textId="77777777" w:rsidR="00AC5CD7" w:rsidRPr="00AC5CD7" w:rsidRDefault="00AC5CD7" w:rsidP="00AC5CD7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FFFCC"/>
            <w:noWrap/>
            <w:hideMark/>
          </w:tcPr>
          <w:p w14:paraId="43E8BA25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Fragmentacija globalnih lanaca tehnologije može otežati pristup opremi, softveru i ekspertizi</w:t>
            </w:r>
          </w:p>
        </w:tc>
        <w:tc>
          <w:tcPr>
            <w:tcW w:w="666" w:type="pct"/>
            <w:shd w:val="clear" w:color="auto" w:fill="FFFFCC"/>
            <w:noWrap/>
            <w:hideMark/>
          </w:tcPr>
          <w:p w14:paraId="523A025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PA13-26, PA13-16, PA13-09</w:t>
            </w:r>
          </w:p>
        </w:tc>
      </w:tr>
      <w:tr w:rsidR="00AC5CD7" w:rsidRPr="00AC5CD7" w14:paraId="44AD70D0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FFFCC"/>
            <w:noWrap/>
            <w:hideMark/>
          </w:tcPr>
          <w:p w14:paraId="58551439" w14:textId="77777777" w:rsidR="00AC5CD7" w:rsidRPr="00AC5CD7" w:rsidRDefault="00AC5CD7" w:rsidP="00AC5CD7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FFFCC"/>
            <w:noWrap/>
            <w:hideMark/>
          </w:tcPr>
          <w:p w14:paraId="52F5AE04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Geopolitička nestabilnost može otežati međunarodnu naučnu saradnju i pristup fondovima</w:t>
            </w:r>
          </w:p>
        </w:tc>
        <w:tc>
          <w:tcPr>
            <w:tcW w:w="666" w:type="pct"/>
            <w:shd w:val="clear" w:color="auto" w:fill="FFFFCC"/>
            <w:noWrap/>
            <w:hideMark/>
          </w:tcPr>
          <w:p w14:paraId="3621AB17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PA13-33, PA13-32, PA13-06</w:t>
            </w:r>
          </w:p>
        </w:tc>
      </w:tr>
      <w:tr w:rsidR="00AC5CD7" w:rsidRPr="00AC5CD7" w14:paraId="18690932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FFFCC"/>
            <w:noWrap/>
            <w:hideMark/>
          </w:tcPr>
          <w:p w14:paraId="4CCDC523" w14:textId="77777777" w:rsidR="00AC5CD7" w:rsidRPr="00AC5CD7" w:rsidRDefault="00AC5CD7" w:rsidP="00AC5CD7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FFFCC"/>
            <w:noWrap/>
            <w:hideMark/>
          </w:tcPr>
          <w:p w14:paraId="0D10A6E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Globalna konkurencija za R&amp;D investicije može smanjiti šanse malih sistema da privuku kapital</w:t>
            </w:r>
          </w:p>
        </w:tc>
        <w:tc>
          <w:tcPr>
            <w:tcW w:w="666" w:type="pct"/>
            <w:shd w:val="clear" w:color="auto" w:fill="FFFFCC"/>
            <w:noWrap/>
            <w:hideMark/>
          </w:tcPr>
          <w:p w14:paraId="52E0E2C9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PA13-01, PA13-21, PA13-25</w:t>
            </w:r>
          </w:p>
        </w:tc>
      </w:tr>
      <w:tr w:rsidR="00AC5CD7" w:rsidRPr="00AC5CD7" w14:paraId="6726B1B4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FFFCC"/>
            <w:noWrap/>
            <w:hideMark/>
          </w:tcPr>
          <w:p w14:paraId="10928448" w14:textId="77777777" w:rsidR="00AC5CD7" w:rsidRPr="00AC5CD7" w:rsidRDefault="00AC5CD7" w:rsidP="00AC5CD7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FFFCC"/>
            <w:noWrap/>
            <w:hideMark/>
          </w:tcPr>
          <w:p w14:paraId="5FE96BB6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Jačanje međunarodne konkurencije za istraživačke talente može dodatno ubrzati odliv kadrova</w:t>
            </w:r>
          </w:p>
        </w:tc>
        <w:tc>
          <w:tcPr>
            <w:tcW w:w="666" w:type="pct"/>
            <w:shd w:val="clear" w:color="auto" w:fill="FFFFCC"/>
            <w:noWrap/>
            <w:hideMark/>
          </w:tcPr>
          <w:p w14:paraId="18D60FB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PA13-03, PA13-02, PA13-05</w:t>
            </w:r>
          </w:p>
        </w:tc>
      </w:tr>
      <w:tr w:rsidR="00AC5CD7" w:rsidRPr="00AC5CD7" w14:paraId="5BB574DD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FFFCC"/>
            <w:noWrap/>
            <w:hideMark/>
          </w:tcPr>
          <w:p w14:paraId="527C43BF" w14:textId="77777777" w:rsidR="00AC5CD7" w:rsidRPr="00AC5CD7" w:rsidRDefault="00AC5CD7" w:rsidP="00AC5CD7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FFFCC"/>
            <w:noWrap/>
            <w:hideMark/>
          </w:tcPr>
          <w:p w14:paraId="043FCBCF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Mala veličina domaćeg tržišta može ograničiti komercijalni potencijal inovativnih rješenja</w:t>
            </w:r>
          </w:p>
        </w:tc>
        <w:tc>
          <w:tcPr>
            <w:tcW w:w="666" w:type="pct"/>
            <w:shd w:val="clear" w:color="auto" w:fill="FFFFCC"/>
            <w:noWrap/>
            <w:hideMark/>
          </w:tcPr>
          <w:p w14:paraId="1E7A7A60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PA13-25, PA13-23, PA13-22</w:t>
            </w:r>
          </w:p>
        </w:tc>
      </w:tr>
      <w:tr w:rsidR="00AC5CD7" w:rsidRPr="00AC5CD7" w14:paraId="779734CB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FFFCC"/>
            <w:noWrap/>
            <w:hideMark/>
          </w:tcPr>
          <w:p w14:paraId="5B5120C5" w14:textId="77777777" w:rsidR="00AC5CD7" w:rsidRPr="00AC5CD7" w:rsidRDefault="00AC5CD7" w:rsidP="00AC5CD7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FFFCC"/>
            <w:noWrap/>
            <w:hideMark/>
          </w:tcPr>
          <w:p w14:paraId="52630147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Nedostatak kvalifikovane radne snage u širem evropskom prostoru može pojačati konkurenciju za ICT i R&amp;I kadrove</w:t>
            </w:r>
          </w:p>
        </w:tc>
        <w:tc>
          <w:tcPr>
            <w:tcW w:w="666" w:type="pct"/>
            <w:shd w:val="clear" w:color="auto" w:fill="FFFFCC"/>
            <w:noWrap/>
            <w:hideMark/>
          </w:tcPr>
          <w:p w14:paraId="3B34E73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PA13-03, PA13-05</w:t>
            </w:r>
          </w:p>
        </w:tc>
      </w:tr>
      <w:tr w:rsidR="00AC5CD7" w:rsidRPr="00AC5CD7" w14:paraId="2B5A8707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FFFCC"/>
            <w:noWrap/>
            <w:hideMark/>
          </w:tcPr>
          <w:p w14:paraId="7ED14DB2" w14:textId="77777777" w:rsidR="00AC5CD7" w:rsidRPr="00AC5CD7" w:rsidRDefault="00AC5CD7" w:rsidP="00AC5CD7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FFFCC"/>
            <w:noWrap/>
            <w:hideMark/>
          </w:tcPr>
          <w:p w14:paraId="3E9EB2E8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Rast troškova istraživačke opreme, tehnologija i održavanja infrastrukture može povećati investicioni jaz</w:t>
            </w:r>
          </w:p>
        </w:tc>
        <w:tc>
          <w:tcPr>
            <w:tcW w:w="666" w:type="pct"/>
            <w:shd w:val="clear" w:color="auto" w:fill="FFFFCC"/>
            <w:noWrap/>
            <w:hideMark/>
          </w:tcPr>
          <w:p w14:paraId="694230E4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PA13-09, PA13-15</w:t>
            </w:r>
          </w:p>
        </w:tc>
      </w:tr>
      <w:tr w:rsidR="00AC5CD7" w:rsidRPr="00AC5CD7" w14:paraId="34EC78B5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FFFCC"/>
            <w:noWrap/>
            <w:hideMark/>
          </w:tcPr>
          <w:p w14:paraId="4AFAD61C" w14:textId="77777777" w:rsidR="00AC5CD7" w:rsidRPr="00AC5CD7" w:rsidRDefault="00AC5CD7" w:rsidP="00AC5CD7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FFFCC"/>
            <w:noWrap/>
            <w:hideMark/>
          </w:tcPr>
          <w:p w14:paraId="13F4BD5A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Regionalni i evropski ekosistemi mogu privući najperspektivnije </w:t>
            </w:r>
            <w:proofErr w:type="spellStart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startapove</w:t>
            </w:r>
            <w:proofErr w:type="spellEnd"/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 xml:space="preserve"> i istraživače iz Crne Gore</w:t>
            </w:r>
          </w:p>
        </w:tc>
        <w:tc>
          <w:tcPr>
            <w:tcW w:w="666" w:type="pct"/>
            <w:shd w:val="clear" w:color="auto" w:fill="FFFFCC"/>
            <w:noWrap/>
            <w:hideMark/>
          </w:tcPr>
          <w:p w14:paraId="2F10DC9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PA13-03, PA13-13, PA13-25</w:t>
            </w:r>
          </w:p>
        </w:tc>
      </w:tr>
      <w:tr w:rsidR="00AC5CD7" w:rsidRPr="00AC5CD7" w14:paraId="19BF182E" w14:textId="77777777" w:rsidTr="00AC5CD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2" w:type="pct"/>
            <w:vMerge/>
            <w:shd w:val="clear" w:color="auto" w:fill="FFFFCC"/>
            <w:noWrap/>
            <w:hideMark/>
          </w:tcPr>
          <w:p w14:paraId="6EDF9364" w14:textId="77777777" w:rsidR="00AC5CD7" w:rsidRPr="00AC5CD7" w:rsidRDefault="00AC5CD7" w:rsidP="00AC5CD7">
            <w:pPr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</w:p>
        </w:tc>
        <w:tc>
          <w:tcPr>
            <w:tcW w:w="3702" w:type="pct"/>
            <w:shd w:val="clear" w:color="auto" w:fill="FFFFCC"/>
            <w:noWrap/>
            <w:hideMark/>
          </w:tcPr>
          <w:p w14:paraId="122642CA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Slabija globalna investiciona klima može dodatno otežati pristup rizičnom kapitalu</w:t>
            </w:r>
          </w:p>
        </w:tc>
        <w:tc>
          <w:tcPr>
            <w:tcW w:w="666" w:type="pct"/>
            <w:shd w:val="clear" w:color="auto" w:fill="FFFFCC"/>
            <w:noWrap/>
            <w:hideMark/>
          </w:tcPr>
          <w:p w14:paraId="60DD02BE" w14:textId="77777777" w:rsidR="00AC5CD7" w:rsidRPr="00AC5CD7" w:rsidRDefault="00AC5CD7" w:rsidP="00AC5CD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</w:pPr>
            <w:r w:rsidRPr="00AC5CD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  <w14:ligatures w14:val="none"/>
              </w:rPr>
              <w:t>PA13-13, PA13-25</w:t>
            </w:r>
          </w:p>
        </w:tc>
      </w:tr>
    </w:tbl>
    <w:p w14:paraId="5636D20A" w14:textId="77777777" w:rsidR="0011243E" w:rsidRPr="00AC5CD7" w:rsidRDefault="0011243E" w:rsidP="00F579F5">
      <w:pPr>
        <w:rPr>
          <w:lang w:val="sr-Latn-ME"/>
        </w:rPr>
      </w:pPr>
    </w:p>
    <w:p w14:paraId="29A5F661" w14:textId="77777777" w:rsidR="0011243E" w:rsidRPr="00AC5CD7" w:rsidRDefault="0011243E" w:rsidP="00F579F5">
      <w:pPr>
        <w:rPr>
          <w:lang w:val="sr-Latn-ME"/>
        </w:rPr>
      </w:pPr>
    </w:p>
    <w:p w14:paraId="48FA5DBB" w14:textId="3FB8F42F" w:rsidR="00F579F5" w:rsidRPr="00AC5CD7" w:rsidRDefault="00314077" w:rsidP="00AC5CD7">
      <w:pPr>
        <w:pStyle w:val="Naslov1"/>
        <w:rPr>
          <w:lang w:val="sr-Latn-ME"/>
        </w:rPr>
      </w:pPr>
      <w:r w:rsidRPr="00AC5CD7">
        <w:rPr>
          <w:lang w:val="sr-Latn-ME"/>
        </w:rPr>
        <w:t>Lista referenci</w:t>
      </w:r>
    </w:p>
    <w:p w14:paraId="68FA0208" w14:textId="344FA8AF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Commission</w:t>
      </w:r>
      <w:proofErr w:type="spellEnd"/>
      <w:r w:rsidRPr="00AC5CD7">
        <w:rPr>
          <w:szCs w:val="20"/>
          <w:lang w:val="sr-Latn-ME"/>
        </w:rPr>
        <w:t xml:space="preserve">. </w:t>
      </w: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Innovation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Scoreboard</w:t>
      </w:r>
      <w:proofErr w:type="spellEnd"/>
      <w:r w:rsidRPr="00AC5CD7">
        <w:rPr>
          <w:szCs w:val="20"/>
          <w:lang w:val="sr-Latn-ME"/>
        </w:rPr>
        <w:t xml:space="preserve"> 2025: </w:t>
      </w:r>
      <w:proofErr w:type="spellStart"/>
      <w:r w:rsidRPr="00AC5CD7">
        <w:rPr>
          <w:szCs w:val="20"/>
          <w:lang w:val="sr-Latn-ME"/>
        </w:rPr>
        <w:t>Country</w:t>
      </w:r>
      <w:proofErr w:type="spellEnd"/>
      <w:r w:rsidRPr="00AC5CD7">
        <w:rPr>
          <w:szCs w:val="20"/>
          <w:lang w:val="sr-Latn-ME"/>
        </w:rPr>
        <w:t xml:space="preserve"> Profile – Montenegro. </w:t>
      </w:r>
      <w:proofErr w:type="spellStart"/>
      <w:r w:rsidRPr="00AC5CD7">
        <w:rPr>
          <w:szCs w:val="20"/>
          <w:lang w:val="sr-Latn-ME"/>
        </w:rPr>
        <w:t>Brussels</w:t>
      </w:r>
      <w:proofErr w:type="spellEnd"/>
      <w:r w:rsidRPr="00AC5CD7">
        <w:rPr>
          <w:szCs w:val="20"/>
          <w:lang w:val="sr-Latn-ME"/>
        </w:rPr>
        <w:t xml:space="preserve">: </w:t>
      </w: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Commission</w:t>
      </w:r>
      <w:proofErr w:type="spellEnd"/>
      <w:r w:rsidRPr="00AC5CD7">
        <w:rPr>
          <w:szCs w:val="20"/>
          <w:lang w:val="sr-Latn-ME"/>
        </w:rPr>
        <w:t>, 2025.</w:t>
      </w:r>
    </w:p>
    <w:p w14:paraId="086BBE87" w14:textId="6F07035C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Commission</w:t>
      </w:r>
      <w:proofErr w:type="spellEnd"/>
      <w:r w:rsidRPr="00AC5CD7">
        <w:rPr>
          <w:szCs w:val="20"/>
          <w:lang w:val="sr-Latn-ME"/>
        </w:rPr>
        <w:t xml:space="preserve">. Montenegro </w:t>
      </w:r>
      <w:proofErr w:type="spellStart"/>
      <w:r w:rsidRPr="00AC5CD7">
        <w:rPr>
          <w:szCs w:val="20"/>
          <w:lang w:val="sr-Latn-ME"/>
        </w:rPr>
        <w:t>Report</w:t>
      </w:r>
      <w:proofErr w:type="spellEnd"/>
      <w:r w:rsidRPr="00AC5CD7">
        <w:rPr>
          <w:szCs w:val="20"/>
          <w:lang w:val="sr-Latn-ME"/>
        </w:rPr>
        <w:t xml:space="preserve"> 2025. </w:t>
      </w:r>
      <w:proofErr w:type="spellStart"/>
      <w:r w:rsidRPr="00AC5CD7">
        <w:rPr>
          <w:szCs w:val="20"/>
          <w:lang w:val="sr-Latn-ME"/>
        </w:rPr>
        <w:t>Commission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Staff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Working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Document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accompanying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the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Communication</w:t>
      </w:r>
      <w:proofErr w:type="spellEnd"/>
      <w:r w:rsidRPr="00AC5CD7">
        <w:rPr>
          <w:szCs w:val="20"/>
          <w:lang w:val="sr-Latn-ME"/>
        </w:rPr>
        <w:t xml:space="preserve"> on EU </w:t>
      </w:r>
      <w:proofErr w:type="spellStart"/>
      <w:r w:rsidRPr="00AC5CD7">
        <w:rPr>
          <w:szCs w:val="20"/>
          <w:lang w:val="sr-Latn-ME"/>
        </w:rPr>
        <w:t>Enlargement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Policy</w:t>
      </w:r>
      <w:proofErr w:type="spellEnd"/>
      <w:r w:rsidRPr="00AC5CD7">
        <w:rPr>
          <w:szCs w:val="20"/>
          <w:lang w:val="sr-Latn-ME"/>
        </w:rPr>
        <w:t xml:space="preserve">, SWD(2025) 754 </w:t>
      </w:r>
      <w:proofErr w:type="spellStart"/>
      <w:r w:rsidRPr="00AC5CD7">
        <w:rPr>
          <w:szCs w:val="20"/>
          <w:lang w:val="sr-Latn-ME"/>
        </w:rPr>
        <w:t>final</w:t>
      </w:r>
      <w:proofErr w:type="spellEnd"/>
      <w:r w:rsidRPr="00AC5CD7">
        <w:rPr>
          <w:szCs w:val="20"/>
          <w:lang w:val="sr-Latn-ME"/>
        </w:rPr>
        <w:t xml:space="preserve">/2. </w:t>
      </w:r>
      <w:proofErr w:type="spellStart"/>
      <w:r w:rsidRPr="00AC5CD7">
        <w:rPr>
          <w:szCs w:val="20"/>
          <w:lang w:val="sr-Latn-ME"/>
        </w:rPr>
        <w:t>Brussels</w:t>
      </w:r>
      <w:proofErr w:type="spellEnd"/>
      <w:r w:rsidRPr="00AC5CD7">
        <w:rPr>
          <w:szCs w:val="20"/>
          <w:lang w:val="sr-Latn-ME"/>
        </w:rPr>
        <w:t xml:space="preserve">: </w:t>
      </w: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Commission</w:t>
      </w:r>
      <w:proofErr w:type="spellEnd"/>
      <w:r w:rsidRPr="00AC5CD7">
        <w:rPr>
          <w:szCs w:val="20"/>
          <w:lang w:val="sr-Latn-ME"/>
        </w:rPr>
        <w:t>, 2025.</w:t>
      </w:r>
    </w:p>
    <w:p w14:paraId="457FAA83" w14:textId="7B18CCB1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Commission</w:t>
      </w:r>
      <w:proofErr w:type="spellEnd"/>
      <w:r w:rsidRPr="00AC5CD7">
        <w:rPr>
          <w:szCs w:val="20"/>
          <w:lang w:val="sr-Latn-ME"/>
        </w:rPr>
        <w:t xml:space="preserve">. </w:t>
      </w:r>
      <w:proofErr w:type="spellStart"/>
      <w:r w:rsidRPr="00AC5CD7">
        <w:rPr>
          <w:szCs w:val="20"/>
          <w:lang w:val="sr-Latn-ME"/>
        </w:rPr>
        <w:t>Moving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Towards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Circularity</w:t>
      </w:r>
      <w:proofErr w:type="spellEnd"/>
      <w:r w:rsidRPr="00AC5CD7">
        <w:rPr>
          <w:szCs w:val="20"/>
          <w:lang w:val="sr-Latn-ME"/>
        </w:rPr>
        <w:t xml:space="preserve">: Montenegro </w:t>
      </w:r>
      <w:proofErr w:type="spellStart"/>
      <w:r w:rsidRPr="00AC5CD7">
        <w:rPr>
          <w:szCs w:val="20"/>
          <w:lang w:val="sr-Latn-ME"/>
        </w:rPr>
        <w:t>Path</w:t>
      </w:r>
      <w:proofErr w:type="spellEnd"/>
      <w:r w:rsidRPr="00AC5CD7">
        <w:rPr>
          <w:szCs w:val="20"/>
          <w:lang w:val="sr-Latn-ME"/>
        </w:rPr>
        <w:t xml:space="preserve">. </w:t>
      </w:r>
      <w:proofErr w:type="spellStart"/>
      <w:r w:rsidRPr="00AC5CD7">
        <w:rPr>
          <w:szCs w:val="20"/>
          <w:lang w:val="sr-Latn-ME"/>
        </w:rPr>
        <w:t>Brussels</w:t>
      </w:r>
      <w:proofErr w:type="spellEnd"/>
      <w:r w:rsidRPr="00AC5CD7">
        <w:rPr>
          <w:szCs w:val="20"/>
          <w:lang w:val="sr-Latn-ME"/>
        </w:rPr>
        <w:t xml:space="preserve">: </w:t>
      </w: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Commission</w:t>
      </w:r>
      <w:proofErr w:type="spellEnd"/>
      <w:r w:rsidRPr="00AC5CD7">
        <w:rPr>
          <w:szCs w:val="20"/>
          <w:lang w:val="sr-Latn-ME"/>
        </w:rPr>
        <w:t>, 2025.</w:t>
      </w:r>
    </w:p>
    <w:p w14:paraId="6EEAA224" w14:textId="01718E4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Commission</w:t>
      </w:r>
      <w:proofErr w:type="spellEnd"/>
      <w:r w:rsidRPr="00AC5CD7">
        <w:rPr>
          <w:szCs w:val="20"/>
          <w:lang w:val="sr-Latn-ME"/>
        </w:rPr>
        <w:t xml:space="preserve">. </w:t>
      </w:r>
      <w:proofErr w:type="spellStart"/>
      <w:r w:rsidRPr="00AC5CD7">
        <w:rPr>
          <w:szCs w:val="20"/>
          <w:lang w:val="sr-Latn-ME"/>
        </w:rPr>
        <w:t>Performance</w:t>
      </w:r>
      <w:proofErr w:type="spellEnd"/>
      <w:r w:rsidRPr="00AC5CD7">
        <w:rPr>
          <w:szCs w:val="20"/>
          <w:lang w:val="sr-Latn-ME"/>
        </w:rPr>
        <w:t xml:space="preserve">, Monitoring </w:t>
      </w:r>
      <w:proofErr w:type="spellStart"/>
      <w:r w:rsidRPr="00AC5CD7">
        <w:rPr>
          <w:szCs w:val="20"/>
          <w:lang w:val="sr-Latn-ME"/>
        </w:rPr>
        <w:t>and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Evaluation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of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the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Regional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Development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Fund</w:t>
      </w:r>
      <w:proofErr w:type="spellEnd"/>
      <w:r w:rsidRPr="00AC5CD7">
        <w:rPr>
          <w:szCs w:val="20"/>
          <w:lang w:val="sr-Latn-ME"/>
        </w:rPr>
        <w:t xml:space="preserve">, </w:t>
      </w:r>
      <w:proofErr w:type="spellStart"/>
      <w:r w:rsidRPr="00AC5CD7">
        <w:rPr>
          <w:szCs w:val="20"/>
          <w:lang w:val="sr-Latn-ME"/>
        </w:rPr>
        <w:t>the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Cohesion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Fund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and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the</w:t>
      </w:r>
      <w:proofErr w:type="spellEnd"/>
      <w:r w:rsidRPr="00AC5CD7">
        <w:rPr>
          <w:szCs w:val="20"/>
          <w:lang w:val="sr-Latn-ME"/>
        </w:rPr>
        <w:t xml:space="preserve"> Just </w:t>
      </w:r>
      <w:proofErr w:type="spellStart"/>
      <w:r w:rsidRPr="00AC5CD7">
        <w:rPr>
          <w:szCs w:val="20"/>
          <w:lang w:val="sr-Latn-ME"/>
        </w:rPr>
        <w:t>Transition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Fund</w:t>
      </w:r>
      <w:proofErr w:type="spellEnd"/>
      <w:r w:rsidRPr="00AC5CD7">
        <w:rPr>
          <w:szCs w:val="20"/>
          <w:lang w:val="sr-Latn-ME"/>
        </w:rPr>
        <w:t xml:space="preserve"> in 2021–2027. </w:t>
      </w:r>
      <w:proofErr w:type="spellStart"/>
      <w:r w:rsidRPr="00AC5CD7">
        <w:rPr>
          <w:szCs w:val="20"/>
          <w:lang w:val="sr-Latn-ME"/>
        </w:rPr>
        <w:t>Commission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Staff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Working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Document</w:t>
      </w:r>
      <w:proofErr w:type="spellEnd"/>
      <w:r w:rsidRPr="00AC5CD7">
        <w:rPr>
          <w:szCs w:val="20"/>
          <w:lang w:val="sr-Latn-ME"/>
        </w:rPr>
        <w:t xml:space="preserve">, SWD(2025) 346 </w:t>
      </w:r>
      <w:proofErr w:type="spellStart"/>
      <w:r w:rsidRPr="00AC5CD7">
        <w:rPr>
          <w:szCs w:val="20"/>
          <w:lang w:val="sr-Latn-ME"/>
        </w:rPr>
        <w:t>final</w:t>
      </w:r>
      <w:proofErr w:type="spellEnd"/>
      <w:r w:rsidRPr="00AC5CD7">
        <w:rPr>
          <w:szCs w:val="20"/>
          <w:lang w:val="sr-Latn-ME"/>
        </w:rPr>
        <w:t xml:space="preserve">. </w:t>
      </w:r>
      <w:proofErr w:type="spellStart"/>
      <w:r w:rsidRPr="00AC5CD7">
        <w:rPr>
          <w:szCs w:val="20"/>
          <w:lang w:val="sr-Latn-ME"/>
        </w:rPr>
        <w:t>Brussels</w:t>
      </w:r>
      <w:proofErr w:type="spellEnd"/>
      <w:r w:rsidRPr="00AC5CD7">
        <w:rPr>
          <w:szCs w:val="20"/>
          <w:lang w:val="sr-Latn-ME"/>
        </w:rPr>
        <w:t xml:space="preserve">: </w:t>
      </w: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Commission</w:t>
      </w:r>
      <w:proofErr w:type="spellEnd"/>
      <w:r w:rsidRPr="00AC5CD7">
        <w:rPr>
          <w:szCs w:val="20"/>
          <w:lang w:val="sr-Latn-ME"/>
        </w:rPr>
        <w:t>, 2025.</w:t>
      </w:r>
    </w:p>
    <w:p w14:paraId="56FF7CB4" w14:textId="61DBC9B5" w:rsidR="00314077" w:rsidRPr="00AC5CD7" w:rsidRDefault="552A8536" w:rsidP="552A8536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Commission</w:t>
      </w:r>
      <w:proofErr w:type="spellEnd"/>
      <w:r w:rsidRPr="00AC5CD7">
        <w:rPr>
          <w:szCs w:val="20"/>
          <w:lang w:val="sr-Latn-ME"/>
        </w:rPr>
        <w:t xml:space="preserve">. Montenegro – </w:t>
      </w:r>
      <w:proofErr w:type="spellStart"/>
      <w:r w:rsidRPr="00AC5CD7">
        <w:rPr>
          <w:szCs w:val="20"/>
          <w:lang w:val="sr-Latn-ME"/>
        </w:rPr>
        <w:t>Closing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Benchmarks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for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Chapter</w:t>
      </w:r>
      <w:proofErr w:type="spellEnd"/>
      <w:r w:rsidRPr="00AC5CD7">
        <w:rPr>
          <w:szCs w:val="20"/>
          <w:lang w:val="sr-Latn-ME"/>
        </w:rPr>
        <w:t xml:space="preserve"> 22 – </w:t>
      </w:r>
      <w:proofErr w:type="spellStart"/>
      <w:r w:rsidRPr="00AC5CD7">
        <w:rPr>
          <w:szCs w:val="20"/>
          <w:lang w:val="sr-Latn-ME"/>
        </w:rPr>
        <w:t>Roadmap</w:t>
      </w:r>
      <w:proofErr w:type="spellEnd"/>
      <w:r w:rsidRPr="00AC5CD7">
        <w:rPr>
          <w:szCs w:val="20"/>
          <w:lang w:val="sr-Latn-ME"/>
        </w:rPr>
        <w:t xml:space="preserve">. </w:t>
      </w:r>
      <w:proofErr w:type="spellStart"/>
      <w:r w:rsidRPr="00AC5CD7">
        <w:rPr>
          <w:szCs w:val="20"/>
          <w:lang w:val="sr-Latn-ME"/>
        </w:rPr>
        <w:t>Brussels</w:t>
      </w:r>
      <w:proofErr w:type="spellEnd"/>
      <w:r w:rsidRPr="00AC5CD7">
        <w:rPr>
          <w:szCs w:val="20"/>
          <w:lang w:val="sr-Latn-ME"/>
        </w:rPr>
        <w:t xml:space="preserve">: </w:t>
      </w: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Commission</w:t>
      </w:r>
      <w:proofErr w:type="spellEnd"/>
      <w:r w:rsidRPr="00AC5CD7">
        <w:rPr>
          <w:szCs w:val="20"/>
          <w:lang w:val="sr-Latn-ME"/>
        </w:rPr>
        <w:t xml:space="preserve">, 5 </w:t>
      </w:r>
      <w:proofErr w:type="spellStart"/>
      <w:r w:rsidRPr="00AC5CD7">
        <w:rPr>
          <w:szCs w:val="20"/>
          <w:lang w:val="sr-Latn-ME"/>
        </w:rPr>
        <w:t>December</w:t>
      </w:r>
      <w:proofErr w:type="spellEnd"/>
      <w:r w:rsidRPr="00AC5CD7">
        <w:rPr>
          <w:szCs w:val="20"/>
          <w:lang w:val="sr-Latn-ME"/>
        </w:rPr>
        <w:t xml:space="preserve"> 2025.</w:t>
      </w:r>
    </w:p>
    <w:p w14:paraId="51E1592B" w14:textId="7C6BE386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Commission</w:t>
      </w:r>
      <w:proofErr w:type="spellEnd"/>
      <w:r w:rsidRPr="00AC5CD7">
        <w:rPr>
          <w:szCs w:val="20"/>
          <w:lang w:val="sr-Latn-ME"/>
        </w:rPr>
        <w:t xml:space="preserve">, </w:t>
      </w:r>
      <w:proofErr w:type="spellStart"/>
      <w:r w:rsidRPr="00AC5CD7">
        <w:rPr>
          <w:szCs w:val="20"/>
          <w:lang w:val="sr-Latn-ME"/>
        </w:rPr>
        <w:t>Directorate</w:t>
      </w:r>
      <w:proofErr w:type="spellEnd"/>
      <w:r w:rsidRPr="00AC5CD7">
        <w:rPr>
          <w:szCs w:val="20"/>
          <w:lang w:val="sr-Latn-ME"/>
        </w:rPr>
        <w:t xml:space="preserve">-General </w:t>
      </w:r>
      <w:proofErr w:type="spellStart"/>
      <w:r w:rsidRPr="00AC5CD7">
        <w:rPr>
          <w:szCs w:val="20"/>
          <w:lang w:val="sr-Latn-ME"/>
        </w:rPr>
        <w:t>for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Research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and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Innovation</w:t>
      </w:r>
      <w:proofErr w:type="spellEnd"/>
      <w:r w:rsidRPr="00AC5CD7">
        <w:rPr>
          <w:szCs w:val="20"/>
          <w:lang w:val="sr-Latn-ME"/>
        </w:rPr>
        <w:t xml:space="preserve">. </w:t>
      </w:r>
      <w:proofErr w:type="spellStart"/>
      <w:r w:rsidRPr="00AC5CD7">
        <w:rPr>
          <w:szCs w:val="20"/>
          <w:lang w:val="sr-Latn-ME"/>
        </w:rPr>
        <w:t>Strategic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Foresight</w:t>
      </w:r>
      <w:proofErr w:type="spellEnd"/>
      <w:r w:rsidRPr="00AC5CD7">
        <w:rPr>
          <w:szCs w:val="20"/>
          <w:lang w:val="sr-Latn-ME"/>
        </w:rPr>
        <w:t xml:space="preserve"> in </w:t>
      </w:r>
      <w:proofErr w:type="spellStart"/>
      <w:r w:rsidRPr="00AC5CD7">
        <w:rPr>
          <w:szCs w:val="20"/>
          <w:lang w:val="sr-Latn-ME"/>
        </w:rPr>
        <w:t>the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Western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Balkans</w:t>
      </w:r>
      <w:proofErr w:type="spellEnd"/>
      <w:r w:rsidRPr="00AC5CD7">
        <w:rPr>
          <w:szCs w:val="20"/>
          <w:lang w:val="sr-Latn-ME"/>
        </w:rPr>
        <w:t xml:space="preserve">: </w:t>
      </w:r>
      <w:proofErr w:type="spellStart"/>
      <w:r w:rsidRPr="00AC5CD7">
        <w:rPr>
          <w:szCs w:val="20"/>
          <w:lang w:val="sr-Latn-ME"/>
        </w:rPr>
        <w:t>Recovery</w:t>
      </w:r>
      <w:proofErr w:type="spellEnd"/>
      <w:r w:rsidRPr="00AC5CD7">
        <w:rPr>
          <w:szCs w:val="20"/>
          <w:lang w:val="sr-Latn-ME"/>
        </w:rPr>
        <w:t xml:space="preserve"> on </w:t>
      </w:r>
      <w:proofErr w:type="spellStart"/>
      <w:r w:rsidRPr="00AC5CD7">
        <w:rPr>
          <w:szCs w:val="20"/>
          <w:lang w:val="sr-Latn-ME"/>
        </w:rPr>
        <w:t>the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Horizon</w:t>
      </w:r>
      <w:proofErr w:type="spellEnd"/>
      <w:r w:rsidRPr="00AC5CD7">
        <w:rPr>
          <w:szCs w:val="20"/>
          <w:lang w:val="sr-Latn-ME"/>
        </w:rPr>
        <w:t xml:space="preserve">. </w:t>
      </w:r>
      <w:proofErr w:type="spellStart"/>
      <w:r w:rsidRPr="00AC5CD7">
        <w:rPr>
          <w:szCs w:val="20"/>
          <w:lang w:val="sr-Latn-ME"/>
        </w:rPr>
        <w:t>Luxembourg</w:t>
      </w:r>
      <w:proofErr w:type="spellEnd"/>
      <w:r w:rsidRPr="00AC5CD7">
        <w:rPr>
          <w:szCs w:val="20"/>
          <w:lang w:val="sr-Latn-ME"/>
        </w:rPr>
        <w:t xml:space="preserve">: </w:t>
      </w:r>
      <w:proofErr w:type="spellStart"/>
      <w:r w:rsidRPr="00AC5CD7">
        <w:rPr>
          <w:szCs w:val="20"/>
          <w:lang w:val="sr-Latn-ME"/>
        </w:rPr>
        <w:t>Publications</w:t>
      </w:r>
      <w:proofErr w:type="spellEnd"/>
      <w:r w:rsidRPr="00AC5CD7">
        <w:rPr>
          <w:szCs w:val="20"/>
          <w:lang w:val="sr-Latn-ME"/>
        </w:rPr>
        <w:t xml:space="preserve"> Office </w:t>
      </w:r>
      <w:proofErr w:type="spellStart"/>
      <w:r w:rsidRPr="00AC5CD7">
        <w:rPr>
          <w:szCs w:val="20"/>
          <w:lang w:val="sr-Latn-ME"/>
        </w:rPr>
        <w:t>of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the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Union, 2021.</w:t>
      </w:r>
    </w:p>
    <w:p w14:paraId="32D55299" w14:textId="7777777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Investment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Bank</w:t>
      </w:r>
      <w:proofErr w:type="spellEnd"/>
      <w:r w:rsidRPr="00AC5CD7">
        <w:rPr>
          <w:szCs w:val="20"/>
          <w:lang w:val="sr-Latn-ME"/>
        </w:rPr>
        <w:t xml:space="preserve"> / JASPERS. </w:t>
      </w:r>
      <w:proofErr w:type="spellStart"/>
      <w:r w:rsidRPr="00AC5CD7">
        <w:rPr>
          <w:szCs w:val="20"/>
          <w:lang w:val="sr-Latn-ME"/>
        </w:rPr>
        <w:t>Economic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Analysis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of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Research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Infrastructure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Projects</w:t>
      </w:r>
      <w:proofErr w:type="spellEnd"/>
      <w:r w:rsidRPr="00AC5CD7">
        <w:rPr>
          <w:szCs w:val="20"/>
          <w:lang w:val="sr-Latn-ME"/>
        </w:rPr>
        <w:t xml:space="preserve"> in 2014–2020. </w:t>
      </w:r>
      <w:proofErr w:type="spellStart"/>
      <w:r w:rsidRPr="00AC5CD7">
        <w:rPr>
          <w:szCs w:val="20"/>
          <w:lang w:val="sr-Latn-ME"/>
        </w:rPr>
        <w:t>Luxembourg</w:t>
      </w:r>
      <w:proofErr w:type="spellEnd"/>
      <w:r w:rsidRPr="00AC5CD7">
        <w:rPr>
          <w:szCs w:val="20"/>
          <w:lang w:val="sr-Latn-ME"/>
        </w:rPr>
        <w:t xml:space="preserve">: </w:t>
      </w: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Investment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Bank</w:t>
      </w:r>
      <w:proofErr w:type="spellEnd"/>
      <w:r w:rsidRPr="00AC5CD7">
        <w:rPr>
          <w:szCs w:val="20"/>
          <w:lang w:val="sr-Latn-ME"/>
        </w:rPr>
        <w:t>, 2017.</w:t>
      </w:r>
    </w:p>
    <w:p w14:paraId="5B06F568" w14:textId="7777777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proofErr w:type="spellStart"/>
      <w:r w:rsidRPr="00AC5CD7">
        <w:rPr>
          <w:szCs w:val="20"/>
          <w:lang w:val="sr-Latn-ME"/>
        </w:rPr>
        <w:t>European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Molecular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Biology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Organization</w:t>
      </w:r>
      <w:proofErr w:type="spellEnd"/>
      <w:r w:rsidRPr="00AC5CD7">
        <w:rPr>
          <w:szCs w:val="20"/>
          <w:lang w:val="sr-Latn-ME"/>
        </w:rPr>
        <w:t xml:space="preserve"> (EMBO). </w:t>
      </w:r>
      <w:proofErr w:type="spellStart"/>
      <w:r w:rsidRPr="00AC5CD7">
        <w:rPr>
          <w:szCs w:val="20"/>
          <w:lang w:val="sr-Latn-ME"/>
        </w:rPr>
        <w:t>Focus</w:t>
      </w:r>
      <w:proofErr w:type="spellEnd"/>
      <w:r w:rsidRPr="00AC5CD7">
        <w:rPr>
          <w:szCs w:val="20"/>
          <w:lang w:val="sr-Latn-ME"/>
        </w:rPr>
        <w:t xml:space="preserve"> on Montenegro: </w:t>
      </w:r>
      <w:proofErr w:type="spellStart"/>
      <w:r w:rsidRPr="00AC5CD7">
        <w:rPr>
          <w:szCs w:val="20"/>
          <w:lang w:val="sr-Latn-ME"/>
        </w:rPr>
        <w:t>Facts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and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Figures</w:t>
      </w:r>
      <w:proofErr w:type="spellEnd"/>
      <w:r w:rsidRPr="00AC5CD7">
        <w:rPr>
          <w:szCs w:val="20"/>
          <w:lang w:val="sr-Latn-ME"/>
        </w:rPr>
        <w:t xml:space="preserve">, </w:t>
      </w:r>
      <w:proofErr w:type="spellStart"/>
      <w:r w:rsidRPr="00AC5CD7">
        <w:rPr>
          <w:szCs w:val="20"/>
          <w:lang w:val="sr-Latn-ME"/>
        </w:rPr>
        <w:t>Life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Scientists</w:t>
      </w:r>
      <w:proofErr w:type="spellEnd"/>
      <w:r w:rsidRPr="00AC5CD7">
        <w:rPr>
          <w:szCs w:val="20"/>
          <w:lang w:val="sr-Latn-ME"/>
        </w:rPr>
        <w:t xml:space="preserve"> in Montenegro, EMBO </w:t>
      </w:r>
      <w:proofErr w:type="spellStart"/>
      <w:r w:rsidRPr="00AC5CD7">
        <w:rPr>
          <w:szCs w:val="20"/>
          <w:lang w:val="sr-Latn-ME"/>
        </w:rPr>
        <w:t>Opportunities</w:t>
      </w:r>
      <w:proofErr w:type="spellEnd"/>
      <w:r w:rsidRPr="00AC5CD7">
        <w:rPr>
          <w:szCs w:val="20"/>
          <w:lang w:val="sr-Latn-ME"/>
        </w:rPr>
        <w:t xml:space="preserve">. </w:t>
      </w:r>
      <w:proofErr w:type="spellStart"/>
      <w:r w:rsidRPr="00AC5CD7">
        <w:rPr>
          <w:szCs w:val="20"/>
          <w:lang w:val="sr-Latn-ME"/>
        </w:rPr>
        <w:t>Heidelberg</w:t>
      </w:r>
      <w:proofErr w:type="spellEnd"/>
      <w:r w:rsidRPr="00AC5CD7">
        <w:rPr>
          <w:szCs w:val="20"/>
          <w:lang w:val="sr-Latn-ME"/>
        </w:rPr>
        <w:t>: EMBO, 2024.</w:t>
      </w:r>
    </w:p>
    <w:p w14:paraId="148C46F4" w14:textId="7777777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r w:rsidRPr="00AC5CD7">
        <w:rPr>
          <w:szCs w:val="20"/>
          <w:lang w:val="sr-Latn-ME"/>
        </w:rPr>
        <w:t xml:space="preserve">EIT </w:t>
      </w:r>
      <w:proofErr w:type="spellStart"/>
      <w:r w:rsidRPr="00AC5CD7">
        <w:rPr>
          <w:szCs w:val="20"/>
          <w:lang w:val="sr-Latn-ME"/>
        </w:rPr>
        <w:t>Community</w:t>
      </w:r>
      <w:proofErr w:type="spellEnd"/>
      <w:r w:rsidRPr="00AC5CD7">
        <w:rPr>
          <w:szCs w:val="20"/>
          <w:lang w:val="sr-Latn-ME"/>
        </w:rPr>
        <w:t xml:space="preserve"> / </w:t>
      </w:r>
      <w:proofErr w:type="spellStart"/>
      <w:r w:rsidRPr="00AC5CD7">
        <w:rPr>
          <w:szCs w:val="20"/>
          <w:lang w:val="sr-Latn-ME"/>
        </w:rPr>
        <w:t>Regional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Cooperation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Council</w:t>
      </w:r>
      <w:proofErr w:type="spellEnd"/>
      <w:r w:rsidRPr="00AC5CD7">
        <w:rPr>
          <w:szCs w:val="20"/>
          <w:lang w:val="sr-Latn-ME"/>
        </w:rPr>
        <w:t xml:space="preserve">. </w:t>
      </w:r>
      <w:proofErr w:type="spellStart"/>
      <w:r w:rsidRPr="00AC5CD7">
        <w:rPr>
          <w:szCs w:val="20"/>
          <w:lang w:val="sr-Latn-ME"/>
        </w:rPr>
        <w:t>The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Western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Balkans</w:t>
      </w:r>
      <w:proofErr w:type="spellEnd"/>
      <w:r w:rsidRPr="00AC5CD7">
        <w:rPr>
          <w:szCs w:val="20"/>
          <w:lang w:val="sr-Latn-ME"/>
        </w:rPr>
        <w:t xml:space="preserve"> Start-</w:t>
      </w:r>
      <w:proofErr w:type="spellStart"/>
      <w:r w:rsidRPr="00AC5CD7">
        <w:rPr>
          <w:szCs w:val="20"/>
          <w:lang w:val="sr-Latn-ME"/>
        </w:rPr>
        <w:t>up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Ecosystem</w:t>
      </w:r>
      <w:proofErr w:type="spellEnd"/>
      <w:r w:rsidRPr="00AC5CD7">
        <w:rPr>
          <w:szCs w:val="20"/>
          <w:lang w:val="sr-Latn-ME"/>
        </w:rPr>
        <w:t xml:space="preserve"> at a </w:t>
      </w:r>
      <w:proofErr w:type="spellStart"/>
      <w:r w:rsidRPr="00AC5CD7">
        <w:rPr>
          <w:szCs w:val="20"/>
          <w:lang w:val="sr-Latn-ME"/>
        </w:rPr>
        <w:t>Crossroads</w:t>
      </w:r>
      <w:proofErr w:type="spellEnd"/>
      <w:r w:rsidRPr="00AC5CD7">
        <w:rPr>
          <w:szCs w:val="20"/>
          <w:lang w:val="sr-Latn-ME"/>
        </w:rPr>
        <w:t>. Sarajevo/</w:t>
      </w:r>
      <w:proofErr w:type="spellStart"/>
      <w:r w:rsidRPr="00AC5CD7">
        <w:rPr>
          <w:szCs w:val="20"/>
          <w:lang w:val="sr-Latn-ME"/>
        </w:rPr>
        <w:t>Brussels</w:t>
      </w:r>
      <w:proofErr w:type="spellEnd"/>
      <w:r w:rsidRPr="00AC5CD7">
        <w:rPr>
          <w:szCs w:val="20"/>
          <w:lang w:val="sr-Latn-ME"/>
        </w:rPr>
        <w:t>, 2025.</w:t>
      </w:r>
    </w:p>
    <w:p w14:paraId="422B22D6" w14:textId="7777777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proofErr w:type="spellStart"/>
      <w:r w:rsidRPr="00AC5CD7">
        <w:rPr>
          <w:szCs w:val="20"/>
          <w:lang w:val="sr-Latn-ME"/>
        </w:rPr>
        <w:t>Lafortune</w:t>
      </w:r>
      <w:proofErr w:type="spellEnd"/>
      <w:r w:rsidRPr="00AC5CD7">
        <w:rPr>
          <w:szCs w:val="20"/>
          <w:lang w:val="sr-Latn-ME"/>
        </w:rPr>
        <w:t xml:space="preserve">, </w:t>
      </w:r>
      <w:proofErr w:type="spellStart"/>
      <w:r w:rsidRPr="00AC5CD7">
        <w:rPr>
          <w:szCs w:val="20"/>
          <w:lang w:val="sr-Latn-ME"/>
        </w:rPr>
        <w:t>Guillaume</w:t>
      </w:r>
      <w:proofErr w:type="spellEnd"/>
      <w:r w:rsidRPr="00AC5CD7">
        <w:rPr>
          <w:szCs w:val="20"/>
          <w:lang w:val="sr-Latn-ME"/>
        </w:rPr>
        <w:t xml:space="preserve">, </w:t>
      </w:r>
      <w:proofErr w:type="spellStart"/>
      <w:r w:rsidRPr="00AC5CD7">
        <w:rPr>
          <w:szCs w:val="20"/>
          <w:lang w:val="sr-Latn-ME"/>
        </w:rPr>
        <w:t>and</w:t>
      </w:r>
      <w:proofErr w:type="spellEnd"/>
      <w:r w:rsidRPr="00AC5CD7">
        <w:rPr>
          <w:szCs w:val="20"/>
          <w:lang w:val="sr-Latn-ME"/>
        </w:rPr>
        <w:t xml:space="preserve"> George </w:t>
      </w:r>
      <w:proofErr w:type="spellStart"/>
      <w:r w:rsidRPr="00AC5CD7">
        <w:rPr>
          <w:szCs w:val="20"/>
          <w:lang w:val="sr-Latn-ME"/>
        </w:rPr>
        <w:t>Fuller</w:t>
      </w:r>
      <w:proofErr w:type="spellEnd"/>
      <w:r w:rsidRPr="00AC5CD7">
        <w:rPr>
          <w:szCs w:val="20"/>
          <w:lang w:val="sr-Latn-ME"/>
        </w:rPr>
        <w:t xml:space="preserve">, </w:t>
      </w:r>
      <w:proofErr w:type="spellStart"/>
      <w:r w:rsidRPr="00AC5CD7">
        <w:rPr>
          <w:szCs w:val="20"/>
          <w:lang w:val="sr-Latn-ME"/>
        </w:rPr>
        <w:t>eds</w:t>
      </w:r>
      <w:proofErr w:type="spellEnd"/>
      <w:r w:rsidRPr="00AC5CD7">
        <w:rPr>
          <w:szCs w:val="20"/>
          <w:lang w:val="sr-Latn-ME"/>
        </w:rPr>
        <w:t xml:space="preserve">. </w:t>
      </w:r>
      <w:proofErr w:type="spellStart"/>
      <w:r w:rsidRPr="00AC5CD7">
        <w:rPr>
          <w:szCs w:val="20"/>
          <w:lang w:val="sr-Latn-ME"/>
        </w:rPr>
        <w:t>Europe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Sustainable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Development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Report</w:t>
      </w:r>
      <w:proofErr w:type="spellEnd"/>
      <w:r w:rsidRPr="00AC5CD7">
        <w:rPr>
          <w:szCs w:val="20"/>
          <w:lang w:val="sr-Latn-ME"/>
        </w:rPr>
        <w:t xml:space="preserve"> 2026: SDG </w:t>
      </w:r>
      <w:proofErr w:type="spellStart"/>
      <w:r w:rsidRPr="00AC5CD7">
        <w:rPr>
          <w:szCs w:val="20"/>
          <w:lang w:val="sr-Latn-ME"/>
        </w:rPr>
        <w:t>Pathways</w:t>
      </w:r>
      <w:proofErr w:type="spellEnd"/>
      <w:r w:rsidRPr="00AC5CD7">
        <w:rPr>
          <w:szCs w:val="20"/>
          <w:lang w:val="sr-Latn-ME"/>
        </w:rPr>
        <w:t xml:space="preserve"> to 2030 </w:t>
      </w:r>
      <w:proofErr w:type="spellStart"/>
      <w:r w:rsidRPr="00AC5CD7">
        <w:rPr>
          <w:szCs w:val="20"/>
          <w:lang w:val="sr-Latn-ME"/>
        </w:rPr>
        <w:t>and</w:t>
      </w:r>
      <w:proofErr w:type="spellEnd"/>
      <w:r w:rsidRPr="00AC5CD7">
        <w:rPr>
          <w:szCs w:val="20"/>
          <w:lang w:val="sr-Latn-ME"/>
        </w:rPr>
        <w:t xml:space="preserve"> Mid-</w:t>
      </w:r>
      <w:proofErr w:type="spellStart"/>
      <w:r w:rsidRPr="00AC5CD7">
        <w:rPr>
          <w:szCs w:val="20"/>
          <w:lang w:val="sr-Latn-ME"/>
        </w:rPr>
        <w:t>Century</w:t>
      </w:r>
      <w:proofErr w:type="spellEnd"/>
      <w:r w:rsidRPr="00AC5CD7">
        <w:rPr>
          <w:szCs w:val="20"/>
          <w:lang w:val="sr-Latn-ME"/>
        </w:rPr>
        <w:t xml:space="preserve">. Paris: SDSN; </w:t>
      </w:r>
      <w:proofErr w:type="spellStart"/>
      <w:r w:rsidRPr="00AC5CD7">
        <w:rPr>
          <w:szCs w:val="20"/>
          <w:lang w:val="sr-Latn-ME"/>
        </w:rPr>
        <w:t>Dublin</w:t>
      </w:r>
      <w:proofErr w:type="spellEnd"/>
      <w:r w:rsidRPr="00AC5CD7">
        <w:rPr>
          <w:szCs w:val="20"/>
          <w:lang w:val="sr-Latn-ME"/>
        </w:rPr>
        <w:t xml:space="preserve">: </w:t>
      </w:r>
      <w:proofErr w:type="spellStart"/>
      <w:r w:rsidRPr="00AC5CD7">
        <w:rPr>
          <w:szCs w:val="20"/>
          <w:lang w:val="sr-Latn-ME"/>
        </w:rPr>
        <w:t>Dublin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University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Press</w:t>
      </w:r>
      <w:proofErr w:type="spellEnd"/>
      <w:r w:rsidRPr="00AC5CD7">
        <w:rPr>
          <w:szCs w:val="20"/>
          <w:lang w:val="sr-Latn-ME"/>
        </w:rPr>
        <w:t>, 2026.</w:t>
      </w:r>
    </w:p>
    <w:p w14:paraId="260059BE" w14:textId="760D6F00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r w:rsidRPr="00AC5CD7">
        <w:rPr>
          <w:szCs w:val="20"/>
          <w:lang w:val="sr-Latn-ME"/>
        </w:rPr>
        <w:t xml:space="preserve">OECD. </w:t>
      </w:r>
      <w:proofErr w:type="spellStart"/>
      <w:r w:rsidRPr="00AC5CD7">
        <w:rPr>
          <w:szCs w:val="20"/>
          <w:lang w:val="sr-Latn-ME"/>
        </w:rPr>
        <w:t>Western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Balkans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Competitiveness</w:t>
      </w:r>
      <w:proofErr w:type="spellEnd"/>
      <w:r w:rsidRPr="00AC5CD7">
        <w:rPr>
          <w:szCs w:val="20"/>
          <w:lang w:val="sr-Latn-ME"/>
        </w:rPr>
        <w:t xml:space="preserve"> Outlook 2024: Montenegro. Paris: OECD </w:t>
      </w:r>
      <w:proofErr w:type="spellStart"/>
      <w:r w:rsidRPr="00AC5CD7">
        <w:rPr>
          <w:szCs w:val="20"/>
          <w:lang w:val="sr-Latn-ME"/>
        </w:rPr>
        <w:t>Publishing</w:t>
      </w:r>
      <w:proofErr w:type="spellEnd"/>
      <w:r w:rsidRPr="00AC5CD7">
        <w:rPr>
          <w:szCs w:val="20"/>
          <w:lang w:val="sr-Latn-ME"/>
        </w:rPr>
        <w:t>, 2024.</w:t>
      </w:r>
    </w:p>
    <w:p w14:paraId="15FF2D02" w14:textId="7C6846E9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proofErr w:type="spellStart"/>
      <w:r w:rsidRPr="00AC5CD7">
        <w:rPr>
          <w:szCs w:val="20"/>
          <w:lang w:val="sr-Latn-ME"/>
        </w:rPr>
        <w:t>StartupBlink</w:t>
      </w:r>
      <w:proofErr w:type="spellEnd"/>
      <w:r w:rsidRPr="00AC5CD7">
        <w:rPr>
          <w:szCs w:val="20"/>
          <w:lang w:val="sr-Latn-ME"/>
        </w:rPr>
        <w:t xml:space="preserve">. Global </w:t>
      </w:r>
      <w:proofErr w:type="spellStart"/>
      <w:r w:rsidRPr="00AC5CD7">
        <w:rPr>
          <w:szCs w:val="20"/>
          <w:lang w:val="sr-Latn-ME"/>
        </w:rPr>
        <w:t>Startup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Ecosystem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Index</w:t>
      </w:r>
      <w:proofErr w:type="spellEnd"/>
      <w:r w:rsidRPr="00AC5CD7">
        <w:rPr>
          <w:szCs w:val="20"/>
          <w:lang w:val="sr-Latn-ME"/>
        </w:rPr>
        <w:t xml:space="preserve"> 2025. 2025.</w:t>
      </w:r>
    </w:p>
    <w:p w14:paraId="796E6EC7" w14:textId="7777777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proofErr w:type="spellStart"/>
      <w:r w:rsidRPr="00AC5CD7">
        <w:rPr>
          <w:szCs w:val="20"/>
          <w:lang w:val="sr-Latn-ME"/>
        </w:rPr>
        <w:t>Upseed</w:t>
      </w:r>
      <w:proofErr w:type="spellEnd"/>
      <w:r w:rsidRPr="00AC5CD7">
        <w:rPr>
          <w:szCs w:val="20"/>
          <w:lang w:val="sr-Latn-ME"/>
        </w:rPr>
        <w:t>. Montenegro Start-</w:t>
      </w:r>
      <w:proofErr w:type="spellStart"/>
      <w:r w:rsidRPr="00AC5CD7">
        <w:rPr>
          <w:szCs w:val="20"/>
          <w:lang w:val="sr-Latn-ME"/>
        </w:rPr>
        <w:t>up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Ecosystem</w:t>
      </w:r>
      <w:proofErr w:type="spellEnd"/>
      <w:r w:rsidRPr="00AC5CD7">
        <w:rPr>
          <w:szCs w:val="20"/>
          <w:lang w:val="sr-Latn-ME"/>
        </w:rPr>
        <w:t xml:space="preserve">: </w:t>
      </w:r>
      <w:proofErr w:type="spellStart"/>
      <w:r w:rsidRPr="00AC5CD7">
        <w:rPr>
          <w:szCs w:val="20"/>
          <w:lang w:val="sr-Latn-ME"/>
        </w:rPr>
        <w:t>Accelerators</w:t>
      </w:r>
      <w:proofErr w:type="spellEnd"/>
      <w:r w:rsidRPr="00AC5CD7">
        <w:rPr>
          <w:szCs w:val="20"/>
          <w:lang w:val="sr-Latn-ME"/>
        </w:rPr>
        <w:t xml:space="preserve">, Venture </w:t>
      </w:r>
      <w:proofErr w:type="spellStart"/>
      <w:r w:rsidRPr="00AC5CD7">
        <w:rPr>
          <w:szCs w:val="20"/>
          <w:lang w:val="sr-Latn-ME"/>
        </w:rPr>
        <w:t>Capital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and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Founder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Resources</w:t>
      </w:r>
      <w:proofErr w:type="spellEnd"/>
      <w:r w:rsidRPr="00AC5CD7">
        <w:rPr>
          <w:szCs w:val="20"/>
          <w:lang w:val="sr-Latn-ME"/>
        </w:rPr>
        <w:t xml:space="preserve">. </w:t>
      </w:r>
      <w:proofErr w:type="spellStart"/>
      <w:r w:rsidRPr="00AC5CD7">
        <w:rPr>
          <w:szCs w:val="20"/>
          <w:lang w:val="sr-Latn-ME"/>
        </w:rPr>
        <w:t>n.d</w:t>
      </w:r>
      <w:proofErr w:type="spellEnd"/>
      <w:r w:rsidRPr="00AC5CD7">
        <w:rPr>
          <w:szCs w:val="20"/>
          <w:lang w:val="sr-Latn-ME"/>
        </w:rPr>
        <w:t>.</w:t>
      </w:r>
    </w:p>
    <w:p w14:paraId="46571B5D" w14:textId="7777777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proofErr w:type="spellStart"/>
      <w:r w:rsidRPr="00AC5CD7">
        <w:rPr>
          <w:szCs w:val="20"/>
          <w:lang w:val="sr-Latn-ME"/>
        </w:rPr>
        <w:t>Western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Balkans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Platform</w:t>
      </w:r>
      <w:proofErr w:type="spellEnd"/>
      <w:r w:rsidRPr="00AC5CD7">
        <w:rPr>
          <w:szCs w:val="20"/>
          <w:lang w:val="sr-Latn-ME"/>
        </w:rPr>
        <w:t xml:space="preserve"> on </w:t>
      </w:r>
      <w:proofErr w:type="spellStart"/>
      <w:r w:rsidRPr="00AC5CD7">
        <w:rPr>
          <w:szCs w:val="20"/>
          <w:lang w:val="sr-Latn-ME"/>
        </w:rPr>
        <w:t>Research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and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Innovation</w:t>
      </w:r>
      <w:proofErr w:type="spellEnd"/>
      <w:r w:rsidRPr="00AC5CD7">
        <w:rPr>
          <w:szCs w:val="20"/>
          <w:lang w:val="sr-Latn-ME"/>
        </w:rPr>
        <w:t xml:space="preserve"> / </w:t>
      </w:r>
      <w:proofErr w:type="spellStart"/>
      <w:r w:rsidRPr="00AC5CD7">
        <w:rPr>
          <w:szCs w:val="20"/>
          <w:lang w:val="sr-Latn-ME"/>
        </w:rPr>
        <w:t>Western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Balkans</w:t>
      </w:r>
      <w:proofErr w:type="spellEnd"/>
      <w:r w:rsidRPr="00AC5CD7">
        <w:rPr>
          <w:szCs w:val="20"/>
          <w:lang w:val="sr-Latn-ME"/>
        </w:rPr>
        <w:t xml:space="preserve"> Info </w:t>
      </w:r>
      <w:proofErr w:type="spellStart"/>
      <w:r w:rsidRPr="00AC5CD7">
        <w:rPr>
          <w:szCs w:val="20"/>
          <w:lang w:val="sr-Latn-ME"/>
        </w:rPr>
        <w:t>Hub</w:t>
      </w:r>
      <w:proofErr w:type="spellEnd"/>
      <w:r w:rsidRPr="00AC5CD7">
        <w:rPr>
          <w:szCs w:val="20"/>
          <w:lang w:val="sr-Latn-ME"/>
        </w:rPr>
        <w:t xml:space="preserve">. </w:t>
      </w:r>
      <w:proofErr w:type="spellStart"/>
      <w:r w:rsidRPr="00AC5CD7">
        <w:rPr>
          <w:szCs w:val="20"/>
          <w:lang w:val="sr-Latn-ME"/>
        </w:rPr>
        <w:t>Main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Developments</w:t>
      </w:r>
      <w:proofErr w:type="spellEnd"/>
      <w:r w:rsidRPr="00AC5CD7">
        <w:rPr>
          <w:szCs w:val="20"/>
          <w:lang w:val="sr-Latn-ME"/>
        </w:rPr>
        <w:t xml:space="preserve"> in </w:t>
      </w:r>
      <w:proofErr w:type="spellStart"/>
      <w:r w:rsidRPr="00AC5CD7">
        <w:rPr>
          <w:szCs w:val="20"/>
          <w:lang w:val="sr-Latn-ME"/>
        </w:rPr>
        <w:t>Research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and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Innovation</w:t>
      </w:r>
      <w:proofErr w:type="spellEnd"/>
      <w:r w:rsidRPr="00AC5CD7">
        <w:rPr>
          <w:szCs w:val="20"/>
          <w:lang w:val="sr-Latn-ME"/>
        </w:rPr>
        <w:t xml:space="preserve">: Montenegro </w:t>
      </w:r>
      <w:proofErr w:type="spellStart"/>
      <w:r w:rsidRPr="00AC5CD7">
        <w:rPr>
          <w:szCs w:val="20"/>
          <w:lang w:val="sr-Latn-ME"/>
        </w:rPr>
        <w:t>Update</w:t>
      </w:r>
      <w:proofErr w:type="spellEnd"/>
      <w:r w:rsidRPr="00AC5CD7">
        <w:rPr>
          <w:szCs w:val="20"/>
          <w:lang w:val="sr-Latn-ME"/>
        </w:rPr>
        <w:t xml:space="preserve">. 12 </w:t>
      </w:r>
      <w:proofErr w:type="spellStart"/>
      <w:r w:rsidRPr="00AC5CD7">
        <w:rPr>
          <w:szCs w:val="20"/>
          <w:lang w:val="sr-Latn-ME"/>
        </w:rPr>
        <w:t>February</w:t>
      </w:r>
      <w:proofErr w:type="spellEnd"/>
      <w:r w:rsidRPr="00AC5CD7">
        <w:rPr>
          <w:szCs w:val="20"/>
          <w:lang w:val="sr-Latn-ME"/>
        </w:rPr>
        <w:t xml:space="preserve"> 2025.</w:t>
      </w:r>
    </w:p>
    <w:p w14:paraId="1B4E2C35" w14:textId="7777777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proofErr w:type="spellStart"/>
      <w:r w:rsidRPr="00AC5CD7">
        <w:rPr>
          <w:szCs w:val="20"/>
          <w:lang w:val="sr-Latn-ME"/>
        </w:rPr>
        <w:t>World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Bank</w:t>
      </w:r>
      <w:proofErr w:type="spellEnd"/>
      <w:r w:rsidRPr="00AC5CD7">
        <w:rPr>
          <w:szCs w:val="20"/>
          <w:lang w:val="sr-Latn-ME"/>
        </w:rPr>
        <w:t xml:space="preserve">. </w:t>
      </w:r>
      <w:proofErr w:type="spellStart"/>
      <w:r w:rsidRPr="00AC5CD7">
        <w:rPr>
          <w:szCs w:val="20"/>
          <w:lang w:val="sr-Latn-ME"/>
        </w:rPr>
        <w:t>Strengthening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Montenegro’s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Ecosystem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for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Research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and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Innovation</w:t>
      </w:r>
      <w:proofErr w:type="spellEnd"/>
      <w:r w:rsidRPr="00AC5CD7">
        <w:rPr>
          <w:szCs w:val="20"/>
          <w:lang w:val="sr-Latn-ME"/>
        </w:rPr>
        <w:t xml:space="preserve">: </w:t>
      </w:r>
      <w:proofErr w:type="spellStart"/>
      <w:r w:rsidRPr="00AC5CD7">
        <w:rPr>
          <w:szCs w:val="20"/>
          <w:lang w:val="sr-Latn-ME"/>
        </w:rPr>
        <w:t>Functional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Review</w:t>
      </w:r>
      <w:proofErr w:type="spellEnd"/>
      <w:r w:rsidRPr="00AC5CD7">
        <w:rPr>
          <w:szCs w:val="20"/>
          <w:lang w:val="sr-Latn-ME"/>
        </w:rPr>
        <w:t xml:space="preserve">. </w:t>
      </w:r>
      <w:proofErr w:type="spellStart"/>
      <w:r w:rsidRPr="00AC5CD7">
        <w:rPr>
          <w:szCs w:val="20"/>
          <w:lang w:val="sr-Latn-ME"/>
        </w:rPr>
        <w:t>Draft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for</w:t>
      </w:r>
      <w:proofErr w:type="spellEnd"/>
      <w:r w:rsidRPr="00AC5CD7">
        <w:rPr>
          <w:szCs w:val="20"/>
          <w:lang w:val="sr-Latn-ME"/>
        </w:rPr>
        <w:t xml:space="preserve"> QER, </w:t>
      </w:r>
      <w:proofErr w:type="spellStart"/>
      <w:r w:rsidRPr="00AC5CD7">
        <w:rPr>
          <w:szCs w:val="20"/>
          <w:lang w:val="sr-Latn-ME"/>
        </w:rPr>
        <w:t>December</w:t>
      </w:r>
      <w:proofErr w:type="spellEnd"/>
      <w:r w:rsidRPr="00AC5CD7">
        <w:rPr>
          <w:szCs w:val="20"/>
          <w:lang w:val="sr-Latn-ME"/>
        </w:rPr>
        <w:t xml:space="preserve"> 2025.</w:t>
      </w:r>
    </w:p>
    <w:p w14:paraId="7CB1D98B" w14:textId="7777777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proofErr w:type="spellStart"/>
      <w:r w:rsidRPr="00AC5CD7">
        <w:rPr>
          <w:szCs w:val="20"/>
          <w:lang w:val="sr-Latn-ME"/>
        </w:rPr>
        <w:t>World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Intellectual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Property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Organization</w:t>
      </w:r>
      <w:proofErr w:type="spellEnd"/>
      <w:r w:rsidRPr="00AC5CD7">
        <w:rPr>
          <w:szCs w:val="20"/>
          <w:lang w:val="sr-Latn-ME"/>
        </w:rPr>
        <w:t xml:space="preserve"> (WIPO). Global </w:t>
      </w:r>
      <w:proofErr w:type="spellStart"/>
      <w:r w:rsidRPr="00AC5CD7">
        <w:rPr>
          <w:szCs w:val="20"/>
          <w:lang w:val="sr-Latn-ME"/>
        </w:rPr>
        <w:t>Innovation</w:t>
      </w:r>
      <w:proofErr w:type="spellEnd"/>
      <w:r w:rsidRPr="00AC5CD7">
        <w:rPr>
          <w:szCs w:val="20"/>
          <w:lang w:val="sr-Latn-ME"/>
        </w:rPr>
        <w:t xml:space="preserve"> </w:t>
      </w:r>
      <w:proofErr w:type="spellStart"/>
      <w:r w:rsidRPr="00AC5CD7">
        <w:rPr>
          <w:szCs w:val="20"/>
          <w:lang w:val="sr-Latn-ME"/>
        </w:rPr>
        <w:t>Index</w:t>
      </w:r>
      <w:proofErr w:type="spellEnd"/>
      <w:r w:rsidRPr="00AC5CD7">
        <w:rPr>
          <w:szCs w:val="20"/>
          <w:lang w:val="sr-Latn-ME"/>
        </w:rPr>
        <w:t xml:space="preserve"> 2024: Montenegro </w:t>
      </w:r>
      <w:proofErr w:type="spellStart"/>
      <w:r w:rsidRPr="00AC5CD7">
        <w:rPr>
          <w:szCs w:val="20"/>
          <w:lang w:val="sr-Latn-ME"/>
        </w:rPr>
        <w:t>Economy</w:t>
      </w:r>
      <w:proofErr w:type="spellEnd"/>
      <w:r w:rsidRPr="00AC5CD7">
        <w:rPr>
          <w:szCs w:val="20"/>
          <w:lang w:val="sr-Latn-ME"/>
        </w:rPr>
        <w:t xml:space="preserve"> Profile. </w:t>
      </w:r>
      <w:proofErr w:type="spellStart"/>
      <w:r w:rsidRPr="00AC5CD7">
        <w:rPr>
          <w:szCs w:val="20"/>
          <w:lang w:val="sr-Latn-ME"/>
        </w:rPr>
        <w:t>Geneva</w:t>
      </w:r>
      <w:proofErr w:type="spellEnd"/>
      <w:r w:rsidRPr="00AC5CD7">
        <w:rPr>
          <w:szCs w:val="20"/>
          <w:lang w:val="sr-Latn-ME"/>
        </w:rPr>
        <w:t>: WIPO, 2024.</w:t>
      </w:r>
    </w:p>
    <w:p w14:paraId="1574C45D" w14:textId="7777777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r w:rsidRPr="00AC5CD7">
        <w:rPr>
          <w:szCs w:val="20"/>
          <w:lang w:val="sr-Latn-ME"/>
        </w:rPr>
        <w:t>Fond za inovacije Crne Gore. Izvještaj o radu Fonda za inovacije Crne Gore za 2024. godinu. Podgorica, 2025.</w:t>
      </w:r>
    </w:p>
    <w:p w14:paraId="337CFE50" w14:textId="7777777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r w:rsidRPr="00AC5CD7">
        <w:rPr>
          <w:szCs w:val="20"/>
          <w:lang w:val="sr-Latn-ME"/>
        </w:rPr>
        <w:t>Ministarstvo evropskih poslova Crne Gore. Program pristupanja Crne Gore Evropskoj uniji 2026–2027. Podgorica, 2026.</w:t>
      </w:r>
    </w:p>
    <w:p w14:paraId="56979EA3" w14:textId="7777777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r w:rsidRPr="00AC5CD7">
        <w:rPr>
          <w:szCs w:val="20"/>
          <w:lang w:val="sr-Latn-ME"/>
        </w:rPr>
        <w:lastRenderedPageBreak/>
        <w:t>Ministarstvo javne uprave Crne Gore. Strategija digitalne transformacije Crne Gore 2022–2026. Podgorica, 2022.</w:t>
      </w:r>
    </w:p>
    <w:p w14:paraId="4F675D29" w14:textId="7777777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r w:rsidRPr="00AC5CD7">
        <w:rPr>
          <w:szCs w:val="20"/>
          <w:lang w:val="sr-Latn-ME"/>
        </w:rPr>
        <w:t>Ministarstvo prosvjete, nauke i inovacija Crne Gore. Izvještaj o radu i stanju u upravnim oblastima iz nadležnosti Ministarstva prosvjete, nauke i inovacija za 2025. godinu. Podgorica, 2026.</w:t>
      </w:r>
    </w:p>
    <w:p w14:paraId="50828737" w14:textId="7777777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r w:rsidRPr="00AC5CD7">
        <w:rPr>
          <w:szCs w:val="20"/>
          <w:lang w:val="sr-Latn-ME"/>
        </w:rPr>
        <w:t>Ministarstvo prosvjete, nauke i inovacija Crne Gore. Mapa puta za istraživačku infrastrukturu Crne Gore 2024–2028. Podgorica, 2024.</w:t>
      </w:r>
    </w:p>
    <w:p w14:paraId="601EC731" w14:textId="7777777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r w:rsidRPr="00AC5CD7">
        <w:rPr>
          <w:szCs w:val="20"/>
          <w:lang w:val="sr-Latn-ME"/>
        </w:rPr>
        <w:t>Ministarstvo prosvjete, nauke i inovacija Crne Gore. Program za nauku i inovacije 2026–2030. Podgorica, 2025.</w:t>
      </w:r>
    </w:p>
    <w:p w14:paraId="1EB624A3" w14:textId="7777777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r w:rsidRPr="00AC5CD7">
        <w:rPr>
          <w:szCs w:val="20"/>
          <w:lang w:val="sr-Latn-ME"/>
        </w:rPr>
        <w:t>Ministarstvo prosvjete, nauke i inovacija Crne Gore. Strategija naučnoistraživačke djelatnosti Crne Gore 2024–2028. Podgorica, 2024.</w:t>
      </w:r>
    </w:p>
    <w:p w14:paraId="7BDE4E93" w14:textId="77777777" w:rsidR="00573D6B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r w:rsidRPr="00AC5CD7">
        <w:rPr>
          <w:szCs w:val="20"/>
          <w:lang w:val="sr-Latn-ME"/>
        </w:rPr>
        <w:t>Ministarstvo prosvjete, nauke i inovacija Crne Gore. Strategija reforme obrazovanja 2025–2035. Podgorica, 2025.</w:t>
      </w:r>
    </w:p>
    <w:p w14:paraId="7E7BF38D" w14:textId="1A796420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r w:rsidRPr="00AC5CD7">
        <w:rPr>
          <w:szCs w:val="20"/>
          <w:lang w:val="sr-Latn-ME"/>
        </w:rPr>
        <w:t>Ministarstvo nauke Crne Gore. Strategija pametne specijalizacije Crne Gore 2019–2024. Podgorica, 2019.</w:t>
      </w:r>
    </w:p>
    <w:p w14:paraId="264D0D7B" w14:textId="52F8F437" w:rsidR="00314077" w:rsidRPr="00AC5CD7" w:rsidRDefault="667A61A2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r w:rsidRPr="00AC5CD7">
        <w:rPr>
          <w:szCs w:val="20"/>
          <w:lang w:val="sr-Latn-ME"/>
        </w:rPr>
        <w:t>Vlada Crne Gore. Reformska agenda Crne Gore 2024–2027 za Instrument EU za reforme i rast. Podgorica, 2024.</w:t>
      </w:r>
    </w:p>
    <w:p w14:paraId="33BDB740" w14:textId="13F549D0" w:rsidR="00163695" w:rsidRPr="00AC5CD7" w:rsidRDefault="00163695" w:rsidP="667A61A2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r w:rsidRPr="00AC5CD7">
        <w:rPr>
          <w:szCs w:val="20"/>
          <w:lang w:val="sr-Latn-ME"/>
        </w:rPr>
        <w:t xml:space="preserve">Izvještaj o radu Fonda za inovacije Crne Gore za 2025. godinu. Podgorica, 2026. </w:t>
      </w:r>
      <w:hyperlink r:id="rId10" w:history="1">
        <w:r w:rsidRPr="00AC5CD7">
          <w:rPr>
            <w:rStyle w:val="Hiperveza"/>
            <w:szCs w:val="20"/>
            <w:lang w:val="sr-Latn-ME"/>
          </w:rPr>
          <w:t>https://www.gov.me/dokumenta/16be29cb-391b-4a89-9069-2cc657d032e8</w:t>
        </w:r>
      </w:hyperlink>
    </w:p>
    <w:p w14:paraId="750A1A7A" w14:textId="59013475" w:rsidR="00163695" w:rsidRPr="00AC5CD7" w:rsidRDefault="00163695" w:rsidP="00163695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r w:rsidRPr="00AC5CD7">
        <w:rPr>
          <w:szCs w:val="20"/>
          <w:lang w:val="sr-Latn-ME"/>
        </w:rPr>
        <w:t xml:space="preserve">Izvještaj o radu Naučno-tehnološkog parka Crne Gore za 2025. godinu. Podgorica, 2026. </w:t>
      </w:r>
      <w:hyperlink r:id="rId11" w:history="1">
        <w:r w:rsidRPr="00AC5CD7">
          <w:rPr>
            <w:rStyle w:val="Hiperveza"/>
            <w:szCs w:val="20"/>
            <w:lang w:val="sr-Latn-ME"/>
          </w:rPr>
          <w:t>https://www.gov.me/dokumenta/1091a921-5c86-4c35-a56e-7c3c875c1342</w:t>
        </w:r>
      </w:hyperlink>
    </w:p>
    <w:p w14:paraId="56BD77AC" w14:textId="340930C7" w:rsidR="00163695" w:rsidRPr="00AC5CD7" w:rsidRDefault="00163695" w:rsidP="00163695">
      <w:pPr>
        <w:pStyle w:val="Odlomakpopisa"/>
        <w:numPr>
          <w:ilvl w:val="0"/>
          <w:numId w:val="1"/>
        </w:numPr>
        <w:spacing w:after="120" w:line="240" w:lineRule="auto"/>
        <w:rPr>
          <w:szCs w:val="20"/>
          <w:lang w:val="sr-Latn-ME"/>
        </w:rPr>
      </w:pPr>
      <w:r w:rsidRPr="00AC5CD7">
        <w:rPr>
          <w:szCs w:val="20"/>
          <w:lang w:val="sr-Latn-ME"/>
        </w:rPr>
        <w:t xml:space="preserve">Izvještaj o radu IPC </w:t>
      </w:r>
      <w:proofErr w:type="spellStart"/>
      <w:r w:rsidRPr="00AC5CD7">
        <w:rPr>
          <w:szCs w:val="20"/>
          <w:lang w:val="sr-Latn-ME"/>
        </w:rPr>
        <w:t>Tehnopolis</w:t>
      </w:r>
      <w:proofErr w:type="spellEnd"/>
      <w:r w:rsidRPr="00AC5CD7">
        <w:rPr>
          <w:szCs w:val="20"/>
          <w:lang w:val="sr-Latn-ME"/>
        </w:rPr>
        <w:t xml:space="preserve"> za 2025. godinu. Podgorica, 2026. </w:t>
      </w:r>
      <w:hyperlink r:id="rId12" w:history="1">
        <w:r w:rsidRPr="00AC5CD7">
          <w:rPr>
            <w:rStyle w:val="Hiperveza"/>
            <w:szCs w:val="20"/>
            <w:lang w:val="sr-Latn-ME"/>
          </w:rPr>
          <w:t>https://www.gov.me/dokumenta/8666e382-0268-4f69-a1bb-182a9eb4f1e8</w:t>
        </w:r>
      </w:hyperlink>
      <w:r w:rsidRPr="00AC5CD7">
        <w:rPr>
          <w:szCs w:val="20"/>
          <w:lang w:val="sr-Latn-ME"/>
        </w:rPr>
        <w:t xml:space="preserve"> </w:t>
      </w:r>
    </w:p>
    <w:p w14:paraId="750AF7A1" w14:textId="77777777" w:rsidR="00314077" w:rsidRPr="00AC5CD7" w:rsidRDefault="00314077" w:rsidP="00314077">
      <w:pPr>
        <w:spacing w:after="120" w:line="240" w:lineRule="auto"/>
        <w:rPr>
          <w:lang w:val="sr-Latn-ME"/>
        </w:rPr>
      </w:pPr>
    </w:p>
    <w:p w14:paraId="357C7AAE" w14:textId="3E02E9E1" w:rsidR="00314077" w:rsidRPr="00AC5CD7" w:rsidRDefault="00314077" w:rsidP="00314077">
      <w:pPr>
        <w:spacing w:after="120" w:line="240" w:lineRule="auto"/>
        <w:rPr>
          <w:lang w:val="sr-Latn-ME"/>
        </w:rPr>
      </w:pPr>
    </w:p>
    <w:sectPr w:rsidR="00314077" w:rsidRPr="00AC5CD7" w:rsidSect="00AC5CD7">
      <w:head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FFE8E" w14:textId="77777777" w:rsidR="00DB040A" w:rsidRDefault="00DB040A" w:rsidP="00274F61">
      <w:pPr>
        <w:spacing w:after="0" w:line="240" w:lineRule="auto"/>
      </w:pPr>
      <w:r>
        <w:separator/>
      </w:r>
    </w:p>
  </w:endnote>
  <w:endnote w:type="continuationSeparator" w:id="0">
    <w:p w14:paraId="74D57F96" w14:textId="77777777" w:rsidR="00DB040A" w:rsidRDefault="00DB040A" w:rsidP="00274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B7BEC" w14:textId="77777777" w:rsidR="00DB040A" w:rsidRDefault="00DB040A" w:rsidP="00274F61">
      <w:pPr>
        <w:spacing w:after="0" w:line="240" w:lineRule="auto"/>
      </w:pPr>
      <w:r>
        <w:separator/>
      </w:r>
    </w:p>
  </w:footnote>
  <w:footnote w:type="continuationSeparator" w:id="0">
    <w:p w14:paraId="5E49DF42" w14:textId="77777777" w:rsidR="00DB040A" w:rsidRDefault="00DB040A" w:rsidP="00274F61">
      <w:pPr>
        <w:spacing w:after="0" w:line="240" w:lineRule="auto"/>
      </w:pPr>
      <w:r>
        <w:continuationSeparator/>
      </w:r>
    </w:p>
  </w:footnote>
  <w:footnote w:id="1">
    <w:p w14:paraId="636FF77F" w14:textId="77777777" w:rsidR="00B02DC5" w:rsidRPr="0011243E" w:rsidRDefault="00B02DC5" w:rsidP="00B02DC5">
      <w:pPr>
        <w:pStyle w:val="Tekstfusnote"/>
        <w:rPr>
          <w:sz w:val="16"/>
          <w:szCs w:val="16"/>
        </w:rPr>
      </w:pPr>
      <w:r>
        <w:rPr>
          <w:rStyle w:val="Referencafusnote"/>
        </w:rPr>
        <w:footnoteRef/>
      </w:r>
      <w:r>
        <w:t xml:space="preserve"> </w:t>
      </w:r>
      <w:r w:rsidRPr="0011243E">
        <w:rPr>
          <w:sz w:val="16"/>
          <w:szCs w:val="16"/>
        </w:rPr>
        <w:t xml:space="preserve">Sa </w:t>
      </w:r>
      <w:proofErr w:type="spellStart"/>
      <w:r w:rsidRPr="0011243E">
        <w:rPr>
          <w:sz w:val="16"/>
          <w:szCs w:val="16"/>
        </w:rPr>
        <w:t>ciljem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implementacije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Zakona</w:t>
      </w:r>
      <w:proofErr w:type="spellEnd"/>
      <w:r w:rsidRPr="0011243E">
        <w:rPr>
          <w:sz w:val="16"/>
          <w:szCs w:val="16"/>
        </w:rPr>
        <w:t xml:space="preserve"> o </w:t>
      </w:r>
      <w:proofErr w:type="spellStart"/>
      <w:r w:rsidRPr="0011243E">
        <w:rPr>
          <w:sz w:val="16"/>
          <w:szCs w:val="16"/>
        </w:rPr>
        <w:t>naučnoistraživačkoj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djelatnosti</w:t>
      </w:r>
      <w:proofErr w:type="spellEnd"/>
      <w:r w:rsidRPr="0011243E">
        <w:rPr>
          <w:sz w:val="16"/>
          <w:szCs w:val="16"/>
        </w:rPr>
        <w:t xml:space="preserve">, </w:t>
      </w:r>
      <w:proofErr w:type="spellStart"/>
      <w:r w:rsidRPr="0011243E">
        <w:rPr>
          <w:sz w:val="16"/>
          <w:szCs w:val="16"/>
        </w:rPr>
        <w:t>usvojeni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su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sljedeći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pravilnici</w:t>
      </w:r>
      <w:proofErr w:type="spellEnd"/>
      <w:r w:rsidRPr="0011243E">
        <w:rPr>
          <w:sz w:val="16"/>
          <w:szCs w:val="16"/>
        </w:rPr>
        <w:t>:</w:t>
      </w:r>
    </w:p>
    <w:p w14:paraId="59769C13" w14:textId="77777777" w:rsidR="00B02DC5" w:rsidRPr="0011243E" w:rsidRDefault="00B02DC5" w:rsidP="00B02DC5">
      <w:pPr>
        <w:pStyle w:val="Tekstfusnote"/>
        <w:rPr>
          <w:sz w:val="16"/>
          <w:szCs w:val="16"/>
        </w:rPr>
      </w:pPr>
      <w:r w:rsidRPr="0011243E">
        <w:rPr>
          <w:sz w:val="16"/>
          <w:szCs w:val="16"/>
        </w:rPr>
        <w:t>-</w:t>
      </w:r>
      <w:r w:rsidRPr="0011243E">
        <w:rPr>
          <w:sz w:val="16"/>
          <w:szCs w:val="16"/>
        </w:rPr>
        <w:tab/>
      </w:r>
      <w:proofErr w:type="spellStart"/>
      <w:r w:rsidRPr="0011243E">
        <w:rPr>
          <w:sz w:val="16"/>
          <w:szCs w:val="16"/>
        </w:rPr>
        <w:t>Pravilnik</w:t>
      </w:r>
      <w:proofErr w:type="spellEnd"/>
      <w:r w:rsidRPr="0011243E">
        <w:rPr>
          <w:sz w:val="16"/>
          <w:szCs w:val="16"/>
        </w:rPr>
        <w:t xml:space="preserve"> o </w:t>
      </w:r>
      <w:proofErr w:type="spellStart"/>
      <w:r w:rsidRPr="0011243E">
        <w:rPr>
          <w:sz w:val="16"/>
          <w:szCs w:val="16"/>
        </w:rPr>
        <w:t>bližim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uslovima</w:t>
      </w:r>
      <w:proofErr w:type="spellEnd"/>
      <w:r w:rsidRPr="0011243E">
        <w:rPr>
          <w:sz w:val="16"/>
          <w:szCs w:val="16"/>
        </w:rPr>
        <w:t xml:space="preserve"> za </w:t>
      </w:r>
      <w:proofErr w:type="spellStart"/>
      <w:r w:rsidRPr="0011243E">
        <w:rPr>
          <w:sz w:val="16"/>
          <w:szCs w:val="16"/>
        </w:rPr>
        <w:t>izdavanje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i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obnavljanje</w:t>
      </w:r>
      <w:proofErr w:type="spellEnd"/>
      <w:r w:rsidRPr="0011243E">
        <w:rPr>
          <w:sz w:val="16"/>
          <w:szCs w:val="16"/>
        </w:rPr>
        <w:t xml:space="preserve"> licence za </w:t>
      </w:r>
      <w:proofErr w:type="spellStart"/>
      <w:r w:rsidRPr="0011243E">
        <w:rPr>
          <w:sz w:val="16"/>
          <w:szCs w:val="16"/>
        </w:rPr>
        <w:t>obavljanje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naučnoistraživačke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djelatnosti</w:t>
      </w:r>
      <w:proofErr w:type="spellEnd"/>
      <w:r w:rsidRPr="0011243E">
        <w:rPr>
          <w:sz w:val="16"/>
          <w:szCs w:val="16"/>
        </w:rPr>
        <w:t xml:space="preserve">; </w:t>
      </w:r>
    </w:p>
    <w:p w14:paraId="364E760C" w14:textId="77777777" w:rsidR="00B02DC5" w:rsidRPr="0011243E" w:rsidRDefault="00B02DC5" w:rsidP="00B02DC5">
      <w:pPr>
        <w:pStyle w:val="Tekstfusnote"/>
        <w:rPr>
          <w:sz w:val="16"/>
          <w:szCs w:val="16"/>
        </w:rPr>
      </w:pPr>
      <w:r w:rsidRPr="0011243E">
        <w:rPr>
          <w:sz w:val="16"/>
          <w:szCs w:val="16"/>
        </w:rPr>
        <w:t>-</w:t>
      </w:r>
      <w:r w:rsidRPr="0011243E">
        <w:rPr>
          <w:sz w:val="16"/>
          <w:szCs w:val="16"/>
        </w:rPr>
        <w:tab/>
      </w:r>
      <w:proofErr w:type="spellStart"/>
      <w:r w:rsidRPr="0011243E">
        <w:rPr>
          <w:sz w:val="16"/>
          <w:szCs w:val="16"/>
        </w:rPr>
        <w:t>Pravilnik</w:t>
      </w:r>
      <w:proofErr w:type="spellEnd"/>
      <w:r w:rsidRPr="0011243E">
        <w:rPr>
          <w:sz w:val="16"/>
          <w:szCs w:val="16"/>
        </w:rPr>
        <w:t xml:space="preserve"> o </w:t>
      </w:r>
      <w:proofErr w:type="spellStart"/>
      <w:r w:rsidRPr="0011243E">
        <w:rPr>
          <w:sz w:val="16"/>
          <w:szCs w:val="16"/>
        </w:rPr>
        <w:t>kriterijumima</w:t>
      </w:r>
      <w:proofErr w:type="spellEnd"/>
      <w:r w:rsidRPr="0011243E">
        <w:rPr>
          <w:sz w:val="16"/>
          <w:szCs w:val="16"/>
        </w:rPr>
        <w:t xml:space="preserve"> za </w:t>
      </w:r>
      <w:proofErr w:type="spellStart"/>
      <w:r w:rsidRPr="0011243E">
        <w:rPr>
          <w:sz w:val="16"/>
          <w:szCs w:val="16"/>
        </w:rPr>
        <w:t>upis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na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listu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nezavisnih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eksperata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i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načinu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ocjenjivanja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naučnoistraživačkih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programa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i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projekata</w:t>
      </w:r>
      <w:proofErr w:type="spellEnd"/>
      <w:r w:rsidRPr="0011243E">
        <w:rPr>
          <w:sz w:val="16"/>
          <w:szCs w:val="16"/>
        </w:rPr>
        <w:t>;</w:t>
      </w:r>
    </w:p>
    <w:p w14:paraId="7B136879" w14:textId="77777777" w:rsidR="00B02DC5" w:rsidRPr="0011243E" w:rsidRDefault="00B02DC5" w:rsidP="00B02DC5">
      <w:pPr>
        <w:pStyle w:val="Tekstfusnote"/>
        <w:rPr>
          <w:sz w:val="16"/>
          <w:szCs w:val="16"/>
        </w:rPr>
      </w:pPr>
      <w:r w:rsidRPr="0011243E">
        <w:rPr>
          <w:sz w:val="16"/>
          <w:szCs w:val="16"/>
        </w:rPr>
        <w:t>-</w:t>
      </w:r>
      <w:r w:rsidRPr="0011243E">
        <w:rPr>
          <w:sz w:val="16"/>
          <w:szCs w:val="16"/>
        </w:rPr>
        <w:tab/>
      </w:r>
      <w:proofErr w:type="spellStart"/>
      <w:r w:rsidRPr="0011243E">
        <w:rPr>
          <w:sz w:val="16"/>
          <w:szCs w:val="16"/>
        </w:rPr>
        <w:t>Pravilnik</w:t>
      </w:r>
      <w:proofErr w:type="spellEnd"/>
      <w:r w:rsidRPr="0011243E">
        <w:rPr>
          <w:sz w:val="16"/>
          <w:szCs w:val="16"/>
        </w:rPr>
        <w:t xml:space="preserve"> o </w:t>
      </w:r>
      <w:proofErr w:type="spellStart"/>
      <w:r w:rsidRPr="0011243E">
        <w:rPr>
          <w:sz w:val="16"/>
          <w:szCs w:val="16"/>
        </w:rPr>
        <w:t>bližem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sadržaju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registra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licenciranih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naučnoistraživačkih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ustanova</w:t>
      </w:r>
      <w:proofErr w:type="spellEnd"/>
      <w:r w:rsidRPr="0011243E">
        <w:rPr>
          <w:sz w:val="16"/>
          <w:szCs w:val="16"/>
        </w:rPr>
        <w:t xml:space="preserve">; </w:t>
      </w:r>
    </w:p>
    <w:p w14:paraId="329BDA0D" w14:textId="77777777" w:rsidR="00B02DC5" w:rsidRPr="0011243E" w:rsidRDefault="00B02DC5" w:rsidP="00B02DC5">
      <w:pPr>
        <w:pStyle w:val="Tekstfusnote"/>
        <w:rPr>
          <w:sz w:val="16"/>
          <w:szCs w:val="16"/>
        </w:rPr>
      </w:pPr>
      <w:r w:rsidRPr="0011243E">
        <w:rPr>
          <w:sz w:val="16"/>
          <w:szCs w:val="16"/>
        </w:rPr>
        <w:t>-</w:t>
      </w:r>
      <w:r w:rsidRPr="0011243E">
        <w:rPr>
          <w:sz w:val="16"/>
          <w:szCs w:val="16"/>
        </w:rPr>
        <w:tab/>
      </w:r>
      <w:proofErr w:type="spellStart"/>
      <w:r w:rsidRPr="0011243E">
        <w:rPr>
          <w:sz w:val="16"/>
          <w:szCs w:val="16"/>
        </w:rPr>
        <w:t>Pravilnik</w:t>
      </w:r>
      <w:proofErr w:type="spellEnd"/>
      <w:r w:rsidRPr="0011243E">
        <w:rPr>
          <w:sz w:val="16"/>
          <w:szCs w:val="16"/>
        </w:rPr>
        <w:t xml:space="preserve"> o </w:t>
      </w:r>
      <w:proofErr w:type="spellStart"/>
      <w:r w:rsidRPr="0011243E">
        <w:rPr>
          <w:sz w:val="16"/>
          <w:szCs w:val="16"/>
        </w:rPr>
        <w:t>uslovima</w:t>
      </w:r>
      <w:proofErr w:type="spellEnd"/>
      <w:r w:rsidRPr="0011243E">
        <w:rPr>
          <w:sz w:val="16"/>
          <w:szCs w:val="16"/>
        </w:rPr>
        <w:t xml:space="preserve"> za </w:t>
      </w:r>
      <w:proofErr w:type="spellStart"/>
      <w:r w:rsidRPr="0011243E">
        <w:rPr>
          <w:sz w:val="16"/>
          <w:szCs w:val="16"/>
        </w:rPr>
        <w:t>odobravanje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i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načinu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korišćenja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sredstava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iz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budžeta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države</w:t>
      </w:r>
      <w:proofErr w:type="spellEnd"/>
      <w:r w:rsidRPr="0011243E">
        <w:rPr>
          <w:sz w:val="16"/>
          <w:szCs w:val="16"/>
        </w:rPr>
        <w:t xml:space="preserve"> za </w:t>
      </w:r>
      <w:proofErr w:type="spellStart"/>
      <w:r w:rsidRPr="0011243E">
        <w:rPr>
          <w:sz w:val="16"/>
          <w:szCs w:val="16"/>
        </w:rPr>
        <w:t>finansiranje</w:t>
      </w:r>
      <w:proofErr w:type="spellEnd"/>
      <w:r w:rsidRPr="0011243E">
        <w:rPr>
          <w:sz w:val="16"/>
          <w:szCs w:val="16"/>
        </w:rPr>
        <w:t xml:space="preserve">, </w:t>
      </w:r>
      <w:proofErr w:type="spellStart"/>
      <w:r w:rsidRPr="0011243E">
        <w:rPr>
          <w:sz w:val="16"/>
          <w:szCs w:val="16"/>
        </w:rPr>
        <w:t>odnosno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sufinansiranje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naučnoistraživačke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djelatnosti</w:t>
      </w:r>
      <w:proofErr w:type="spellEnd"/>
      <w:r w:rsidRPr="0011243E">
        <w:rPr>
          <w:sz w:val="16"/>
          <w:szCs w:val="16"/>
        </w:rPr>
        <w:t xml:space="preserve">; </w:t>
      </w:r>
    </w:p>
    <w:p w14:paraId="2008F460" w14:textId="77777777" w:rsidR="00B02DC5" w:rsidRPr="0011243E" w:rsidRDefault="00B02DC5" w:rsidP="00B02DC5">
      <w:pPr>
        <w:pStyle w:val="Tekstfusnote"/>
        <w:rPr>
          <w:sz w:val="16"/>
          <w:szCs w:val="16"/>
        </w:rPr>
      </w:pPr>
      <w:r w:rsidRPr="0011243E">
        <w:rPr>
          <w:sz w:val="16"/>
          <w:szCs w:val="16"/>
        </w:rPr>
        <w:t>-</w:t>
      </w:r>
      <w:r w:rsidRPr="0011243E">
        <w:rPr>
          <w:sz w:val="16"/>
          <w:szCs w:val="16"/>
        </w:rPr>
        <w:tab/>
      </w:r>
      <w:proofErr w:type="spellStart"/>
      <w:r w:rsidRPr="0011243E">
        <w:rPr>
          <w:sz w:val="16"/>
          <w:szCs w:val="16"/>
        </w:rPr>
        <w:t>Pravilnik</w:t>
      </w:r>
      <w:proofErr w:type="spellEnd"/>
      <w:r w:rsidRPr="0011243E">
        <w:rPr>
          <w:sz w:val="16"/>
          <w:szCs w:val="16"/>
        </w:rPr>
        <w:t xml:space="preserve"> o </w:t>
      </w:r>
      <w:proofErr w:type="spellStart"/>
      <w:r w:rsidRPr="0011243E">
        <w:rPr>
          <w:sz w:val="16"/>
          <w:szCs w:val="16"/>
        </w:rPr>
        <w:t>bližem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načinu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upravljanja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podacima</w:t>
      </w:r>
      <w:proofErr w:type="spellEnd"/>
      <w:r w:rsidRPr="0011243E">
        <w:rPr>
          <w:sz w:val="16"/>
          <w:szCs w:val="16"/>
        </w:rPr>
        <w:t xml:space="preserve"> u </w:t>
      </w:r>
      <w:proofErr w:type="spellStart"/>
      <w:r w:rsidRPr="0011243E">
        <w:rPr>
          <w:sz w:val="16"/>
          <w:szCs w:val="16"/>
        </w:rPr>
        <w:t>okviru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informacionog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sistema</w:t>
      </w:r>
      <w:proofErr w:type="spellEnd"/>
      <w:r w:rsidRPr="0011243E">
        <w:rPr>
          <w:sz w:val="16"/>
          <w:szCs w:val="16"/>
        </w:rPr>
        <w:t xml:space="preserve"> za </w:t>
      </w:r>
      <w:proofErr w:type="spellStart"/>
      <w:r w:rsidRPr="0011243E">
        <w:rPr>
          <w:sz w:val="16"/>
          <w:szCs w:val="16"/>
        </w:rPr>
        <w:t>nauku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i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istraživanje</w:t>
      </w:r>
      <w:proofErr w:type="spellEnd"/>
      <w:r w:rsidRPr="0011243E">
        <w:rPr>
          <w:sz w:val="16"/>
          <w:szCs w:val="16"/>
        </w:rPr>
        <w:t xml:space="preserve">; </w:t>
      </w:r>
    </w:p>
    <w:p w14:paraId="1293BD93" w14:textId="77777777" w:rsidR="00B02DC5" w:rsidRPr="0011243E" w:rsidRDefault="00B02DC5" w:rsidP="00B02DC5">
      <w:pPr>
        <w:pStyle w:val="Tekstfusnote"/>
        <w:rPr>
          <w:sz w:val="16"/>
          <w:szCs w:val="16"/>
        </w:rPr>
      </w:pPr>
      <w:r w:rsidRPr="0011243E">
        <w:rPr>
          <w:sz w:val="16"/>
          <w:szCs w:val="16"/>
        </w:rPr>
        <w:t>-</w:t>
      </w:r>
      <w:r w:rsidRPr="0011243E">
        <w:rPr>
          <w:sz w:val="16"/>
          <w:szCs w:val="16"/>
        </w:rPr>
        <w:tab/>
      </w:r>
      <w:proofErr w:type="spellStart"/>
      <w:r w:rsidRPr="0011243E">
        <w:rPr>
          <w:sz w:val="16"/>
          <w:szCs w:val="16"/>
        </w:rPr>
        <w:t>Pravilnik</w:t>
      </w:r>
      <w:proofErr w:type="spellEnd"/>
      <w:r w:rsidRPr="0011243E">
        <w:rPr>
          <w:sz w:val="16"/>
          <w:szCs w:val="16"/>
        </w:rPr>
        <w:t xml:space="preserve"> o </w:t>
      </w:r>
      <w:proofErr w:type="spellStart"/>
      <w:r w:rsidRPr="0011243E">
        <w:rPr>
          <w:sz w:val="16"/>
          <w:szCs w:val="16"/>
        </w:rPr>
        <w:t>bližim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uslovima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i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kriterijumima</w:t>
      </w:r>
      <w:proofErr w:type="spellEnd"/>
      <w:r w:rsidRPr="0011243E">
        <w:rPr>
          <w:sz w:val="16"/>
          <w:szCs w:val="16"/>
        </w:rPr>
        <w:t xml:space="preserve"> za </w:t>
      </w:r>
      <w:proofErr w:type="spellStart"/>
      <w:r w:rsidRPr="0011243E">
        <w:rPr>
          <w:sz w:val="16"/>
          <w:szCs w:val="16"/>
        </w:rPr>
        <w:t>dodjelu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nagrada</w:t>
      </w:r>
      <w:proofErr w:type="spellEnd"/>
      <w:r w:rsidRPr="0011243E">
        <w:rPr>
          <w:sz w:val="16"/>
          <w:szCs w:val="16"/>
        </w:rPr>
        <w:t xml:space="preserve"> za </w:t>
      </w:r>
      <w:proofErr w:type="spellStart"/>
      <w:r w:rsidRPr="0011243E">
        <w:rPr>
          <w:sz w:val="16"/>
          <w:szCs w:val="16"/>
        </w:rPr>
        <w:t>dostignuća</w:t>
      </w:r>
      <w:proofErr w:type="spellEnd"/>
      <w:r w:rsidRPr="0011243E">
        <w:rPr>
          <w:sz w:val="16"/>
          <w:szCs w:val="16"/>
        </w:rPr>
        <w:t xml:space="preserve"> u </w:t>
      </w:r>
      <w:proofErr w:type="spellStart"/>
      <w:r w:rsidRPr="0011243E">
        <w:rPr>
          <w:sz w:val="16"/>
          <w:szCs w:val="16"/>
        </w:rPr>
        <w:t>oblasti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naučnoistraživačke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djelatnosti</w:t>
      </w:r>
      <w:proofErr w:type="spellEnd"/>
      <w:r w:rsidRPr="0011243E">
        <w:rPr>
          <w:sz w:val="16"/>
          <w:szCs w:val="16"/>
        </w:rPr>
        <w:t xml:space="preserve">, </w:t>
      </w:r>
      <w:proofErr w:type="spellStart"/>
      <w:r w:rsidRPr="0011243E">
        <w:rPr>
          <w:sz w:val="16"/>
          <w:szCs w:val="16"/>
        </w:rPr>
        <w:t>uključujući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i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iznose</w:t>
      </w:r>
      <w:proofErr w:type="spellEnd"/>
      <w:r w:rsidRPr="0011243E">
        <w:rPr>
          <w:sz w:val="16"/>
          <w:szCs w:val="16"/>
        </w:rPr>
        <w:t xml:space="preserve"> </w:t>
      </w:r>
      <w:proofErr w:type="spellStart"/>
      <w:r w:rsidRPr="0011243E">
        <w:rPr>
          <w:sz w:val="16"/>
          <w:szCs w:val="16"/>
        </w:rPr>
        <w:t>nagrada</w:t>
      </w:r>
      <w:proofErr w:type="spellEnd"/>
    </w:p>
    <w:p w14:paraId="02CE9FB8" w14:textId="53C22034" w:rsidR="00B02DC5" w:rsidRPr="0011243E" w:rsidRDefault="00B02DC5">
      <w:pPr>
        <w:pStyle w:val="Tekstfusnote"/>
        <w:rPr>
          <w:lang w:val="sr-Latn-M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9129B" w14:textId="1529297D" w:rsidR="00AC5CD7" w:rsidRDefault="00AC5CD7">
    <w:pPr>
      <w:pStyle w:val="Zaglavlje"/>
    </w:pPr>
    <w:r w:rsidRPr="00095509">
      <w:rPr>
        <w:lang w:val="en-US"/>
      </w:rPr>
      <w:drawing>
        <wp:anchor distT="0" distB="0" distL="114300" distR="114300" simplePos="0" relativeHeight="251659264" behindDoc="0" locked="0" layoutInCell="1" allowOverlap="1" wp14:anchorId="67296B1D" wp14:editId="3AFF150C">
          <wp:simplePos x="0" y="0"/>
          <wp:positionH relativeFrom="column">
            <wp:posOffset>0</wp:posOffset>
          </wp:positionH>
          <wp:positionV relativeFrom="paragraph">
            <wp:posOffset>183515</wp:posOffset>
          </wp:positionV>
          <wp:extent cx="1459865" cy="729615"/>
          <wp:effectExtent l="0" t="0" r="6985" b="0"/>
          <wp:wrapThrough wrapText="bothSides">
            <wp:wrapPolygon edited="0">
              <wp:start x="1973" y="3948"/>
              <wp:lineTo x="282" y="6768"/>
              <wp:lineTo x="282" y="12407"/>
              <wp:lineTo x="1973" y="14663"/>
              <wp:lineTo x="12120" y="16919"/>
              <wp:lineTo x="15784" y="16919"/>
              <wp:lineTo x="20858" y="14663"/>
              <wp:lineTo x="21421" y="12971"/>
              <wp:lineTo x="21421" y="5076"/>
              <wp:lineTo x="3382" y="3948"/>
              <wp:lineTo x="1973" y="3948"/>
            </wp:wrapPolygon>
          </wp:wrapThrough>
          <wp:docPr id="154918060" name="Picture 10">
            <a:extLst xmlns:a="http://schemas.openxmlformats.org/drawingml/2006/main">
              <a:ext uri="{FF2B5EF4-FFF2-40B4-BE49-F238E27FC236}">
                <a16:creationId xmlns:a16="http://schemas.microsoft.com/office/drawing/2014/main" id="{B462C3E9-0F16-3A9C-C01E-9CF55F5E688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>
                    <a:extLst>
                      <a:ext uri="{FF2B5EF4-FFF2-40B4-BE49-F238E27FC236}">
                        <a16:creationId xmlns:a16="http://schemas.microsoft.com/office/drawing/2014/main" id="{B462C3E9-0F16-3A9C-C01E-9CF55F5E688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865" cy="729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0AF3FC9" w14:textId="77777777" w:rsidR="00AC5CD7" w:rsidRDefault="00AC5CD7">
    <w:pPr>
      <w:pStyle w:val="Zaglavlje"/>
    </w:pPr>
  </w:p>
  <w:p w14:paraId="1775EFEF" w14:textId="77777777" w:rsidR="00AC5CD7" w:rsidRDefault="00AC5CD7">
    <w:pPr>
      <w:pStyle w:val="Zaglavlje"/>
    </w:pPr>
  </w:p>
  <w:p w14:paraId="7C2B445A" w14:textId="77777777" w:rsidR="00AC5CD7" w:rsidRDefault="00AC5CD7">
    <w:pPr>
      <w:pStyle w:val="Zaglavlje"/>
    </w:pPr>
  </w:p>
  <w:p w14:paraId="09CAE2B0" w14:textId="77777777" w:rsidR="00AC5CD7" w:rsidRDefault="00AC5CD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311EA"/>
    <w:multiLevelType w:val="hybridMultilevel"/>
    <w:tmpl w:val="C4684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12A82"/>
    <w:multiLevelType w:val="hybridMultilevel"/>
    <w:tmpl w:val="FC6EBC06"/>
    <w:lvl w:ilvl="0" w:tplc="E76EF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BAB9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DEB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A1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2492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CEE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5080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EF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582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5440B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6813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893350593">
    <w:abstractNumId w:val="1"/>
  </w:num>
  <w:num w:numId="2" w16cid:durableId="2125807560">
    <w:abstractNumId w:val="2"/>
  </w:num>
  <w:num w:numId="3" w16cid:durableId="413163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9F5"/>
    <w:rsid w:val="00052F23"/>
    <w:rsid w:val="00073C95"/>
    <w:rsid w:val="000A544F"/>
    <w:rsid w:val="0011243E"/>
    <w:rsid w:val="00112D31"/>
    <w:rsid w:val="0014159B"/>
    <w:rsid w:val="00163695"/>
    <w:rsid w:val="0016704E"/>
    <w:rsid w:val="00184FE0"/>
    <w:rsid w:val="001A652B"/>
    <w:rsid w:val="001A7ACC"/>
    <w:rsid w:val="001A7F8A"/>
    <w:rsid w:val="00202D5B"/>
    <w:rsid w:val="0021066E"/>
    <w:rsid w:val="0021377E"/>
    <w:rsid w:val="00216393"/>
    <w:rsid w:val="00221807"/>
    <w:rsid w:val="00257AA7"/>
    <w:rsid w:val="0027129C"/>
    <w:rsid w:val="00274F61"/>
    <w:rsid w:val="002A663A"/>
    <w:rsid w:val="002C0E78"/>
    <w:rsid w:val="002D6FE8"/>
    <w:rsid w:val="002E558F"/>
    <w:rsid w:val="0030605C"/>
    <w:rsid w:val="00311BC7"/>
    <w:rsid w:val="003121C9"/>
    <w:rsid w:val="00314077"/>
    <w:rsid w:val="003630F9"/>
    <w:rsid w:val="003646A1"/>
    <w:rsid w:val="003C156F"/>
    <w:rsid w:val="003F6684"/>
    <w:rsid w:val="00413AD9"/>
    <w:rsid w:val="00420BA4"/>
    <w:rsid w:val="004959D1"/>
    <w:rsid w:val="004A2735"/>
    <w:rsid w:val="004B2CE8"/>
    <w:rsid w:val="004C05E6"/>
    <w:rsid w:val="00543599"/>
    <w:rsid w:val="00570DEC"/>
    <w:rsid w:val="00573D6B"/>
    <w:rsid w:val="005D77EF"/>
    <w:rsid w:val="005E4F09"/>
    <w:rsid w:val="00635899"/>
    <w:rsid w:val="0064476C"/>
    <w:rsid w:val="00663FC6"/>
    <w:rsid w:val="00672BA3"/>
    <w:rsid w:val="00672C9E"/>
    <w:rsid w:val="0067372A"/>
    <w:rsid w:val="00686E8D"/>
    <w:rsid w:val="006A1BFC"/>
    <w:rsid w:val="006A6DBF"/>
    <w:rsid w:val="00713F95"/>
    <w:rsid w:val="0074092B"/>
    <w:rsid w:val="007B7335"/>
    <w:rsid w:val="007C109F"/>
    <w:rsid w:val="007E68D1"/>
    <w:rsid w:val="00811E78"/>
    <w:rsid w:val="0083003A"/>
    <w:rsid w:val="008569C0"/>
    <w:rsid w:val="0087152E"/>
    <w:rsid w:val="008B6483"/>
    <w:rsid w:val="008D1E69"/>
    <w:rsid w:val="0093136E"/>
    <w:rsid w:val="009370D2"/>
    <w:rsid w:val="00941732"/>
    <w:rsid w:val="00956CD7"/>
    <w:rsid w:val="009A0264"/>
    <w:rsid w:val="00A1003F"/>
    <w:rsid w:val="00A1491C"/>
    <w:rsid w:val="00A2352B"/>
    <w:rsid w:val="00A60746"/>
    <w:rsid w:val="00A67C18"/>
    <w:rsid w:val="00A90FB9"/>
    <w:rsid w:val="00A93298"/>
    <w:rsid w:val="00A93606"/>
    <w:rsid w:val="00AB63F3"/>
    <w:rsid w:val="00AC5CD7"/>
    <w:rsid w:val="00B027ED"/>
    <w:rsid w:val="00B02DC5"/>
    <w:rsid w:val="00B17B5B"/>
    <w:rsid w:val="00B722BD"/>
    <w:rsid w:val="00B96841"/>
    <w:rsid w:val="00BD1487"/>
    <w:rsid w:val="00C21BFF"/>
    <w:rsid w:val="00C44C51"/>
    <w:rsid w:val="00C45254"/>
    <w:rsid w:val="00C726A4"/>
    <w:rsid w:val="00C94037"/>
    <w:rsid w:val="00CB1F03"/>
    <w:rsid w:val="00CF7C40"/>
    <w:rsid w:val="00D13A85"/>
    <w:rsid w:val="00D8501E"/>
    <w:rsid w:val="00DB040A"/>
    <w:rsid w:val="00DF4670"/>
    <w:rsid w:val="00E635C6"/>
    <w:rsid w:val="00E92DFE"/>
    <w:rsid w:val="00E94979"/>
    <w:rsid w:val="00EC080A"/>
    <w:rsid w:val="00F02B60"/>
    <w:rsid w:val="00F17B78"/>
    <w:rsid w:val="00F4622C"/>
    <w:rsid w:val="00F579F5"/>
    <w:rsid w:val="552A8536"/>
    <w:rsid w:val="667A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2E6B"/>
  <w15:chartTrackingRefBased/>
  <w15:docId w15:val="{95921294-6A19-4CD1-9D16-38096EAC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CD7"/>
    <w:pPr>
      <w:jc w:val="both"/>
    </w:pPr>
    <w:rPr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F579F5"/>
    <w:pPr>
      <w:keepNext/>
      <w:keepLines/>
      <w:numPr>
        <w:numId w:val="2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579F5"/>
    <w:pPr>
      <w:keepNext/>
      <w:keepLines/>
      <w:numPr>
        <w:ilvl w:val="1"/>
        <w:numId w:val="2"/>
      </w:numPr>
      <w:spacing w:before="160" w:after="80"/>
      <w:ind w:left="576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579F5"/>
    <w:pPr>
      <w:keepNext/>
      <w:keepLines/>
      <w:numPr>
        <w:ilvl w:val="2"/>
        <w:numId w:val="2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579F5"/>
    <w:pPr>
      <w:keepNext/>
      <w:keepLines/>
      <w:numPr>
        <w:ilvl w:val="3"/>
        <w:numId w:val="2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579F5"/>
    <w:pPr>
      <w:keepNext/>
      <w:keepLines/>
      <w:numPr>
        <w:ilvl w:val="4"/>
        <w:numId w:val="2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579F5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579F5"/>
    <w:pPr>
      <w:keepNext/>
      <w:keepLines/>
      <w:numPr>
        <w:ilvl w:val="6"/>
        <w:numId w:val="2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579F5"/>
    <w:pPr>
      <w:keepNext/>
      <w:keepLines/>
      <w:numPr>
        <w:ilvl w:val="7"/>
        <w:numId w:val="2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579F5"/>
    <w:pPr>
      <w:keepNext/>
      <w:keepLines/>
      <w:numPr>
        <w:ilvl w:val="8"/>
        <w:numId w:val="2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57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F57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F579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579F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579F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579F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579F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579F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579F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57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57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57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57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57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579F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579F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579F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57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579F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579F5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F5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74F61"/>
    <w:pPr>
      <w:spacing w:after="0" w:line="240" w:lineRule="auto"/>
    </w:pPr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74F61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74F61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74F61"/>
    <w:pPr>
      <w:spacing w:after="0"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74F6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74F61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CF7C4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F7C40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F7C40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F7C4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F7C40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7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7C40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420BA4"/>
    <w:pPr>
      <w:spacing w:after="0" w:line="240" w:lineRule="auto"/>
    </w:pPr>
  </w:style>
  <w:style w:type="table" w:styleId="Svijetlatablicareetke1-isticanje4">
    <w:name w:val="Grid Table 1 Light Accent 4"/>
    <w:basedOn w:val="Obinatablica"/>
    <w:uiPriority w:val="46"/>
    <w:rsid w:val="007C109F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eza">
    <w:name w:val="Hyperlink"/>
    <w:basedOn w:val="Zadanifontodlomka"/>
    <w:uiPriority w:val="99"/>
    <w:unhideWhenUsed/>
    <w:rsid w:val="001A652B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63695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AC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C5CD7"/>
  </w:style>
  <w:style w:type="paragraph" w:styleId="Podnoje">
    <w:name w:val="footer"/>
    <w:basedOn w:val="Normal"/>
    <w:link w:val="PodnojeChar"/>
    <w:uiPriority w:val="99"/>
    <w:unhideWhenUsed/>
    <w:rsid w:val="00AC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5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3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me/dokumenta/8666e382-0268-4f69-a1bb-182a9eb4f1e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me/dokumenta/1091a921-5c86-4c35-a56e-7c3c875c13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me/dokumenta/16be29cb-391b-4a89-9069-2cc657d032e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2AB37-087F-41E4-BF05-D219AAEDB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6780</Words>
  <Characters>38649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Kresimir Ivancic</dc:creator>
  <cp:keywords/>
  <dc:description/>
  <cp:lastModifiedBy>Kresimir Ivancic</cp:lastModifiedBy>
  <cp:revision>5</cp:revision>
  <dcterms:created xsi:type="dcterms:W3CDTF">2026-05-31T11:40:00Z</dcterms:created>
  <dcterms:modified xsi:type="dcterms:W3CDTF">2026-06-01T11:28:00Z</dcterms:modified>
</cp:coreProperties>
</file>