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5EDEB" w14:textId="77777777" w:rsidR="00DE7BAC" w:rsidRDefault="00C203D2" w:rsidP="00F579F5">
      <w:pPr>
        <w:pStyle w:val="Naslov"/>
        <w:rPr>
          <w:lang w:val="sr-Latn-CS"/>
        </w:rPr>
      </w:pPr>
      <w:r>
        <w:rPr>
          <w:lang w:val="sr-Latn-CS"/>
        </w:rPr>
        <w:t>Pri</w:t>
      </w:r>
      <w:r w:rsidR="00DE7BAC">
        <w:rPr>
          <w:lang w:val="sr-Latn-CS"/>
        </w:rPr>
        <w:t>oritetna oblast 05 – Digitalne tehnologije i infrastruktura</w:t>
      </w:r>
    </w:p>
    <w:p w14:paraId="1B361F6A" w14:textId="472712B8" w:rsidR="0087152E" w:rsidRDefault="00F579F5" w:rsidP="00DE7BAC">
      <w:pPr>
        <w:pStyle w:val="Podnaslov"/>
        <w:rPr>
          <w:lang w:val="sr-Latn-CS"/>
        </w:rPr>
      </w:pPr>
      <w:r w:rsidRPr="000065DA">
        <w:rPr>
          <w:lang w:val="sr-Latn-CS"/>
        </w:rPr>
        <w:t>Priprema Strateškog planskog dokumenta Crne Gore za potrebe korišćenja EU fondova</w:t>
      </w:r>
    </w:p>
    <w:p w14:paraId="6B615FC9" w14:textId="64BD18D5" w:rsidR="00F579F5" w:rsidRPr="000065DA" w:rsidRDefault="00F579F5" w:rsidP="00F579F5">
      <w:pPr>
        <w:pStyle w:val="Naslov1"/>
        <w:rPr>
          <w:lang w:val="sr-Latn-CS"/>
        </w:rPr>
      </w:pPr>
      <w:r w:rsidRPr="000065DA">
        <w:rPr>
          <w:lang w:val="sr-Latn-CS"/>
        </w:rPr>
        <w:t>Uvod i važnost</w:t>
      </w:r>
    </w:p>
    <w:p w14:paraId="7B9FDF08" w14:textId="3E244B19" w:rsidR="00792BB6" w:rsidRPr="000065DA" w:rsidRDefault="00792BB6" w:rsidP="00792BB6">
      <w:pPr>
        <w:rPr>
          <w:lang w:val="sr-Latn-CS"/>
        </w:rPr>
      </w:pPr>
      <w:r w:rsidRPr="000065DA">
        <w:rPr>
          <w:lang w:val="sr-Latn-CS"/>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3F3C3B0E" w14:textId="77777777" w:rsidR="00792BB6" w:rsidRPr="000065DA" w:rsidRDefault="00792BB6" w:rsidP="00792BB6">
      <w:pPr>
        <w:rPr>
          <w:lang w:val="sr-Latn-CS"/>
        </w:rPr>
      </w:pPr>
      <w:r w:rsidRPr="000065DA">
        <w:rPr>
          <w:lang w:val="sr-Latn-CS"/>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„Partnership Agreement“, a koji treba da obuhvati stratešku analizu, uključujući izazove, potrebe i ciljne grupe, odabrane prioritete i ciljeve, glavne očekivane rezultate, planirane tematske cjeline i izvore finansiranja, mehanizme za obezbjeđivanje usklađenosti sa relevantnim prioritetima i strategijama Evropske unije, kao i okvir upravljanja u skladu sa Evropskim kodeksom ponašanja o partnerstvu.</w:t>
      </w:r>
    </w:p>
    <w:p w14:paraId="491BE183" w14:textId="77777777" w:rsidR="00792BB6" w:rsidRPr="000065DA" w:rsidRDefault="00792BB6" w:rsidP="00792BB6">
      <w:pPr>
        <w:rPr>
          <w:lang w:val="sr-Latn-CS"/>
        </w:rPr>
      </w:pPr>
      <w:r w:rsidRPr="000065DA">
        <w:rPr>
          <w:lang w:val="sr-Latn-CS"/>
        </w:rPr>
        <w:t>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javnopolitički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33DCB41F" w14:textId="14BE64D9" w:rsidR="00792BB6" w:rsidRPr="000065DA" w:rsidRDefault="00792BB6" w:rsidP="00792BB6">
      <w:pPr>
        <w:rPr>
          <w:lang w:val="sr-Latn-CS"/>
        </w:rPr>
      </w:pPr>
      <w:r w:rsidRPr="000065DA">
        <w:rPr>
          <w:lang w:val="sr-Latn-CS"/>
        </w:rPr>
        <w:t>Situaciona analiza istovremeno ima i važnu funkciju u obezbjeđivanju usklađenosti budućeg strateškog dokumenta sa prioritetima Evropske unije, pravnom tekovinom EU i programskim okvirom za period nakon 2027. godine. Kroz pregled međunarodnog i nacionalnog strateškog i pravnog okvira, planiranih reformi i ključnih pokazatelja, analiza omogućava da se predmetna oblast politike sagleda u širem razvojnom i pristupnom kontekstu, uključujući doprinos pametnom, održivom i inkluzivnom rastu, ekonomskoj, socijalnoj i teritorijalnoj koheziji, kao i smanjenju razvojnih dispariteta.</w:t>
      </w:r>
    </w:p>
    <w:p w14:paraId="56D9F4EE" w14:textId="34F6DE15" w:rsidR="00792BB6" w:rsidRPr="000065DA" w:rsidRDefault="00792BB6" w:rsidP="00792BB6">
      <w:pPr>
        <w:rPr>
          <w:lang w:val="sr-Latn-CS"/>
        </w:rPr>
      </w:pPr>
      <w:r w:rsidRPr="000065DA">
        <w:rPr>
          <w:lang w:val="sr-Latn-CS"/>
        </w:rPr>
        <w:t xml:space="preserve">Pored toga, situaciona analiza je važan alat za strukturiranje dijaloga unutar radnih grupa i sa širim krugom partnera. Njome se obezbjeđuje zajednička analitička osnova za SWOT </w:t>
      </w:r>
      <w:r w:rsidRPr="000065DA">
        <w:rPr>
          <w:lang w:val="sr-Latn-CS"/>
        </w:rPr>
        <w:lastRenderedPageBreak/>
        <w:t>razmatranje, validaciju nalaza i identifikaciju dugog spiska razvojnih izazova, koji će u narednim koracima biti prioritizovani. Na taj način, situaciona analiza doprinosi transparentnom, participativnom i metodološki utemeljenom procesu planiranja, u skladu sa principom partnerstva i višerazinskog upravljanja.</w:t>
      </w:r>
    </w:p>
    <w:p w14:paraId="68AAD0E9" w14:textId="4791CA14" w:rsidR="00F579F5" w:rsidRPr="000065DA" w:rsidRDefault="00F579F5" w:rsidP="00F579F5">
      <w:pPr>
        <w:pStyle w:val="Naslov1"/>
        <w:rPr>
          <w:lang w:val="sr-Latn-CS"/>
        </w:rPr>
      </w:pPr>
      <w:r w:rsidRPr="000065DA">
        <w:rPr>
          <w:lang w:val="sr-Latn-CS"/>
        </w:rPr>
        <w:t>Opis prioritetnih područja unutar RG</w:t>
      </w:r>
    </w:p>
    <w:tbl>
      <w:tblPr>
        <w:tblStyle w:val="Reetkatablice"/>
        <w:tblW w:w="9224" w:type="dxa"/>
        <w:tblLook w:val="04A0" w:firstRow="1" w:lastRow="0" w:firstColumn="1" w:lastColumn="0" w:noHBand="0" w:noVBand="1"/>
      </w:tblPr>
      <w:tblGrid>
        <w:gridCol w:w="1812"/>
        <w:gridCol w:w="2250"/>
        <w:gridCol w:w="1887"/>
        <w:gridCol w:w="3275"/>
      </w:tblGrid>
      <w:tr w:rsidR="00F579F5" w:rsidRPr="000065DA" w14:paraId="479424C2" w14:textId="54850EDA" w:rsidTr="5B34FFAC">
        <w:tc>
          <w:tcPr>
            <w:tcW w:w="1812" w:type="dxa"/>
          </w:tcPr>
          <w:p w14:paraId="15EF08D8" w14:textId="55F69742" w:rsidR="132F34F1" w:rsidRDefault="132F34F1" w:rsidP="132F34F1">
            <w:pPr>
              <w:rPr>
                <w:rFonts w:ascii="Aptos" w:eastAsia="Aptos" w:hAnsi="Aptos" w:cs="Aptos"/>
                <w:color w:val="000000" w:themeColor="text1"/>
                <w:sz w:val="20"/>
                <w:szCs w:val="20"/>
              </w:rPr>
            </w:pPr>
            <w:r w:rsidRPr="132F34F1">
              <w:rPr>
                <w:rFonts w:ascii="Aptos" w:eastAsia="Aptos" w:hAnsi="Aptos" w:cs="Aptos"/>
                <w:b/>
                <w:bCs/>
                <w:color w:val="000000" w:themeColor="text1"/>
                <w:sz w:val="20"/>
                <w:szCs w:val="20"/>
                <w:lang w:val="sr-Latn-ME"/>
              </w:rPr>
              <w:t>Kod Prioritetnog područja nivo 1</w:t>
            </w:r>
          </w:p>
        </w:tc>
        <w:tc>
          <w:tcPr>
            <w:tcW w:w="2250" w:type="dxa"/>
          </w:tcPr>
          <w:p w14:paraId="70A427CD" w14:textId="1CE8DFA2" w:rsidR="132F34F1" w:rsidRDefault="132F34F1" w:rsidP="132F34F1">
            <w:pPr>
              <w:rPr>
                <w:rFonts w:ascii="Aptos" w:eastAsia="Aptos" w:hAnsi="Aptos" w:cs="Aptos"/>
                <w:color w:val="000000" w:themeColor="text1"/>
                <w:sz w:val="20"/>
                <w:szCs w:val="20"/>
              </w:rPr>
            </w:pPr>
            <w:r w:rsidRPr="132F34F1">
              <w:rPr>
                <w:rFonts w:ascii="Aptos" w:eastAsia="Aptos" w:hAnsi="Aptos" w:cs="Aptos"/>
                <w:b/>
                <w:bCs/>
                <w:color w:val="000000" w:themeColor="text1"/>
                <w:sz w:val="20"/>
                <w:szCs w:val="20"/>
                <w:lang w:val="sr-Latn-ME"/>
              </w:rPr>
              <w:t>Naziv Prioritetnog područja nivo 1</w:t>
            </w:r>
          </w:p>
        </w:tc>
        <w:tc>
          <w:tcPr>
            <w:tcW w:w="1887" w:type="dxa"/>
          </w:tcPr>
          <w:p w14:paraId="007CF9ED" w14:textId="498264DE" w:rsidR="132F34F1" w:rsidRDefault="132F34F1" w:rsidP="132F34F1">
            <w:pPr>
              <w:rPr>
                <w:rFonts w:ascii="Aptos" w:eastAsia="Aptos" w:hAnsi="Aptos" w:cs="Aptos"/>
                <w:color w:val="000000" w:themeColor="text1"/>
                <w:sz w:val="20"/>
                <w:szCs w:val="20"/>
              </w:rPr>
            </w:pPr>
            <w:r w:rsidRPr="132F34F1">
              <w:rPr>
                <w:rFonts w:ascii="Aptos" w:eastAsia="Aptos" w:hAnsi="Aptos" w:cs="Aptos"/>
                <w:b/>
                <w:bCs/>
                <w:color w:val="000000" w:themeColor="text1"/>
                <w:sz w:val="20"/>
                <w:szCs w:val="20"/>
                <w:lang w:val="sr-Latn-ME"/>
              </w:rPr>
              <w:t>Kod Prioritetnog područja nivo 2</w:t>
            </w:r>
          </w:p>
        </w:tc>
        <w:tc>
          <w:tcPr>
            <w:tcW w:w="3275" w:type="dxa"/>
          </w:tcPr>
          <w:p w14:paraId="0A5D2D17" w14:textId="7D790840" w:rsidR="132F34F1" w:rsidRDefault="132F34F1" w:rsidP="132F34F1">
            <w:pPr>
              <w:rPr>
                <w:rFonts w:ascii="Aptos" w:eastAsia="Aptos" w:hAnsi="Aptos" w:cs="Aptos"/>
                <w:color w:val="000000" w:themeColor="text1"/>
                <w:sz w:val="20"/>
                <w:szCs w:val="20"/>
              </w:rPr>
            </w:pPr>
            <w:r w:rsidRPr="132F34F1">
              <w:rPr>
                <w:rFonts w:ascii="Aptos" w:eastAsia="Aptos" w:hAnsi="Aptos" w:cs="Aptos"/>
                <w:b/>
                <w:bCs/>
                <w:color w:val="000000" w:themeColor="text1"/>
                <w:sz w:val="20"/>
                <w:szCs w:val="20"/>
                <w:lang w:val="sr-Latn-ME"/>
              </w:rPr>
              <w:t>Naziv Prioritetnog područja nico 2</w:t>
            </w:r>
          </w:p>
        </w:tc>
      </w:tr>
      <w:tr w:rsidR="00F579F5" w:rsidRPr="000065DA" w14:paraId="52B2FC20" w14:textId="45C77E14" w:rsidTr="5B34FFAC">
        <w:tc>
          <w:tcPr>
            <w:tcW w:w="1812" w:type="dxa"/>
          </w:tcPr>
          <w:p w14:paraId="1952FEAB" w14:textId="36915971" w:rsidR="00F579F5" w:rsidRPr="000065DA" w:rsidRDefault="16B6B9BC" w:rsidP="16B6B9BC">
            <w:pPr>
              <w:spacing w:line="276" w:lineRule="auto"/>
              <w:rPr>
                <w:b/>
                <w:bCs/>
                <w:sz w:val="18"/>
                <w:szCs w:val="18"/>
                <w:lang w:val="sr-Latn-CS"/>
              </w:rPr>
            </w:pPr>
            <w:r w:rsidRPr="16B6B9BC">
              <w:rPr>
                <w:b/>
                <w:bCs/>
                <w:sz w:val="18"/>
                <w:szCs w:val="18"/>
                <w:lang w:val="sr-Latn-CS"/>
              </w:rPr>
              <w:t>5</w:t>
            </w:r>
          </w:p>
        </w:tc>
        <w:tc>
          <w:tcPr>
            <w:tcW w:w="2250" w:type="dxa"/>
          </w:tcPr>
          <w:p w14:paraId="2000B7F2" w14:textId="6EC1D005" w:rsidR="00F579F5" w:rsidRPr="000065DA" w:rsidRDefault="00704436" w:rsidP="0067459B">
            <w:pPr>
              <w:spacing w:line="276" w:lineRule="auto"/>
              <w:rPr>
                <w:b/>
                <w:bCs/>
                <w:sz w:val="18"/>
                <w:szCs w:val="18"/>
                <w:lang w:val="sr-Latn-CS"/>
              </w:rPr>
            </w:pPr>
            <w:r w:rsidRPr="000065DA">
              <w:rPr>
                <w:b/>
                <w:bCs/>
                <w:sz w:val="18"/>
                <w:szCs w:val="18"/>
                <w:lang w:val="sr-Latn-CS"/>
              </w:rPr>
              <w:t>Digitalne tehnologije i infrastruktura</w:t>
            </w:r>
          </w:p>
        </w:tc>
        <w:tc>
          <w:tcPr>
            <w:tcW w:w="1887" w:type="dxa"/>
          </w:tcPr>
          <w:p w14:paraId="6D849FA3" w14:textId="4CAA5039" w:rsidR="00F579F5" w:rsidRPr="000065DA" w:rsidRDefault="16B6B9BC" w:rsidP="16B6B9BC">
            <w:pPr>
              <w:spacing w:line="276" w:lineRule="auto"/>
              <w:rPr>
                <w:b/>
                <w:bCs/>
                <w:sz w:val="18"/>
                <w:szCs w:val="18"/>
                <w:lang w:val="sr-Latn-CS"/>
              </w:rPr>
            </w:pPr>
            <w:r w:rsidRPr="16B6B9BC">
              <w:rPr>
                <w:b/>
                <w:bCs/>
                <w:sz w:val="18"/>
                <w:szCs w:val="18"/>
                <w:lang w:val="sr-Latn-CS"/>
              </w:rPr>
              <w:t>5.14</w:t>
            </w:r>
          </w:p>
        </w:tc>
        <w:tc>
          <w:tcPr>
            <w:tcW w:w="3275" w:type="dxa"/>
          </w:tcPr>
          <w:p w14:paraId="113CAF71" w14:textId="383CDDD9" w:rsidR="00F579F5" w:rsidRPr="000065DA" w:rsidRDefault="16B6B9BC" w:rsidP="16B6B9BC">
            <w:pPr>
              <w:spacing w:line="276" w:lineRule="auto"/>
              <w:rPr>
                <w:b/>
                <w:bCs/>
                <w:sz w:val="18"/>
                <w:szCs w:val="18"/>
                <w:lang w:val="sr-Latn-CS"/>
              </w:rPr>
            </w:pPr>
            <w:r w:rsidRPr="16B6B9BC">
              <w:rPr>
                <w:b/>
                <w:bCs/>
                <w:sz w:val="18"/>
                <w:szCs w:val="18"/>
                <w:lang w:val="sr-Latn-CS"/>
              </w:rPr>
              <w:t>Povezanost</w:t>
            </w:r>
          </w:p>
        </w:tc>
      </w:tr>
      <w:tr w:rsidR="00F579F5" w:rsidRPr="000065DA" w14:paraId="683D5823" w14:textId="60234449" w:rsidTr="5B34FFAC">
        <w:tc>
          <w:tcPr>
            <w:tcW w:w="1812" w:type="dxa"/>
          </w:tcPr>
          <w:p w14:paraId="377F3CB4" w14:textId="23EEBE33" w:rsidR="00704436" w:rsidRPr="000065DA" w:rsidRDefault="16B6B9BC" w:rsidP="16B6B9BC">
            <w:pPr>
              <w:spacing w:line="276" w:lineRule="auto"/>
              <w:rPr>
                <w:b/>
                <w:bCs/>
                <w:sz w:val="18"/>
                <w:szCs w:val="18"/>
                <w:lang w:val="sr-Latn-CS"/>
              </w:rPr>
            </w:pPr>
            <w:r w:rsidRPr="16B6B9BC">
              <w:rPr>
                <w:b/>
                <w:bCs/>
                <w:sz w:val="18"/>
                <w:szCs w:val="18"/>
                <w:lang w:val="sr-Latn-CS"/>
              </w:rPr>
              <w:t>5</w:t>
            </w:r>
          </w:p>
        </w:tc>
        <w:tc>
          <w:tcPr>
            <w:tcW w:w="2250" w:type="dxa"/>
          </w:tcPr>
          <w:p w14:paraId="2748A081" w14:textId="77777777" w:rsidR="00F579F5" w:rsidRPr="000065DA" w:rsidRDefault="00F579F5" w:rsidP="16B6B9BC">
            <w:pPr>
              <w:spacing w:line="276" w:lineRule="auto"/>
              <w:rPr>
                <w:b/>
                <w:bCs/>
                <w:sz w:val="18"/>
                <w:szCs w:val="18"/>
                <w:lang w:val="sr-Latn-CS"/>
              </w:rPr>
            </w:pPr>
          </w:p>
        </w:tc>
        <w:tc>
          <w:tcPr>
            <w:tcW w:w="1887" w:type="dxa"/>
          </w:tcPr>
          <w:p w14:paraId="099E9647" w14:textId="0A6A3A22" w:rsidR="00F579F5" w:rsidRPr="000065DA" w:rsidRDefault="16B6B9BC" w:rsidP="16B6B9BC">
            <w:pPr>
              <w:spacing w:line="276" w:lineRule="auto"/>
              <w:rPr>
                <w:b/>
                <w:bCs/>
                <w:sz w:val="18"/>
                <w:szCs w:val="18"/>
                <w:lang w:val="sr-Latn-CS"/>
              </w:rPr>
            </w:pPr>
            <w:r w:rsidRPr="16B6B9BC">
              <w:rPr>
                <w:b/>
                <w:bCs/>
                <w:sz w:val="18"/>
                <w:szCs w:val="18"/>
                <w:lang w:val="sr-Latn-CS"/>
              </w:rPr>
              <w:t>5.15</w:t>
            </w:r>
          </w:p>
        </w:tc>
        <w:tc>
          <w:tcPr>
            <w:tcW w:w="3275" w:type="dxa"/>
          </w:tcPr>
          <w:p w14:paraId="43FF943D" w14:textId="62D61151" w:rsidR="00F579F5" w:rsidRPr="000065DA" w:rsidRDefault="16B6B9BC" w:rsidP="16B6B9BC">
            <w:pPr>
              <w:spacing w:line="276" w:lineRule="auto"/>
              <w:rPr>
                <w:b/>
                <w:bCs/>
                <w:sz w:val="18"/>
                <w:szCs w:val="18"/>
                <w:lang w:val="sr-Latn-CS"/>
              </w:rPr>
            </w:pPr>
            <w:r w:rsidRPr="16B6B9BC">
              <w:rPr>
                <w:b/>
                <w:bCs/>
                <w:sz w:val="18"/>
                <w:szCs w:val="18"/>
                <w:lang w:val="sr-Latn-CS"/>
              </w:rPr>
              <w:t>Digitalni kapaciteti i napredne tehnologije</w:t>
            </w:r>
          </w:p>
        </w:tc>
      </w:tr>
      <w:tr w:rsidR="00704436" w:rsidRPr="000065DA" w14:paraId="4CAF4851" w14:textId="77777777" w:rsidTr="5B34FFAC">
        <w:tc>
          <w:tcPr>
            <w:tcW w:w="1812" w:type="dxa"/>
          </w:tcPr>
          <w:p w14:paraId="611B74C2" w14:textId="7B76251D" w:rsidR="00704436" w:rsidRPr="000065DA" w:rsidRDefault="00704436" w:rsidP="0067459B">
            <w:pPr>
              <w:spacing w:line="276" w:lineRule="auto"/>
              <w:rPr>
                <w:sz w:val="18"/>
                <w:szCs w:val="18"/>
                <w:lang w:val="sr-Latn-CS"/>
              </w:rPr>
            </w:pPr>
            <w:r w:rsidRPr="000065DA">
              <w:rPr>
                <w:sz w:val="18"/>
                <w:szCs w:val="18"/>
                <w:lang w:val="sr-Latn-CS"/>
              </w:rPr>
              <w:t>5</w:t>
            </w:r>
          </w:p>
        </w:tc>
        <w:tc>
          <w:tcPr>
            <w:tcW w:w="2250" w:type="dxa"/>
          </w:tcPr>
          <w:p w14:paraId="755B2F09" w14:textId="77777777" w:rsidR="00704436" w:rsidRPr="000065DA" w:rsidRDefault="00704436" w:rsidP="0067459B">
            <w:pPr>
              <w:spacing w:line="276" w:lineRule="auto"/>
              <w:rPr>
                <w:sz w:val="18"/>
                <w:szCs w:val="18"/>
                <w:lang w:val="sr-Latn-CS"/>
              </w:rPr>
            </w:pPr>
          </w:p>
        </w:tc>
        <w:tc>
          <w:tcPr>
            <w:tcW w:w="1887" w:type="dxa"/>
          </w:tcPr>
          <w:p w14:paraId="46285013" w14:textId="25FE27D7" w:rsidR="00704436" w:rsidRPr="000065DA" w:rsidRDefault="5B34FFAC" w:rsidP="5B34FFAC">
            <w:pPr>
              <w:spacing w:line="276" w:lineRule="auto"/>
              <w:rPr>
                <w:b/>
                <w:bCs/>
                <w:sz w:val="18"/>
                <w:szCs w:val="18"/>
                <w:lang w:val="sr-Latn-CS"/>
              </w:rPr>
            </w:pPr>
            <w:r w:rsidRPr="5B34FFAC">
              <w:rPr>
                <w:b/>
                <w:bCs/>
                <w:sz w:val="18"/>
                <w:szCs w:val="18"/>
                <w:lang w:val="sr-Latn-CS"/>
              </w:rPr>
              <w:t>5.05</w:t>
            </w:r>
          </w:p>
        </w:tc>
        <w:tc>
          <w:tcPr>
            <w:tcW w:w="3275" w:type="dxa"/>
          </w:tcPr>
          <w:p w14:paraId="1394C0A5" w14:textId="33123A69" w:rsidR="00704436" w:rsidRPr="000065DA" w:rsidRDefault="5B34FFAC" w:rsidP="5B34FFAC">
            <w:pPr>
              <w:spacing w:line="276" w:lineRule="auto"/>
              <w:rPr>
                <w:b/>
                <w:bCs/>
                <w:sz w:val="18"/>
                <w:szCs w:val="18"/>
                <w:lang w:val="sr-Latn-CS"/>
              </w:rPr>
            </w:pPr>
            <w:r w:rsidRPr="5B34FFAC">
              <w:rPr>
                <w:b/>
                <w:bCs/>
                <w:sz w:val="18"/>
                <w:szCs w:val="18"/>
                <w:lang w:val="sr-Latn-CS"/>
              </w:rPr>
              <w:t>Reforme</w:t>
            </w:r>
          </w:p>
        </w:tc>
      </w:tr>
    </w:tbl>
    <w:p w14:paraId="0FDA5261" w14:textId="77777777" w:rsidR="00F579F5" w:rsidRPr="000065DA" w:rsidRDefault="00F579F5" w:rsidP="00F579F5">
      <w:pPr>
        <w:rPr>
          <w:lang w:val="sr-Latn-CS"/>
        </w:rPr>
      </w:pPr>
    </w:p>
    <w:p w14:paraId="1B481561" w14:textId="46DAAC1B" w:rsidR="00F579F5" w:rsidRPr="000065DA" w:rsidRDefault="00F579F5" w:rsidP="00F579F5">
      <w:pPr>
        <w:pStyle w:val="Naslov1"/>
        <w:rPr>
          <w:lang w:val="sr-Latn-CS"/>
        </w:rPr>
      </w:pPr>
      <w:r w:rsidRPr="000065DA">
        <w:rPr>
          <w:lang w:val="sr-Latn-CS"/>
        </w:rPr>
        <w:t>Situac</w:t>
      </w:r>
      <w:r w:rsidR="008710AA">
        <w:rPr>
          <w:lang w:val="sr-Latn-CS"/>
        </w:rPr>
        <w:t>iona</w:t>
      </w:r>
      <w:r w:rsidRPr="000065DA">
        <w:rPr>
          <w:lang w:val="sr-Latn-CS"/>
        </w:rPr>
        <w:t xml:space="preserve"> analiza</w:t>
      </w:r>
    </w:p>
    <w:p w14:paraId="56F56247" w14:textId="501BD130" w:rsidR="00EF5117" w:rsidRPr="000065DA" w:rsidRDefault="6D5CF336" w:rsidP="132F34F1">
      <w:pPr>
        <w:pStyle w:val="Naslov2"/>
        <w:rPr>
          <w:lang w:val="sr-Latn-CS"/>
        </w:rPr>
      </w:pPr>
      <w:r w:rsidRPr="6D5CF336">
        <w:rPr>
          <w:rStyle w:val="Naglaeno"/>
          <w:b w:val="0"/>
          <w:bCs w:val="0"/>
          <w:lang w:val="sr-Latn-CS"/>
        </w:rPr>
        <w:t>Prioritetno područje nivo 1</w:t>
      </w:r>
    </w:p>
    <w:p w14:paraId="1EC82A71" w14:textId="77777777" w:rsidR="00EF5117" w:rsidRPr="000065DA" w:rsidRDefault="00EF5117" w:rsidP="000065DA">
      <w:pPr>
        <w:rPr>
          <w:lang w:val="sr-Latn-CS"/>
        </w:rPr>
      </w:pPr>
      <w:r w:rsidRPr="000065DA">
        <w:rPr>
          <w:lang w:val="sr-Latn-CS"/>
        </w:rPr>
        <w:t xml:space="preserve">Prioritetno područje </w:t>
      </w:r>
      <w:r w:rsidRPr="000065DA">
        <w:rPr>
          <w:b/>
          <w:bCs/>
          <w:lang w:val="sr-Latn-CS"/>
        </w:rPr>
        <w:t>Digitalne tehnologije i infrastruktura</w:t>
      </w:r>
      <w:r w:rsidRPr="000065DA">
        <w:rPr>
          <w:lang w:val="sr-Latn-CS"/>
        </w:rPr>
        <w:t xml:space="preserve"> obuhvata sve ključne elemente digitalne tranzicije, uključujući razvoj digitalne infrastrukture i povezanosti, jačanje digitalnih kapaciteta i primjenu naprednih tehnologija, kao i uspostavljanje efikasnog regulatornog i reformskog okvira. U skladu sa pristupom Evropske unije, posebno kroz Digital Decade politiku i DESI metodologiju, razvoj ovog područja posmatra se kroz međusobno povezane dimenzije pristupa digitalnoj infrastrukturi, razvoja digitalnih vještina i tehnologija, digitalne transformacije privrede i javnih usluga, te izgradnje povjerenja i sigurnosti u digitalnom okruženju .</w:t>
      </w:r>
    </w:p>
    <w:p w14:paraId="0010F311" w14:textId="77777777" w:rsidR="00EF5117" w:rsidRPr="000065DA" w:rsidRDefault="00EF5117" w:rsidP="000065DA">
      <w:pPr>
        <w:rPr>
          <w:lang w:val="sr-Latn-CS"/>
        </w:rPr>
      </w:pPr>
      <w:r w:rsidRPr="000065DA">
        <w:rPr>
          <w:lang w:val="sr-Latn-CS"/>
        </w:rPr>
        <w:t>U okviru digitalne povezanosti, fokus je na razvoju mreža vrlo velikog kapaciteta, uključujući optičku infrastrukturu i mobilne mreže nove generacije, kao i na jačanju backbone mreža i međunarodne digitalne povezanosti. Obezbjeđivanje pouzdane, sigurne i pristupačne širokopojasne infrastrukture, uključujući povezivanje udaljenih i slabije razvijenih područja, predstavlja ključni preduslov za razvoj digitalnih usluga i ekonomskih aktivnosti. U tom kontekstu, posebnu ulogu ima i unapređenje funkcionisanja tržišta digitalne povezanosti i stvaranje uslova za investicije u infrastrukturu kroz adekvatan regulatorni okvir i konkurentno tržišno okruženje.</w:t>
      </w:r>
    </w:p>
    <w:p w14:paraId="254987A1" w14:textId="77777777" w:rsidR="00EF5117" w:rsidRPr="000065DA" w:rsidRDefault="00EF5117" w:rsidP="000065DA">
      <w:pPr>
        <w:rPr>
          <w:lang w:val="sr-Latn-CS"/>
        </w:rPr>
      </w:pPr>
      <w:r w:rsidRPr="000065DA">
        <w:rPr>
          <w:lang w:val="sr-Latn-CS"/>
        </w:rPr>
        <w:t xml:space="preserve">Razvoj digitalnih kapaciteta i naprednih tehnologija obuhvata širok spektar tehnoloških oblasti koje omogućavaju digitalnu transformaciju ekonomije. To uključuje razvoj i primjenu rješenja zasnovanih na podacima, vještačkoj inteligenciji i automatizaciji, kao i širenje cloud i edge infrastrukture. Istovremeno, poseban značaj ima jačanje sajber bezbjednosti i zaštite digitalnih sistema, kao i razvoj naprednih računarnih kapaciteta, uključujući visoko-performansno i kvantno računarstvo. U okviru tehnološkog razvoja obuhvaćene su i oblasti vezane za proizvodnju i primjenu naprednih komponenti i tehnologija, razvoj softverskih rješenja i otvorenih digitalnih platformi, kao i nove digitalne paradigme poput virtuelnih okruženja, digitalnih blizanaca i drugih inovativnih tehnoloških rješenja. Dodatno, razvoj digitalnih poslovnih modela, digitalnih finansijskih usluga i digitalnih platformi predstavlja ključan segment za jačanje konkurentnosti </w:t>
      </w:r>
      <w:r w:rsidRPr="000065DA">
        <w:rPr>
          <w:lang w:val="sr-Latn-CS"/>
        </w:rPr>
        <w:lastRenderedPageBreak/>
        <w:t>privrede i integraciju u savremene digitalne lance vrijednosti. Ove oblasti su snažno povezane sa razvojem istraživačko-inovacionog sistema i dostupnošću kvalifikovanog kadra, pri čemu razvoj digitalnih vještina i inkluzivnog digitalnog društva predstavlja jedan od ključnih izazova, posebno u kontekstu smanjenja digitalnog jaza i povećanja učešća svih društvenih grupa u digitalnoj ekonomiji .</w:t>
      </w:r>
    </w:p>
    <w:p w14:paraId="10E4E4AA" w14:textId="3B121929" w:rsidR="00EF5117" w:rsidRPr="000065DA" w:rsidRDefault="00EF5117" w:rsidP="000065DA">
      <w:pPr>
        <w:rPr>
          <w:lang w:val="sr-Latn-CS"/>
        </w:rPr>
      </w:pPr>
      <w:r w:rsidRPr="000065DA">
        <w:rPr>
          <w:lang w:val="sr-Latn-CS"/>
        </w:rPr>
        <w:t>Horizontalnu osnovu ovog prioritetnog područja čini reformski i regulatorni okvir koji omogućava funkcionisanje cjelokupnog digitalnog ekosistema. To uključuje razvoj digitalnih politika i regulatornog okvira, unapređenje funkcionisanja tržišta digitalne infrastrukture i usluga, kao i razvoj digitalnih finansija i platnih sistema. Usklađivanje sa pravnom tekovinom Evropske unije, posebno u oblastima zaštite podataka, sajber bezbjednosti, elektronskih komunikacija i digitalnih usluga, predstavlja ključni element za izgradnju sigurnog i pouzdanog digitalnog okruženja. Istovremeno, digitalizacija javne uprave, unapređenje interoperabilnosti sistema i razvoj korisnički orijentisanih digitalnih javnih usluga doprinose povećanju efikasnosti, transparentnosti i dostupnosti javnih servisa. U skladu sa međunarodnim pristupima, posebno OECD okvirom, izgradnja povjerenja u digitalno okruženje kroz zaštitu podataka, sigurnost sistema i pouzdane digitalne usluge predstavlja ključni preduslov za održivu digitalnu transformaciju . Dodatno, institucionalni okvir za planiranje i sprovođenje digitalnih politika u Crnoj Gori se unapređuje kroz uspostavljanje koordinacionih mehanizama na nacionalnom nivou, uključujući formiranje međuresornih tijela zaduženih za pripremu strateških dokumenata i koordinaciju razvojnih politika. Ovakav pristup omogućava usklađivanje različitih sektorskih politika, jačanje međuinstitucionalne saradnje i obezbjeđivanje integrisanog pristupa razvoju, u skladu sa zahtjevima EU kohezijske politike i budućeg korišćenja strukturnih fondova</w:t>
      </w:r>
    </w:p>
    <w:p w14:paraId="1E7482D8" w14:textId="3AE16568" w:rsidR="00EF5117" w:rsidRPr="000065DA" w:rsidRDefault="00EF5117" w:rsidP="000065DA">
      <w:pPr>
        <w:rPr>
          <w:lang w:val="sr-Latn-CS"/>
        </w:rPr>
      </w:pPr>
      <w:r w:rsidRPr="000065DA">
        <w:rPr>
          <w:lang w:val="sr-Latn-CS"/>
        </w:rPr>
        <w:t>U cjelini, digitalne tehnologije i infrastruktura predstavljaju ključni horizontalni pokretač razvoja koji povezuje infrastrukturne, tehnološke i institucionalne aspekte digitalne tranzicije. Iako postoji relevantan strateški i zakonodavni okvir, izazovi ostaju u pogledu fragmentiranosti politika, nedovoljne razrađenosti u oblastima naprednih tehnologija i digitalnih finansija, kao i potrebe za snažnijom implementacijom i koordinacijom reformi. Dalji razvoj ovog prioritetnog područja zahtijeva integrisan i strateški usklađen pristup koji će omogućiti ostvarivanje ciljeva digitalne transformacije i punu integraciju u evropski digitalni prostor.</w:t>
      </w:r>
    </w:p>
    <w:p w14:paraId="496280FB" w14:textId="28B028EF" w:rsidR="00F579F5" w:rsidRPr="000065DA" w:rsidRDefault="00F579F5" w:rsidP="00F579F5">
      <w:pPr>
        <w:pStyle w:val="Naslov3"/>
        <w:rPr>
          <w:lang w:val="sr-Latn-CS"/>
        </w:rPr>
      </w:pPr>
      <w:r w:rsidRPr="000065DA">
        <w:rPr>
          <w:lang w:val="sr-Latn-CS"/>
        </w:rPr>
        <w:t>Međunarodni i EU Strateški i pravni okvir</w:t>
      </w:r>
    </w:p>
    <w:p w14:paraId="2894C85E" w14:textId="77777777" w:rsidR="008939F2" w:rsidRPr="000065DA" w:rsidRDefault="132F34F1" w:rsidP="000065DA">
      <w:pPr>
        <w:rPr>
          <w:lang w:val="sr-Latn-CS"/>
        </w:rPr>
      </w:pPr>
      <w:r w:rsidRPr="132F34F1">
        <w:rPr>
          <w:lang w:val="sr-Latn-CS"/>
        </w:rPr>
        <w:t>Međunarodni i EU okvir za oblast digitalnih tehnologija i infrastrukture zasniva se na kombinaciji strateških ciljeva, regulatornih akata i analitičkih instrumenata koji usmjeravaju digitalnu tranziciju kroz razvoj digitalnih vještina, infrastrukture, digitalne transformacije privrede, digitalizacije javnih usluga i sigurnosti digitalnog okruženja. Za Crnu Goru je ovaj okvir posebno relevantan u kontekstu procesa pristupanja Evropskoj uniji, usklađivanja sa pravnom tekovinom EU i postepenog uključivanja u jedinstveno digitalno tržište. Evropska komisija u Izvještaju o Crnoj Gori za 2025. dodatno potvrđuje ovu važnost, povezujući digitalnu i zelenu tranziciju sa Reformskom agendom u okviru Instrumenta za reforme i rast za Zapadni Balkan.</w:t>
      </w:r>
    </w:p>
    <w:p w14:paraId="6ED785A1" w14:textId="77777777" w:rsidR="008939F2" w:rsidRPr="000065DA" w:rsidRDefault="132F34F1" w:rsidP="000065DA">
      <w:pPr>
        <w:rPr>
          <w:lang w:val="sr-Latn-CS"/>
        </w:rPr>
      </w:pPr>
      <w:r w:rsidRPr="132F34F1">
        <w:rPr>
          <w:lang w:val="sr-Latn-CS"/>
        </w:rPr>
        <w:t xml:space="preserve">Osnovu strateškog okvira čini </w:t>
      </w:r>
      <w:r w:rsidRPr="132F34F1">
        <w:rPr>
          <w:rStyle w:val="Naglaeno"/>
          <w:rFonts w:eastAsiaTheme="majorEastAsia"/>
          <w:b w:val="0"/>
          <w:bCs w:val="0"/>
          <w:lang w:val="sr-Latn-CS"/>
        </w:rPr>
        <w:t>Digital Decade Policy Programme 2030</w:t>
      </w:r>
      <w:r w:rsidRPr="132F34F1">
        <w:rPr>
          <w:lang w:val="sr-Latn-CS"/>
        </w:rPr>
        <w:t xml:space="preserve">, kojim su definisani ciljevi EU u četiri ključne oblasti: digitalne vještine, digitalna infrastruktura, digitalizacija poslovanja i digitalizacija javnih usluga. Ovaj program uspostavlja sistem praćenja napretka kroz ključne </w:t>
      </w:r>
      <w:r w:rsidRPr="132F34F1">
        <w:rPr>
          <w:lang w:val="sr-Latn-CS"/>
        </w:rPr>
        <w:lastRenderedPageBreak/>
        <w:t xml:space="preserve">pokazatelje i nacionalne putanje, pri čemu se kao glavni analitički alat koristi </w:t>
      </w:r>
      <w:r w:rsidRPr="132F34F1">
        <w:rPr>
          <w:rStyle w:val="Naglaeno"/>
          <w:rFonts w:eastAsiaTheme="majorEastAsia"/>
          <w:b w:val="0"/>
          <w:bCs w:val="0"/>
          <w:lang w:val="sr-Latn-CS"/>
        </w:rPr>
        <w:t>DESI (Digital Economy and Society Index)</w:t>
      </w:r>
      <w:r w:rsidRPr="132F34F1">
        <w:rPr>
          <w:lang w:val="sr-Latn-CS"/>
        </w:rPr>
        <w:t>, integrisan u godišnji izvještaj o stanju Digitalne decenije.</w:t>
      </w:r>
    </w:p>
    <w:p w14:paraId="5D2E5644" w14:textId="77777777" w:rsidR="008939F2" w:rsidRPr="000065DA" w:rsidRDefault="132F34F1" w:rsidP="000065DA">
      <w:pPr>
        <w:rPr>
          <w:lang w:val="sr-Latn-CS"/>
        </w:rPr>
      </w:pPr>
      <w:r w:rsidRPr="132F34F1">
        <w:rPr>
          <w:lang w:val="sr-Latn-CS"/>
        </w:rPr>
        <w:t xml:space="preserve">U oblasti digitalne infrastrukture i povezanosti, ključni pravni okvir čine </w:t>
      </w:r>
      <w:r w:rsidRPr="132F34F1">
        <w:rPr>
          <w:rStyle w:val="Naglaeno"/>
          <w:rFonts w:eastAsiaTheme="majorEastAsia"/>
          <w:b w:val="0"/>
          <w:bCs w:val="0"/>
          <w:lang w:val="sr-Latn-CS"/>
        </w:rPr>
        <w:t>Evropski zakonik o elektronskim komunikacijama (EECC)</w:t>
      </w:r>
      <w:r w:rsidRPr="132F34F1">
        <w:rPr>
          <w:lang w:val="sr-Latn-CS"/>
        </w:rPr>
        <w:t xml:space="preserve"> i </w:t>
      </w:r>
      <w:r w:rsidRPr="132F34F1">
        <w:rPr>
          <w:rStyle w:val="Naglaeno"/>
          <w:rFonts w:eastAsiaTheme="majorEastAsia"/>
          <w:b w:val="0"/>
          <w:bCs w:val="0"/>
          <w:lang w:val="sr-Latn-CS"/>
        </w:rPr>
        <w:t>Gigabit Infrastructure Act (GIA)</w:t>
      </w:r>
      <w:r w:rsidRPr="132F34F1">
        <w:rPr>
          <w:lang w:val="sr-Latn-CS"/>
        </w:rPr>
        <w:t>, koji uređuju razvoj elektronskih komunikacionih mreža, podstiču investicije i ubrzavaju uvođenje gigabitnih i 5G mreža. Ovaj okvir je direktno relevantan za Crnu Goru, posebno u kontekstu daljeg usklađivanja zakonodavstva i razvoja širokopojasne infrastrukture.</w:t>
      </w:r>
    </w:p>
    <w:p w14:paraId="55B05461" w14:textId="0FAAFDFD" w:rsidR="008939F2" w:rsidRPr="000065DA" w:rsidRDefault="132F34F1" w:rsidP="000065DA">
      <w:pPr>
        <w:rPr>
          <w:lang w:val="sr-Latn-CS"/>
        </w:rPr>
      </w:pPr>
      <w:r w:rsidRPr="132F34F1">
        <w:rPr>
          <w:lang w:val="sr-Latn-CS"/>
        </w:rPr>
        <w:t xml:space="preserve">U domenu povjerenja i sajber bezbjednosti, centralnu ulogu imaju </w:t>
      </w:r>
      <w:r w:rsidRPr="132F34F1">
        <w:rPr>
          <w:rStyle w:val="Naglaeno"/>
          <w:rFonts w:eastAsiaTheme="majorEastAsia"/>
          <w:b w:val="0"/>
          <w:bCs w:val="0"/>
          <w:lang w:val="sr-Latn-CS"/>
        </w:rPr>
        <w:t>NIS2 direktiva</w:t>
      </w:r>
      <w:r w:rsidRPr="132F34F1">
        <w:rPr>
          <w:lang w:val="sr-Latn-CS"/>
        </w:rPr>
        <w:t xml:space="preserve"> i </w:t>
      </w:r>
      <w:r w:rsidRPr="132F34F1">
        <w:rPr>
          <w:rStyle w:val="Naglaeno"/>
          <w:rFonts w:eastAsiaTheme="majorEastAsia"/>
          <w:b w:val="0"/>
          <w:bCs w:val="0"/>
          <w:lang w:val="sr-Latn-CS"/>
        </w:rPr>
        <w:t>eIDAS / European Digital Identity (EUDI) Regulation</w:t>
      </w:r>
      <w:r w:rsidRPr="132F34F1">
        <w:rPr>
          <w:lang w:val="sr-Latn-CS"/>
        </w:rPr>
        <w:t>, kojima se uspostavlja okvir za sajber otpornost, zaštitu kritične infrastrukture i razvoj sigurnih digitalnih identiteta i usluga povjerenja. Dodatno, kroz Interoperable Europe Act uspostavlja se okvir za unapređenje interoperabilnosti i razmjenu podataka između javnih uprava, što je posebno relevantno za razvoj digitalnih javnih usluga i upravljanje podacima.</w:t>
      </w:r>
    </w:p>
    <w:p w14:paraId="68A1F9BB" w14:textId="77777777" w:rsidR="008939F2" w:rsidRPr="000065DA" w:rsidRDefault="132F34F1" w:rsidP="000065DA">
      <w:pPr>
        <w:rPr>
          <w:lang w:val="sr-Latn-CS"/>
        </w:rPr>
      </w:pPr>
      <w:r w:rsidRPr="132F34F1">
        <w:rPr>
          <w:lang w:val="sr-Latn-CS"/>
        </w:rPr>
        <w:t xml:space="preserve">Razvoj digitalnih kapaciteta i naprednih tehnologija na nivou EU podržan je kroz regulatorne akte kao što su </w:t>
      </w:r>
      <w:r w:rsidRPr="132F34F1">
        <w:rPr>
          <w:rStyle w:val="Naglaeno"/>
          <w:rFonts w:eastAsiaTheme="majorEastAsia"/>
          <w:b w:val="0"/>
          <w:bCs w:val="0"/>
          <w:lang w:val="sr-Latn-CS"/>
        </w:rPr>
        <w:t>Data Governance Act</w:t>
      </w:r>
      <w:r w:rsidRPr="132F34F1">
        <w:rPr>
          <w:lang w:val="sr-Latn-CS"/>
        </w:rPr>
        <w:t xml:space="preserve">, </w:t>
      </w:r>
      <w:r w:rsidRPr="132F34F1">
        <w:rPr>
          <w:rStyle w:val="Naglaeno"/>
          <w:rFonts w:eastAsiaTheme="majorEastAsia"/>
          <w:b w:val="0"/>
          <w:bCs w:val="0"/>
          <w:lang w:val="sr-Latn-CS"/>
        </w:rPr>
        <w:t>Data Act</w:t>
      </w:r>
      <w:r w:rsidRPr="132F34F1">
        <w:rPr>
          <w:lang w:val="sr-Latn-CS"/>
        </w:rPr>
        <w:t xml:space="preserve">, </w:t>
      </w:r>
      <w:r w:rsidRPr="132F34F1">
        <w:rPr>
          <w:rStyle w:val="Naglaeno"/>
          <w:rFonts w:eastAsiaTheme="majorEastAsia"/>
          <w:b w:val="0"/>
          <w:bCs w:val="0"/>
          <w:lang w:val="sr-Latn-CS"/>
        </w:rPr>
        <w:t>AI Act</w:t>
      </w:r>
      <w:r w:rsidRPr="132F34F1">
        <w:rPr>
          <w:lang w:val="sr-Latn-CS"/>
        </w:rPr>
        <w:t xml:space="preserve"> i </w:t>
      </w:r>
      <w:r w:rsidRPr="132F34F1">
        <w:rPr>
          <w:rStyle w:val="Naglaeno"/>
          <w:rFonts w:eastAsiaTheme="majorEastAsia"/>
          <w:b w:val="0"/>
          <w:bCs w:val="0"/>
          <w:lang w:val="sr-Latn-CS"/>
        </w:rPr>
        <w:t>European Chips Act</w:t>
      </w:r>
      <w:r w:rsidRPr="132F34F1">
        <w:rPr>
          <w:lang w:val="sr-Latn-CS"/>
        </w:rPr>
        <w:t>, koji uređuju upravljanje podacima, razvoj vještačke inteligencije i jačanje tehnološkog suvereniteta EU u oblasti poluprovodnika. Ovi akti predstavljaju ključni referentni okvir za buduće usklađivanje Crne Gore, posebno u oblastima AI, data ekonomije, cloud infrastrukture i emerging tehnologija.</w:t>
      </w:r>
    </w:p>
    <w:p w14:paraId="28F67BBD" w14:textId="77777777" w:rsidR="008939F2" w:rsidRPr="000065DA" w:rsidRDefault="132F34F1" w:rsidP="000065DA">
      <w:pPr>
        <w:rPr>
          <w:lang w:val="sr-Latn-CS"/>
        </w:rPr>
      </w:pPr>
      <w:r w:rsidRPr="132F34F1">
        <w:rPr>
          <w:lang w:val="sr-Latn-CS"/>
        </w:rPr>
        <w:t xml:space="preserve">Dodatno, EU okvir uključuje inicijative za razvoj cloud i edge infrastrukture, kao i </w:t>
      </w:r>
      <w:r w:rsidRPr="132F34F1">
        <w:rPr>
          <w:rStyle w:val="Naglaeno"/>
          <w:rFonts w:eastAsiaTheme="majorEastAsia"/>
          <w:b w:val="0"/>
          <w:bCs w:val="0"/>
          <w:lang w:val="sr-Latn-CS"/>
        </w:rPr>
        <w:t>EuroHPC Joint Undertaking</w:t>
      </w:r>
      <w:r w:rsidRPr="132F34F1">
        <w:rPr>
          <w:lang w:val="sr-Latn-CS"/>
        </w:rPr>
        <w:t xml:space="preserve">, koji omogućava razvoj superračunarskih i kvantnih kapaciteta. U dijelu digitalnog tržišta i poslovanja, ključni regulatorni okvir čine </w:t>
      </w:r>
      <w:r w:rsidRPr="132F34F1">
        <w:rPr>
          <w:rStyle w:val="Naglaeno"/>
          <w:rFonts w:eastAsiaTheme="majorEastAsia"/>
          <w:b w:val="0"/>
          <w:bCs w:val="0"/>
          <w:lang w:val="sr-Latn-CS"/>
        </w:rPr>
        <w:t>Digital Services Act (DSA)</w:t>
      </w:r>
      <w:r w:rsidRPr="132F34F1">
        <w:rPr>
          <w:lang w:val="sr-Latn-CS"/>
        </w:rPr>
        <w:t xml:space="preserve"> i </w:t>
      </w:r>
      <w:r w:rsidRPr="132F34F1">
        <w:rPr>
          <w:rStyle w:val="Naglaeno"/>
          <w:rFonts w:eastAsiaTheme="majorEastAsia"/>
          <w:b w:val="0"/>
          <w:bCs w:val="0"/>
          <w:lang w:val="sr-Latn-CS"/>
        </w:rPr>
        <w:t>Digital Markets Act (DMA)</w:t>
      </w:r>
      <w:r w:rsidRPr="132F34F1">
        <w:rPr>
          <w:lang w:val="sr-Latn-CS"/>
        </w:rPr>
        <w:t xml:space="preserve">, dok je za oblast digitalnih finansija relevantna </w:t>
      </w:r>
      <w:r w:rsidRPr="132F34F1">
        <w:rPr>
          <w:rStyle w:val="Naglaeno"/>
          <w:rFonts w:eastAsiaTheme="majorEastAsia"/>
          <w:b w:val="0"/>
          <w:bCs w:val="0"/>
          <w:lang w:val="sr-Latn-CS"/>
        </w:rPr>
        <w:t>Digital Finance Strategy EU</w:t>
      </w:r>
      <w:r w:rsidRPr="132F34F1">
        <w:rPr>
          <w:lang w:val="sr-Latn-CS"/>
        </w:rPr>
        <w:t xml:space="preserve">. Razvoj budućih tehnologija dodatno je adresiran kroz EU strategiju za </w:t>
      </w:r>
      <w:r w:rsidRPr="132F34F1">
        <w:rPr>
          <w:rStyle w:val="Naglaeno"/>
          <w:rFonts w:eastAsiaTheme="majorEastAsia"/>
          <w:b w:val="0"/>
          <w:bCs w:val="0"/>
          <w:lang w:val="sr-Latn-CS"/>
        </w:rPr>
        <w:t>Web 4.0 i virtuelne svjetove</w:t>
      </w:r>
      <w:r w:rsidRPr="132F34F1">
        <w:rPr>
          <w:lang w:val="sr-Latn-CS"/>
        </w:rPr>
        <w:t>.</w:t>
      </w:r>
    </w:p>
    <w:p w14:paraId="12F5BE5B" w14:textId="77777777" w:rsidR="008939F2" w:rsidRPr="000065DA" w:rsidRDefault="132F34F1" w:rsidP="000065DA">
      <w:pPr>
        <w:rPr>
          <w:lang w:val="sr-Latn-CS"/>
        </w:rPr>
      </w:pPr>
      <w:r w:rsidRPr="132F34F1">
        <w:rPr>
          <w:lang w:val="sr-Latn-CS"/>
        </w:rPr>
        <w:t xml:space="preserve">Pored regulatornog okvira, važan instrument predstavlja </w:t>
      </w:r>
      <w:r w:rsidRPr="132F34F1">
        <w:rPr>
          <w:rStyle w:val="Naglaeno"/>
          <w:rFonts w:eastAsiaTheme="majorEastAsia"/>
          <w:b w:val="0"/>
          <w:bCs w:val="0"/>
          <w:lang w:val="sr-Latn-CS"/>
        </w:rPr>
        <w:t>Digital Europe Programme</w:t>
      </w:r>
      <w:r w:rsidRPr="132F34F1">
        <w:rPr>
          <w:lang w:val="sr-Latn-CS"/>
        </w:rPr>
        <w:t xml:space="preserve">, koji podržava razvoj kapaciteta u oblastima superračunarstva, vještačke inteligencije, sajber bezbjednosti i naprednih digitalnih vještina, kao i implementaciju digitalnih rješenja u privredi i javnom sektoru. Program je dodatno proširen kroz inicijativu </w:t>
      </w:r>
      <w:r w:rsidRPr="132F34F1">
        <w:rPr>
          <w:rStyle w:val="Naglaeno"/>
          <w:rFonts w:eastAsiaTheme="majorEastAsia"/>
          <w:b w:val="0"/>
          <w:bCs w:val="0"/>
          <w:lang w:val="sr-Latn-CS"/>
        </w:rPr>
        <w:t>Chips for Europe</w:t>
      </w:r>
      <w:r w:rsidRPr="132F34F1">
        <w:rPr>
          <w:lang w:val="sr-Latn-CS"/>
        </w:rPr>
        <w:t>, usmjerenu na jačanje kapaciteta u oblasti poluprovodnika.</w:t>
      </w:r>
    </w:p>
    <w:p w14:paraId="7894617A" w14:textId="77777777" w:rsidR="008939F2" w:rsidRPr="000065DA" w:rsidRDefault="132F34F1" w:rsidP="000065DA">
      <w:pPr>
        <w:rPr>
          <w:lang w:val="sr-Latn-CS"/>
        </w:rPr>
      </w:pPr>
      <w:r w:rsidRPr="132F34F1">
        <w:rPr>
          <w:lang w:val="sr-Latn-CS"/>
        </w:rPr>
        <w:t xml:space="preserve">Na regionalnom nivou, ključni okvir predstavljaju inicijative Regionalnog savjeta za saradnju (RCC) i CEFTA-e. </w:t>
      </w:r>
      <w:r w:rsidRPr="132F34F1">
        <w:rPr>
          <w:rStyle w:val="Naglaeno"/>
          <w:rFonts w:eastAsiaTheme="majorEastAsia"/>
          <w:b w:val="0"/>
          <w:bCs w:val="0"/>
          <w:lang w:val="sr-Latn-CS"/>
        </w:rPr>
        <w:t>Western Balkans DESI 2024 Report</w:t>
      </w:r>
      <w:r w:rsidRPr="132F34F1">
        <w:rPr>
          <w:lang w:val="sr-Latn-CS"/>
        </w:rPr>
        <w:t xml:space="preserve"> pruža uporedivu analizu digitalnog razvoja regiona kroz četiri DESI dimenzije, dok </w:t>
      </w:r>
      <w:r w:rsidRPr="132F34F1">
        <w:rPr>
          <w:rStyle w:val="Naglaeno"/>
          <w:rFonts w:eastAsiaTheme="majorEastAsia"/>
          <w:b w:val="0"/>
          <w:bCs w:val="0"/>
          <w:lang w:val="sr-Latn-CS"/>
        </w:rPr>
        <w:t>Common Regional Market Action Plan 2025–2028</w:t>
      </w:r>
      <w:r w:rsidRPr="132F34F1">
        <w:rPr>
          <w:lang w:val="sr-Latn-CS"/>
        </w:rPr>
        <w:t xml:space="preserve"> i CEFTA inicijative u oblasti e-trgovine doprinose usklađivanju sa EU pravilima i jačanju regionalne digitalne integracije.</w:t>
      </w:r>
    </w:p>
    <w:p w14:paraId="6F6C7CE7" w14:textId="77777777" w:rsidR="008939F2" w:rsidRPr="000065DA" w:rsidRDefault="132F34F1" w:rsidP="000065DA">
      <w:pPr>
        <w:rPr>
          <w:lang w:val="sr-Latn-CS"/>
        </w:rPr>
      </w:pPr>
      <w:r w:rsidRPr="132F34F1">
        <w:rPr>
          <w:lang w:val="sr-Latn-CS"/>
        </w:rPr>
        <w:t xml:space="preserve">Međunarodni analitički okviri, posebno izvještaji OECD-a i ITU-a, dodatno doprinose razumijevanju digitalne transformacije. OECD kroz </w:t>
      </w:r>
      <w:r w:rsidRPr="132F34F1">
        <w:rPr>
          <w:rStyle w:val="Istaknuto"/>
          <w:rFonts w:eastAsiaTheme="majorEastAsia"/>
          <w:lang w:val="sr-Latn-CS"/>
        </w:rPr>
        <w:t>Western Balkans Competitiveness Outlook 2024</w:t>
      </w:r>
      <w:r w:rsidRPr="132F34F1">
        <w:rPr>
          <w:lang w:val="sr-Latn-CS"/>
        </w:rPr>
        <w:t xml:space="preserve"> identifikuje napredak u infrastrukturi i digitalnom poslovanju, ali i slabosti u regulatornom okviru, upravljanju podacima i sajber bezbjednosti, dok ITU kroz </w:t>
      </w:r>
      <w:r w:rsidRPr="132F34F1">
        <w:rPr>
          <w:rStyle w:val="Istaknuto"/>
          <w:rFonts w:eastAsiaTheme="majorEastAsia"/>
          <w:lang w:val="sr-Latn-CS"/>
        </w:rPr>
        <w:t>Montenegro Digital Development Country Profile 2023</w:t>
      </w:r>
      <w:r w:rsidRPr="132F34F1">
        <w:rPr>
          <w:lang w:val="sr-Latn-CS"/>
        </w:rPr>
        <w:t xml:space="preserve"> naglašava značaj povezanosti, digitalnih vještina i digitalnih javnih usluga kao ključnih stubova digitalnog razvoja.</w:t>
      </w:r>
    </w:p>
    <w:p w14:paraId="77B8D4DD" w14:textId="0F807A1C" w:rsidR="00EF1F01" w:rsidRPr="000065DA" w:rsidRDefault="132F34F1" w:rsidP="000065DA">
      <w:pPr>
        <w:rPr>
          <w:lang w:val="sr-Latn-CS"/>
        </w:rPr>
      </w:pPr>
      <w:r w:rsidRPr="132F34F1">
        <w:rPr>
          <w:lang w:val="sr-Latn-CS"/>
        </w:rPr>
        <w:t xml:space="preserve">Izvještajni okvir Evropske komisije ostaje najvažniji referentni instrument za procjenu napretka Crne Gore. U Izvještaju za 2025. konstatuje se dobar nivo spremnosti u oblasti digitalne </w:t>
      </w:r>
      <w:r w:rsidRPr="132F34F1">
        <w:rPr>
          <w:lang w:val="sr-Latn-CS"/>
        </w:rPr>
        <w:lastRenderedPageBreak/>
        <w:t xml:space="preserve">transformacije, uz preporuke za dalje usklađivanje sa </w:t>
      </w:r>
      <w:r w:rsidRPr="132F34F1">
        <w:rPr>
          <w:rStyle w:val="Naglaeno"/>
          <w:rFonts w:eastAsiaTheme="majorEastAsia"/>
          <w:b w:val="0"/>
          <w:bCs w:val="0"/>
          <w:lang w:val="sr-Latn-CS"/>
        </w:rPr>
        <w:t>NIS2 direktivom</w:t>
      </w:r>
      <w:r w:rsidRPr="132F34F1">
        <w:rPr>
          <w:lang w:val="sr-Latn-CS"/>
        </w:rPr>
        <w:t>, jačanje institucionalnog okvira sajber bezbjednosti i nastavak razvoja širokopojasne infrastrukture.</w:t>
      </w:r>
    </w:p>
    <w:p w14:paraId="096F3D65" w14:textId="78754DA8" w:rsidR="00F579F5" w:rsidRPr="000065DA" w:rsidRDefault="132F34F1" w:rsidP="00F579F5">
      <w:pPr>
        <w:pStyle w:val="Naslov3"/>
        <w:rPr>
          <w:lang w:val="sr-Latn-CS"/>
        </w:rPr>
      </w:pPr>
      <w:r w:rsidRPr="132F34F1">
        <w:rPr>
          <w:lang w:val="sr-Latn-CS"/>
        </w:rPr>
        <w:t>Crnogorski strateški i pravni okvir</w:t>
      </w:r>
    </w:p>
    <w:p w14:paraId="39F04520" w14:textId="77777777" w:rsidR="00704436" w:rsidRPr="000065DA" w:rsidRDefault="132F34F1" w:rsidP="000065DA">
      <w:pPr>
        <w:rPr>
          <w:lang w:val="sr-Latn-CS"/>
        </w:rPr>
      </w:pPr>
      <w:r w:rsidRPr="132F34F1">
        <w:rPr>
          <w:lang w:val="sr-Latn-CS"/>
        </w:rPr>
        <w:t>Strateški i pravni okvir Crne Gore u oblasti digitalnih tehnologija i infrastrukture obuhvata širok spektar međusobno povezanih strateških dokumenata i zakonodavnih rješenja koji adresiraju razvoj digitalne povezanosti, digitalnih kapaciteta i naprednih tehnologija, kao i regulatornog i reformskog okvira. Iako su ovi dokumenti u velikoj mjeri usklađeni sa prioritetima Evropske unije, posebno u okviru Digital Decade politike, njihov doprinos digitalnoj tranziciji razlikuje se u zavisnosti od oblasti koju pokrivaju.</w:t>
      </w:r>
    </w:p>
    <w:p w14:paraId="5198BD48" w14:textId="77777777" w:rsidR="00704436" w:rsidRPr="000065DA" w:rsidRDefault="132F34F1" w:rsidP="00AC2979">
      <w:pPr>
        <w:rPr>
          <w:lang w:val="sr-Latn-CS"/>
        </w:rPr>
      </w:pPr>
      <w:r w:rsidRPr="132F34F1">
        <w:rPr>
          <w:lang w:val="sr-Latn-CS"/>
        </w:rPr>
        <w:t>Na strateškom nivou, Strategija digitalne transformacije Crne Gore 2022–2026 predstavlja ključni horizontalni dokument, sa direktnim uticajem na sve tri oblasti. U dijelu povezanosti, strategija promoviše razvoj digitalne infrastrukture i dostupnost širokopojasnog interneta. U segmentu digitalnih kapaciteta, fokusirana je na razvoj digitalnih vještina, digitalnih usluga i primjenu novih tehnologija, dok u reformskom dijelu doprinosi razvoju digitalne uprave i interoperabilnosti sistema.</w:t>
      </w:r>
    </w:p>
    <w:p w14:paraId="6BA25922" w14:textId="77777777" w:rsidR="00704436" w:rsidRPr="000065DA" w:rsidRDefault="132F34F1" w:rsidP="00AC2979">
      <w:pPr>
        <w:rPr>
          <w:lang w:val="sr-Latn-CS"/>
        </w:rPr>
      </w:pPr>
      <w:r w:rsidRPr="132F34F1">
        <w:rPr>
          <w:lang w:val="sr-Latn-CS"/>
        </w:rPr>
        <w:t>Strategija pametne specijalizacije (S3) primarno doprinosi oblasti digitalnih kapaciteta i naprednih tehnologija kroz identifikaciju ICT sektora kao jednog od ključnih prioriteta za inovacije, uz poseban fokus na povezivanje nauke i privrede i razvoj inovacionih lanaca vrijednosti.</w:t>
      </w:r>
    </w:p>
    <w:p w14:paraId="60EB4660" w14:textId="764C4923" w:rsidR="00704436" w:rsidRPr="000065DA" w:rsidRDefault="132F34F1" w:rsidP="00AC2979">
      <w:pPr>
        <w:rPr>
          <w:lang w:val="sr-Latn-CS"/>
        </w:rPr>
      </w:pPr>
      <w:r w:rsidRPr="132F34F1">
        <w:rPr>
          <w:lang w:val="sr-Latn-CS"/>
        </w:rPr>
        <w:t>U oblasti istraživanja i inovacija, Strategija naučnoistraživačke djelatnosti Crne Gore 2024–2028 i Program za nauku i inovacije 2026–2030 doprinose razvoju naprednih tehnologija kroz jačanje istraživačkih kapaciteta, razvoj infrastrukture i podršku primjeni novih tehnologija. Njihov ključni doprinos odnosi se na razvoj AI, data i drugih emerging tehnologija kroz istraživački i inovacioni sistem.Mapa puta za istraživačku infrastrukturu Crne Gore dodatno konkretizuje ovaj segment kroz razvoj digitalne i istraživačke infrastrukture, uključujući kapacitete koji su relevantni za napredne tehnologije, kao što su obrada podataka i istraživački resursi.</w:t>
      </w:r>
    </w:p>
    <w:p w14:paraId="3CF7B56E" w14:textId="77777777" w:rsidR="00704436" w:rsidRPr="000065DA" w:rsidRDefault="132F34F1" w:rsidP="00AC2979">
      <w:pPr>
        <w:rPr>
          <w:lang w:val="sr-Latn-CS"/>
        </w:rPr>
      </w:pPr>
      <w:r w:rsidRPr="132F34F1">
        <w:rPr>
          <w:lang w:val="sr-Latn-CS"/>
        </w:rPr>
        <w:t>Strategija razvoja mikro, malih i srednjih preduzeća 2023–2026 doprinosi digitalnim kapacitetima kroz podsticanje digitalizacije poslovanja, primjene novih tehnologija i razvoja digitalnih poslovnih modela, čime indirektno podržava i razvoj digitalnih tržišta i inovacija.</w:t>
      </w:r>
    </w:p>
    <w:p w14:paraId="1830D7ED" w14:textId="77E505CE" w:rsidR="00704436" w:rsidRPr="000065DA" w:rsidRDefault="132F34F1" w:rsidP="00AC2979">
      <w:pPr>
        <w:rPr>
          <w:lang w:val="sr-Latn-CS"/>
        </w:rPr>
      </w:pPr>
      <w:r w:rsidRPr="132F34F1">
        <w:rPr>
          <w:lang w:val="sr-Latn-CS"/>
        </w:rPr>
        <w:t>U oblasti obrazovanja, Strategija digitalizacije obrazovnog sistema 2022–2027 i Strategija reforme obrazovanja 2025–2035 imaju ključnu ulogu u razvoju digitalnih kapaciteta, posebno kroz unapređenje digitalnih vještina i kompetencija, što predstavlja osnovu za razvoj i primjenu naprednih tehnologija. Horizontalni reformski okvir definisan je kroz Strategiju reforme javne uprave 2022–2026, koja doprinosi oblasti reformi kroz digitalizaciju javnih usluga, unapređenje interoperabilnosti i efikasnosti javne uprave, dok Strategija sajber bezbjednosti ima ključnu ulogu u oblasti povjerenja i sigurnosti, posebno u kontekstu zaštite digitalne infrastrukture i sistema. Fiskalna strategija Crne Gore (2024-2027) predstavlja važan horizontalni okvir u oblasti javnih finansija, koji uključuje digitalnu komponentu kroz modernizaciju poreske administracije i uvođenje Integrisanog sistema upravljanja prihodima (IRMS). Ova mjera doprinosi digitalizaciji upravljanja javnim finansijama, unapređenju efikasnosti i transparentnosti, ali ne predstavlja zasebnu politiku razvoja digitalnih finansija.</w:t>
      </w:r>
    </w:p>
    <w:p w14:paraId="0F216C3D" w14:textId="7A63AFF3" w:rsidR="00DB04A9" w:rsidRPr="000065DA" w:rsidRDefault="132F34F1" w:rsidP="00AC2979">
      <w:pPr>
        <w:rPr>
          <w:lang w:val="sr-Latn-CS"/>
        </w:rPr>
      </w:pPr>
      <w:r w:rsidRPr="132F34F1">
        <w:rPr>
          <w:lang w:val="sr-Latn-CS"/>
        </w:rPr>
        <w:lastRenderedPageBreak/>
        <w:t>Zakonodavni okvir dodatno operacionalizuje ove strateške ciljeve. Zakon o elektronskim komunikacijama je ključan za oblast povezanosti, jer uređuje tržište elektronskih komunikacija i stvara uslove za razvoj mreža velikog kapaciteta, uključujući optičke i mobilne mreže. Zakon o informacionoj bezbjednosti ima direktan uticaj na sigurnost digitalne infrastrukture i mreža, kroz obavezu upravljanja rizicima i zaštitu informacionih sistema . Zakon o elektronskoj upravi uređuje digitalizaciju javnih usluga i razmjenu podataka između institucija, dok Zakon o elektronskom dokumentu i Zakon o elektronskoj identifikaciji i elektronskom potpisu omogućavaju pravnu validnost digitalnih transakcija, razvoj digitalnog identiteta i usluga povjerenja, uključujući osnovu za digitalne novčanike i digitalno poslovanje. Zakon o podsticajnim mjerama za razvoj istraživanja i inovacijama, Zakon o inovacionoj djelatnosti i Zakon o naučnoistraživačkoj djelatnosti dodatno doprinose razvoju inovacionog sistema, istraživačke infrastrukture i primjeni novih tehnologija, uključujući razvoj softvera, digitalnih rješenja i tehnologija zasnovanih na podacima.Razvoj ljudskog kapitala podržan je Zakonom o visokom obrazovanju, dok Zakon o državnoj upravi definiše institucionalni okvir za sprovođenje digitalne transformacije. Dodatno, zakonodavstvo u oblasti zaštite podataka o ličnosti i digitalnih finansija predstavlja važan element za izgradnju povjerenja i funkcionisanje digitalnog tržišta.</w:t>
      </w:r>
    </w:p>
    <w:p w14:paraId="0A7F5E66" w14:textId="5ED38693" w:rsidR="00704436" w:rsidRPr="000065DA" w:rsidRDefault="132F34F1" w:rsidP="00AC2979">
      <w:pPr>
        <w:rPr>
          <w:lang w:val="sr-Latn-CS"/>
        </w:rPr>
      </w:pPr>
      <w:r w:rsidRPr="132F34F1">
        <w:rPr>
          <w:lang w:val="sr-Latn-CS"/>
        </w:rPr>
        <w:t>Ukupno posmatrano, strateški i pravni okvir Crne Gore obuhvata ključne dimenzije digitalne transformacije i pruža osnovu za razvoj digitalne povezanosti, digitalnih kapaciteta i regulatornih reformi. Međutim, i pored širokog spektra dokumenata, okvir je djelimično fragmentiran, sa ograničenim stepenom integracije između različitih politika i nedovoljno razvijenim pristupom u oblastima naprednih tehnologija i digitalnih finansija. Dalji razvoj zahtijeva jačanje koordinacije, unapređenje implementacije i jasnije usmjeravanje ka prioritetima EU digitalne politike.</w:t>
      </w:r>
    </w:p>
    <w:p w14:paraId="42164ED2" w14:textId="18B0C8DF" w:rsidR="00F579F5" w:rsidRPr="000065DA" w:rsidRDefault="00F579F5" w:rsidP="00F579F5">
      <w:pPr>
        <w:pStyle w:val="Naslov3"/>
        <w:rPr>
          <w:lang w:val="sr-Latn-CS"/>
        </w:rPr>
      </w:pPr>
      <w:r w:rsidRPr="000065DA">
        <w:rPr>
          <w:lang w:val="sr-Latn-CS"/>
        </w:rPr>
        <w:t>Planirane i trenutne reforme</w:t>
      </w:r>
    </w:p>
    <w:p w14:paraId="70C2B412" w14:textId="77777777" w:rsidR="00DB04A9" w:rsidRPr="00AC2979" w:rsidRDefault="00DB04A9" w:rsidP="00AC2979">
      <w:pPr>
        <w:rPr>
          <w:lang w:val="sr-Latn-CS"/>
        </w:rPr>
      </w:pPr>
      <w:r w:rsidRPr="00AC2979">
        <w:rPr>
          <w:lang w:val="sr-Latn-CS"/>
        </w:rPr>
        <w:t>U okviru Reformske agende Crne Gore 2024–2027, oblast digitalnih tehnologija i infrastrukture obuhvaćena je kroz reformske mjere u okviru komponente 2.4 Digitalizacija. Reforma 2.4.1 (Pokretanje sigurne širokopojasne mreže, uključujući 5G mreže) odnosi se na razvoj mreža velikog kapaciteta i unapređenje digitalne povezanosti. Reforma 2.4.2 (Elektronski potpis i uvođenje novčanika digitalnog identiteta) usmjerena je na razvoj sistema elektronske identifikacije i usluga povjerenja. Reforma 2.4.3 (Isporuka digitalnih javnih usluga prilagođenih korisniku) odnosi se na digitalizaciju javne uprave, unapređenje interoperabilnosti i razvoj korisnički orijentisanih usluga. Reforma 2.4.4 (Sajber bezbjednost – uspostavljanje okvira za sajber otpornost) obuhvata jačanje bezbjednosti mrežnih i informacionih sistema i usklađivanje sa EU standardima.</w:t>
      </w:r>
    </w:p>
    <w:p w14:paraId="7882FD43" w14:textId="5218ADA1" w:rsidR="00DB04A9" w:rsidRPr="00AC2979" w:rsidRDefault="00DB04A9" w:rsidP="00AC2979">
      <w:pPr>
        <w:rPr>
          <w:lang w:val="sr-Latn-CS"/>
        </w:rPr>
      </w:pPr>
      <w:r w:rsidRPr="00AC2979">
        <w:rPr>
          <w:lang w:val="sr-Latn-CS"/>
        </w:rPr>
        <w:t xml:space="preserve">Pored reformi u okviru komponente 2.4 Digitalizacija, dodatne reformske mjere relevantne za oblast digitalnih tehnologija i infrastrukture identifikovane su i u okviru Poglavlja 1 Reformske agende (poslovno okruženje). U tom kontekstu, reforma 1.1.4 Poboljšanje elektronskog katastra i prostornog planiranja obuhvata aktivnosti koje se odnose na digitalizaciju prostornih i imovinskih podataka, razvoj i unapređenje elektronskih registara, kao i povećanje dostupnosti i tačnosti podataka. </w:t>
      </w:r>
      <w:r w:rsidR="00B21775" w:rsidRPr="00AC2979">
        <w:rPr>
          <w:lang w:val="sr-Latn-CS"/>
        </w:rPr>
        <w:t xml:space="preserve">Nadalje, </w:t>
      </w:r>
      <w:r w:rsidRPr="00AC2979">
        <w:rPr>
          <w:lang w:val="sr-Latn-CS"/>
        </w:rPr>
        <w:t>Reform</w:t>
      </w:r>
      <w:r w:rsidR="00B21775" w:rsidRPr="00AC2979">
        <w:rPr>
          <w:lang w:val="sr-Latn-CS"/>
        </w:rPr>
        <w:t>a</w:t>
      </w:r>
      <w:r w:rsidRPr="00AC2979">
        <w:rPr>
          <w:lang w:val="sr-Latn-CS"/>
        </w:rPr>
        <w:t xml:space="preserve"> 1.2.2 Dalji razvoj ekosistema istraživanja i inovacija za ekonomiju zasnovanu na znanju (S3), </w:t>
      </w:r>
      <w:r w:rsidR="00B21775" w:rsidRPr="00AC2979">
        <w:rPr>
          <w:lang w:val="sr-Latn-CS"/>
        </w:rPr>
        <w:t>doprinosi jačanju kapaciteta za razvoj i primjenu novih tehnologija i inovacija. Ova reforma je posebno značajna jer indirektno pokriva razvoj naprednih digitalnih tehnologija kroz jačanje istraživačkih i inovacionih kapaciteta</w:t>
      </w:r>
      <w:r w:rsidR="00B21775" w:rsidRPr="00AC2979">
        <w:rPr>
          <w:i/>
          <w:iCs/>
          <w:lang w:val="sr-Latn-CS"/>
        </w:rPr>
        <w:t>.</w:t>
      </w:r>
      <w:r w:rsidR="00B21775" w:rsidRPr="00AC2979">
        <w:rPr>
          <w:lang w:val="sr-Latn-CS"/>
        </w:rPr>
        <w:t xml:space="preserve"> U dijelu digitalnih tehnologijai i infrastrukture relevantan je reformski</w:t>
      </w:r>
      <w:r w:rsidRPr="00AC2979">
        <w:rPr>
          <w:lang w:val="sr-Latn-CS"/>
        </w:rPr>
        <w:t xml:space="preserve"> korak 1.2.2.1 - povećanje broja finansiranih </w:t>
      </w:r>
      <w:r w:rsidRPr="00AC2979">
        <w:rPr>
          <w:lang w:val="sr-Latn-CS"/>
        </w:rPr>
        <w:lastRenderedPageBreak/>
        <w:t xml:space="preserve">aktera u istraživanju i inovacijama, kojim se jačaju kapaciteti za razvoj i primjenu novih tehnologija i unapređuje inovaciono okruženje.Dodatno, reforma 1.1.1 Reforma upravljanja PVD uključuje aktivnosti koje se odnose na razvoj i unapređenje registara, digitalizaciju podataka i jačanje informacionih sistema, čime doprinosi unapređenju upravljanja podacima i digitalne infrastrukture u javnom sektoru. </w:t>
      </w:r>
    </w:p>
    <w:p w14:paraId="74CBEB2C" w14:textId="233FBB8E" w:rsidR="00DB04A9" w:rsidRPr="00AC2979" w:rsidRDefault="00B21775" w:rsidP="00AC2979">
      <w:pPr>
        <w:rPr>
          <w:lang w:val="sr-Latn-CS"/>
        </w:rPr>
      </w:pPr>
      <w:r w:rsidRPr="00AC2979">
        <w:rPr>
          <w:lang w:val="sr-Latn-CS"/>
        </w:rPr>
        <w:t>U okviru Programa ekonomskih reformi (PER 2026–2028), digitalna komponenta u oblasti javnih finansija prvenstveno se odnosi na modernizaciju poreske administracije. Ključna mjera je uvođenje Integrisanog sistema upravljanja prihodima (IRMS), čija je puna implementacija planirana od 2026. godine, čime se zamjenjuju zastarjeli informacioni sistemi i unapređuje efikasnost, transparentnost i kontrola naplate javnih prihoda. Ova mjera doprinosi digitalizaciji upravljanja javnim finansijama, jačanju fiskalne discipline i smanjenju administrativnih barijera za privredu.Iako PER ne predviđa posebne reforme u oblasti digitalnih finansija i elektronskih plaćanja, digitalizacija poreske administracije predstavlja relevantan element u kontekstu razvoja digitalne finansijske infrastrukture.</w:t>
      </w:r>
      <w:r w:rsidR="00DB04A9" w:rsidRPr="00AC2979">
        <w:rPr>
          <w:lang w:val="sr-Latn-CS"/>
        </w:rPr>
        <w:t>Reformska agenda obuhvata jasno definisane reforme u oblasti digitalne povezanosti, digitalnih javnih usluga, digitalnog identiteta i sajber bezbjednosti, dok ERP obuhvata širi skup mjera koje podržavaju digitalnu transformaciju javnog sektora i privrede, bez eksplicitnog definisanja reformi u oblasti naprednih digitalnih tehnologija.</w:t>
      </w:r>
    </w:p>
    <w:p w14:paraId="3C698635" w14:textId="5863FA6B" w:rsidR="00F579F5" w:rsidRPr="000065DA" w:rsidRDefault="0021066E" w:rsidP="0021066E">
      <w:pPr>
        <w:pStyle w:val="Naslov2"/>
        <w:rPr>
          <w:lang w:val="sr-Latn-CS"/>
        </w:rPr>
      </w:pPr>
      <w:r w:rsidRPr="000065DA">
        <w:rPr>
          <w:lang w:val="sr-Latn-CS"/>
        </w:rPr>
        <w:t>Ključni indikatori</w:t>
      </w:r>
    </w:p>
    <w:p w14:paraId="08C89DEC" w14:textId="77777777" w:rsidR="00891406" w:rsidRPr="000065DA" w:rsidRDefault="132F34F1" w:rsidP="00AC2979">
      <w:pPr>
        <w:rPr>
          <w:lang w:val="sr-Latn-CS"/>
        </w:rPr>
      </w:pPr>
      <w:r w:rsidRPr="132F34F1">
        <w:rPr>
          <w:lang w:val="sr-Latn-CS"/>
        </w:rPr>
        <w:t>Za oblast politika Digitalne tehnologije i infrastruktura, izbor ključnih indikatora zasniva se na logici okvira Digital Decade / DESI, koji predstavlja referentni sistem Evropske unije za praćenje digitalne transformacije. U cilju obezbjeđivanja međunarodne uporedivosti, korišćeni su primarno Eurostat pokazatelji za EU-27, dok su za Crnu Goru, gdje god je to bilo moguće, korišćeni isti ili najbliže metodološki uporedivi indikatori iz Eurostat serija za zemlje kandidate.</w:t>
      </w:r>
    </w:p>
    <w:tbl>
      <w:tblPr>
        <w:tblStyle w:val="Reetkatablice"/>
        <w:tblW w:w="9196" w:type="dxa"/>
        <w:tblLook w:val="04A0" w:firstRow="1" w:lastRow="0" w:firstColumn="1" w:lastColumn="0" w:noHBand="0" w:noVBand="1"/>
      </w:tblPr>
      <w:tblGrid>
        <w:gridCol w:w="2235"/>
        <w:gridCol w:w="1365"/>
        <w:gridCol w:w="1410"/>
        <w:gridCol w:w="1080"/>
        <w:gridCol w:w="3106"/>
      </w:tblGrid>
      <w:tr w:rsidR="00E30A6E" w:rsidRPr="008B7A1C" w14:paraId="18523F98" w14:textId="77777777" w:rsidTr="132F34F1">
        <w:trPr>
          <w:trHeight w:val="300"/>
        </w:trPr>
        <w:tc>
          <w:tcPr>
            <w:tcW w:w="2235" w:type="dxa"/>
            <w:hideMark/>
          </w:tcPr>
          <w:p w14:paraId="6BC77F1A" w14:textId="77777777" w:rsidR="00E30A6E" w:rsidRPr="008B7A1C" w:rsidRDefault="132F34F1" w:rsidP="132F34F1">
            <w:pPr>
              <w:rPr>
                <w:b/>
                <w:bCs/>
                <w:sz w:val="20"/>
                <w:szCs w:val="20"/>
                <w:lang w:val="sr-Latn-CS"/>
              </w:rPr>
            </w:pPr>
            <w:r w:rsidRPr="132F34F1">
              <w:rPr>
                <w:b/>
                <w:bCs/>
                <w:sz w:val="20"/>
                <w:szCs w:val="20"/>
                <w:lang w:val="sr-Latn-CS"/>
              </w:rPr>
              <w:t>Indikator</w:t>
            </w:r>
          </w:p>
        </w:tc>
        <w:tc>
          <w:tcPr>
            <w:tcW w:w="1365" w:type="dxa"/>
            <w:hideMark/>
          </w:tcPr>
          <w:p w14:paraId="17D3BEAD" w14:textId="07BE3183" w:rsidR="00E30A6E" w:rsidRPr="008B7A1C" w:rsidRDefault="132F34F1" w:rsidP="132F34F1">
            <w:pPr>
              <w:rPr>
                <w:b/>
                <w:bCs/>
                <w:sz w:val="20"/>
                <w:szCs w:val="20"/>
                <w:lang w:val="sr-Latn-CS"/>
              </w:rPr>
            </w:pPr>
            <w:r w:rsidRPr="132F34F1">
              <w:rPr>
                <w:b/>
                <w:bCs/>
                <w:sz w:val="20"/>
                <w:szCs w:val="20"/>
                <w:lang w:val="sr-Latn-CS"/>
              </w:rPr>
              <w:t xml:space="preserve">EU-27 </w:t>
            </w:r>
          </w:p>
          <w:p w14:paraId="5F6409B2" w14:textId="17478E84" w:rsidR="00E30A6E" w:rsidRPr="008B7A1C" w:rsidRDefault="132F34F1" w:rsidP="132F34F1">
            <w:pPr>
              <w:rPr>
                <w:b/>
                <w:bCs/>
                <w:sz w:val="20"/>
                <w:szCs w:val="20"/>
                <w:lang w:val="sr-Latn-CS"/>
              </w:rPr>
            </w:pPr>
            <w:r w:rsidRPr="132F34F1">
              <w:rPr>
                <w:b/>
                <w:bCs/>
                <w:sz w:val="20"/>
                <w:szCs w:val="20"/>
                <w:lang w:val="sr-Latn-CS"/>
              </w:rPr>
              <w:t>vrijednost</w:t>
            </w:r>
          </w:p>
        </w:tc>
        <w:tc>
          <w:tcPr>
            <w:tcW w:w="1410" w:type="dxa"/>
            <w:hideMark/>
          </w:tcPr>
          <w:p w14:paraId="1BD4D83E" w14:textId="40FAEB51" w:rsidR="00E30A6E" w:rsidRPr="008B7A1C" w:rsidRDefault="132F34F1" w:rsidP="132F34F1">
            <w:pPr>
              <w:rPr>
                <w:b/>
                <w:bCs/>
                <w:sz w:val="20"/>
                <w:szCs w:val="20"/>
                <w:lang w:val="sr-Latn-CS"/>
              </w:rPr>
            </w:pPr>
            <w:r w:rsidRPr="132F34F1">
              <w:rPr>
                <w:b/>
                <w:bCs/>
                <w:sz w:val="20"/>
                <w:szCs w:val="20"/>
                <w:lang w:val="sr-Latn-CS"/>
              </w:rPr>
              <w:t>CG vrijednost</w:t>
            </w:r>
          </w:p>
        </w:tc>
        <w:tc>
          <w:tcPr>
            <w:tcW w:w="1080" w:type="dxa"/>
            <w:hideMark/>
          </w:tcPr>
          <w:p w14:paraId="4F788F8D" w14:textId="77777777" w:rsidR="00E30A6E" w:rsidRPr="008B7A1C" w:rsidRDefault="132F34F1" w:rsidP="132F34F1">
            <w:pPr>
              <w:rPr>
                <w:b/>
                <w:bCs/>
                <w:sz w:val="20"/>
                <w:szCs w:val="20"/>
                <w:lang w:val="sr-Latn-CS"/>
              </w:rPr>
            </w:pPr>
            <w:r w:rsidRPr="132F34F1">
              <w:rPr>
                <w:b/>
                <w:bCs/>
                <w:sz w:val="20"/>
                <w:szCs w:val="20"/>
                <w:lang w:val="sr-Latn-CS"/>
              </w:rPr>
              <w:t>Godina</w:t>
            </w:r>
          </w:p>
        </w:tc>
        <w:tc>
          <w:tcPr>
            <w:tcW w:w="3106" w:type="dxa"/>
            <w:hideMark/>
          </w:tcPr>
          <w:p w14:paraId="5F27E392" w14:textId="77777777" w:rsidR="00E30A6E" w:rsidRPr="008B7A1C" w:rsidRDefault="132F34F1" w:rsidP="132F34F1">
            <w:pPr>
              <w:rPr>
                <w:b/>
                <w:bCs/>
                <w:sz w:val="20"/>
                <w:szCs w:val="20"/>
                <w:lang w:val="sr-Latn-CS"/>
              </w:rPr>
            </w:pPr>
            <w:r w:rsidRPr="132F34F1">
              <w:rPr>
                <w:b/>
                <w:bCs/>
                <w:sz w:val="20"/>
                <w:szCs w:val="20"/>
                <w:lang w:val="sr-Latn-CS"/>
              </w:rPr>
              <w:t>Izvor</w:t>
            </w:r>
          </w:p>
        </w:tc>
      </w:tr>
      <w:tr w:rsidR="00E30A6E" w:rsidRPr="008710AA" w14:paraId="14733FEF" w14:textId="77777777" w:rsidTr="132F34F1">
        <w:trPr>
          <w:trHeight w:val="300"/>
        </w:trPr>
        <w:tc>
          <w:tcPr>
            <w:tcW w:w="2235" w:type="dxa"/>
            <w:hideMark/>
          </w:tcPr>
          <w:p w14:paraId="0AC0521B" w14:textId="77777777" w:rsidR="00E30A6E" w:rsidRPr="008B7A1C" w:rsidRDefault="132F34F1" w:rsidP="132F34F1">
            <w:pPr>
              <w:rPr>
                <w:sz w:val="20"/>
                <w:szCs w:val="20"/>
                <w:lang w:val="sr-Latn-CS"/>
              </w:rPr>
            </w:pPr>
            <w:r w:rsidRPr="132F34F1">
              <w:rPr>
                <w:sz w:val="20"/>
                <w:szCs w:val="20"/>
                <w:lang w:val="sr-Latn-CS"/>
              </w:rPr>
              <w:t>Udio stanovništva sa najmanje osnovnim digitalnim vještinama (%)</w:t>
            </w:r>
          </w:p>
        </w:tc>
        <w:tc>
          <w:tcPr>
            <w:tcW w:w="1365" w:type="dxa"/>
            <w:hideMark/>
          </w:tcPr>
          <w:p w14:paraId="0F1A82EB" w14:textId="77777777" w:rsidR="00E30A6E" w:rsidRPr="008B7A1C" w:rsidRDefault="132F34F1" w:rsidP="132F34F1">
            <w:pPr>
              <w:rPr>
                <w:sz w:val="20"/>
                <w:szCs w:val="20"/>
                <w:lang w:val="sr-Latn-CS"/>
              </w:rPr>
            </w:pPr>
            <w:r w:rsidRPr="132F34F1">
              <w:rPr>
                <w:sz w:val="20"/>
                <w:szCs w:val="20"/>
                <w:lang w:val="sr-Latn-CS"/>
              </w:rPr>
              <w:t>55.60</w:t>
            </w:r>
          </w:p>
        </w:tc>
        <w:tc>
          <w:tcPr>
            <w:tcW w:w="1410" w:type="dxa"/>
            <w:hideMark/>
          </w:tcPr>
          <w:p w14:paraId="071D3230" w14:textId="375B6AB9" w:rsidR="00E30A6E" w:rsidRPr="008B7A1C" w:rsidRDefault="00E30A6E" w:rsidP="132F34F1">
            <w:pPr>
              <w:rPr>
                <w:sz w:val="20"/>
                <w:szCs w:val="20"/>
                <w:lang w:val="sr-Latn-CS"/>
              </w:rPr>
            </w:pPr>
            <w:r w:rsidRPr="132F34F1">
              <w:rPr>
                <w:sz w:val="20"/>
                <w:szCs w:val="20"/>
                <w:lang w:val="sr-Latn-CS"/>
              </w:rPr>
              <w:t>n.d.</w:t>
            </w:r>
            <w:r w:rsidRPr="132F34F1">
              <w:rPr>
                <w:rStyle w:val="Referencafusnote"/>
                <w:sz w:val="20"/>
                <w:szCs w:val="20"/>
                <w:lang w:val="sr-Latn-CS"/>
              </w:rPr>
              <w:footnoteReference w:id="1"/>
            </w:r>
          </w:p>
        </w:tc>
        <w:tc>
          <w:tcPr>
            <w:tcW w:w="1080" w:type="dxa"/>
            <w:hideMark/>
          </w:tcPr>
          <w:p w14:paraId="061B137D" w14:textId="77777777" w:rsidR="00E30A6E" w:rsidRPr="008B7A1C" w:rsidRDefault="132F34F1" w:rsidP="132F34F1">
            <w:pPr>
              <w:rPr>
                <w:sz w:val="20"/>
                <w:szCs w:val="20"/>
                <w:lang w:val="sr-Latn-CS"/>
              </w:rPr>
            </w:pPr>
            <w:r w:rsidRPr="132F34F1">
              <w:rPr>
                <w:sz w:val="20"/>
                <w:szCs w:val="20"/>
                <w:lang w:val="sr-Latn-CS"/>
              </w:rPr>
              <w:t>2023</w:t>
            </w:r>
          </w:p>
        </w:tc>
        <w:tc>
          <w:tcPr>
            <w:tcW w:w="3106" w:type="dxa"/>
            <w:hideMark/>
          </w:tcPr>
          <w:p w14:paraId="161EA6E7" w14:textId="77777777" w:rsidR="00E30A6E" w:rsidRPr="008B7A1C" w:rsidRDefault="132F34F1" w:rsidP="132F34F1">
            <w:pPr>
              <w:rPr>
                <w:sz w:val="20"/>
                <w:szCs w:val="20"/>
                <w:lang w:val="sr-Latn-CS"/>
              </w:rPr>
            </w:pPr>
            <w:r w:rsidRPr="132F34F1">
              <w:rPr>
                <w:sz w:val="20"/>
                <w:szCs w:val="20"/>
                <w:lang w:val="sr-Latn-CS"/>
              </w:rPr>
              <w:t>Digital Decade</w:t>
            </w:r>
          </w:p>
          <w:p w14:paraId="57C750CA" w14:textId="34234A2A" w:rsidR="00E30A6E" w:rsidRPr="008B7A1C" w:rsidRDefault="132F34F1" w:rsidP="132F34F1">
            <w:pPr>
              <w:rPr>
                <w:sz w:val="20"/>
                <w:szCs w:val="20"/>
                <w:lang w:val="sr-Latn-CS"/>
              </w:rPr>
            </w:pPr>
            <w:hyperlink r:id="rId8">
              <w:r w:rsidRPr="132F34F1">
                <w:rPr>
                  <w:rStyle w:val="Hiperveza"/>
                  <w:sz w:val="20"/>
                  <w:szCs w:val="20"/>
                  <w:lang w:val="sr-Latn-CS"/>
                </w:rPr>
                <w:t>https://digital-decade-desi.digital-strategy.ec.europa.eu</w:t>
              </w:r>
            </w:hyperlink>
          </w:p>
        </w:tc>
      </w:tr>
      <w:tr w:rsidR="00E30A6E" w:rsidRPr="008B7A1C" w14:paraId="0510BC44" w14:textId="77777777" w:rsidTr="132F34F1">
        <w:trPr>
          <w:trHeight w:val="300"/>
        </w:trPr>
        <w:tc>
          <w:tcPr>
            <w:tcW w:w="2235" w:type="dxa"/>
            <w:hideMark/>
          </w:tcPr>
          <w:p w14:paraId="30C68CEE" w14:textId="77777777" w:rsidR="00E30A6E" w:rsidRPr="008B7A1C" w:rsidRDefault="132F34F1" w:rsidP="132F34F1">
            <w:pPr>
              <w:rPr>
                <w:sz w:val="20"/>
                <w:szCs w:val="20"/>
                <w:lang w:val="sr-Latn-CS"/>
              </w:rPr>
            </w:pPr>
            <w:r w:rsidRPr="132F34F1">
              <w:rPr>
                <w:sz w:val="20"/>
                <w:szCs w:val="20"/>
                <w:lang w:val="sr-Latn-CS"/>
              </w:rPr>
              <w:t>Pojedinci koji svakodnevno koriste internet (%)</w:t>
            </w:r>
          </w:p>
        </w:tc>
        <w:tc>
          <w:tcPr>
            <w:tcW w:w="1365" w:type="dxa"/>
            <w:hideMark/>
          </w:tcPr>
          <w:p w14:paraId="4C196685" w14:textId="34BDAB0E" w:rsidR="00E30A6E" w:rsidRPr="008B7A1C" w:rsidRDefault="00183EC1" w:rsidP="132F34F1">
            <w:pPr>
              <w:rPr>
                <w:sz w:val="20"/>
                <w:szCs w:val="20"/>
                <w:lang w:val="sr-Latn-CS"/>
              </w:rPr>
            </w:pPr>
            <w:r>
              <w:rPr>
                <w:sz w:val="20"/>
                <w:szCs w:val="20"/>
                <w:lang w:val="sr-Latn-CS"/>
              </w:rPr>
              <w:t>91.67</w:t>
            </w:r>
          </w:p>
        </w:tc>
        <w:tc>
          <w:tcPr>
            <w:tcW w:w="1410" w:type="dxa"/>
            <w:hideMark/>
          </w:tcPr>
          <w:p w14:paraId="057ED0EA" w14:textId="554D6130" w:rsidR="00E30A6E" w:rsidRPr="008B7A1C" w:rsidRDefault="00183EC1" w:rsidP="132F34F1">
            <w:pPr>
              <w:rPr>
                <w:sz w:val="20"/>
                <w:szCs w:val="20"/>
                <w:lang w:val="sr-Latn-CS"/>
              </w:rPr>
            </w:pPr>
            <w:r>
              <w:rPr>
                <w:sz w:val="20"/>
                <w:szCs w:val="20"/>
                <w:lang w:val="sr-Latn-CS"/>
              </w:rPr>
              <w:t>88.85</w:t>
            </w:r>
          </w:p>
        </w:tc>
        <w:tc>
          <w:tcPr>
            <w:tcW w:w="1080" w:type="dxa"/>
            <w:hideMark/>
          </w:tcPr>
          <w:p w14:paraId="6D215741" w14:textId="77777777" w:rsidR="00E30A6E" w:rsidRPr="008B7A1C" w:rsidRDefault="132F34F1" w:rsidP="132F34F1">
            <w:pPr>
              <w:rPr>
                <w:sz w:val="20"/>
                <w:szCs w:val="20"/>
                <w:lang w:val="sr-Latn-CS"/>
              </w:rPr>
            </w:pPr>
            <w:r w:rsidRPr="132F34F1">
              <w:rPr>
                <w:sz w:val="20"/>
                <w:szCs w:val="20"/>
                <w:lang w:val="sr-Latn-CS"/>
              </w:rPr>
              <w:t>2024</w:t>
            </w:r>
          </w:p>
        </w:tc>
        <w:tc>
          <w:tcPr>
            <w:tcW w:w="3106" w:type="dxa"/>
            <w:hideMark/>
          </w:tcPr>
          <w:p w14:paraId="008D107F" w14:textId="77777777" w:rsidR="00E30A6E" w:rsidRPr="008B7A1C" w:rsidRDefault="132F34F1" w:rsidP="132F34F1">
            <w:pPr>
              <w:rPr>
                <w:sz w:val="20"/>
                <w:szCs w:val="20"/>
                <w:lang w:val="sr-Latn-CS"/>
              </w:rPr>
            </w:pPr>
            <w:r w:rsidRPr="132F34F1">
              <w:rPr>
                <w:sz w:val="20"/>
                <w:szCs w:val="20"/>
                <w:lang w:val="sr-Latn-CS"/>
              </w:rPr>
              <w:t>Eurostat (isoc_ci_ifp_fu)</w:t>
            </w:r>
          </w:p>
          <w:p w14:paraId="331D45EF" w14:textId="2C0F4A4E" w:rsidR="007549D0" w:rsidRPr="008B7A1C" w:rsidRDefault="132F34F1" w:rsidP="132F34F1">
            <w:pPr>
              <w:rPr>
                <w:sz w:val="20"/>
                <w:szCs w:val="20"/>
                <w:lang w:val="sr-Latn-CS"/>
              </w:rPr>
            </w:pPr>
            <w:r w:rsidRPr="132F34F1">
              <w:rPr>
                <w:sz w:val="20"/>
                <w:szCs w:val="20"/>
                <w:lang w:val="sr-Latn-CS"/>
              </w:rPr>
              <w:t>MONSTAT – ICT domaćinstva</w:t>
            </w:r>
          </w:p>
        </w:tc>
      </w:tr>
      <w:tr w:rsidR="00E30A6E" w:rsidRPr="008B7A1C" w14:paraId="21F08300" w14:textId="77777777" w:rsidTr="132F34F1">
        <w:trPr>
          <w:trHeight w:val="300"/>
        </w:trPr>
        <w:tc>
          <w:tcPr>
            <w:tcW w:w="2235" w:type="dxa"/>
            <w:hideMark/>
          </w:tcPr>
          <w:p w14:paraId="419E379E" w14:textId="77777777" w:rsidR="00E30A6E" w:rsidRPr="008B7A1C" w:rsidRDefault="132F34F1" w:rsidP="132F34F1">
            <w:pPr>
              <w:rPr>
                <w:sz w:val="20"/>
                <w:szCs w:val="20"/>
                <w:lang w:val="sr-Latn-CS"/>
              </w:rPr>
            </w:pPr>
            <w:r w:rsidRPr="132F34F1">
              <w:rPr>
                <w:sz w:val="20"/>
                <w:szCs w:val="20"/>
                <w:lang w:val="sr-Latn-CS"/>
              </w:rPr>
              <w:t>Domaćinstva sa pristupom internetu (%)</w:t>
            </w:r>
          </w:p>
        </w:tc>
        <w:tc>
          <w:tcPr>
            <w:tcW w:w="1365" w:type="dxa"/>
            <w:hideMark/>
          </w:tcPr>
          <w:p w14:paraId="6DC88562" w14:textId="67ACB771" w:rsidR="00E30A6E" w:rsidRPr="008B7A1C" w:rsidRDefault="132F34F1" w:rsidP="132F34F1">
            <w:pPr>
              <w:rPr>
                <w:sz w:val="20"/>
                <w:szCs w:val="20"/>
                <w:lang w:val="sr-Latn-CS"/>
              </w:rPr>
            </w:pPr>
            <w:r w:rsidRPr="132F34F1">
              <w:rPr>
                <w:sz w:val="20"/>
                <w:szCs w:val="20"/>
                <w:lang w:val="sr-Latn-CS"/>
              </w:rPr>
              <w:t>94.1</w:t>
            </w:r>
            <w:r w:rsidR="00183EC1">
              <w:rPr>
                <w:sz w:val="20"/>
                <w:szCs w:val="20"/>
                <w:lang w:val="sr-Latn-CS"/>
              </w:rPr>
              <w:t>9</w:t>
            </w:r>
          </w:p>
        </w:tc>
        <w:tc>
          <w:tcPr>
            <w:tcW w:w="1410" w:type="dxa"/>
            <w:hideMark/>
          </w:tcPr>
          <w:p w14:paraId="40B1EA67" w14:textId="77777777" w:rsidR="00E30A6E" w:rsidRPr="008B7A1C" w:rsidRDefault="132F34F1" w:rsidP="132F34F1">
            <w:pPr>
              <w:rPr>
                <w:sz w:val="20"/>
                <w:szCs w:val="20"/>
                <w:lang w:val="sr-Latn-CS"/>
              </w:rPr>
            </w:pPr>
            <w:r w:rsidRPr="132F34F1">
              <w:rPr>
                <w:sz w:val="20"/>
                <w:szCs w:val="20"/>
                <w:lang w:val="sr-Latn-CS"/>
              </w:rPr>
              <w:t>84.50</w:t>
            </w:r>
          </w:p>
        </w:tc>
        <w:tc>
          <w:tcPr>
            <w:tcW w:w="1080" w:type="dxa"/>
            <w:hideMark/>
          </w:tcPr>
          <w:p w14:paraId="047A372E" w14:textId="77777777" w:rsidR="00E30A6E" w:rsidRPr="008B7A1C" w:rsidRDefault="132F34F1" w:rsidP="132F34F1">
            <w:pPr>
              <w:rPr>
                <w:sz w:val="20"/>
                <w:szCs w:val="20"/>
                <w:lang w:val="sr-Latn-CS"/>
              </w:rPr>
            </w:pPr>
            <w:r w:rsidRPr="132F34F1">
              <w:rPr>
                <w:sz w:val="20"/>
                <w:szCs w:val="20"/>
                <w:lang w:val="sr-Latn-CS"/>
              </w:rPr>
              <w:t>2024</w:t>
            </w:r>
          </w:p>
        </w:tc>
        <w:tc>
          <w:tcPr>
            <w:tcW w:w="3106" w:type="dxa"/>
            <w:hideMark/>
          </w:tcPr>
          <w:p w14:paraId="1C724434" w14:textId="77777777" w:rsidR="00E30A6E" w:rsidRPr="008B7A1C" w:rsidRDefault="132F34F1" w:rsidP="132F34F1">
            <w:pPr>
              <w:rPr>
                <w:sz w:val="20"/>
                <w:szCs w:val="20"/>
                <w:lang w:val="sr-Latn-CS"/>
              </w:rPr>
            </w:pPr>
            <w:r w:rsidRPr="132F34F1">
              <w:rPr>
                <w:sz w:val="20"/>
                <w:szCs w:val="20"/>
                <w:lang w:val="sr-Latn-CS"/>
              </w:rPr>
              <w:t>Eurostat (isoc_ci_in_h)</w:t>
            </w:r>
          </w:p>
          <w:p w14:paraId="5FA3974E" w14:textId="3DC17E30" w:rsidR="007549D0" w:rsidRPr="008B7A1C" w:rsidRDefault="132F34F1" w:rsidP="132F34F1">
            <w:pPr>
              <w:rPr>
                <w:sz w:val="20"/>
                <w:szCs w:val="20"/>
                <w:lang w:val="sr-Latn-CS"/>
              </w:rPr>
            </w:pPr>
            <w:r w:rsidRPr="132F34F1">
              <w:rPr>
                <w:sz w:val="20"/>
                <w:szCs w:val="20"/>
                <w:lang w:val="sr-Latn-CS"/>
              </w:rPr>
              <w:t>MONSTAT – ICT domaćinstva</w:t>
            </w:r>
          </w:p>
        </w:tc>
      </w:tr>
      <w:tr w:rsidR="00E30A6E" w:rsidRPr="008B7A1C" w14:paraId="1EF6F177" w14:textId="77777777" w:rsidTr="132F34F1">
        <w:trPr>
          <w:trHeight w:val="300"/>
        </w:trPr>
        <w:tc>
          <w:tcPr>
            <w:tcW w:w="2235" w:type="dxa"/>
            <w:hideMark/>
          </w:tcPr>
          <w:p w14:paraId="6FA60E2D" w14:textId="77777777" w:rsidR="00E30A6E" w:rsidRPr="008B7A1C" w:rsidRDefault="132F34F1" w:rsidP="132F34F1">
            <w:pPr>
              <w:rPr>
                <w:sz w:val="20"/>
                <w:szCs w:val="20"/>
                <w:lang w:val="sr-Latn-CS"/>
              </w:rPr>
            </w:pPr>
            <w:r w:rsidRPr="132F34F1">
              <w:rPr>
                <w:sz w:val="20"/>
                <w:szCs w:val="20"/>
                <w:lang w:val="sr-Latn-CS"/>
              </w:rPr>
              <w:t>Pokrivenost 5G mrežom (%)</w:t>
            </w:r>
          </w:p>
        </w:tc>
        <w:tc>
          <w:tcPr>
            <w:tcW w:w="1365" w:type="dxa"/>
            <w:hideMark/>
          </w:tcPr>
          <w:p w14:paraId="507AD84C" w14:textId="77777777" w:rsidR="00E30A6E" w:rsidRPr="008B7A1C" w:rsidRDefault="132F34F1" w:rsidP="132F34F1">
            <w:pPr>
              <w:rPr>
                <w:sz w:val="20"/>
                <w:szCs w:val="20"/>
                <w:lang w:val="sr-Latn-CS"/>
              </w:rPr>
            </w:pPr>
            <w:r w:rsidRPr="132F34F1">
              <w:rPr>
                <w:sz w:val="20"/>
                <w:szCs w:val="20"/>
                <w:lang w:val="sr-Latn-CS"/>
              </w:rPr>
              <w:t>94.30</w:t>
            </w:r>
          </w:p>
        </w:tc>
        <w:tc>
          <w:tcPr>
            <w:tcW w:w="1410" w:type="dxa"/>
            <w:hideMark/>
          </w:tcPr>
          <w:p w14:paraId="13C8B082" w14:textId="53C7062B" w:rsidR="00E30A6E" w:rsidRPr="008B7A1C" w:rsidRDefault="00E30A6E" w:rsidP="132F34F1">
            <w:pPr>
              <w:rPr>
                <w:sz w:val="20"/>
                <w:szCs w:val="20"/>
                <w:lang w:val="sr-Latn-CS"/>
              </w:rPr>
            </w:pPr>
            <w:r w:rsidRPr="132F34F1">
              <w:rPr>
                <w:sz w:val="20"/>
                <w:szCs w:val="20"/>
                <w:lang w:val="sr-Latn-CS"/>
              </w:rPr>
              <w:t>85.37</w:t>
            </w:r>
            <w:r w:rsidRPr="132F34F1">
              <w:rPr>
                <w:rStyle w:val="Referencafusnote"/>
                <w:sz w:val="20"/>
                <w:szCs w:val="20"/>
                <w:lang w:val="sr-Latn-CS"/>
              </w:rPr>
              <w:footnoteReference w:id="2"/>
            </w:r>
          </w:p>
        </w:tc>
        <w:tc>
          <w:tcPr>
            <w:tcW w:w="1080" w:type="dxa"/>
            <w:hideMark/>
          </w:tcPr>
          <w:p w14:paraId="152816FD" w14:textId="77777777" w:rsidR="00E30A6E" w:rsidRPr="008B7A1C" w:rsidRDefault="132F34F1" w:rsidP="132F34F1">
            <w:pPr>
              <w:rPr>
                <w:sz w:val="20"/>
                <w:szCs w:val="20"/>
                <w:lang w:val="sr-Latn-CS"/>
              </w:rPr>
            </w:pPr>
            <w:r w:rsidRPr="132F34F1">
              <w:rPr>
                <w:sz w:val="20"/>
                <w:szCs w:val="20"/>
                <w:lang w:val="sr-Latn-CS"/>
              </w:rPr>
              <w:t>EU: 2024 / ME: 2023</w:t>
            </w:r>
          </w:p>
        </w:tc>
        <w:tc>
          <w:tcPr>
            <w:tcW w:w="3106" w:type="dxa"/>
            <w:hideMark/>
          </w:tcPr>
          <w:p w14:paraId="3E069E62" w14:textId="77777777" w:rsidR="00E30A6E" w:rsidRPr="008B7A1C" w:rsidRDefault="132F34F1" w:rsidP="132F34F1">
            <w:pPr>
              <w:rPr>
                <w:sz w:val="20"/>
                <w:szCs w:val="20"/>
                <w:lang w:val="sr-Latn-CS"/>
              </w:rPr>
            </w:pPr>
            <w:r w:rsidRPr="132F34F1">
              <w:rPr>
                <w:sz w:val="20"/>
                <w:szCs w:val="20"/>
                <w:lang w:val="sr-Latn-CS"/>
              </w:rPr>
              <w:t>Digital Decade / EKIP</w:t>
            </w:r>
          </w:p>
        </w:tc>
      </w:tr>
      <w:tr w:rsidR="00E30A6E" w:rsidRPr="008B7A1C" w14:paraId="33591543" w14:textId="77777777" w:rsidTr="132F34F1">
        <w:trPr>
          <w:trHeight w:val="300"/>
        </w:trPr>
        <w:tc>
          <w:tcPr>
            <w:tcW w:w="2235" w:type="dxa"/>
            <w:hideMark/>
          </w:tcPr>
          <w:p w14:paraId="5B3FA648" w14:textId="77777777" w:rsidR="00E30A6E" w:rsidRPr="008B7A1C" w:rsidRDefault="132F34F1" w:rsidP="132F34F1">
            <w:pPr>
              <w:rPr>
                <w:sz w:val="20"/>
                <w:szCs w:val="20"/>
                <w:lang w:val="sr-Latn-CS"/>
              </w:rPr>
            </w:pPr>
            <w:r w:rsidRPr="132F34F1">
              <w:rPr>
                <w:sz w:val="20"/>
                <w:szCs w:val="20"/>
                <w:lang w:val="sr-Latn-CS"/>
              </w:rPr>
              <w:t>Preduzeća koja koriste AI (%)</w:t>
            </w:r>
          </w:p>
        </w:tc>
        <w:tc>
          <w:tcPr>
            <w:tcW w:w="1365" w:type="dxa"/>
            <w:hideMark/>
          </w:tcPr>
          <w:p w14:paraId="33DB0EEB" w14:textId="77777777" w:rsidR="00E30A6E" w:rsidRPr="008B7A1C" w:rsidRDefault="132F34F1" w:rsidP="132F34F1">
            <w:pPr>
              <w:rPr>
                <w:sz w:val="20"/>
                <w:szCs w:val="20"/>
                <w:lang w:val="sr-Latn-CS"/>
              </w:rPr>
            </w:pPr>
            <w:r w:rsidRPr="132F34F1">
              <w:rPr>
                <w:sz w:val="20"/>
                <w:szCs w:val="20"/>
                <w:lang w:val="sr-Latn-CS"/>
              </w:rPr>
              <w:t>13.50</w:t>
            </w:r>
          </w:p>
        </w:tc>
        <w:tc>
          <w:tcPr>
            <w:tcW w:w="1410" w:type="dxa"/>
            <w:hideMark/>
          </w:tcPr>
          <w:p w14:paraId="75D82363" w14:textId="25028CC4" w:rsidR="00E30A6E" w:rsidRPr="008B7A1C" w:rsidRDefault="00183EC1" w:rsidP="132F34F1">
            <w:pPr>
              <w:rPr>
                <w:sz w:val="20"/>
                <w:szCs w:val="20"/>
                <w:lang w:val="sr-Latn-CS"/>
              </w:rPr>
            </w:pPr>
            <w:r>
              <w:rPr>
                <w:sz w:val="20"/>
                <w:szCs w:val="20"/>
                <w:lang w:val="sr-Latn-CS"/>
              </w:rPr>
              <w:t>7.91</w:t>
            </w:r>
          </w:p>
        </w:tc>
        <w:tc>
          <w:tcPr>
            <w:tcW w:w="1080" w:type="dxa"/>
            <w:hideMark/>
          </w:tcPr>
          <w:p w14:paraId="7FD27AE2" w14:textId="77777777" w:rsidR="00E30A6E" w:rsidRPr="008B7A1C" w:rsidRDefault="132F34F1" w:rsidP="132F34F1">
            <w:pPr>
              <w:rPr>
                <w:sz w:val="20"/>
                <w:szCs w:val="20"/>
                <w:lang w:val="sr-Latn-CS"/>
              </w:rPr>
            </w:pPr>
            <w:r w:rsidRPr="132F34F1">
              <w:rPr>
                <w:sz w:val="20"/>
                <w:szCs w:val="20"/>
                <w:lang w:val="sr-Latn-CS"/>
              </w:rPr>
              <w:t>2024</w:t>
            </w:r>
          </w:p>
        </w:tc>
        <w:tc>
          <w:tcPr>
            <w:tcW w:w="3106" w:type="dxa"/>
            <w:hideMark/>
          </w:tcPr>
          <w:p w14:paraId="48C11BEC" w14:textId="77777777" w:rsidR="00E30A6E" w:rsidRPr="008B7A1C" w:rsidRDefault="132F34F1" w:rsidP="132F34F1">
            <w:pPr>
              <w:rPr>
                <w:sz w:val="20"/>
                <w:szCs w:val="20"/>
                <w:lang w:val="sr-Latn-CS"/>
              </w:rPr>
            </w:pPr>
            <w:r w:rsidRPr="132F34F1">
              <w:rPr>
                <w:sz w:val="20"/>
                <w:szCs w:val="20"/>
                <w:lang w:val="sr-Latn-CS"/>
              </w:rPr>
              <w:t>Eurostat (isoc_eb_ai)</w:t>
            </w:r>
          </w:p>
        </w:tc>
      </w:tr>
      <w:tr w:rsidR="00E30A6E" w:rsidRPr="008B7A1C" w14:paraId="5C3AE1E5" w14:textId="77777777" w:rsidTr="132F34F1">
        <w:trPr>
          <w:trHeight w:val="300"/>
        </w:trPr>
        <w:tc>
          <w:tcPr>
            <w:tcW w:w="2235" w:type="dxa"/>
            <w:hideMark/>
          </w:tcPr>
          <w:p w14:paraId="39A39C4A" w14:textId="77777777" w:rsidR="00E30A6E" w:rsidRPr="008B7A1C" w:rsidRDefault="132F34F1" w:rsidP="132F34F1">
            <w:pPr>
              <w:rPr>
                <w:sz w:val="20"/>
                <w:szCs w:val="20"/>
                <w:lang w:val="sr-Latn-CS"/>
              </w:rPr>
            </w:pPr>
            <w:r w:rsidRPr="132F34F1">
              <w:rPr>
                <w:sz w:val="20"/>
                <w:szCs w:val="20"/>
                <w:lang w:val="sr-Latn-CS"/>
              </w:rPr>
              <w:t>Preduzeća koja koriste cloud (%)</w:t>
            </w:r>
          </w:p>
        </w:tc>
        <w:tc>
          <w:tcPr>
            <w:tcW w:w="1365" w:type="dxa"/>
            <w:hideMark/>
          </w:tcPr>
          <w:p w14:paraId="54AF95E7" w14:textId="77777777" w:rsidR="00E30A6E" w:rsidRPr="008B7A1C" w:rsidRDefault="132F34F1" w:rsidP="132F34F1">
            <w:pPr>
              <w:rPr>
                <w:sz w:val="20"/>
                <w:szCs w:val="20"/>
                <w:lang w:val="sr-Latn-CS"/>
              </w:rPr>
            </w:pPr>
            <w:r w:rsidRPr="132F34F1">
              <w:rPr>
                <w:sz w:val="20"/>
                <w:szCs w:val="20"/>
                <w:lang w:val="sr-Latn-CS"/>
              </w:rPr>
              <w:t>52.74</w:t>
            </w:r>
          </w:p>
        </w:tc>
        <w:tc>
          <w:tcPr>
            <w:tcW w:w="1410" w:type="dxa"/>
            <w:hideMark/>
          </w:tcPr>
          <w:p w14:paraId="6F16A2A5" w14:textId="77777777" w:rsidR="00E30A6E" w:rsidRPr="008B7A1C" w:rsidRDefault="132F34F1" w:rsidP="132F34F1">
            <w:pPr>
              <w:rPr>
                <w:sz w:val="20"/>
                <w:szCs w:val="20"/>
                <w:lang w:val="sr-Latn-CS"/>
              </w:rPr>
            </w:pPr>
            <w:r w:rsidRPr="132F34F1">
              <w:rPr>
                <w:sz w:val="20"/>
                <w:szCs w:val="20"/>
                <w:lang w:val="sr-Latn-CS"/>
              </w:rPr>
              <w:t>n.d.¹</w:t>
            </w:r>
          </w:p>
        </w:tc>
        <w:tc>
          <w:tcPr>
            <w:tcW w:w="1080" w:type="dxa"/>
            <w:hideMark/>
          </w:tcPr>
          <w:p w14:paraId="526A8B14" w14:textId="77777777" w:rsidR="00E30A6E" w:rsidRPr="008B7A1C" w:rsidRDefault="132F34F1" w:rsidP="132F34F1">
            <w:pPr>
              <w:rPr>
                <w:sz w:val="20"/>
                <w:szCs w:val="20"/>
                <w:lang w:val="sr-Latn-CS"/>
              </w:rPr>
            </w:pPr>
            <w:r w:rsidRPr="132F34F1">
              <w:rPr>
                <w:sz w:val="20"/>
                <w:szCs w:val="20"/>
                <w:lang w:val="sr-Latn-CS"/>
              </w:rPr>
              <w:t>2023</w:t>
            </w:r>
          </w:p>
        </w:tc>
        <w:tc>
          <w:tcPr>
            <w:tcW w:w="3106" w:type="dxa"/>
            <w:hideMark/>
          </w:tcPr>
          <w:p w14:paraId="5C6650E9" w14:textId="77777777" w:rsidR="00E30A6E" w:rsidRPr="008B7A1C" w:rsidRDefault="132F34F1" w:rsidP="132F34F1">
            <w:pPr>
              <w:rPr>
                <w:sz w:val="20"/>
                <w:szCs w:val="20"/>
                <w:lang w:val="sr-Latn-CS"/>
              </w:rPr>
            </w:pPr>
            <w:r w:rsidRPr="132F34F1">
              <w:rPr>
                <w:sz w:val="20"/>
                <w:szCs w:val="20"/>
                <w:lang w:val="sr-Latn-CS"/>
              </w:rPr>
              <w:t>Eurostat (isoc_cicce_use)</w:t>
            </w:r>
          </w:p>
        </w:tc>
      </w:tr>
      <w:tr w:rsidR="00E30A6E" w:rsidRPr="008710AA" w14:paraId="7E63B437" w14:textId="77777777" w:rsidTr="132F34F1">
        <w:trPr>
          <w:trHeight w:val="300"/>
        </w:trPr>
        <w:tc>
          <w:tcPr>
            <w:tcW w:w="2235" w:type="dxa"/>
            <w:hideMark/>
          </w:tcPr>
          <w:p w14:paraId="59E45651" w14:textId="77777777" w:rsidR="00E30A6E" w:rsidRPr="008B7A1C" w:rsidRDefault="132F34F1" w:rsidP="132F34F1">
            <w:pPr>
              <w:rPr>
                <w:sz w:val="20"/>
                <w:szCs w:val="20"/>
                <w:lang w:val="sr-Latn-CS"/>
              </w:rPr>
            </w:pPr>
            <w:r w:rsidRPr="132F34F1">
              <w:rPr>
                <w:sz w:val="20"/>
                <w:szCs w:val="20"/>
                <w:lang w:val="sr-Latn-CS"/>
              </w:rPr>
              <w:lastRenderedPageBreak/>
              <w:t>Izdaci za istraživanje i razvoj (% BDP)</w:t>
            </w:r>
          </w:p>
        </w:tc>
        <w:tc>
          <w:tcPr>
            <w:tcW w:w="1365" w:type="dxa"/>
            <w:hideMark/>
          </w:tcPr>
          <w:p w14:paraId="27D042FC" w14:textId="77777777" w:rsidR="00E30A6E" w:rsidRPr="008B7A1C" w:rsidRDefault="132F34F1" w:rsidP="132F34F1">
            <w:pPr>
              <w:rPr>
                <w:sz w:val="20"/>
                <w:szCs w:val="20"/>
                <w:lang w:val="sr-Latn-CS"/>
              </w:rPr>
            </w:pPr>
            <w:r w:rsidRPr="132F34F1">
              <w:rPr>
                <w:sz w:val="20"/>
                <w:szCs w:val="20"/>
                <w:lang w:val="sr-Latn-CS"/>
              </w:rPr>
              <w:t>2.26</w:t>
            </w:r>
          </w:p>
        </w:tc>
        <w:tc>
          <w:tcPr>
            <w:tcW w:w="1410" w:type="dxa"/>
            <w:hideMark/>
          </w:tcPr>
          <w:p w14:paraId="7BA6840D" w14:textId="25BA15FB" w:rsidR="00E30A6E" w:rsidRPr="008B7A1C" w:rsidRDefault="00E30A6E" w:rsidP="132F34F1">
            <w:pPr>
              <w:rPr>
                <w:sz w:val="20"/>
                <w:szCs w:val="20"/>
                <w:lang w:val="sr-Latn-CS"/>
              </w:rPr>
            </w:pPr>
            <w:r w:rsidRPr="132F34F1">
              <w:rPr>
                <w:sz w:val="20"/>
                <w:szCs w:val="20"/>
                <w:lang w:val="sr-Latn-CS"/>
              </w:rPr>
              <w:t>0.36</w:t>
            </w:r>
            <w:r w:rsidRPr="132F34F1">
              <w:rPr>
                <w:rStyle w:val="Referencafusnote"/>
                <w:sz w:val="20"/>
                <w:szCs w:val="20"/>
                <w:lang w:val="sr-Latn-CS"/>
              </w:rPr>
              <w:footnoteReference w:id="3"/>
            </w:r>
          </w:p>
        </w:tc>
        <w:tc>
          <w:tcPr>
            <w:tcW w:w="1080" w:type="dxa"/>
            <w:hideMark/>
          </w:tcPr>
          <w:p w14:paraId="3E24E401" w14:textId="77777777" w:rsidR="00E30A6E" w:rsidRPr="008B7A1C" w:rsidRDefault="132F34F1" w:rsidP="132F34F1">
            <w:pPr>
              <w:rPr>
                <w:sz w:val="20"/>
                <w:szCs w:val="20"/>
                <w:lang w:val="sr-Latn-CS"/>
              </w:rPr>
            </w:pPr>
            <w:r w:rsidRPr="132F34F1">
              <w:rPr>
                <w:sz w:val="20"/>
                <w:szCs w:val="20"/>
                <w:lang w:val="sr-Latn-CS"/>
              </w:rPr>
              <w:t>EU: 2023 / ME: 2019</w:t>
            </w:r>
          </w:p>
        </w:tc>
        <w:tc>
          <w:tcPr>
            <w:tcW w:w="3106" w:type="dxa"/>
            <w:hideMark/>
          </w:tcPr>
          <w:p w14:paraId="0DD19485" w14:textId="77777777" w:rsidR="00E30A6E" w:rsidRPr="008B7A1C" w:rsidRDefault="132F34F1" w:rsidP="132F34F1">
            <w:pPr>
              <w:rPr>
                <w:sz w:val="20"/>
                <w:szCs w:val="20"/>
                <w:lang w:val="sr-Latn-CS"/>
              </w:rPr>
            </w:pPr>
            <w:r w:rsidRPr="132F34F1">
              <w:rPr>
                <w:sz w:val="20"/>
                <w:szCs w:val="20"/>
                <w:lang w:val="sr-Latn-CS"/>
              </w:rPr>
              <w:t>Eurostat (rd_e_gerdtot)</w:t>
            </w:r>
          </w:p>
          <w:p w14:paraId="284BC8D1" w14:textId="131D9CF0" w:rsidR="007549D0" w:rsidRPr="008B7A1C" w:rsidRDefault="132F34F1" w:rsidP="132F34F1">
            <w:pPr>
              <w:rPr>
                <w:sz w:val="20"/>
                <w:szCs w:val="20"/>
                <w:lang w:val="sr-Latn-CS"/>
              </w:rPr>
            </w:pPr>
            <w:r w:rsidRPr="132F34F1">
              <w:rPr>
                <w:sz w:val="20"/>
                <w:szCs w:val="20"/>
                <w:lang w:val="sr-Latn-CS"/>
              </w:rPr>
              <w:t>MONSTAT – R&amp;D</w:t>
            </w:r>
          </w:p>
        </w:tc>
      </w:tr>
      <w:tr w:rsidR="00E30A6E" w:rsidRPr="008710AA" w14:paraId="6AF329F5" w14:textId="77777777" w:rsidTr="132F34F1">
        <w:trPr>
          <w:trHeight w:val="300"/>
        </w:trPr>
        <w:tc>
          <w:tcPr>
            <w:tcW w:w="2235" w:type="dxa"/>
            <w:hideMark/>
          </w:tcPr>
          <w:p w14:paraId="19A078F0" w14:textId="77777777" w:rsidR="00E30A6E" w:rsidRPr="008B7A1C" w:rsidRDefault="132F34F1" w:rsidP="132F34F1">
            <w:pPr>
              <w:rPr>
                <w:sz w:val="20"/>
                <w:szCs w:val="20"/>
                <w:lang w:val="sr-Latn-CS"/>
              </w:rPr>
            </w:pPr>
            <w:r w:rsidRPr="132F34F1">
              <w:rPr>
                <w:sz w:val="20"/>
                <w:szCs w:val="20"/>
                <w:lang w:val="sr-Latn-CS"/>
              </w:rPr>
              <w:t xml:space="preserve">Pojedinci koji kupuju </w:t>
            </w:r>
            <w:proofErr w:type="spellStart"/>
            <w:r w:rsidRPr="132F34F1">
              <w:rPr>
                <w:sz w:val="20"/>
                <w:szCs w:val="20"/>
                <w:lang w:val="sr-Latn-CS"/>
              </w:rPr>
              <w:t>online</w:t>
            </w:r>
            <w:proofErr w:type="spellEnd"/>
            <w:r w:rsidRPr="132F34F1">
              <w:rPr>
                <w:sz w:val="20"/>
                <w:szCs w:val="20"/>
                <w:lang w:val="sr-Latn-CS"/>
              </w:rPr>
              <w:t xml:space="preserve"> (%)</w:t>
            </w:r>
          </w:p>
        </w:tc>
        <w:tc>
          <w:tcPr>
            <w:tcW w:w="1365" w:type="dxa"/>
            <w:hideMark/>
          </w:tcPr>
          <w:p w14:paraId="3C4C4942" w14:textId="77777777" w:rsidR="00E30A6E" w:rsidRPr="008B7A1C" w:rsidRDefault="132F34F1" w:rsidP="132F34F1">
            <w:pPr>
              <w:rPr>
                <w:sz w:val="20"/>
                <w:szCs w:val="20"/>
                <w:lang w:val="sr-Latn-CS"/>
              </w:rPr>
            </w:pPr>
            <w:r w:rsidRPr="132F34F1">
              <w:rPr>
                <w:sz w:val="20"/>
                <w:szCs w:val="20"/>
                <w:lang w:val="sr-Latn-CS"/>
              </w:rPr>
              <w:t>77.99</w:t>
            </w:r>
          </w:p>
        </w:tc>
        <w:tc>
          <w:tcPr>
            <w:tcW w:w="1410" w:type="dxa"/>
            <w:hideMark/>
          </w:tcPr>
          <w:p w14:paraId="55A33A0C" w14:textId="77777777" w:rsidR="00E30A6E" w:rsidRPr="008B7A1C" w:rsidRDefault="132F34F1" w:rsidP="132F34F1">
            <w:pPr>
              <w:rPr>
                <w:sz w:val="20"/>
                <w:szCs w:val="20"/>
                <w:lang w:val="sr-Latn-CS"/>
              </w:rPr>
            </w:pPr>
            <w:r w:rsidRPr="132F34F1">
              <w:rPr>
                <w:sz w:val="20"/>
                <w:szCs w:val="20"/>
                <w:lang w:val="sr-Latn-CS"/>
              </w:rPr>
              <w:t>41.98</w:t>
            </w:r>
          </w:p>
        </w:tc>
        <w:tc>
          <w:tcPr>
            <w:tcW w:w="1080" w:type="dxa"/>
            <w:hideMark/>
          </w:tcPr>
          <w:p w14:paraId="71F6CCBA" w14:textId="77777777" w:rsidR="00E30A6E" w:rsidRPr="008B7A1C" w:rsidRDefault="132F34F1" w:rsidP="132F34F1">
            <w:pPr>
              <w:rPr>
                <w:sz w:val="20"/>
                <w:szCs w:val="20"/>
                <w:lang w:val="sr-Latn-CS"/>
              </w:rPr>
            </w:pPr>
            <w:r w:rsidRPr="132F34F1">
              <w:rPr>
                <w:sz w:val="20"/>
                <w:szCs w:val="20"/>
                <w:lang w:val="sr-Latn-CS"/>
              </w:rPr>
              <w:t>2024</w:t>
            </w:r>
          </w:p>
        </w:tc>
        <w:tc>
          <w:tcPr>
            <w:tcW w:w="3106" w:type="dxa"/>
            <w:hideMark/>
          </w:tcPr>
          <w:p w14:paraId="71FE154A" w14:textId="77777777" w:rsidR="00E30A6E" w:rsidRPr="008B7A1C" w:rsidRDefault="132F34F1" w:rsidP="132F34F1">
            <w:pPr>
              <w:rPr>
                <w:sz w:val="20"/>
                <w:szCs w:val="20"/>
                <w:lang w:val="sr-Latn-CS"/>
              </w:rPr>
            </w:pPr>
            <w:r w:rsidRPr="132F34F1">
              <w:rPr>
                <w:sz w:val="20"/>
                <w:szCs w:val="20"/>
                <w:lang w:val="sr-Latn-CS"/>
              </w:rPr>
              <w:t>Eurostat (isoc_ec_ibuy)</w:t>
            </w:r>
          </w:p>
          <w:p w14:paraId="2418EAC4" w14:textId="23C0FEEE" w:rsidR="007549D0" w:rsidRPr="008B7A1C" w:rsidRDefault="132F34F1" w:rsidP="132F34F1">
            <w:pPr>
              <w:rPr>
                <w:sz w:val="20"/>
                <w:szCs w:val="20"/>
                <w:lang w:val="sr-Latn-CS"/>
              </w:rPr>
            </w:pPr>
            <w:r w:rsidRPr="132F34F1">
              <w:rPr>
                <w:sz w:val="20"/>
                <w:szCs w:val="20"/>
                <w:lang w:val="sr-Latn-CS"/>
              </w:rPr>
              <w:t>MONSTAT – ICT domaćinstva</w:t>
            </w:r>
          </w:p>
        </w:tc>
      </w:tr>
      <w:tr w:rsidR="00E30A6E" w:rsidRPr="008B7A1C" w14:paraId="1758936F" w14:textId="77777777" w:rsidTr="132F34F1">
        <w:trPr>
          <w:trHeight w:val="300"/>
        </w:trPr>
        <w:tc>
          <w:tcPr>
            <w:tcW w:w="2235" w:type="dxa"/>
            <w:hideMark/>
          </w:tcPr>
          <w:p w14:paraId="312D4C54" w14:textId="77777777" w:rsidR="00E30A6E" w:rsidRPr="008B7A1C" w:rsidRDefault="132F34F1" w:rsidP="132F34F1">
            <w:pPr>
              <w:rPr>
                <w:sz w:val="20"/>
                <w:szCs w:val="20"/>
                <w:lang w:val="sr-Latn-CS"/>
              </w:rPr>
            </w:pPr>
            <w:r w:rsidRPr="132F34F1">
              <w:rPr>
                <w:sz w:val="20"/>
                <w:szCs w:val="20"/>
                <w:lang w:val="sr-Latn-CS"/>
              </w:rPr>
              <w:t xml:space="preserve">Pojedinci koji koriste </w:t>
            </w:r>
            <w:proofErr w:type="spellStart"/>
            <w:r w:rsidRPr="132F34F1">
              <w:rPr>
                <w:sz w:val="20"/>
                <w:szCs w:val="20"/>
                <w:lang w:val="sr-Latn-CS"/>
              </w:rPr>
              <w:t>eUpravu</w:t>
            </w:r>
            <w:proofErr w:type="spellEnd"/>
            <w:r w:rsidRPr="132F34F1">
              <w:rPr>
                <w:sz w:val="20"/>
                <w:szCs w:val="20"/>
                <w:lang w:val="sr-Latn-CS"/>
              </w:rPr>
              <w:t xml:space="preserve"> (%)</w:t>
            </w:r>
          </w:p>
        </w:tc>
        <w:tc>
          <w:tcPr>
            <w:tcW w:w="1365" w:type="dxa"/>
            <w:hideMark/>
          </w:tcPr>
          <w:p w14:paraId="31D5F37B" w14:textId="77777777" w:rsidR="00E30A6E" w:rsidRPr="008B7A1C" w:rsidRDefault="132F34F1" w:rsidP="132F34F1">
            <w:pPr>
              <w:rPr>
                <w:sz w:val="20"/>
                <w:szCs w:val="20"/>
                <w:lang w:val="sr-Latn-CS"/>
              </w:rPr>
            </w:pPr>
            <w:r w:rsidRPr="132F34F1">
              <w:rPr>
                <w:sz w:val="20"/>
                <w:szCs w:val="20"/>
                <w:lang w:val="sr-Latn-CS"/>
              </w:rPr>
              <w:t>71.88</w:t>
            </w:r>
          </w:p>
        </w:tc>
        <w:tc>
          <w:tcPr>
            <w:tcW w:w="1410" w:type="dxa"/>
            <w:hideMark/>
          </w:tcPr>
          <w:p w14:paraId="77EA7BAA" w14:textId="77777777" w:rsidR="00E30A6E" w:rsidRPr="008B7A1C" w:rsidRDefault="132F34F1" w:rsidP="132F34F1">
            <w:pPr>
              <w:rPr>
                <w:sz w:val="20"/>
                <w:szCs w:val="20"/>
                <w:lang w:val="sr-Latn-CS"/>
              </w:rPr>
            </w:pPr>
            <w:r w:rsidRPr="132F34F1">
              <w:rPr>
                <w:sz w:val="20"/>
                <w:szCs w:val="20"/>
                <w:lang w:val="sr-Latn-CS"/>
              </w:rPr>
              <w:t>52.39</w:t>
            </w:r>
          </w:p>
        </w:tc>
        <w:tc>
          <w:tcPr>
            <w:tcW w:w="1080" w:type="dxa"/>
            <w:hideMark/>
          </w:tcPr>
          <w:p w14:paraId="79971B9F" w14:textId="77777777" w:rsidR="00E30A6E" w:rsidRPr="008B7A1C" w:rsidRDefault="132F34F1" w:rsidP="132F34F1">
            <w:pPr>
              <w:rPr>
                <w:sz w:val="20"/>
                <w:szCs w:val="20"/>
                <w:lang w:val="sr-Latn-CS"/>
              </w:rPr>
            </w:pPr>
            <w:r w:rsidRPr="132F34F1">
              <w:rPr>
                <w:sz w:val="20"/>
                <w:szCs w:val="20"/>
                <w:lang w:val="sr-Latn-CS"/>
              </w:rPr>
              <w:t>2024</w:t>
            </w:r>
          </w:p>
        </w:tc>
        <w:tc>
          <w:tcPr>
            <w:tcW w:w="3106" w:type="dxa"/>
            <w:hideMark/>
          </w:tcPr>
          <w:p w14:paraId="790B1773" w14:textId="77777777" w:rsidR="00E30A6E" w:rsidRPr="008B7A1C" w:rsidRDefault="132F34F1" w:rsidP="132F34F1">
            <w:pPr>
              <w:rPr>
                <w:sz w:val="20"/>
                <w:szCs w:val="20"/>
                <w:lang w:val="sr-Latn-CS"/>
              </w:rPr>
            </w:pPr>
            <w:r w:rsidRPr="132F34F1">
              <w:rPr>
                <w:sz w:val="20"/>
                <w:szCs w:val="20"/>
                <w:lang w:val="sr-Latn-CS"/>
              </w:rPr>
              <w:t>Eurostat (isoc_ci_gov_i)</w:t>
            </w:r>
          </w:p>
          <w:p w14:paraId="10F6560F" w14:textId="4C757F0A" w:rsidR="007549D0" w:rsidRPr="008B7A1C" w:rsidRDefault="132F34F1" w:rsidP="132F34F1">
            <w:pPr>
              <w:rPr>
                <w:sz w:val="20"/>
                <w:szCs w:val="20"/>
                <w:lang w:val="sr-Latn-CS"/>
              </w:rPr>
            </w:pPr>
            <w:r w:rsidRPr="132F34F1">
              <w:rPr>
                <w:sz w:val="20"/>
                <w:szCs w:val="20"/>
                <w:lang w:val="sr-Latn-CS"/>
              </w:rPr>
              <w:t>MONSTAT – ICT domaćinstva</w:t>
            </w:r>
          </w:p>
          <w:p w14:paraId="350B8E23" w14:textId="77777777" w:rsidR="007549D0" w:rsidRPr="008B7A1C" w:rsidRDefault="007549D0" w:rsidP="132F34F1">
            <w:pPr>
              <w:rPr>
                <w:sz w:val="20"/>
                <w:szCs w:val="20"/>
                <w:lang w:val="sr-Latn-CS"/>
              </w:rPr>
            </w:pPr>
          </w:p>
        </w:tc>
      </w:tr>
      <w:tr w:rsidR="00E30A6E" w:rsidRPr="008B7A1C" w14:paraId="2D40C0D4" w14:textId="77777777" w:rsidTr="132F34F1">
        <w:trPr>
          <w:trHeight w:val="300"/>
        </w:trPr>
        <w:tc>
          <w:tcPr>
            <w:tcW w:w="2235" w:type="dxa"/>
            <w:hideMark/>
          </w:tcPr>
          <w:p w14:paraId="6265CEF5" w14:textId="77777777" w:rsidR="00E30A6E" w:rsidRPr="008B7A1C" w:rsidRDefault="132F34F1" w:rsidP="132F34F1">
            <w:pPr>
              <w:rPr>
                <w:sz w:val="20"/>
                <w:szCs w:val="20"/>
                <w:lang w:val="sr-Latn-CS"/>
              </w:rPr>
            </w:pPr>
            <w:r w:rsidRPr="132F34F1">
              <w:rPr>
                <w:sz w:val="20"/>
                <w:szCs w:val="20"/>
                <w:lang w:val="sr-Latn-CS"/>
              </w:rPr>
              <w:t>Korišćenje elektronske identifikacije (%)</w:t>
            </w:r>
          </w:p>
        </w:tc>
        <w:tc>
          <w:tcPr>
            <w:tcW w:w="1365" w:type="dxa"/>
            <w:hideMark/>
          </w:tcPr>
          <w:p w14:paraId="76C177B3" w14:textId="77777777" w:rsidR="00E30A6E" w:rsidRPr="008B7A1C" w:rsidRDefault="132F34F1" w:rsidP="132F34F1">
            <w:pPr>
              <w:rPr>
                <w:sz w:val="20"/>
                <w:szCs w:val="20"/>
                <w:lang w:val="sr-Latn-CS"/>
              </w:rPr>
            </w:pPr>
            <w:r w:rsidRPr="132F34F1">
              <w:rPr>
                <w:sz w:val="20"/>
                <w:szCs w:val="20"/>
                <w:lang w:val="sr-Latn-CS"/>
              </w:rPr>
              <w:t>52.00</w:t>
            </w:r>
          </w:p>
        </w:tc>
        <w:tc>
          <w:tcPr>
            <w:tcW w:w="1410" w:type="dxa"/>
            <w:hideMark/>
          </w:tcPr>
          <w:p w14:paraId="771A010A" w14:textId="6E050111" w:rsidR="00E30A6E" w:rsidRPr="008B7A1C" w:rsidRDefault="00183EC1" w:rsidP="132F34F1">
            <w:pPr>
              <w:rPr>
                <w:sz w:val="20"/>
                <w:szCs w:val="20"/>
                <w:lang w:val="sr-Latn-CS"/>
              </w:rPr>
            </w:pPr>
            <w:r>
              <w:rPr>
                <w:sz w:val="20"/>
                <w:szCs w:val="20"/>
                <w:lang w:val="sr-Latn-CS"/>
              </w:rPr>
              <w:t>12.60</w:t>
            </w:r>
          </w:p>
        </w:tc>
        <w:tc>
          <w:tcPr>
            <w:tcW w:w="1080" w:type="dxa"/>
            <w:hideMark/>
          </w:tcPr>
          <w:p w14:paraId="3BA6D5F1" w14:textId="46DF9ED9" w:rsidR="00E30A6E" w:rsidRPr="008B7A1C" w:rsidRDefault="00183EC1" w:rsidP="132F34F1">
            <w:pPr>
              <w:rPr>
                <w:sz w:val="20"/>
                <w:szCs w:val="20"/>
                <w:lang w:val="sr-Latn-CS"/>
              </w:rPr>
            </w:pPr>
            <w:r>
              <w:rPr>
                <w:sz w:val="20"/>
                <w:szCs w:val="20"/>
                <w:lang w:val="sr-Latn-CS"/>
              </w:rPr>
              <w:t>2025</w:t>
            </w:r>
          </w:p>
        </w:tc>
        <w:tc>
          <w:tcPr>
            <w:tcW w:w="3106" w:type="dxa"/>
            <w:hideMark/>
          </w:tcPr>
          <w:p w14:paraId="0A6A5B64" w14:textId="77777777" w:rsidR="00E30A6E" w:rsidRPr="008B7A1C" w:rsidRDefault="132F34F1" w:rsidP="132F34F1">
            <w:pPr>
              <w:rPr>
                <w:sz w:val="20"/>
                <w:szCs w:val="20"/>
                <w:lang w:val="sr-Latn-CS"/>
              </w:rPr>
            </w:pPr>
            <w:r w:rsidRPr="132F34F1">
              <w:rPr>
                <w:sz w:val="20"/>
                <w:szCs w:val="20"/>
                <w:lang w:val="sr-Latn-CS"/>
              </w:rPr>
              <w:t>Eurostat (isoc_eid_ieid)</w:t>
            </w:r>
          </w:p>
        </w:tc>
      </w:tr>
    </w:tbl>
    <w:p w14:paraId="5DD56167" w14:textId="77777777" w:rsidR="00891406" w:rsidRPr="000065DA" w:rsidRDefault="00891406" w:rsidP="00E4430A">
      <w:pPr>
        <w:rPr>
          <w:lang w:val="sr-Latn-CS"/>
        </w:rPr>
      </w:pPr>
    </w:p>
    <w:p w14:paraId="55AE590B" w14:textId="77777777" w:rsidR="0021066E" w:rsidRPr="000065DA" w:rsidRDefault="0021066E" w:rsidP="0021066E">
      <w:pPr>
        <w:pStyle w:val="Naslov2"/>
        <w:rPr>
          <w:lang w:val="sr-Latn-CS"/>
        </w:rPr>
      </w:pPr>
      <w:r w:rsidRPr="000065DA">
        <w:rPr>
          <w:lang w:val="sr-Latn-CS"/>
        </w:rPr>
        <w:t>Tematske cjeline</w:t>
      </w:r>
    </w:p>
    <w:tbl>
      <w:tblPr>
        <w:tblStyle w:val="Reetkatablice"/>
        <w:tblW w:w="0" w:type="auto"/>
        <w:tblLook w:val="04A0" w:firstRow="1" w:lastRow="0" w:firstColumn="1" w:lastColumn="0" w:noHBand="0" w:noVBand="1"/>
      </w:tblPr>
      <w:tblGrid>
        <w:gridCol w:w="3020"/>
        <w:gridCol w:w="4625"/>
      </w:tblGrid>
      <w:tr w:rsidR="001103DA" w:rsidRPr="000065DA" w14:paraId="4B4FD3E9" w14:textId="77777777" w:rsidTr="132F34F1">
        <w:tc>
          <w:tcPr>
            <w:tcW w:w="3020" w:type="dxa"/>
          </w:tcPr>
          <w:p w14:paraId="7A00D1A1" w14:textId="538B22B2" w:rsidR="001103DA" w:rsidRPr="000065DA" w:rsidRDefault="001103DA" w:rsidP="001103DA">
            <w:pPr>
              <w:rPr>
                <w:lang w:val="sr-Latn-CS"/>
              </w:rPr>
            </w:pPr>
            <w:r w:rsidRPr="000065DA">
              <w:rPr>
                <w:lang w:val="sr-Latn-CS"/>
              </w:rPr>
              <w:t>Kod tematske cjeline</w:t>
            </w:r>
          </w:p>
        </w:tc>
        <w:tc>
          <w:tcPr>
            <w:tcW w:w="4625" w:type="dxa"/>
          </w:tcPr>
          <w:p w14:paraId="0C76F98A" w14:textId="08D39735" w:rsidR="001103DA" w:rsidRPr="000065DA" w:rsidRDefault="001103DA" w:rsidP="001103DA">
            <w:pPr>
              <w:rPr>
                <w:lang w:val="sr-Latn-CS"/>
              </w:rPr>
            </w:pPr>
            <w:r w:rsidRPr="000065DA">
              <w:rPr>
                <w:lang w:val="sr-Latn-CS"/>
              </w:rPr>
              <w:t>Naziv tematske cjeline</w:t>
            </w:r>
          </w:p>
        </w:tc>
      </w:tr>
      <w:tr w:rsidR="001103DA" w:rsidRPr="00183EC1" w14:paraId="6A3F0558" w14:textId="77777777" w:rsidTr="132F34F1">
        <w:tc>
          <w:tcPr>
            <w:tcW w:w="3020" w:type="dxa"/>
          </w:tcPr>
          <w:p w14:paraId="50817500" w14:textId="613ACD69" w:rsidR="001103DA" w:rsidRPr="000065DA" w:rsidRDefault="132F34F1" w:rsidP="001103DA">
            <w:pPr>
              <w:rPr>
                <w:lang w:val="sr-Latn-CS"/>
              </w:rPr>
            </w:pPr>
            <w:r w:rsidRPr="132F34F1">
              <w:rPr>
                <w:lang w:val="sr-Latn-CS"/>
              </w:rPr>
              <w:t>[PA2]-5.1</w:t>
            </w:r>
          </w:p>
        </w:tc>
        <w:tc>
          <w:tcPr>
            <w:tcW w:w="4625" w:type="dxa"/>
          </w:tcPr>
          <w:p w14:paraId="1172554C" w14:textId="14D23031" w:rsidR="001103DA" w:rsidRPr="000065DA" w:rsidRDefault="001103DA" w:rsidP="001103DA">
            <w:pPr>
              <w:rPr>
                <w:lang w:val="sr-Latn-CS"/>
              </w:rPr>
            </w:pPr>
            <w:r w:rsidRPr="000065DA">
              <w:rPr>
                <w:lang w:val="sr-Latn-CS"/>
              </w:rPr>
              <w:t>Digitalne vještine i inkluzivno digitalno društvo</w:t>
            </w:r>
          </w:p>
        </w:tc>
      </w:tr>
      <w:tr w:rsidR="001103DA" w:rsidRPr="000065DA" w14:paraId="651EB7EB" w14:textId="77777777" w:rsidTr="132F34F1">
        <w:tc>
          <w:tcPr>
            <w:tcW w:w="3020" w:type="dxa"/>
          </w:tcPr>
          <w:p w14:paraId="0EBCFEC7" w14:textId="474DBBA4" w:rsidR="001103DA" w:rsidRPr="000065DA" w:rsidRDefault="132F34F1" w:rsidP="001103DA">
            <w:pPr>
              <w:rPr>
                <w:lang w:val="sr-Latn-CS"/>
              </w:rPr>
            </w:pPr>
            <w:r w:rsidRPr="132F34F1">
              <w:rPr>
                <w:lang w:val="sr-Latn-CS"/>
              </w:rPr>
              <w:t>[PA2]-5.2</w:t>
            </w:r>
          </w:p>
        </w:tc>
        <w:tc>
          <w:tcPr>
            <w:tcW w:w="4625" w:type="dxa"/>
          </w:tcPr>
          <w:p w14:paraId="0386CACC" w14:textId="16E02C58" w:rsidR="001103DA" w:rsidRPr="000065DA" w:rsidRDefault="132F34F1" w:rsidP="132F34F1">
            <w:pPr>
              <w:rPr>
                <w:rFonts w:ascii="Aptos" w:eastAsia="Aptos" w:hAnsi="Aptos" w:cs="Aptos"/>
                <w:lang w:val="sr-Latn-CS"/>
              </w:rPr>
            </w:pPr>
            <w:r w:rsidRPr="132F34F1">
              <w:rPr>
                <w:rFonts w:ascii="Aptos" w:eastAsia="Aptos" w:hAnsi="Aptos" w:cs="Aptos"/>
                <w:lang w:val="sr"/>
              </w:rPr>
              <w:t xml:space="preserve">Digitalna infrastruktura i povezanost </w:t>
            </w:r>
            <w:r w:rsidRPr="132F34F1">
              <w:rPr>
                <w:rFonts w:ascii="Aptos" w:eastAsia="Aptos" w:hAnsi="Aptos" w:cs="Aptos"/>
                <w:lang w:val="sr-Latn-CS"/>
              </w:rPr>
              <w:t xml:space="preserve"> </w:t>
            </w:r>
          </w:p>
        </w:tc>
      </w:tr>
      <w:tr w:rsidR="001103DA" w:rsidRPr="008710AA" w14:paraId="0ACF3CA9" w14:textId="77777777" w:rsidTr="132F34F1">
        <w:trPr>
          <w:trHeight w:val="600"/>
        </w:trPr>
        <w:tc>
          <w:tcPr>
            <w:tcW w:w="3020" w:type="dxa"/>
          </w:tcPr>
          <w:p w14:paraId="449A189F" w14:textId="393359E9" w:rsidR="132F34F1" w:rsidRDefault="132F34F1" w:rsidP="132F34F1">
            <w:pPr>
              <w:rPr>
                <w:lang w:val="sr-Latn-CS"/>
              </w:rPr>
            </w:pPr>
            <w:r w:rsidRPr="132F34F1">
              <w:rPr>
                <w:lang w:val="sr-Latn-CS"/>
              </w:rPr>
              <w:t>[PA2]-5.3</w:t>
            </w:r>
          </w:p>
        </w:tc>
        <w:tc>
          <w:tcPr>
            <w:tcW w:w="4625" w:type="dxa"/>
          </w:tcPr>
          <w:p w14:paraId="115AD5DE" w14:textId="053917EE" w:rsidR="132F34F1" w:rsidRDefault="132F34F1" w:rsidP="132F34F1">
            <w:pPr>
              <w:rPr>
                <w:lang w:val="sr-Latn-CS"/>
              </w:rPr>
            </w:pPr>
            <w:r w:rsidRPr="132F34F1">
              <w:rPr>
                <w:lang w:val="sr-Latn-CS"/>
              </w:rPr>
              <w:t>Digitalna transformacija privrede i inovacije</w:t>
            </w:r>
          </w:p>
        </w:tc>
      </w:tr>
      <w:tr w:rsidR="001103DA" w:rsidRPr="00183EC1" w14:paraId="0A0B02C9" w14:textId="77777777" w:rsidTr="132F34F1">
        <w:tc>
          <w:tcPr>
            <w:tcW w:w="3020" w:type="dxa"/>
          </w:tcPr>
          <w:p w14:paraId="190C8130" w14:textId="2BCEF86A" w:rsidR="001103DA" w:rsidRPr="000065DA" w:rsidRDefault="132F34F1" w:rsidP="001103DA">
            <w:pPr>
              <w:rPr>
                <w:lang w:val="sr-Latn-CS"/>
              </w:rPr>
            </w:pPr>
            <w:r w:rsidRPr="132F34F1">
              <w:rPr>
                <w:lang w:val="sr-Latn-CS"/>
              </w:rPr>
              <w:t>[PA2]-5.4</w:t>
            </w:r>
          </w:p>
        </w:tc>
        <w:tc>
          <w:tcPr>
            <w:tcW w:w="4625" w:type="dxa"/>
          </w:tcPr>
          <w:p w14:paraId="0FC4C01E" w14:textId="37FA69DE" w:rsidR="001103DA" w:rsidRPr="000065DA" w:rsidRDefault="001103DA" w:rsidP="001103DA">
            <w:pPr>
              <w:rPr>
                <w:lang w:val="sr-Latn-CS"/>
              </w:rPr>
            </w:pPr>
            <w:r w:rsidRPr="000065DA">
              <w:rPr>
                <w:lang w:val="sr-Latn-CS"/>
              </w:rPr>
              <w:t xml:space="preserve">Digitalna uprava i javne usluge </w:t>
            </w:r>
          </w:p>
        </w:tc>
      </w:tr>
      <w:tr w:rsidR="001103DA" w:rsidRPr="00183EC1" w14:paraId="06C4BFC8" w14:textId="77777777" w:rsidTr="132F34F1">
        <w:tc>
          <w:tcPr>
            <w:tcW w:w="3020" w:type="dxa"/>
          </w:tcPr>
          <w:p w14:paraId="053FCB18" w14:textId="204B30B4" w:rsidR="001103DA" w:rsidRPr="000065DA" w:rsidRDefault="132F34F1" w:rsidP="001103DA">
            <w:pPr>
              <w:rPr>
                <w:lang w:val="sr-Latn-CS"/>
              </w:rPr>
            </w:pPr>
            <w:r w:rsidRPr="132F34F1">
              <w:rPr>
                <w:lang w:val="sr-Latn-CS"/>
              </w:rPr>
              <w:t>[PA2]-5.5</w:t>
            </w:r>
          </w:p>
        </w:tc>
        <w:tc>
          <w:tcPr>
            <w:tcW w:w="4625" w:type="dxa"/>
          </w:tcPr>
          <w:p w14:paraId="7B5F0160" w14:textId="5AF843AD" w:rsidR="001103DA" w:rsidRPr="000065DA" w:rsidRDefault="001103DA" w:rsidP="001103DA">
            <w:pPr>
              <w:rPr>
                <w:lang w:val="sr-Latn-CS"/>
              </w:rPr>
            </w:pPr>
            <w:r w:rsidRPr="000065DA">
              <w:rPr>
                <w:lang w:val="sr-Latn-CS"/>
              </w:rPr>
              <w:t>Regulatorni okvir i digitalno tržište (uključujući digitalne finansije)</w:t>
            </w:r>
          </w:p>
        </w:tc>
      </w:tr>
      <w:tr w:rsidR="001103DA" w:rsidRPr="00183EC1" w14:paraId="6B0828D6" w14:textId="77777777" w:rsidTr="132F34F1">
        <w:tc>
          <w:tcPr>
            <w:tcW w:w="3020" w:type="dxa"/>
          </w:tcPr>
          <w:p w14:paraId="45B48804" w14:textId="790F6B77" w:rsidR="001103DA" w:rsidRPr="000065DA" w:rsidRDefault="132F34F1" w:rsidP="001103DA">
            <w:pPr>
              <w:rPr>
                <w:lang w:val="sr-Latn-CS"/>
              </w:rPr>
            </w:pPr>
            <w:r w:rsidRPr="132F34F1">
              <w:rPr>
                <w:lang w:val="sr-Latn-CS"/>
              </w:rPr>
              <w:t>[PA2]-5.6</w:t>
            </w:r>
          </w:p>
        </w:tc>
        <w:tc>
          <w:tcPr>
            <w:tcW w:w="4625" w:type="dxa"/>
          </w:tcPr>
          <w:p w14:paraId="39D2E782" w14:textId="6112152E" w:rsidR="001103DA" w:rsidRPr="000065DA" w:rsidRDefault="001103DA" w:rsidP="001103DA">
            <w:pPr>
              <w:rPr>
                <w:lang w:val="sr-Latn-CS"/>
              </w:rPr>
            </w:pPr>
            <w:r w:rsidRPr="000065DA">
              <w:rPr>
                <w:lang w:val="sr-Latn-CS"/>
              </w:rPr>
              <w:t>Sajber bezbjednost, povjerenje i zaštita podataka</w:t>
            </w:r>
          </w:p>
        </w:tc>
      </w:tr>
    </w:tbl>
    <w:p w14:paraId="6D146C88" w14:textId="77777777" w:rsidR="004D7B74" w:rsidRPr="000065DA" w:rsidRDefault="004D7B74" w:rsidP="004D7B74">
      <w:pPr>
        <w:rPr>
          <w:b/>
          <w:bCs/>
          <w:lang w:val="sr-Latn-CS"/>
        </w:rPr>
      </w:pPr>
    </w:p>
    <w:p w14:paraId="4F6ED63A" w14:textId="25D62367" w:rsidR="576B6BB7" w:rsidRDefault="576B6BB7" w:rsidP="576B6BB7">
      <w:pPr>
        <w:pStyle w:val="Naslov3"/>
        <w:numPr>
          <w:ilvl w:val="0"/>
          <w:numId w:val="0"/>
        </w:numPr>
        <w:spacing w:before="281" w:after="281"/>
        <w:rPr>
          <w:rFonts w:ascii="Aptos" w:eastAsia="Aptos" w:hAnsi="Aptos" w:cs="Aptos"/>
          <w:color w:val="auto"/>
          <w:sz w:val="24"/>
          <w:szCs w:val="24"/>
          <w:lang w:val="sr-Latn-CS"/>
        </w:rPr>
      </w:pPr>
      <w:r w:rsidRPr="576B6BB7">
        <w:rPr>
          <w:rFonts w:ascii="Aptos" w:eastAsia="Aptos" w:hAnsi="Aptos" w:cs="Aptos"/>
          <w:b/>
          <w:bCs/>
          <w:color w:val="auto"/>
          <w:sz w:val="24"/>
          <w:szCs w:val="24"/>
          <w:lang w:val="sr-Latn-CS"/>
        </w:rPr>
        <w:t xml:space="preserve">[PA2]-5.1 Digitalne vještine i inkluzivno digitalno društvo </w:t>
      </w:r>
      <w:r w:rsidRPr="576B6BB7">
        <w:rPr>
          <w:color w:val="auto"/>
          <w:sz w:val="24"/>
          <w:szCs w:val="24"/>
          <w:lang w:val="sr-Latn-CS"/>
        </w:rPr>
        <w:t>Obuhvata razvoj digitalnih kompetencija stanovništva, uključujući osnovne i napredne digitalne vještine, kao i mjere za smanjenje digitalnog jaza između različitih društvenih grupa i teritorija. Uključuje i razvoj digitalnih vještina kroz formalno obrazovanje, neformalno učenje i cjeloživotno obrazovanje. Predstavlja osnovu za korišćenje digitalnih tehnologija u privredi, javnom sektoru i svakodnevnom životu.</w:t>
      </w:r>
    </w:p>
    <w:p w14:paraId="7B8A8865" w14:textId="30219531" w:rsidR="576B6BB7" w:rsidRDefault="576B6BB7" w:rsidP="576B6BB7">
      <w:pPr>
        <w:pStyle w:val="Naslov3"/>
        <w:numPr>
          <w:ilvl w:val="0"/>
          <w:numId w:val="0"/>
        </w:numPr>
        <w:spacing w:before="281" w:after="281"/>
        <w:rPr>
          <w:color w:val="auto"/>
          <w:sz w:val="24"/>
          <w:szCs w:val="24"/>
          <w:lang w:val="sr-Latn-CS"/>
        </w:rPr>
      </w:pPr>
      <w:r w:rsidRPr="576B6BB7">
        <w:rPr>
          <w:rFonts w:ascii="Aptos" w:eastAsia="Aptos" w:hAnsi="Aptos" w:cs="Aptos"/>
          <w:b/>
          <w:bCs/>
          <w:color w:val="auto"/>
          <w:sz w:val="24"/>
          <w:szCs w:val="24"/>
          <w:lang w:val="sr-Latn-CS"/>
        </w:rPr>
        <w:t xml:space="preserve">[PA2]-5.2 Digitalna infrastruktura i povezanost </w:t>
      </w:r>
      <w:r w:rsidRPr="576B6BB7">
        <w:rPr>
          <w:color w:val="auto"/>
          <w:sz w:val="24"/>
          <w:szCs w:val="24"/>
          <w:lang w:val="sr-Latn-CS"/>
        </w:rPr>
        <w:t>obuhvata razvoj elektronskih komunikacionih mreža, uključujući širokopojasnu i mobilnu infrastrukturu (npr. 5G), kao i unapređenje dostupnosti i kvaliteta digitalne povezanosti. Uključuje i modernizaciju mreža, upravljanje spektrom i stvaranje uslova za uvođenje mreža vrlo velikog kapaciteta, kao ključnog preduslova za digitalnu transformaciju.</w:t>
      </w:r>
    </w:p>
    <w:p w14:paraId="107372FE" w14:textId="0A43A640" w:rsidR="132F34F1" w:rsidRDefault="576B6BB7" w:rsidP="576B6BB7">
      <w:pPr>
        <w:spacing w:before="281" w:after="281"/>
        <w:rPr>
          <w:rFonts w:ascii="Aptos" w:eastAsia="Aptos" w:hAnsi="Aptos" w:cs="Aptos"/>
          <w:lang w:val="sr-Latn-CS"/>
        </w:rPr>
      </w:pPr>
      <w:r w:rsidRPr="576B6BB7">
        <w:rPr>
          <w:rFonts w:ascii="Aptos" w:eastAsia="Aptos" w:hAnsi="Aptos" w:cs="Aptos"/>
          <w:b/>
          <w:bCs/>
          <w:lang w:val="sr-Latn-CS"/>
        </w:rPr>
        <w:t xml:space="preserve">[PA2]-5.3 Digitalna transformacija privrede i inovacije </w:t>
      </w:r>
      <w:r w:rsidRPr="576B6BB7">
        <w:rPr>
          <w:rFonts w:ascii="Aptos" w:eastAsia="Aptos" w:hAnsi="Aptos" w:cs="Aptos"/>
          <w:lang w:val="sr-Latn-CS"/>
        </w:rPr>
        <w:t>o</w:t>
      </w:r>
      <w:r w:rsidRPr="576B6BB7">
        <w:rPr>
          <w:lang w:val="sr-Latn-CS"/>
        </w:rPr>
        <w:t>buhvata digitalizaciju poslovanja i razvoj digitalnih poslovnih modela, uključujući primjenu digitalnih rješenja, platformi i aplikacija u preduzećima. Uključuje i razvoj i primjenu naprednih tehnologija (AI, podaci, cloud), kao i jačanje inovacionog ekosistema, saradnje između nauke i privrede i komercijalizacije inovacija.</w:t>
      </w:r>
    </w:p>
    <w:p w14:paraId="2A438011" w14:textId="6A81ED54" w:rsidR="576B6BB7" w:rsidRDefault="576B6BB7" w:rsidP="576B6BB7">
      <w:pPr>
        <w:pStyle w:val="Naslov3"/>
        <w:numPr>
          <w:ilvl w:val="0"/>
          <w:numId w:val="0"/>
        </w:numPr>
        <w:spacing w:before="281" w:after="281"/>
        <w:rPr>
          <w:lang w:val="sr-Latn-CS"/>
        </w:rPr>
      </w:pPr>
      <w:r w:rsidRPr="576B6BB7">
        <w:rPr>
          <w:rFonts w:ascii="Aptos" w:eastAsia="Aptos" w:hAnsi="Aptos" w:cs="Aptos"/>
          <w:b/>
          <w:bCs/>
          <w:color w:val="auto"/>
          <w:sz w:val="24"/>
          <w:szCs w:val="24"/>
          <w:lang w:val="sr-Latn-CS"/>
        </w:rPr>
        <w:lastRenderedPageBreak/>
        <w:t xml:space="preserve">[PA2]-5.4 Digitalna uprava i javne usluge </w:t>
      </w:r>
      <w:r w:rsidRPr="576B6BB7">
        <w:rPr>
          <w:rFonts w:eastAsiaTheme="minorEastAsia" w:cstheme="minorBidi"/>
          <w:color w:val="auto"/>
          <w:sz w:val="24"/>
          <w:szCs w:val="24"/>
          <w:lang w:val="sr-Latn-CS"/>
        </w:rPr>
        <w:t>obuhvata razvoj e-uprave, digitalizaciju administrativnih procesa i unapređenje interoperabilnosti informacionih sistema. Uključuje i razvoj korisnički orijentisanih digitalnih javnih usluga, razmjenu podataka između institucija i unapređenje efikasnosti i transparentnosti javne uprave.</w:t>
      </w:r>
    </w:p>
    <w:p w14:paraId="308BA66A" w14:textId="5C8E9662" w:rsidR="576B6BB7" w:rsidRDefault="576B6BB7" w:rsidP="576B6BB7">
      <w:pPr>
        <w:pStyle w:val="Naslov3"/>
        <w:numPr>
          <w:ilvl w:val="0"/>
          <w:numId w:val="0"/>
        </w:numPr>
        <w:spacing w:before="281" w:after="281"/>
        <w:rPr>
          <w:rFonts w:eastAsiaTheme="minorEastAsia" w:cstheme="minorBidi"/>
          <w:color w:val="auto"/>
          <w:sz w:val="24"/>
          <w:szCs w:val="24"/>
          <w:lang w:val="sr-Latn-CS"/>
        </w:rPr>
      </w:pPr>
      <w:r w:rsidRPr="576B6BB7">
        <w:rPr>
          <w:rFonts w:ascii="Aptos" w:eastAsia="Aptos" w:hAnsi="Aptos" w:cs="Aptos"/>
          <w:b/>
          <w:bCs/>
          <w:color w:val="auto"/>
          <w:sz w:val="24"/>
          <w:szCs w:val="24"/>
          <w:lang w:val="sr-Latn-CS"/>
        </w:rPr>
        <w:t xml:space="preserve">[PA2]-5.5 Regulatorni okvir i digitalno tržište </w:t>
      </w:r>
      <w:r w:rsidRPr="576B6BB7">
        <w:rPr>
          <w:rFonts w:eastAsiaTheme="minorEastAsia" w:cstheme="minorBidi"/>
          <w:color w:val="auto"/>
          <w:sz w:val="24"/>
          <w:szCs w:val="24"/>
          <w:lang w:val="sr-Latn-CS"/>
        </w:rPr>
        <w:t>obuhvata razvoj i usklađivanje zakonodavstva sa pravnom tekovinom Evropske unije, kao i unapređenje regulatornog okvira za digitalne usluge, infrastrukturu i tržišta. Uključuje i razvoj digitalnih finansija, konkurentnog digitalnog tržišta i uslova za poslovanje u digitalnoj ekonomiji.</w:t>
      </w:r>
    </w:p>
    <w:p w14:paraId="341358FD" w14:textId="6A0CE685" w:rsidR="132F34F1" w:rsidRDefault="576B6BB7" w:rsidP="576B6BB7">
      <w:pPr>
        <w:pStyle w:val="Naslov3"/>
        <w:numPr>
          <w:ilvl w:val="0"/>
          <w:numId w:val="0"/>
        </w:numPr>
        <w:spacing w:before="240" w:after="240"/>
        <w:rPr>
          <w:rFonts w:eastAsiaTheme="minorEastAsia" w:cstheme="minorBidi"/>
          <w:color w:val="auto"/>
          <w:sz w:val="24"/>
          <w:szCs w:val="24"/>
          <w:lang w:val="sr-Latn-CS"/>
        </w:rPr>
      </w:pPr>
      <w:r w:rsidRPr="576B6BB7">
        <w:rPr>
          <w:rFonts w:ascii="Aptos" w:eastAsia="Aptos" w:hAnsi="Aptos" w:cs="Aptos"/>
          <w:b/>
          <w:bCs/>
          <w:color w:val="auto"/>
          <w:sz w:val="24"/>
          <w:szCs w:val="24"/>
          <w:lang w:val="sr-Latn-CS"/>
        </w:rPr>
        <w:t xml:space="preserve">[PA2]-5.6 Sajber bezbjednost, povjerenje i zaštita podataka </w:t>
      </w:r>
      <w:r w:rsidRPr="576B6BB7">
        <w:rPr>
          <w:rFonts w:eastAsiaTheme="minorEastAsia" w:cstheme="minorBidi"/>
          <w:color w:val="auto"/>
          <w:sz w:val="24"/>
          <w:szCs w:val="24"/>
          <w:lang w:val="sr-Latn-CS"/>
        </w:rPr>
        <w:t>obuhvata zaštitu digitalnih sistema, mreža i podataka, uključujući mjere za upravljanje rizicima i jačanje sajber otpornosti. Uključuje i zaštitu podataka o ličnosti, sigurnost digitalnih usluga i izgradnju povjerenja korisnika u digitalno okruženje kao ključni preduslov za razvoj digitalne ekonomije.</w:t>
      </w:r>
    </w:p>
    <w:p w14:paraId="3777CC6E" w14:textId="12880EAA" w:rsidR="00F579F5" w:rsidRPr="000065DA" w:rsidRDefault="132F34F1" w:rsidP="0021066E">
      <w:pPr>
        <w:pStyle w:val="Naslov2"/>
        <w:rPr>
          <w:lang w:val="sr-Latn-CS"/>
        </w:rPr>
      </w:pPr>
      <w:r w:rsidRPr="132F34F1">
        <w:rPr>
          <w:lang w:val="sr-Latn-CS"/>
        </w:rPr>
        <w:t>Indikativna lista razvojnih izazova</w:t>
      </w: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A0" w:firstRow="1" w:lastRow="0" w:firstColumn="1" w:lastColumn="0" w:noHBand="1" w:noVBand="1"/>
      </w:tblPr>
      <w:tblGrid>
        <w:gridCol w:w="2385"/>
        <w:gridCol w:w="2430"/>
        <w:gridCol w:w="4245"/>
      </w:tblGrid>
      <w:tr w:rsidR="132F34F1" w14:paraId="5B92A572" w14:textId="77777777" w:rsidTr="132F34F1">
        <w:trPr>
          <w:trHeight w:val="300"/>
        </w:trPr>
        <w:tc>
          <w:tcPr>
            <w:tcW w:w="2385" w:type="dxa"/>
            <w:vAlign w:val="center"/>
          </w:tcPr>
          <w:p w14:paraId="01617165" w14:textId="4ABBFFF3" w:rsidR="132F34F1" w:rsidRDefault="132F34F1" w:rsidP="132F34F1">
            <w:pPr>
              <w:spacing w:after="0"/>
              <w:rPr>
                <w:b/>
                <w:bCs/>
                <w:sz w:val="20"/>
                <w:szCs w:val="20"/>
              </w:rPr>
            </w:pPr>
            <w:r w:rsidRPr="132F34F1">
              <w:rPr>
                <w:b/>
                <w:bCs/>
                <w:sz w:val="20"/>
                <w:szCs w:val="20"/>
              </w:rPr>
              <w:t>Kod razvojnog izazova</w:t>
            </w:r>
          </w:p>
        </w:tc>
        <w:tc>
          <w:tcPr>
            <w:tcW w:w="2430" w:type="dxa"/>
            <w:vAlign w:val="center"/>
          </w:tcPr>
          <w:p w14:paraId="6DD26188" w14:textId="2E457B81" w:rsidR="132F34F1" w:rsidRDefault="132F34F1" w:rsidP="132F34F1">
            <w:pPr>
              <w:spacing w:after="0"/>
              <w:rPr>
                <w:b/>
                <w:bCs/>
                <w:sz w:val="20"/>
                <w:szCs w:val="20"/>
              </w:rPr>
            </w:pPr>
            <w:r w:rsidRPr="132F34F1">
              <w:rPr>
                <w:b/>
                <w:bCs/>
                <w:sz w:val="20"/>
                <w:szCs w:val="20"/>
              </w:rPr>
              <w:t>Naziv razvojnog izazova</w:t>
            </w:r>
          </w:p>
        </w:tc>
        <w:tc>
          <w:tcPr>
            <w:tcW w:w="4245" w:type="dxa"/>
            <w:vAlign w:val="center"/>
          </w:tcPr>
          <w:p w14:paraId="2A540F73" w14:textId="73884D69" w:rsidR="132F34F1" w:rsidRDefault="132F34F1" w:rsidP="132F34F1">
            <w:pPr>
              <w:spacing w:after="0"/>
              <w:rPr>
                <w:b/>
                <w:bCs/>
                <w:sz w:val="20"/>
                <w:szCs w:val="20"/>
              </w:rPr>
            </w:pPr>
            <w:r w:rsidRPr="132F34F1">
              <w:rPr>
                <w:b/>
                <w:bCs/>
                <w:sz w:val="20"/>
                <w:szCs w:val="20"/>
              </w:rPr>
              <w:t>Obrazloženje</w:t>
            </w:r>
          </w:p>
        </w:tc>
      </w:tr>
      <w:tr w:rsidR="132F34F1" w:rsidRPr="008710AA" w14:paraId="6FF69749" w14:textId="77777777" w:rsidTr="132F34F1">
        <w:trPr>
          <w:trHeight w:val="300"/>
        </w:trPr>
        <w:tc>
          <w:tcPr>
            <w:tcW w:w="2385" w:type="dxa"/>
            <w:vAlign w:val="center"/>
          </w:tcPr>
          <w:p w14:paraId="3905357E" w14:textId="1C295FCB" w:rsidR="132F34F1" w:rsidRDefault="132F34F1" w:rsidP="132F34F1">
            <w:pPr>
              <w:spacing w:after="0"/>
              <w:rPr>
                <w:sz w:val="20"/>
                <w:szCs w:val="20"/>
              </w:rPr>
            </w:pPr>
            <w:r w:rsidRPr="132F34F1">
              <w:rPr>
                <w:sz w:val="20"/>
                <w:szCs w:val="20"/>
              </w:rPr>
              <w:t>[PA2]-5.1.1</w:t>
            </w:r>
          </w:p>
        </w:tc>
        <w:tc>
          <w:tcPr>
            <w:tcW w:w="2430" w:type="dxa"/>
            <w:vAlign w:val="center"/>
          </w:tcPr>
          <w:p w14:paraId="757FEB65" w14:textId="2AFF5581" w:rsidR="132F34F1" w:rsidRPr="00183EC1" w:rsidRDefault="132F34F1" w:rsidP="132F34F1">
            <w:pPr>
              <w:spacing w:after="0"/>
              <w:rPr>
                <w:sz w:val="20"/>
                <w:szCs w:val="20"/>
                <w:lang w:val="pt-BR"/>
              </w:rPr>
            </w:pPr>
            <w:r w:rsidRPr="00183EC1">
              <w:rPr>
                <w:sz w:val="20"/>
                <w:szCs w:val="20"/>
                <w:lang w:val="pt-BR"/>
              </w:rPr>
              <w:t>Nizak nivo digitalnih vještina i digitalne inkluzije</w:t>
            </w:r>
          </w:p>
        </w:tc>
        <w:tc>
          <w:tcPr>
            <w:tcW w:w="4245" w:type="dxa"/>
            <w:vAlign w:val="center"/>
          </w:tcPr>
          <w:p w14:paraId="6641BC64" w14:textId="65094BDE" w:rsidR="132F34F1" w:rsidRPr="00183EC1" w:rsidRDefault="132F34F1" w:rsidP="132F34F1">
            <w:pPr>
              <w:spacing w:after="0"/>
              <w:rPr>
                <w:sz w:val="20"/>
                <w:szCs w:val="20"/>
                <w:lang w:val="pt-BR"/>
              </w:rPr>
            </w:pPr>
            <w:r w:rsidRPr="00183EC1">
              <w:rPr>
                <w:sz w:val="20"/>
                <w:szCs w:val="20"/>
                <w:lang w:val="pt-BR"/>
              </w:rPr>
              <w:t>Digitalne kompetencije stanovništva nijesu na potrebnom nivou, uz izražene razlike između teritorija i društvenih grupa.</w:t>
            </w:r>
          </w:p>
        </w:tc>
      </w:tr>
      <w:tr w:rsidR="132F34F1" w14:paraId="201C3F29" w14:textId="77777777" w:rsidTr="132F34F1">
        <w:trPr>
          <w:trHeight w:val="300"/>
        </w:trPr>
        <w:tc>
          <w:tcPr>
            <w:tcW w:w="2385" w:type="dxa"/>
            <w:vAlign w:val="center"/>
          </w:tcPr>
          <w:p w14:paraId="4BA64C94" w14:textId="70303015" w:rsidR="132F34F1" w:rsidRDefault="132F34F1" w:rsidP="132F34F1">
            <w:pPr>
              <w:spacing w:after="0"/>
              <w:rPr>
                <w:sz w:val="20"/>
                <w:szCs w:val="20"/>
              </w:rPr>
            </w:pPr>
            <w:r w:rsidRPr="132F34F1">
              <w:rPr>
                <w:sz w:val="20"/>
                <w:szCs w:val="20"/>
              </w:rPr>
              <w:t>[PA2]-5.1.2</w:t>
            </w:r>
          </w:p>
        </w:tc>
        <w:tc>
          <w:tcPr>
            <w:tcW w:w="2430" w:type="dxa"/>
            <w:vAlign w:val="center"/>
          </w:tcPr>
          <w:p w14:paraId="5C95FDB4" w14:textId="40ADEB35" w:rsidR="132F34F1" w:rsidRDefault="132F34F1" w:rsidP="132F34F1">
            <w:pPr>
              <w:spacing w:after="0"/>
              <w:rPr>
                <w:sz w:val="20"/>
                <w:szCs w:val="20"/>
              </w:rPr>
            </w:pPr>
            <w:r w:rsidRPr="132F34F1">
              <w:rPr>
                <w:sz w:val="20"/>
                <w:szCs w:val="20"/>
              </w:rPr>
              <w:t>Strukturne slabosti digitalizacije obrazovanja</w:t>
            </w:r>
          </w:p>
        </w:tc>
        <w:tc>
          <w:tcPr>
            <w:tcW w:w="4245" w:type="dxa"/>
            <w:vAlign w:val="center"/>
          </w:tcPr>
          <w:p w14:paraId="33892589" w14:textId="5674EF22" w:rsidR="132F34F1" w:rsidRDefault="132F34F1" w:rsidP="132F34F1">
            <w:pPr>
              <w:spacing w:after="0"/>
              <w:rPr>
                <w:sz w:val="20"/>
                <w:szCs w:val="20"/>
              </w:rPr>
            </w:pPr>
            <w:r w:rsidRPr="132F34F1">
              <w:rPr>
                <w:sz w:val="20"/>
                <w:szCs w:val="20"/>
              </w:rPr>
              <w:t>Nedovoljna opremljenost škola, nedostatak digitalnih sadržaja i ograničene kompetencije nastavnog kadra ukazuju na nedovoljno razvijen digitalni obrazovni ekosistem.</w:t>
            </w:r>
          </w:p>
        </w:tc>
      </w:tr>
      <w:tr w:rsidR="132F34F1" w:rsidRPr="008710AA" w14:paraId="29667ACD" w14:textId="77777777" w:rsidTr="132F34F1">
        <w:trPr>
          <w:trHeight w:val="300"/>
        </w:trPr>
        <w:tc>
          <w:tcPr>
            <w:tcW w:w="2385" w:type="dxa"/>
            <w:vAlign w:val="center"/>
          </w:tcPr>
          <w:p w14:paraId="677603B8" w14:textId="0D4049C2" w:rsidR="132F34F1" w:rsidRDefault="132F34F1" w:rsidP="132F34F1">
            <w:pPr>
              <w:spacing w:after="0"/>
              <w:rPr>
                <w:sz w:val="20"/>
                <w:szCs w:val="20"/>
              </w:rPr>
            </w:pPr>
            <w:r w:rsidRPr="132F34F1">
              <w:rPr>
                <w:sz w:val="20"/>
                <w:szCs w:val="20"/>
              </w:rPr>
              <w:t>[PA2]-5.1.3</w:t>
            </w:r>
          </w:p>
        </w:tc>
        <w:tc>
          <w:tcPr>
            <w:tcW w:w="2430" w:type="dxa"/>
            <w:vAlign w:val="center"/>
          </w:tcPr>
          <w:p w14:paraId="17D1DD56" w14:textId="4320AE8C" w:rsidR="132F34F1" w:rsidRPr="00183EC1" w:rsidRDefault="132F34F1" w:rsidP="132F34F1">
            <w:pPr>
              <w:spacing w:after="0"/>
              <w:rPr>
                <w:sz w:val="20"/>
                <w:szCs w:val="20"/>
                <w:lang w:val="pt-BR"/>
              </w:rPr>
            </w:pPr>
            <w:r w:rsidRPr="00183EC1">
              <w:rPr>
                <w:sz w:val="20"/>
                <w:szCs w:val="20"/>
                <w:lang w:val="pt-BR"/>
              </w:rPr>
              <w:t>Nedostatak stručnog kadra za napredne digitalne tehnologije</w:t>
            </w:r>
          </w:p>
        </w:tc>
        <w:tc>
          <w:tcPr>
            <w:tcW w:w="4245" w:type="dxa"/>
            <w:vAlign w:val="center"/>
          </w:tcPr>
          <w:p w14:paraId="7726F5A1" w14:textId="11A33A8D" w:rsidR="132F34F1" w:rsidRPr="00183EC1" w:rsidRDefault="132F34F1" w:rsidP="132F34F1">
            <w:pPr>
              <w:spacing w:after="0"/>
              <w:rPr>
                <w:sz w:val="20"/>
                <w:szCs w:val="20"/>
                <w:lang w:val="pt-BR"/>
              </w:rPr>
            </w:pPr>
            <w:r w:rsidRPr="00183EC1">
              <w:rPr>
                <w:sz w:val="20"/>
                <w:szCs w:val="20"/>
                <w:lang w:val="pt-BR"/>
              </w:rPr>
              <w:t>Ograničeni ljudski kapaciteti u oblastima kao što su AI, podaci i napredne mreže usporavaju digitalnu transformaciju.</w:t>
            </w:r>
          </w:p>
        </w:tc>
      </w:tr>
      <w:tr w:rsidR="132F34F1" w:rsidRPr="008710AA" w14:paraId="6B1678C5" w14:textId="77777777" w:rsidTr="132F34F1">
        <w:trPr>
          <w:trHeight w:val="300"/>
        </w:trPr>
        <w:tc>
          <w:tcPr>
            <w:tcW w:w="2385" w:type="dxa"/>
            <w:vAlign w:val="center"/>
          </w:tcPr>
          <w:p w14:paraId="3CCAB1FE" w14:textId="7C24318A" w:rsidR="132F34F1" w:rsidRDefault="132F34F1" w:rsidP="132F34F1">
            <w:pPr>
              <w:spacing w:after="0"/>
              <w:rPr>
                <w:sz w:val="20"/>
                <w:szCs w:val="20"/>
              </w:rPr>
            </w:pPr>
            <w:r w:rsidRPr="132F34F1">
              <w:rPr>
                <w:sz w:val="20"/>
                <w:szCs w:val="20"/>
              </w:rPr>
              <w:t>[PA2]-5.2.1</w:t>
            </w:r>
          </w:p>
        </w:tc>
        <w:tc>
          <w:tcPr>
            <w:tcW w:w="2430" w:type="dxa"/>
            <w:vAlign w:val="center"/>
          </w:tcPr>
          <w:p w14:paraId="58FE5552" w14:textId="212A7371" w:rsidR="132F34F1" w:rsidRPr="00183EC1" w:rsidRDefault="132F34F1" w:rsidP="132F34F1">
            <w:pPr>
              <w:spacing w:after="0"/>
              <w:rPr>
                <w:sz w:val="20"/>
                <w:szCs w:val="20"/>
                <w:lang w:val="pt-BR"/>
              </w:rPr>
            </w:pPr>
            <w:r w:rsidRPr="00183EC1">
              <w:rPr>
                <w:sz w:val="20"/>
                <w:szCs w:val="20"/>
                <w:lang w:val="pt-BR"/>
              </w:rPr>
              <w:t>Nedovoljno razvijena i neravnomjerno dostupna širokopojasna infrastruktura</w:t>
            </w:r>
          </w:p>
        </w:tc>
        <w:tc>
          <w:tcPr>
            <w:tcW w:w="4245" w:type="dxa"/>
            <w:vAlign w:val="center"/>
          </w:tcPr>
          <w:p w14:paraId="76D2DF0D" w14:textId="2710BFCE" w:rsidR="132F34F1" w:rsidRPr="00183EC1" w:rsidRDefault="132F34F1" w:rsidP="132F34F1">
            <w:pPr>
              <w:spacing w:after="0"/>
              <w:rPr>
                <w:sz w:val="20"/>
                <w:szCs w:val="20"/>
                <w:lang w:val="pt-BR"/>
              </w:rPr>
            </w:pPr>
            <w:r w:rsidRPr="00183EC1">
              <w:rPr>
                <w:sz w:val="20"/>
                <w:szCs w:val="20"/>
                <w:lang w:val="pt-BR"/>
              </w:rPr>
              <w:t>I pored postojećih ulaganja, pokrivenost mrežama vrlo velikog kapaciteta ostaje ograničena, posebno u ruralnim i manje razvijenim područjima, što usporava dostizanje ciljeva gigabitne povezanosti.</w:t>
            </w:r>
          </w:p>
        </w:tc>
      </w:tr>
      <w:tr w:rsidR="132F34F1" w:rsidRPr="00183EC1" w14:paraId="5AA22A31" w14:textId="77777777" w:rsidTr="132F34F1">
        <w:trPr>
          <w:trHeight w:val="300"/>
        </w:trPr>
        <w:tc>
          <w:tcPr>
            <w:tcW w:w="2385" w:type="dxa"/>
            <w:vAlign w:val="center"/>
          </w:tcPr>
          <w:p w14:paraId="5DF18AED" w14:textId="7511587E" w:rsidR="132F34F1" w:rsidRDefault="132F34F1" w:rsidP="132F34F1">
            <w:pPr>
              <w:spacing w:after="0"/>
              <w:rPr>
                <w:sz w:val="20"/>
                <w:szCs w:val="20"/>
              </w:rPr>
            </w:pPr>
            <w:r w:rsidRPr="132F34F1">
              <w:rPr>
                <w:sz w:val="20"/>
                <w:szCs w:val="20"/>
              </w:rPr>
              <w:t>[PA2]-5.2.2</w:t>
            </w:r>
          </w:p>
        </w:tc>
        <w:tc>
          <w:tcPr>
            <w:tcW w:w="2430" w:type="dxa"/>
            <w:vAlign w:val="center"/>
          </w:tcPr>
          <w:p w14:paraId="4E488652" w14:textId="06E92EE0" w:rsidR="132F34F1" w:rsidRDefault="132F34F1" w:rsidP="132F34F1">
            <w:pPr>
              <w:spacing w:after="0"/>
              <w:rPr>
                <w:sz w:val="20"/>
                <w:szCs w:val="20"/>
              </w:rPr>
            </w:pPr>
            <w:r w:rsidRPr="132F34F1">
              <w:rPr>
                <w:sz w:val="20"/>
                <w:szCs w:val="20"/>
              </w:rPr>
              <w:t>Strukturne regulatorne i investicione prepreke razvoju mreža</w:t>
            </w:r>
          </w:p>
        </w:tc>
        <w:tc>
          <w:tcPr>
            <w:tcW w:w="4245" w:type="dxa"/>
            <w:vAlign w:val="center"/>
          </w:tcPr>
          <w:p w14:paraId="46F57E00" w14:textId="55B4380A" w:rsidR="132F34F1" w:rsidRPr="00183EC1" w:rsidRDefault="132F34F1" w:rsidP="132F34F1">
            <w:pPr>
              <w:spacing w:after="0"/>
              <w:rPr>
                <w:sz w:val="20"/>
                <w:szCs w:val="20"/>
                <w:lang w:val="pt-BR"/>
              </w:rPr>
            </w:pPr>
            <w:r w:rsidRPr="00183EC1">
              <w:rPr>
                <w:sz w:val="20"/>
                <w:szCs w:val="20"/>
                <w:lang w:val="pt-BR"/>
              </w:rPr>
              <w:t>Složene administrativne procedure, visoki troškovi ulaganja i pitanja upravljanja spektrom usporavaju razvoj infrastrukture i implementaciju 5G mreža.</w:t>
            </w:r>
          </w:p>
        </w:tc>
      </w:tr>
      <w:tr w:rsidR="132F34F1" w14:paraId="7614918F" w14:textId="77777777" w:rsidTr="132F34F1">
        <w:trPr>
          <w:trHeight w:val="300"/>
        </w:trPr>
        <w:tc>
          <w:tcPr>
            <w:tcW w:w="2385" w:type="dxa"/>
            <w:vAlign w:val="center"/>
          </w:tcPr>
          <w:p w14:paraId="748840B9" w14:textId="71C94ADA" w:rsidR="132F34F1" w:rsidRDefault="132F34F1" w:rsidP="132F34F1">
            <w:pPr>
              <w:spacing w:after="0"/>
              <w:rPr>
                <w:sz w:val="20"/>
                <w:szCs w:val="20"/>
              </w:rPr>
            </w:pPr>
            <w:r w:rsidRPr="132F34F1">
              <w:rPr>
                <w:sz w:val="20"/>
                <w:szCs w:val="20"/>
              </w:rPr>
              <w:t>[PA2]-5.2.3</w:t>
            </w:r>
          </w:p>
        </w:tc>
        <w:tc>
          <w:tcPr>
            <w:tcW w:w="2430" w:type="dxa"/>
            <w:vAlign w:val="center"/>
          </w:tcPr>
          <w:p w14:paraId="4B6CEABE" w14:textId="1389CC56" w:rsidR="132F34F1" w:rsidRDefault="132F34F1" w:rsidP="132F34F1">
            <w:pPr>
              <w:spacing w:after="0"/>
              <w:rPr>
                <w:sz w:val="20"/>
                <w:szCs w:val="20"/>
              </w:rPr>
            </w:pPr>
            <w:r w:rsidRPr="132F34F1">
              <w:rPr>
                <w:sz w:val="20"/>
                <w:szCs w:val="20"/>
              </w:rPr>
              <w:t>Nedovoljna tehnološka i tržišna spremnost za napredne mreže</w:t>
            </w:r>
          </w:p>
        </w:tc>
        <w:tc>
          <w:tcPr>
            <w:tcW w:w="4245" w:type="dxa"/>
            <w:vAlign w:val="center"/>
          </w:tcPr>
          <w:p w14:paraId="1BE27DCF" w14:textId="4DE7CEC7" w:rsidR="132F34F1" w:rsidRDefault="132F34F1" w:rsidP="132F34F1">
            <w:pPr>
              <w:spacing w:after="0"/>
              <w:rPr>
                <w:sz w:val="20"/>
                <w:szCs w:val="20"/>
              </w:rPr>
            </w:pPr>
            <w:r w:rsidRPr="132F34F1">
              <w:rPr>
                <w:sz w:val="20"/>
                <w:szCs w:val="20"/>
              </w:rPr>
              <w:t>Sporo uvođenje 5G i potreba za optimizacijom korišćenja spektra ukazuju na ograničenu spremnost za razvoj naprednih digitalnih usluga.</w:t>
            </w:r>
          </w:p>
        </w:tc>
      </w:tr>
      <w:tr w:rsidR="132F34F1" w:rsidRPr="008710AA" w14:paraId="1896D369" w14:textId="77777777" w:rsidTr="132F34F1">
        <w:trPr>
          <w:trHeight w:val="300"/>
        </w:trPr>
        <w:tc>
          <w:tcPr>
            <w:tcW w:w="2385" w:type="dxa"/>
            <w:vAlign w:val="center"/>
          </w:tcPr>
          <w:p w14:paraId="258C727A" w14:textId="29A5C9E9" w:rsidR="132F34F1" w:rsidRDefault="132F34F1" w:rsidP="132F34F1">
            <w:pPr>
              <w:spacing w:after="0"/>
              <w:rPr>
                <w:sz w:val="20"/>
                <w:szCs w:val="20"/>
              </w:rPr>
            </w:pPr>
            <w:r w:rsidRPr="132F34F1">
              <w:rPr>
                <w:sz w:val="20"/>
                <w:szCs w:val="20"/>
              </w:rPr>
              <w:t>[PA2]-5.2.4</w:t>
            </w:r>
          </w:p>
        </w:tc>
        <w:tc>
          <w:tcPr>
            <w:tcW w:w="2430" w:type="dxa"/>
            <w:vAlign w:val="center"/>
          </w:tcPr>
          <w:p w14:paraId="609256B3" w14:textId="55AAD812" w:rsidR="132F34F1" w:rsidRPr="00183EC1" w:rsidRDefault="132F34F1" w:rsidP="132F34F1">
            <w:pPr>
              <w:spacing w:after="0"/>
              <w:rPr>
                <w:sz w:val="20"/>
                <w:szCs w:val="20"/>
                <w:lang w:val="pt-BR"/>
              </w:rPr>
            </w:pPr>
            <w:r w:rsidRPr="00183EC1">
              <w:rPr>
                <w:sz w:val="20"/>
                <w:szCs w:val="20"/>
                <w:lang w:val="pt-BR"/>
              </w:rPr>
              <w:t>Nedovoljna modernizacija i buduća otpornost mrežne infrastrukture</w:t>
            </w:r>
          </w:p>
        </w:tc>
        <w:tc>
          <w:tcPr>
            <w:tcW w:w="4245" w:type="dxa"/>
            <w:vAlign w:val="center"/>
          </w:tcPr>
          <w:p w14:paraId="1402F435" w14:textId="2196E3D7" w:rsidR="132F34F1" w:rsidRPr="00183EC1" w:rsidRDefault="132F34F1" w:rsidP="132F34F1">
            <w:pPr>
              <w:spacing w:after="0"/>
              <w:rPr>
                <w:sz w:val="20"/>
                <w:szCs w:val="20"/>
                <w:lang w:val="pt-BR"/>
              </w:rPr>
            </w:pPr>
            <w:r w:rsidRPr="00183EC1">
              <w:rPr>
                <w:sz w:val="20"/>
                <w:szCs w:val="20"/>
                <w:lang w:val="pt-BR"/>
              </w:rPr>
              <w:t>Kašnjenje u uvođenju savremenih standarda (npr. IPv6) i nedostatak stručnog kadra ukazuju na ograničene kapacitete za razvoj skalabilnih i sigurnih mreža.</w:t>
            </w:r>
          </w:p>
        </w:tc>
      </w:tr>
      <w:tr w:rsidR="132F34F1" w:rsidRPr="008710AA" w14:paraId="18AFC2ED" w14:textId="77777777" w:rsidTr="132F34F1">
        <w:trPr>
          <w:trHeight w:val="300"/>
        </w:trPr>
        <w:tc>
          <w:tcPr>
            <w:tcW w:w="2385" w:type="dxa"/>
            <w:vAlign w:val="center"/>
          </w:tcPr>
          <w:p w14:paraId="7FD228E5" w14:textId="154CB789" w:rsidR="132F34F1" w:rsidRDefault="132F34F1" w:rsidP="132F34F1">
            <w:pPr>
              <w:spacing w:after="0"/>
              <w:rPr>
                <w:sz w:val="20"/>
                <w:szCs w:val="20"/>
              </w:rPr>
            </w:pPr>
            <w:r w:rsidRPr="132F34F1">
              <w:rPr>
                <w:sz w:val="20"/>
                <w:szCs w:val="20"/>
              </w:rPr>
              <w:lastRenderedPageBreak/>
              <w:t>[PA2]-5.3.1</w:t>
            </w:r>
          </w:p>
        </w:tc>
        <w:tc>
          <w:tcPr>
            <w:tcW w:w="2430" w:type="dxa"/>
            <w:vAlign w:val="center"/>
          </w:tcPr>
          <w:p w14:paraId="431EA84A" w14:textId="2EE8A5FB" w:rsidR="132F34F1" w:rsidRPr="00183EC1" w:rsidRDefault="132F34F1" w:rsidP="132F34F1">
            <w:pPr>
              <w:spacing w:after="0"/>
              <w:rPr>
                <w:sz w:val="20"/>
                <w:szCs w:val="20"/>
                <w:lang w:val="pt-BR"/>
              </w:rPr>
            </w:pPr>
            <w:r w:rsidRPr="00183EC1">
              <w:rPr>
                <w:sz w:val="20"/>
                <w:szCs w:val="20"/>
                <w:lang w:val="pt-BR"/>
              </w:rPr>
              <w:t>Nedovoljni ljudski resursi u istraživanju i inovacijama</w:t>
            </w:r>
          </w:p>
        </w:tc>
        <w:tc>
          <w:tcPr>
            <w:tcW w:w="4245" w:type="dxa"/>
            <w:vAlign w:val="center"/>
          </w:tcPr>
          <w:p w14:paraId="3455B139" w14:textId="7441C198" w:rsidR="132F34F1" w:rsidRPr="00183EC1" w:rsidRDefault="132F34F1" w:rsidP="132F34F1">
            <w:pPr>
              <w:spacing w:after="0"/>
              <w:rPr>
                <w:sz w:val="20"/>
                <w:szCs w:val="20"/>
                <w:lang w:val="pt-BR"/>
              </w:rPr>
            </w:pPr>
            <w:r w:rsidRPr="00183EC1">
              <w:rPr>
                <w:sz w:val="20"/>
                <w:szCs w:val="20"/>
                <w:lang w:val="pt-BR"/>
              </w:rPr>
              <w:t>Nizak udio istraživača i stručnjaka ograničava razvoj tehnološki intenzivnih sektora i inovacija.</w:t>
            </w:r>
          </w:p>
        </w:tc>
      </w:tr>
      <w:tr w:rsidR="132F34F1" w:rsidRPr="008710AA" w14:paraId="58AC87B1" w14:textId="77777777" w:rsidTr="132F34F1">
        <w:trPr>
          <w:trHeight w:val="300"/>
        </w:trPr>
        <w:tc>
          <w:tcPr>
            <w:tcW w:w="2385" w:type="dxa"/>
            <w:vAlign w:val="center"/>
          </w:tcPr>
          <w:p w14:paraId="017CA895" w14:textId="103985B8" w:rsidR="132F34F1" w:rsidRDefault="132F34F1" w:rsidP="132F34F1">
            <w:pPr>
              <w:spacing w:after="0"/>
              <w:rPr>
                <w:sz w:val="20"/>
                <w:szCs w:val="20"/>
              </w:rPr>
            </w:pPr>
            <w:r w:rsidRPr="132F34F1">
              <w:rPr>
                <w:sz w:val="20"/>
                <w:szCs w:val="20"/>
              </w:rPr>
              <w:t>[PA2]-5.3.2</w:t>
            </w:r>
          </w:p>
        </w:tc>
        <w:tc>
          <w:tcPr>
            <w:tcW w:w="2430" w:type="dxa"/>
            <w:vAlign w:val="center"/>
          </w:tcPr>
          <w:p w14:paraId="37703423" w14:textId="272B0E99" w:rsidR="132F34F1" w:rsidRPr="00183EC1" w:rsidRDefault="132F34F1" w:rsidP="132F34F1">
            <w:pPr>
              <w:spacing w:after="0"/>
              <w:rPr>
                <w:sz w:val="20"/>
                <w:szCs w:val="20"/>
                <w:lang w:val="pt-BR"/>
              </w:rPr>
            </w:pPr>
            <w:r w:rsidRPr="00183EC1">
              <w:rPr>
                <w:sz w:val="20"/>
                <w:szCs w:val="20"/>
                <w:lang w:val="pt-BR"/>
              </w:rPr>
              <w:t>Slab inovacioni ekosistem i ograničen transfer znanja</w:t>
            </w:r>
          </w:p>
        </w:tc>
        <w:tc>
          <w:tcPr>
            <w:tcW w:w="4245" w:type="dxa"/>
            <w:vAlign w:val="center"/>
          </w:tcPr>
          <w:p w14:paraId="26E4B2FF" w14:textId="0EF145EF" w:rsidR="132F34F1" w:rsidRPr="00183EC1" w:rsidRDefault="132F34F1" w:rsidP="132F34F1">
            <w:pPr>
              <w:spacing w:after="0"/>
              <w:rPr>
                <w:sz w:val="20"/>
                <w:szCs w:val="20"/>
                <w:lang w:val="pt-BR"/>
              </w:rPr>
            </w:pPr>
            <w:r w:rsidRPr="00183EC1">
              <w:rPr>
                <w:sz w:val="20"/>
                <w:szCs w:val="20"/>
                <w:lang w:val="pt-BR"/>
              </w:rPr>
              <w:t>Nedovoljna povezanost između nauke i privrede, kao i ograničeno korišćenje istraživačkih kapaciteta, usporavaju razvoj i komercijalizaciju inovacija.</w:t>
            </w:r>
          </w:p>
        </w:tc>
      </w:tr>
      <w:tr w:rsidR="132F34F1" w:rsidRPr="008710AA" w14:paraId="72B68665" w14:textId="77777777" w:rsidTr="132F34F1">
        <w:trPr>
          <w:trHeight w:val="300"/>
        </w:trPr>
        <w:tc>
          <w:tcPr>
            <w:tcW w:w="2385" w:type="dxa"/>
            <w:vAlign w:val="center"/>
          </w:tcPr>
          <w:p w14:paraId="073EF3C8" w14:textId="022BE26E" w:rsidR="132F34F1" w:rsidRDefault="132F34F1" w:rsidP="132F34F1">
            <w:pPr>
              <w:spacing w:after="0"/>
              <w:rPr>
                <w:sz w:val="20"/>
                <w:szCs w:val="20"/>
              </w:rPr>
            </w:pPr>
            <w:r w:rsidRPr="132F34F1">
              <w:rPr>
                <w:sz w:val="20"/>
                <w:szCs w:val="20"/>
              </w:rPr>
              <w:t>[PA2]-5.3.3</w:t>
            </w:r>
          </w:p>
        </w:tc>
        <w:tc>
          <w:tcPr>
            <w:tcW w:w="2430" w:type="dxa"/>
            <w:vAlign w:val="center"/>
          </w:tcPr>
          <w:p w14:paraId="649E9C98" w14:textId="009E9176" w:rsidR="132F34F1" w:rsidRPr="00183EC1" w:rsidRDefault="132F34F1" w:rsidP="132F34F1">
            <w:pPr>
              <w:spacing w:after="0"/>
              <w:rPr>
                <w:sz w:val="20"/>
                <w:szCs w:val="20"/>
                <w:lang w:val="pt-BR"/>
              </w:rPr>
            </w:pPr>
            <w:r w:rsidRPr="00183EC1">
              <w:rPr>
                <w:sz w:val="20"/>
                <w:szCs w:val="20"/>
                <w:lang w:val="pt-BR"/>
              </w:rPr>
              <w:t>Slaba saradnja nauke i privrede</w:t>
            </w:r>
          </w:p>
        </w:tc>
        <w:tc>
          <w:tcPr>
            <w:tcW w:w="4245" w:type="dxa"/>
            <w:vAlign w:val="center"/>
          </w:tcPr>
          <w:p w14:paraId="07AE1296" w14:textId="024ADA85" w:rsidR="132F34F1" w:rsidRPr="00183EC1" w:rsidRDefault="132F34F1" w:rsidP="132F34F1">
            <w:pPr>
              <w:spacing w:after="0"/>
              <w:rPr>
                <w:sz w:val="20"/>
                <w:szCs w:val="20"/>
                <w:lang w:val="pt-BR"/>
              </w:rPr>
            </w:pPr>
            <w:r w:rsidRPr="00183EC1">
              <w:rPr>
                <w:sz w:val="20"/>
                <w:szCs w:val="20"/>
                <w:lang w:val="pt-BR"/>
              </w:rPr>
              <w:t>Nedovoljna povezanost između akademskog i poslovnog sektora ograničava transfer znanja i komercijalizaciju inovacija.</w:t>
            </w:r>
          </w:p>
        </w:tc>
      </w:tr>
      <w:tr w:rsidR="132F34F1" w:rsidRPr="008710AA" w14:paraId="1252C071" w14:textId="77777777" w:rsidTr="132F34F1">
        <w:trPr>
          <w:trHeight w:val="300"/>
        </w:trPr>
        <w:tc>
          <w:tcPr>
            <w:tcW w:w="2385" w:type="dxa"/>
            <w:vAlign w:val="center"/>
          </w:tcPr>
          <w:p w14:paraId="6D7C202D" w14:textId="52128FA0" w:rsidR="132F34F1" w:rsidRDefault="132F34F1" w:rsidP="132F34F1">
            <w:pPr>
              <w:spacing w:after="0"/>
              <w:rPr>
                <w:sz w:val="20"/>
                <w:szCs w:val="20"/>
              </w:rPr>
            </w:pPr>
            <w:r w:rsidRPr="132F34F1">
              <w:rPr>
                <w:sz w:val="20"/>
                <w:szCs w:val="20"/>
              </w:rPr>
              <w:t>[PA2]-5.3.4</w:t>
            </w:r>
          </w:p>
        </w:tc>
        <w:tc>
          <w:tcPr>
            <w:tcW w:w="2430" w:type="dxa"/>
            <w:vAlign w:val="center"/>
          </w:tcPr>
          <w:p w14:paraId="70153469" w14:textId="3D66F6B4" w:rsidR="132F34F1" w:rsidRPr="00183EC1" w:rsidRDefault="132F34F1" w:rsidP="132F34F1">
            <w:pPr>
              <w:spacing w:after="0"/>
              <w:rPr>
                <w:sz w:val="20"/>
                <w:szCs w:val="20"/>
                <w:lang w:val="pt-BR"/>
              </w:rPr>
            </w:pPr>
            <w:r w:rsidRPr="00183EC1">
              <w:rPr>
                <w:sz w:val="20"/>
                <w:szCs w:val="20"/>
                <w:lang w:val="pt-BR"/>
              </w:rPr>
              <w:t>Nizak nivo digitalne transformacije preduzeća</w:t>
            </w:r>
          </w:p>
        </w:tc>
        <w:tc>
          <w:tcPr>
            <w:tcW w:w="4245" w:type="dxa"/>
            <w:vAlign w:val="center"/>
          </w:tcPr>
          <w:p w14:paraId="57F5C6DF" w14:textId="5FD3934D" w:rsidR="132F34F1" w:rsidRPr="00183EC1" w:rsidRDefault="132F34F1" w:rsidP="132F34F1">
            <w:pPr>
              <w:spacing w:after="0"/>
              <w:rPr>
                <w:sz w:val="20"/>
                <w:szCs w:val="20"/>
                <w:lang w:val="pt-BR"/>
              </w:rPr>
            </w:pPr>
            <w:r w:rsidRPr="00183EC1">
              <w:rPr>
                <w:sz w:val="20"/>
                <w:szCs w:val="20"/>
                <w:lang w:val="pt-BR"/>
              </w:rPr>
              <w:t>Preduzeća nedovoljno koriste digitalne tehnologije u osnovnim poslovnim procesima, što smanjuje produktivnost i konkurentnost.</w:t>
            </w:r>
          </w:p>
        </w:tc>
      </w:tr>
      <w:tr w:rsidR="132F34F1" w:rsidRPr="008710AA" w14:paraId="71800122" w14:textId="77777777" w:rsidTr="132F34F1">
        <w:trPr>
          <w:trHeight w:val="300"/>
        </w:trPr>
        <w:tc>
          <w:tcPr>
            <w:tcW w:w="2385" w:type="dxa"/>
            <w:vAlign w:val="center"/>
          </w:tcPr>
          <w:p w14:paraId="7A794BA8" w14:textId="5B314037" w:rsidR="132F34F1" w:rsidRDefault="132F34F1" w:rsidP="132F34F1">
            <w:pPr>
              <w:spacing w:after="0"/>
              <w:rPr>
                <w:sz w:val="20"/>
                <w:szCs w:val="20"/>
              </w:rPr>
            </w:pPr>
            <w:r w:rsidRPr="132F34F1">
              <w:rPr>
                <w:sz w:val="20"/>
                <w:szCs w:val="20"/>
              </w:rPr>
              <w:t>[PA2]-5.3.5</w:t>
            </w:r>
          </w:p>
        </w:tc>
        <w:tc>
          <w:tcPr>
            <w:tcW w:w="2430" w:type="dxa"/>
            <w:vAlign w:val="center"/>
          </w:tcPr>
          <w:p w14:paraId="32A1AB0F" w14:textId="79635FDA" w:rsidR="132F34F1" w:rsidRPr="00183EC1" w:rsidRDefault="132F34F1" w:rsidP="132F34F1">
            <w:pPr>
              <w:spacing w:after="0"/>
              <w:rPr>
                <w:sz w:val="20"/>
                <w:szCs w:val="20"/>
                <w:lang w:val="pt-BR"/>
              </w:rPr>
            </w:pPr>
            <w:r w:rsidRPr="00183EC1">
              <w:rPr>
                <w:sz w:val="20"/>
                <w:szCs w:val="20"/>
                <w:lang w:val="pt-BR"/>
              </w:rPr>
              <w:t>Ograničena primjena naprednih digitalnih tehnologija u privredi</w:t>
            </w:r>
          </w:p>
        </w:tc>
        <w:tc>
          <w:tcPr>
            <w:tcW w:w="4245" w:type="dxa"/>
            <w:vAlign w:val="center"/>
          </w:tcPr>
          <w:p w14:paraId="6F5379A6" w14:textId="76A9C79F" w:rsidR="132F34F1" w:rsidRPr="00183EC1" w:rsidRDefault="132F34F1" w:rsidP="132F34F1">
            <w:pPr>
              <w:spacing w:after="0"/>
              <w:rPr>
                <w:sz w:val="20"/>
                <w:szCs w:val="20"/>
                <w:lang w:val="pt-BR"/>
              </w:rPr>
            </w:pPr>
            <w:r w:rsidRPr="00183EC1">
              <w:rPr>
                <w:sz w:val="20"/>
                <w:szCs w:val="20"/>
                <w:lang w:val="pt-BR"/>
              </w:rPr>
              <w:t>Primjena tehnologija poput AI, big data i cloud rješenja je ograničena, što utiče na inovativnost i dodatu vrijednost.</w:t>
            </w:r>
          </w:p>
        </w:tc>
      </w:tr>
      <w:tr w:rsidR="132F34F1" w:rsidRPr="008710AA" w14:paraId="3009BAA8" w14:textId="77777777" w:rsidTr="132F34F1">
        <w:trPr>
          <w:trHeight w:val="300"/>
        </w:trPr>
        <w:tc>
          <w:tcPr>
            <w:tcW w:w="2385" w:type="dxa"/>
            <w:vAlign w:val="center"/>
          </w:tcPr>
          <w:p w14:paraId="195704FB" w14:textId="49BB7156" w:rsidR="132F34F1" w:rsidRDefault="132F34F1" w:rsidP="132F34F1">
            <w:pPr>
              <w:spacing w:after="0"/>
              <w:rPr>
                <w:sz w:val="20"/>
                <w:szCs w:val="20"/>
              </w:rPr>
            </w:pPr>
            <w:r w:rsidRPr="132F34F1">
              <w:rPr>
                <w:sz w:val="20"/>
                <w:szCs w:val="20"/>
              </w:rPr>
              <w:t>[PA2]-5.3.6</w:t>
            </w:r>
          </w:p>
        </w:tc>
        <w:tc>
          <w:tcPr>
            <w:tcW w:w="2430" w:type="dxa"/>
            <w:vAlign w:val="center"/>
          </w:tcPr>
          <w:p w14:paraId="0B5AC0B1" w14:textId="4A878D0B" w:rsidR="132F34F1" w:rsidRPr="00183EC1" w:rsidRDefault="132F34F1" w:rsidP="132F34F1">
            <w:pPr>
              <w:spacing w:after="0"/>
              <w:rPr>
                <w:sz w:val="20"/>
                <w:szCs w:val="20"/>
                <w:lang w:val="pt-BR"/>
              </w:rPr>
            </w:pPr>
            <w:r w:rsidRPr="00183EC1">
              <w:rPr>
                <w:sz w:val="20"/>
                <w:szCs w:val="20"/>
                <w:lang w:val="pt-BR"/>
              </w:rPr>
              <w:t>Ograničen razvoj digitalnih poslovnih modela i platformi</w:t>
            </w:r>
          </w:p>
        </w:tc>
        <w:tc>
          <w:tcPr>
            <w:tcW w:w="4245" w:type="dxa"/>
            <w:vAlign w:val="center"/>
          </w:tcPr>
          <w:p w14:paraId="582EADC0" w14:textId="2196A088" w:rsidR="132F34F1" w:rsidRPr="00183EC1" w:rsidRDefault="132F34F1" w:rsidP="132F34F1">
            <w:pPr>
              <w:spacing w:after="0"/>
              <w:rPr>
                <w:sz w:val="20"/>
                <w:szCs w:val="20"/>
                <w:lang w:val="pt-BR"/>
              </w:rPr>
            </w:pPr>
            <w:r w:rsidRPr="00183EC1">
              <w:rPr>
                <w:sz w:val="20"/>
                <w:szCs w:val="20"/>
                <w:lang w:val="pt-BR"/>
              </w:rPr>
              <w:t>Preduzeća nedovoljno razvijaju digitalne proizvode, platforme i usluge zasnovane na podacima i softverskim rješenjima.</w:t>
            </w:r>
          </w:p>
        </w:tc>
      </w:tr>
      <w:tr w:rsidR="132F34F1" w:rsidRPr="008710AA" w14:paraId="5BA92234" w14:textId="77777777" w:rsidTr="132F34F1">
        <w:trPr>
          <w:trHeight w:val="300"/>
        </w:trPr>
        <w:tc>
          <w:tcPr>
            <w:tcW w:w="2385" w:type="dxa"/>
            <w:vAlign w:val="center"/>
          </w:tcPr>
          <w:p w14:paraId="2E8ECC0D" w14:textId="26A90EE1" w:rsidR="132F34F1" w:rsidRDefault="132F34F1" w:rsidP="132F34F1">
            <w:pPr>
              <w:spacing w:after="0"/>
              <w:rPr>
                <w:sz w:val="20"/>
                <w:szCs w:val="20"/>
              </w:rPr>
            </w:pPr>
            <w:r w:rsidRPr="132F34F1">
              <w:rPr>
                <w:sz w:val="20"/>
                <w:szCs w:val="20"/>
              </w:rPr>
              <w:t>[PA2]-5.4.1</w:t>
            </w:r>
          </w:p>
        </w:tc>
        <w:tc>
          <w:tcPr>
            <w:tcW w:w="2430" w:type="dxa"/>
            <w:vAlign w:val="center"/>
          </w:tcPr>
          <w:p w14:paraId="5FD65750" w14:textId="17FDEA8A" w:rsidR="132F34F1" w:rsidRPr="00183EC1" w:rsidRDefault="132F34F1" w:rsidP="132F34F1">
            <w:pPr>
              <w:spacing w:after="0"/>
              <w:rPr>
                <w:sz w:val="20"/>
                <w:szCs w:val="20"/>
                <w:lang w:val="pt-BR"/>
              </w:rPr>
            </w:pPr>
            <w:r w:rsidRPr="00183EC1">
              <w:rPr>
                <w:sz w:val="20"/>
                <w:szCs w:val="20"/>
                <w:lang w:val="pt-BR"/>
              </w:rPr>
              <w:t>Fragmentiranost podataka i nedovoljna interoperabilnost sistema</w:t>
            </w:r>
          </w:p>
        </w:tc>
        <w:tc>
          <w:tcPr>
            <w:tcW w:w="4245" w:type="dxa"/>
            <w:vAlign w:val="center"/>
          </w:tcPr>
          <w:p w14:paraId="7DA83180" w14:textId="10711A75" w:rsidR="132F34F1" w:rsidRPr="00183EC1" w:rsidRDefault="132F34F1" w:rsidP="132F34F1">
            <w:pPr>
              <w:spacing w:after="0"/>
              <w:rPr>
                <w:sz w:val="20"/>
                <w:szCs w:val="20"/>
                <w:lang w:val="pt-BR"/>
              </w:rPr>
            </w:pPr>
            <w:r w:rsidRPr="00183EC1">
              <w:rPr>
                <w:sz w:val="20"/>
                <w:szCs w:val="20"/>
                <w:lang w:val="pt-BR"/>
              </w:rPr>
              <w:t>Registarski sistemi i baze podataka nijesu u potpunosti povezani, što ograničava razmjenu podataka i efikasnost javne uprave.</w:t>
            </w:r>
          </w:p>
        </w:tc>
      </w:tr>
      <w:tr w:rsidR="132F34F1" w:rsidRPr="008710AA" w14:paraId="77A20F38" w14:textId="77777777" w:rsidTr="132F34F1">
        <w:trPr>
          <w:trHeight w:val="300"/>
        </w:trPr>
        <w:tc>
          <w:tcPr>
            <w:tcW w:w="2385" w:type="dxa"/>
            <w:vAlign w:val="center"/>
          </w:tcPr>
          <w:p w14:paraId="77882080" w14:textId="0DE7EF32" w:rsidR="132F34F1" w:rsidRDefault="132F34F1" w:rsidP="132F34F1">
            <w:pPr>
              <w:spacing w:after="0"/>
              <w:rPr>
                <w:sz w:val="20"/>
                <w:szCs w:val="20"/>
              </w:rPr>
            </w:pPr>
            <w:r w:rsidRPr="132F34F1">
              <w:rPr>
                <w:sz w:val="20"/>
                <w:szCs w:val="20"/>
              </w:rPr>
              <w:t>[PA2]-5.4.2</w:t>
            </w:r>
          </w:p>
        </w:tc>
        <w:tc>
          <w:tcPr>
            <w:tcW w:w="2430" w:type="dxa"/>
            <w:vAlign w:val="center"/>
          </w:tcPr>
          <w:p w14:paraId="21F65060" w14:textId="18AAEFE6" w:rsidR="132F34F1" w:rsidRPr="00183EC1" w:rsidRDefault="132F34F1" w:rsidP="132F34F1">
            <w:pPr>
              <w:spacing w:after="0"/>
              <w:rPr>
                <w:sz w:val="20"/>
                <w:szCs w:val="20"/>
                <w:lang w:val="pt-BR"/>
              </w:rPr>
            </w:pPr>
            <w:r w:rsidRPr="00183EC1">
              <w:rPr>
                <w:sz w:val="20"/>
                <w:szCs w:val="20"/>
                <w:lang w:val="pt-BR"/>
              </w:rPr>
              <w:t>Nizak nivo razvijenosti transakcijskih e-usluga</w:t>
            </w:r>
          </w:p>
        </w:tc>
        <w:tc>
          <w:tcPr>
            <w:tcW w:w="4245" w:type="dxa"/>
            <w:vAlign w:val="center"/>
          </w:tcPr>
          <w:p w14:paraId="2BE61814" w14:textId="19D2FBB5" w:rsidR="132F34F1" w:rsidRPr="00183EC1" w:rsidRDefault="132F34F1" w:rsidP="132F34F1">
            <w:pPr>
              <w:spacing w:after="0"/>
              <w:rPr>
                <w:sz w:val="20"/>
                <w:szCs w:val="20"/>
                <w:lang w:val="pt-BR"/>
              </w:rPr>
            </w:pPr>
            <w:r w:rsidRPr="00183EC1">
              <w:rPr>
                <w:sz w:val="20"/>
                <w:szCs w:val="20"/>
                <w:lang w:val="pt-BR"/>
              </w:rPr>
              <w:t>Digitalne javne usluge nijesu u potpunosti razvijene niti široko korišćene, što ukazuje na ograničenu zrelost e-uprave.</w:t>
            </w:r>
          </w:p>
        </w:tc>
      </w:tr>
      <w:tr w:rsidR="132F34F1" w:rsidRPr="00183EC1" w14:paraId="59EB44EC" w14:textId="77777777" w:rsidTr="132F34F1">
        <w:trPr>
          <w:trHeight w:val="300"/>
        </w:trPr>
        <w:tc>
          <w:tcPr>
            <w:tcW w:w="2385" w:type="dxa"/>
            <w:vAlign w:val="center"/>
          </w:tcPr>
          <w:p w14:paraId="46358162" w14:textId="5438CC36" w:rsidR="132F34F1" w:rsidRDefault="132F34F1" w:rsidP="132F34F1">
            <w:pPr>
              <w:spacing w:after="0"/>
              <w:rPr>
                <w:sz w:val="20"/>
                <w:szCs w:val="20"/>
              </w:rPr>
            </w:pPr>
            <w:r w:rsidRPr="132F34F1">
              <w:rPr>
                <w:sz w:val="20"/>
                <w:szCs w:val="20"/>
              </w:rPr>
              <w:t>[PA2]-5.4.3</w:t>
            </w:r>
          </w:p>
        </w:tc>
        <w:tc>
          <w:tcPr>
            <w:tcW w:w="2430" w:type="dxa"/>
            <w:vAlign w:val="center"/>
          </w:tcPr>
          <w:p w14:paraId="5095FF0A" w14:textId="1E1D2A70" w:rsidR="132F34F1" w:rsidRDefault="132F34F1" w:rsidP="132F34F1">
            <w:pPr>
              <w:spacing w:after="0"/>
              <w:rPr>
                <w:sz w:val="20"/>
                <w:szCs w:val="20"/>
              </w:rPr>
            </w:pPr>
            <w:r w:rsidRPr="132F34F1">
              <w:rPr>
                <w:sz w:val="20"/>
                <w:szCs w:val="20"/>
              </w:rPr>
              <w:t>Nedovoljna digitalizacija administrativnih procesa</w:t>
            </w:r>
          </w:p>
        </w:tc>
        <w:tc>
          <w:tcPr>
            <w:tcW w:w="4245" w:type="dxa"/>
            <w:vAlign w:val="center"/>
          </w:tcPr>
          <w:p w14:paraId="47083DB3" w14:textId="1F6EEB12" w:rsidR="132F34F1" w:rsidRPr="00183EC1" w:rsidRDefault="132F34F1" w:rsidP="132F34F1">
            <w:pPr>
              <w:spacing w:after="0"/>
              <w:rPr>
                <w:sz w:val="20"/>
                <w:szCs w:val="20"/>
                <w:lang w:val="pt-BR"/>
              </w:rPr>
            </w:pPr>
            <w:r w:rsidRPr="00183EC1">
              <w:rPr>
                <w:sz w:val="20"/>
                <w:szCs w:val="20"/>
                <w:lang w:val="pt-BR"/>
              </w:rPr>
              <w:t>Interni procesi javne uprave nijesu sistemski digitalizovani i automatizovani, što smanjuje efikasnost.</w:t>
            </w:r>
          </w:p>
        </w:tc>
      </w:tr>
      <w:tr w:rsidR="132F34F1" w:rsidRPr="00183EC1" w14:paraId="7B0151AA" w14:textId="77777777" w:rsidTr="132F34F1">
        <w:trPr>
          <w:trHeight w:val="300"/>
        </w:trPr>
        <w:tc>
          <w:tcPr>
            <w:tcW w:w="2385" w:type="dxa"/>
            <w:vAlign w:val="center"/>
          </w:tcPr>
          <w:p w14:paraId="35EADA60" w14:textId="3278F008" w:rsidR="132F34F1" w:rsidRDefault="132F34F1" w:rsidP="132F34F1">
            <w:pPr>
              <w:spacing w:after="0"/>
              <w:rPr>
                <w:sz w:val="20"/>
                <w:szCs w:val="20"/>
              </w:rPr>
            </w:pPr>
            <w:r w:rsidRPr="132F34F1">
              <w:rPr>
                <w:sz w:val="20"/>
                <w:szCs w:val="20"/>
              </w:rPr>
              <w:t>[PA2]-5.4.4</w:t>
            </w:r>
          </w:p>
        </w:tc>
        <w:tc>
          <w:tcPr>
            <w:tcW w:w="2430" w:type="dxa"/>
            <w:vAlign w:val="center"/>
          </w:tcPr>
          <w:p w14:paraId="6845CD8C" w14:textId="044127FE" w:rsidR="132F34F1" w:rsidRPr="00183EC1" w:rsidRDefault="132F34F1" w:rsidP="132F34F1">
            <w:pPr>
              <w:spacing w:after="0"/>
              <w:rPr>
                <w:sz w:val="20"/>
                <w:szCs w:val="20"/>
                <w:lang w:val="pt-BR"/>
              </w:rPr>
            </w:pPr>
            <w:r w:rsidRPr="00183EC1">
              <w:rPr>
                <w:sz w:val="20"/>
                <w:szCs w:val="20"/>
                <w:lang w:val="pt-BR"/>
              </w:rPr>
              <w:t>Ograničeni administrativni kapaciteti za digitalnu transformaciju</w:t>
            </w:r>
          </w:p>
        </w:tc>
        <w:tc>
          <w:tcPr>
            <w:tcW w:w="4245" w:type="dxa"/>
            <w:vAlign w:val="center"/>
          </w:tcPr>
          <w:p w14:paraId="45A6B54E" w14:textId="6F2BA3A2" w:rsidR="132F34F1" w:rsidRPr="00183EC1" w:rsidRDefault="132F34F1" w:rsidP="132F34F1">
            <w:pPr>
              <w:spacing w:after="0"/>
              <w:rPr>
                <w:sz w:val="20"/>
                <w:szCs w:val="20"/>
                <w:lang w:val="pt-BR"/>
              </w:rPr>
            </w:pPr>
            <w:r w:rsidRPr="00183EC1">
              <w:rPr>
                <w:sz w:val="20"/>
                <w:szCs w:val="20"/>
                <w:lang w:val="pt-BR"/>
              </w:rPr>
              <w:t>Nedostatak kadrova i institucionalnih kapaciteta usporava implementaciju digitalnih reformi.</w:t>
            </w:r>
          </w:p>
        </w:tc>
      </w:tr>
      <w:tr w:rsidR="132F34F1" w:rsidRPr="008710AA" w14:paraId="2566B60F" w14:textId="77777777" w:rsidTr="132F34F1">
        <w:trPr>
          <w:trHeight w:val="300"/>
        </w:trPr>
        <w:tc>
          <w:tcPr>
            <w:tcW w:w="2385" w:type="dxa"/>
            <w:vAlign w:val="center"/>
          </w:tcPr>
          <w:p w14:paraId="36DBFC32" w14:textId="4DA47119" w:rsidR="132F34F1" w:rsidRDefault="132F34F1" w:rsidP="132F34F1">
            <w:pPr>
              <w:spacing w:after="0"/>
              <w:rPr>
                <w:sz w:val="20"/>
                <w:szCs w:val="20"/>
              </w:rPr>
            </w:pPr>
            <w:r w:rsidRPr="132F34F1">
              <w:rPr>
                <w:sz w:val="20"/>
                <w:szCs w:val="20"/>
              </w:rPr>
              <w:t>[PA2]-5.5.1</w:t>
            </w:r>
          </w:p>
        </w:tc>
        <w:tc>
          <w:tcPr>
            <w:tcW w:w="2430" w:type="dxa"/>
            <w:vAlign w:val="center"/>
          </w:tcPr>
          <w:p w14:paraId="5B576B22" w14:textId="391B149B" w:rsidR="132F34F1" w:rsidRPr="00183EC1" w:rsidRDefault="132F34F1" w:rsidP="132F34F1">
            <w:pPr>
              <w:spacing w:after="0"/>
              <w:rPr>
                <w:sz w:val="20"/>
                <w:szCs w:val="20"/>
                <w:lang w:val="pt-BR"/>
              </w:rPr>
            </w:pPr>
            <w:r w:rsidRPr="00183EC1">
              <w:rPr>
                <w:sz w:val="20"/>
                <w:szCs w:val="20"/>
                <w:lang w:val="pt-BR"/>
              </w:rPr>
              <w:t>Nedovoljno razvijen regulatorni okvir i digitalno tržište</w:t>
            </w:r>
          </w:p>
        </w:tc>
        <w:tc>
          <w:tcPr>
            <w:tcW w:w="4245" w:type="dxa"/>
            <w:vAlign w:val="center"/>
          </w:tcPr>
          <w:p w14:paraId="737F60C1" w14:textId="449A48E4" w:rsidR="132F34F1" w:rsidRPr="00183EC1" w:rsidRDefault="132F34F1" w:rsidP="132F34F1">
            <w:pPr>
              <w:spacing w:after="0"/>
              <w:rPr>
                <w:sz w:val="20"/>
                <w:szCs w:val="20"/>
                <w:lang w:val="pt-BR"/>
              </w:rPr>
            </w:pPr>
            <w:r w:rsidRPr="00183EC1">
              <w:rPr>
                <w:sz w:val="20"/>
                <w:szCs w:val="20"/>
                <w:lang w:val="pt-BR"/>
              </w:rPr>
              <w:t>Potrebno je dalje usklađivanje zakonodavstva sa EU i unapređenje uslova za funkcionisanje digitalnog tržišta.</w:t>
            </w:r>
          </w:p>
        </w:tc>
      </w:tr>
      <w:tr w:rsidR="132F34F1" w:rsidRPr="008710AA" w14:paraId="5439A64E" w14:textId="77777777" w:rsidTr="132F34F1">
        <w:trPr>
          <w:trHeight w:val="300"/>
        </w:trPr>
        <w:tc>
          <w:tcPr>
            <w:tcW w:w="2385" w:type="dxa"/>
            <w:vAlign w:val="center"/>
          </w:tcPr>
          <w:p w14:paraId="6B2FFD12" w14:textId="4EC2329C" w:rsidR="132F34F1" w:rsidRDefault="132F34F1" w:rsidP="132F34F1">
            <w:pPr>
              <w:spacing w:after="0"/>
              <w:rPr>
                <w:sz w:val="20"/>
                <w:szCs w:val="20"/>
              </w:rPr>
            </w:pPr>
            <w:r w:rsidRPr="132F34F1">
              <w:rPr>
                <w:sz w:val="20"/>
                <w:szCs w:val="20"/>
              </w:rPr>
              <w:t>[PA2]-5.6.1</w:t>
            </w:r>
          </w:p>
        </w:tc>
        <w:tc>
          <w:tcPr>
            <w:tcW w:w="2430" w:type="dxa"/>
            <w:vAlign w:val="center"/>
          </w:tcPr>
          <w:p w14:paraId="1A583706" w14:textId="0EA1E2B2" w:rsidR="132F34F1" w:rsidRPr="00183EC1" w:rsidRDefault="132F34F1" w:rsidP="132F34F1">
            <w:pPr>
              <w:spacing w:after="0"/>
              <w:rPr>
                <w:sz w:val="20"/>
                <w:szCs w:val="20"/>
                <w:lang w:val="pt-BR"/>
              </w:rPr>
            </w:pPr>
            <w:r w:rsidRPr="00183EC1">
              <w:rPr>
                <w:sz w:val="20"/>
                <w:szCs w:val="20"/>
                <w:lang w:val="pt-BR"/>
              </w:rPr>
              <w:t>Nedovoljno razvijen sistem sajber bezbjednosti i povjerenja</w:t>
            </w:r>
          </w:p>
        </w:tc>
        <w:tc>
          <w:tcPr>
            <w:tcW w:w="4245" w:type="dxa"/>
            <w:vAlign w:val="center"/>
          </w:tcPr>
          <w:p w14:paraId="6B3807A0" w14:textId="0692BC39" w:rsidR="132F34F1" w:rsidRPr="00183EC1" w:rsidRDefault="132F34F1" w:rsidP="132F34F1">
            <w:pPr>
              <w:spacing w:after="0"/>
              <w:rPr>
                <w:sz w:val="20"/>
                <w:szCs w:val="20"/>
                <w:lang w:val="pt-BR"/>
              </w:rPr>
            </w:pPr>
            <w:r w:rsidRPr="00183EC1">
              <w:rPr>
                <w:sz w:val="20"/>
                <w:szCs w:val="20"/>
                <w:lang w:val="pt-BR"/>
              </w:rPr>
              <w:t>Postojeći okvir sajber bezbjednosti i nivo povjerenja korisnika nijesu dovoljno razvijeni za sigurno digitalno okruženje.</w:t>
            </w:r>
          </w:p>
        </w:tc>
      </w:tr>
    </w:tbl>
    <w:p w14:paraId="44BBD0D9" w14:textId="78EB974E" w:rsidR="00F579F5" w:rsidRPr="000065DA" w:rsidRDefault="00F579F5" w:rsidP="00F579F5">
      <w:pPr>
        <w:rPr>
          <w:lang w:val="sr-Latn-CS"/>
        </w:rPr>
      </w:pPr>
    </w:p>
    <w:p w14:paraId="062D7C36" w14:textId="77777777" w:rsidR="009441AF" w:rsidRPr="000065DA" w:rsidRDefault="009441AF" w:rsidP="00F579F5">
      <w:pPr>
        <w:rPr>
          <w:lang w:val="sr-Latn-CS"/>
        </w:rPr>
      </w:pPr>
    </w:p>
    <w:p w14:paraId="10EE8B02" w14:textId="4D524B8C" w:rsidR="132F34F1" w:rsidRDefault="132F34F1" w:rsidP="132F34F1">
      <w:pPr>
        <w:rPr>
          <w:b/>
          <w:bCs/>
          <w:lang w:val="sr-Latn-CS"/>
        </w:rPr>
      </w:pPr>
      <w:r w:rsidRPr="132F34F1">
        <w:rPr>
          <w:b/>
          <w:bCs/>
          <w:lang w:val="sr-Latn-CS"/>
        </w:rPr>
        <w:t>Lista referenci</w:t>
      </w:r>
    </w:p>
    <w:p w14:paraId="5E572670" w14:textId="532C397D"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Strategija digitalne transformacije Crne Gore 2022–2026 </w:t>
      </w:r>
    </w:p>
    <w:p w14:paraId="60C41D08" w14:textId="2BDBDFB8"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Strategija pametne specijalizacije (S3) </w:t>
      </w:r>
    </w:p>
    <w:p w14:paraId="2FC33620" w14:textId="7F2C1604"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Strategija naučnoistraživačke djelatnosti Crne Gore 2024–2028 </w:t>
      </w:r>
    </w:p>
    <w:p w14:paraId="1DCEC4FD" w14:textId="65C8E6A5"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Program za nauku i inovacije 2026–2030 </w:t>
      </w:r>
    </w:p>
    <w:p w14:paraId="4078C82E" w14:textId="0241743E"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Mapa puta za istraživačku infrastrukturu Crne Gore </w:t>
      </w:r>
    </w:p>
    <w:p w14:paraId="2052145E" w14:textId="4E2F766C"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Strategija razvoja mikro, malih i srednjih preduzeća 2023–2026 </w:t>
      </w:r>
    </w:p>
    <w:p w14:paraId="6504FA5F" w14:textId="389FAC8C" w:rsidR="132F34F1" w:rsidRDefault="132F34F1" w:rsidP="132F34F1">
      <w:pPr>
        <w:pStyle w:val="Odlomakpopisa"/>
        <w:numPr>
          <w:ilvl w:val="0"/>
          <w:numId w:val="1"/>
        </w:numPr>
        <w:spacing w:after="0"/>
        <w:rPr>
          <w:sz w:val="20"/>
          <w:szCs w:val="20"/>
          <w:lang w:val="sr-Latn-CS"/>
        </w:rPr>
      </w:pPr>
      <w:r w:rsidRPr="132F34F1">
        <w:rPr>
          <w:sz w:val="20"/>
          <w:szCs w:val="20"/>
          <w:lang w:val="sr-Latn-CS"/>
        </w:rPr>
        <w:lastRenderedPageBreak/>
        <w:t xml:space="preserve">Strategija digitalizacije obrazovnog sistema 2022–2027 </w:t>
      </w:r>
    </w:p>
    <w:p w14:paraId="137F254F" w14:textId="1F3A6D24"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Strategija reforme obrazovanja 2025–2035 </w:t>
      </w:r>
    </w:p>
    <w:p w14:paraId="2C983F97" w14:textId="452934AE"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Strategija reforme javne uprave 2022–2026 </w:t>
      </w:r>
    </w:p>
    <w:p w14:paraId="146DC119" w14:textId="092EFFB8"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Strategija sajber bezbjednosti </w:t>
      </w:r>
    </w:p>
    <w:p w14:paraId="55DF8615" w14:textId="696FDD65"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Fiskalna strategija Crne Gore (2024–2027) </w:t>
      </w:r>
    </w:p>
    <w:p w14:paraId="509777D7" w14:textId="67A43647"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elektronskim komunikacijama </w:t>
      </w:r>
    </w:p>
    <w:p w14:paraId="6B7681D3" w14:textId="7D02D87A"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informacionoj bezbjednosti </w:t>
      </w:r>
    </w:p>
    <w:p w14:paraId="767BDF38" w14:textId="6B826321"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elektronskoj upravi </w:t>
      </w:r>
    </w:p>
    <w:p w14:paraId="13CBFC7B" w14:textId="10915EBB"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elektronskom dokumentu </w:t>
      </w:r>
    </w:p>
    <w:p w14:paraId="6474E644" w14:textId="7B551E65"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elektronskoj identifikaciji i elektronskom potpisu </w:t>
      </w:r>
    </w:p>
    <w:p w14:paraId="6190035F" w14:textId="6AB714B5"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podsticajnim mjerama za razvoj istraživanja i inovacijama </w:t>
      </w:r>
    </w:p>
    <w:p w14:paraId="40985B6B" w14:textId="36C41E9E"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inovacionoj djelatnosti </w:t>
      </w:r>
    </w:p>
    <w:p w14:paraId="0F88218A" w14:textId="5CE227EB"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naučnoistraživačkoj djelatnosti </w:t>
      </w:r>
    </w:p>
    <w:p w14:paraId="7159A3E5" w14:textId="5C3E3ABD"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Zakon o visokom obrazovanju </w:t>
      </w:r>
    </w:p>
    <w:p w14:paraId="78258EF4" w14:textId="074C090A" w:rsidR="132F34F1" w:rsidRDefault="132F34F1" w:rsidP="132F34F1">
      <w:pPr>
        <w:pStyle w:val="Odlomakpopisa"/>
        <w:numPr>
          <w:ilvl w:val="0"/>
          <w:numId w:val="1"/>
        </w:numPr>
        <w:spacing w:after="0"/>
        <w:rPr>
          <w:sz w:val="20"/>
          <w:szCs w:val="20"/>
          <w:lang w:val="sr-Latn-CS"/>
        </w:rPr>
      </w:pPr>
      <w:r w:rsidRPr="132F34F1">
        <w:rPr>
          <w:sz w:val="20"/>
          <w:szCs w:val="20"/>
          <w:lang w:val="sr-Latn-CS"/>
        </w:rPr>
        <w:t>Zakon o državnoj upravi</w:t>
      </w:r>
    </w:p>
    <w:p w14:paraId="374D569A" w14:textId="043D3AE8"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Reform and Growth Instrument for the Western Balkans </w:t>
      </w:r>
    </w:p>
    <w:p w14:paraId="1214C33B" w14:textId="7992E31C"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Decision (EU) 2022/2481 establishing the Digital Decade Policy Programme 2030 </w:t>
      </w:r>
    </w:p>
    <w:p w14:paraId="254B7C19" w14:textId="5A3E1594"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Digital Economy and Society Index (DESI) </w:t>
      </w:r>
    </w:p>
    <w:p w14:paraId="32AEA1D6" w14:textId="7DF7AA48"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State of the Digital Decade Report </w:t>
      </w:r>
    </w:p>
    <w:p w14:paraId="37D3D2E6" w14:textId="52CFABF4"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Directive (EU) 2018/1972 establishing the European Electronic Communications Code (EECC) </w:t>
      </w:r>
    </w:p>
    <w:p w14:paraId="6F660F54" w14:textId="536D2F47"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Gigabit Infrastructure Act (GIA) </w:t>
      </w:r>
    </w:p>
    <w:p w14:paraId="564244AF" w14:textId="04040BEC"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Directive (EU) 2022/2555 on measures for a high common level of cybersecurity across the Union (NIS2 Directive) </w:t>
      </w:r>
    </w:p>
    <w:p w14:paraId="1006C4B1" w14:textId="3C202F81"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Regulation (EU) No 910/2014 on electronic identification and trust services (eIDAS) / European Digital Identity (EUDI) Framework </w:t>
      </w:r>
    </w:p>
    <w:p w14:paraId="7B3D8D1C" w14:textId="45505545"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Interoperable Europe Act </w:t>
      </w:r>
    </w:p>
    <w:p w14:paraId="447A1623" w14:textId="4AB93D1B"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Regulation (EU) 2022/868 on European data governance (Data Governance Act) </w:t>
      </w:r>
    </w:p>
    <w:p w14:paraId="5ABA7E71" w14:textId="570B645B"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Regulation (EU) 2023/2854 on harmonised rules on fair access to and use of data (Data Act) </w:t>
      </w:r>
    </w:p>
    <w:p w14:paraId="62038F7E" w14:textId="26FBADC8"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Artificial Intelligence Act (AI Act) </w:t>
      </w:r>
    </w:p>
    <w:p w14:paraId="35C9DBA5" w14:textId="046330E9"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European Chips Act </w:t>
      </w:r>
    </w:p>
    <w:p w14:paraId="4BD14D8F" w14:textId="6A65DAD2"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EuroHPC Joint Undertaking </w:t>
      </w:r>
    </w:p>
    <w:p w14:paraId="0C67E23D" w14:textId="31E791C7"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Regulation (EU) 2022/2065 on a Single Market for Digital Services (Digital Services Act – DSA) </w:t>
      </w:r>
    </w:p>
    <w:p w14:paraId="4B2FA4E0" w14:textId="782EC2DD"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Regulation (EU) 2022/1925 on contestable and fair markets in the digital sector (Digital Markets Act – DMA) </w:t>
      </w:r>
    </w:p>
    <w:p w14:paraId="74BC2C48" w14:textId="0657E51F"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Digital Finance Strategy for the EU </w:t>
      </w:r>
    </w:p>
    <w:p w14:paraId="3B2AF3B4" w14:textId="3911C81A"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EU Strategy on Web 4.0 and Virtual Worlds </w:t>
      </w:r>
    </w:p>
    <w:p w14:paraId="1B4D7EFB" w14:textId="4A0276ED"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Regulation (EU) 2021/694 establishing the Digital Europe Programme </w:t>
      </w:r>
    </w:p>
    <w:p w14:paraId="269A51B2" w14:textId="177C7D1E"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Chips for Europe Initiative </w:t>
      </w:r>
    </w:p>
    <w:p w14:paraId="48F376A5" w14:textId="497B8A97"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Regional Cooperation Council (RCC) </w:t>
      </w:r>
    </w:p>
    <w:p w14:paraId="5C09D5D6" w14:textId="51D9F12C"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Central European Free Trade Agreement (CEFTA) </w:t>
      </w:r>
    </w:p>
    <w:p w14:paraId="07A0ACF3" w14:textId="401C1C3C"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Western Balkans DESI 2024 Report </w:t>
      </w:r>
    </w:p>
    <w:p w14:paraId="1C95EEAE" w14:textId="511597AD"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Common Regional Market Action Plan 2025–2028 </w:t>
      </w:r>
    </w:p>
    <w:p w14:paraId="1B435628" w14:textId="0607269C"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CEFTA E-commerce Initiatives </w:t>
      </w:r>
    </w:p>
    <w:p w14:paraId="7025C5E7" w14:textId="7235A657" w:rsidR="132F34F1" w:rsidRDefault="132F34F1" w:rsidP="132F34F1">
      <w:pPr>
        <w:pStyle w:val="Odlomakpopisa"/>
        <w:numPr>
          <w:ilvl w:val="0"/>
          <w:numId w:val="1"/>
        </w:numPr>
        <w:spacing w:after="0"/>
        <w:rPr>
          <w:sz w:val="20"/>
          <w:szCs w:val="20"/>
          <w:lang w:val="sr-Latn-CS"/>
        </w:rPr>
      </w:pPr>
      <w:r w:rsidRPr="132F34F1">
        <w:rPr>
          <w:sz w:val="20"/>
          <w:szCs w:val="20"/>
          <w:lang w:val="sr-Latn-CS"/>
        </w:rPr>
        <w:t xml:space="preserve">OECD Western Balkans Competitiveness Outlook 2024 </w:t>
      </w:r>
    </w:p>
    <w:p w14:paraId="31AFE09B" w14:textId="2AB4B08C" w:rsidR="132F34F1" w:rsidRDefault="132F34F1" w:rsidP="132F34F1">
      <w:pPr>
        <w:pStyle w:val="Odlomakpopisa"/>
        <w:numPr>
          <w:ilvl w:val="0"/>
          <w:numId w:val="1"/>
        </w:numPr>
        <w:spacing w:after="0"/>
        <w:rPr>
          <w:sz w:val="20"/>
          <w:szCs w:val="20"/>
          <w:lang w:val="sr-Latn-CS"/>
        </w:rPr>
      </w:pPr>
      <w:r w:rsidRPr="132F34F1">
        <w:rPr>
          <w:sz w:val="20"/>
          <w:szCs w:val="20"/>
          <w:lang w:val="sr-Latn-CS"/>
        </w:rPr>
        <w:t>ITU Montenegro Digital Development Country Profile 2023</w:t>
      </w:r>
    </w:p>
    <w:p w14:paraId="4EB7F993" w14:textId="1D6108DE" w:rsidR="00556815" w:rsidRPr="000065DA" w:rsidRDefault="132F34F1" w:rsidP="132F34F1">
      <w:pPr>
        <w:pStyle w:val="Odlomakpopisa"/>
        <w:numPr>
          <w:ilvl w:val="0"/>
          <w:numId w:val="1"/>
        </w:numPr>
        <w:rPr>
          <w:sz w:val="20"/>
          <w:szCs w:val="20"/>
          <w:lang w:val="sr-Latn-CS"/>
        </w:rPr>
      </w:pPr>
      <w:r w:rsidRPr="132F34F1">
        <w:rPr>
          <w:sz w:val="20"/>
          <w:szCs w:val="20"/>
          <w:lang w:val="sr-Latn-CS"/>
        </w:rPr>
        <w:t xml:space="preserve"> Evropska komisija, Izvještaj o Crnoj Gori za 2025. godinu</w:t>
      </w:r>
    </w:p>
    <w:p w14:paraId="4162A8DC" w14:textId="4DC00B78" w:rsidR="132F34F1" w:rsidRDefault="132F34F1" w:rsidP="132F34F1">
      <w:pPr>
        <w:pStyle w:val="Odlomakpopisa"/>
        <w:ind w:left="360"/>
        <w:rPr>
          <w:lang w:val="sr-Latn-CS"/>
        </w:rPr>
      </w:pPr>
    </w:p>
    <w:sectPr w:rsidR="132F34F1" w:rsidSect="009313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E1E92" w14:textId="77777777" w:rsidR="00ED5560" w:rsidRDefault="00ED5560" w:rsidP="00E30A6E">
      <w:pPr>
        <w:spacing w:after="0" w:line="240" w:lineRule="auto"/>
      </w:pPr>
      <w:r>
        <w:separator/>
      </w:r>
    </w:p>
  </w:endnote>
  <w:endnote w:type="continuationSeparator" w:id="0">
    <w:p w14:paraId="4307D2FC" w14:textId="77777777" w:rsidR="00ED5560" w:rsidRDefault="00ED5560" w:rsidP="00E30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2C1D" w14:textId="77777777" w:rsidR="00ED5560" w:rsidRDefault="00ED5560" w:rsidP="00E30A6E">
      <w:pPr>
        <w:spacing w:after="0" w:line="240" w:lineRule="auto"/>
      </w:pPr>
      <w:r>
        <w:separator/>
      </w:r>
    </w:p>
  </w:footnote>
  <w:footnote w:type="continuationSeparator" w:id="0">
    <w:p w14:paraId="07FAC217" w14:textId="77777777" w:rsidR="00ED5560" w:rsidRDefault="00ED5560" w:rsidP="00E30A6E">
      <w:pPr>
        <w:spacing w:after="0" w:line="240" w:lineRule="auto"/>
      </w:pPr>
      <w:r>
        <w:continuationSeparator/>
      </w:r>
    </w:p>
  </w:footnote>
  <w:footnote w:id="1">
    <w:p w14:paraId="4919FDAB" w14:textId="38DA8D32" w:rsidR="00E30A6E" w:rsidRPr="00E30A6E" w:rsidRDefault="00E30A6E">
      <w:pPr>
        <w:pStyle w:val="Tekstfusnote"/>
        <w:rPr>
          <w:lang w:val="pt-BR"/>
        </w:rPr>
      </w:pPr>
      <w:r>
        <w:rPr>
          <w:rStyle w:val="Referencafusnote"/>
        </w:rPr>
        <w:footnoteRef/>
      </w:r>
      <w:r w:rsidRPr="00E30A6E">
        <w:rPr>
          <w:lang w:val="pt-BR"/>
        </w:rPr>
        <w:t xml:space="preserve">  Podatak za Crnu Goru nije dostupan za posljednje godine u odgovarajućem Eurostat datasetu.</w:t>
      </w:r>
    </w:p>
  </w:footnote>
  <w:footnote w:id="2">
    <w:p w14:paraId="1544842E" w14:textId="58B4BF60" w:rsidR="00E30A6E" w:rsidRPr="00E30A6E" w:rsidRDefault="00E30A6E">
      <w:pPr>
        <w:pStyle w:val="Tekstfusnote"/>
        <w:rPr>
          <w:lang w:val="pt-BR"/>
        </w:rPr>
      </w:pPr>
      <w:r>
        <w:rPr>
          <w:rStyle w:val="Referencafusnote"/>
        </w:rPr>
        <w:footnoteRef/>
      </w:r>
      <w:r w:rsidRPr="00E30A6E">
        <w:rPr>
          <w:lang w:val="pt-BR"/>
        </w:rPr>
        <w:t xml:space="preserve"> Podatak za Crnu Goru preuzet iz nacionalnog regulatornog izvora i nije metodološki identičan EU indikatoru.</w:t>
      </w:r>
    </w:p>
  </w:footnote>
  <w:footnote w:id="3">
    <w:p w14:paraId="6EE9F3FB" w14:textId="69861A88" w:rsidR="00E30A6E" w:rsidRPr="00E30A6E" w:rsidRDefault="00E30A6E">
      <w:pPr>
        <w:pStyle w:val="Tekstfusnote"/>
        <w:rPr>
          <w:lang w:val="pt-BR"/>
        </w:rPr>
      </w:pPr>
      <w:r>
        <w:rPr>
          <w:rStyle w:val="Referencafusnote"/>
        </w:rPr>
        <w:footnoteRef/>
      </w:r>
      <w:r w:rsidRPr="00E30A6E">
        <w:rPr>
          <w:lang w:val="pt-BR"/>
        </w:rPr>
        <w:t xml:space="preserve">  Posljednji raspoloživi podatak za Crnu Goru odnosi se na 2019. godinu.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5440B"/>
    <w:multiLevelType w:val="multilevel"/>
    <w:tmpl w:val="041A0025"/>
    <w:lvl w:ilvl="0">
      <w:start w:val="1"/>
      <w:numFmt w:val="decimal"/>
      <w:pStyle w:val="Naslov1"/>
      <w:lvlText w:val="%1"/>
      <w:lvlJc w:val="left"/>
      <w:pPr>
        <w:ind w:left="52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4D98AABE"/>
    <w:multiLevelType w:val="hybridMultilevel"/>
    <w:tmpl w:val="52B420FE"/>
    <w:lvl w:ilvl="0" w:tplc="F500B0FE">
      <w:start w:val="1"/>
      <w:numFmt w:val="bullet"/>
      <w:lvlText w:val=""/>
      <w:lvlJc w:val="left"/>
      <w:pPr>
        <w:ind w:left="720" w:hanging="360"/>
      </w:pPr>
      <w:rPr>
        <w:rFonts w:ascii="Symbol" w:hAnsi="Symbol" w:hint="default"/>
      </w:rPr>
    </w:lvl>
    <w:lvl w:ilvl="1" w:tplc="B2A85BD2">
      <w:start w:val="1"/>
      <w:numFmt w:val="bullet"/>
      <w:lvlText w:val="o"/>
      <w:lvlJc w:val="left"/>
      <w:pPr>
        <w:ind w:left="1440" w:hanging="360"/>
      </w:pPr>
      <w:rPr>
        <w:rFonts w:ascii="Courier New" w:hAnsi="Courier New" w:hint="default"/>
      </w:rPr>
    </w:lvl>
    <w:lvl w:ilvl="2" w:tplc="1A28C752">
      <w:start w:val="1"/>
      <w:numFmt w:val="bullet"/>
      <w:lvlText w:val=""/>
      <w:lvlJc w:val="left"/>
      <w:pPr>
        <w:ind w:left="2160" w:hanging="360"/>
      </w:pPr>
      <w:rPr>
        <w:rFonts w:ascii="Wingdings" w:hAnsi="Wingdings" w:hint="default"/>
      </w:rPr>
    </w:lvl>
    <w:lvl w:ilvl="3" w:tplc="4A2AB4B2">
      <w:start w:val="1"/>
      <w:numFmt w:val="bullet"/>
      <w:lvlText w:val=""/>
      <w:lvlJc w:val="left"/>
      <w:pPr>
        <w:ind w:left="2880" w:hanging="360"/>
      </w:pPr>
      <w:rPr>
        <w:rFonts w:ascii="Symbol" w:hAnsi="Symbol" w:hint="default"/>
      </w:rPr>
    </w:lvl>
    <w:lvl w:ilvl="4" w:tplc="C100AB62">
      <w:start w:val="1"/>
      <w:numFmt w:val="bullet"/>
      <w:lvlText w:val="o"/>
      <w:lvlJc w:val="left"/>
      <w:pPr>
        <w:ind w:left="3600" w:hanging="360"/>
      </w:pPr>
      <w:rPr>
        <w:rFonts w:ascii="Courier New" w:hAnsi="Courier New" w:hint="default"/>
      </w:rPr>
    </w:lvl>
    <w:lvl w:ilvl="5" w:tplc="7442762C">
      <w:start w:val="1"/>
      <w:numFmt w:val="bullet"/>
      <w:lvlText w:val=""/>
      <w:lvlJc w:val="left"/>
      <w:pPr>
        <w:ind w:left="4320" w:hanging="360"/>
      </w:pPr>
      <w:rPr>
        <w:rFonts w:ascii="Wingdings" w:hAnsi="Wingdings" w:hint="default"/>
      </w:rPr>
    </w:lvl>
    <w:lvl w:ilvl="6" w:tplc="14B6F8D2">
      <w:start w:val="1"/>
      <w:numFmt w:val="bullet"/>
      <w:lvlText w:val=""/>
      <w:lvlJc w:val="left"/>
      <w:pPr>
        <w:ind w:left="5040" w:hanging="360"/>
      </w:pPr>
      <w:rPr>
        <w:rFonts w:ascii="Symbol" w:hAnsi="Symbol" w:hint="default"/>
      </w:rPr>
    </w:lvl>
    <w:lvl w:ilvl="7" w:tplc="17BAAFBC">
      <w:start w:val="1"/>
      <w:numFmt w:val="bullet"/>
      <w:lvlText w:val="o"/>
      <w:lvlJc w:val="left"/>
      <w:pPr>
        <w:ind w:left="5760" w:hanging="360"/>
      </w:pPr>
      <w:rPr>
        <w:rFonts w:ascii="Courier New" w:hAnsi="Courier New" w:hint="default"/>
      </w:rPr>
    </w:lvl>
    <w:lvl w:ilvl="8" w:tplc="372A9AFC">
      <w:start w:val="1"/>
      <w:numFmt w:val="bullet"/>
      <w:lvlText w:val=""/>
      <w:lvlJc w:val="left"/>
      <w:pPr>
        <w:ind w:left="6480" w:hanging="360"/>
      </w:pPr>
      <w:rPr>
        <w:rFonts w:ascii="Wingdings" w:hAnsi="Wingdings" w:hint="default"/>
      </w:rPr>
    </w:lvl>
  </w:abstractNum>
  <w:abstractNum w:abstractNumId="2" w15:restartNumberingAfterBreak="0">
    <w:nsid w:val="77A2E8D3"/>
    <w:multiLevelType w:val="hybridMultilevel"/>
    <w:tmpl w:val="48AEB38A"/>
    <w:lvl w:ilvl="0" w:tplc="6024ADAA">
      <w:start w:val="1"/>
      <w:numFmt w:val="bullet"/>
      <w:lvlText w:val=""/>
      <w:lvlJc w:val="left"/>
      <w:pPr>
        <w:ind w:left="720" w:hanging="360"/>
      </w:pPr>
      <w:rPr>
        <w:rFonts w:ascii="Symbol" w:hAnsi="Symbol" w:hint="default"/>
      </w:rPr>
    </w:lvl>
    <w:lvl w:ilvl="1" w:tplc="FB9C2790">
      <w:start w:val="1"/>
      <w:numFmt w:val="bullet"/>
      <w:lvlText w:val="o"/>
      <w:lvlJc w:val="left"/>
      <w:pPr>
        <w:ind w:left="1440" w:hanging="360"/>
      </w:pPr>
      <w:rPr>
        <w:rFonts w:ascii="Courier New" w:hAnsi="Courier New" w:hint="default"/>
      </w:rPr>
    </w:lvl>
    <w:lvl w:ilvl="2" w:tplc="2E7A54B4">
      <w:start w:val="1"/>
      <w:numFmt w:val="bullet"/>
      <w:lvlText w:val=""/>
      <w:lvlJc w:val="left"/>
      <w:pPr>
        <w:ind w:left="2160" w:hanging="360"/>
      </w:pPr>
      <w:rPr>
        <w:rFonts w:ascii="Wingdings" w:hAnsi="Wingdings" w:hint="default"/>
      </w:rPr>
    </w:lvl>
    <w:lvl w:ilvl="3" w:tplc="EA7A01F0">
      <w:start w:val="1"/>
      <w:numFmt w:val="bullet"/>
      <w:lvlText w:val=""/>
      <w:lvlJc w:val="left"/>
      <w:pPr>
        <w:ind w:left="2880" w:hanging="360"/>
      </w:pPr>
      <w:rPr>
        <w:rFonts w:ascii="Symbol" w:hAnsi="Symbol" w:hint="default"/>
      </w:rPr>
    </w:lvl>
    <w:lvl w:ilvl="4" w:tplc="A888FFF2">
      <w:start w:val="1"/>
      <w:numFmt w:val="bullet"/>
      <w:lvlText w:val="o"/>
      <w:lvlJc w:val="left"/>
      <w:pPr>
        <w:ind w:left="3600" w:hanging="360"/>
      </w:pPr>
      <w:rPr>
        <w:rFonts w:ascii="Courier New" w:hAnsi="Courier New" w:hint="default"/>
      </w:rPr>
    </w:lvl>
    <w:lvl w:ilvl="5" w:tplc="72989AD0">
      <w:start w:val="1"/>
      <w:numFmt w:val="bullet"/>
      <w:lvlText w:val=""/>
      <w:lvlJc w:val="left"/>
      <w:pPr>
        <w:ind w:left="4320" w:hanging="360"/>
      </w:pPr>
      <w:rPr>
        <w:rFonts w:ascii="Wingdings" w:hAnsi="Wingdings" w:hint="default"/>
      </w:rPr>
    </w:lvl>
    <w:lvl w:ilvl="6" w:tplc="C8D411BE">
      <w:start w:val="1"/>
      <w:numFmt w:val="bullet"/>
      <w:lvlText w:val=""/>
      <w:lvlJc w:val="left"/>
      <w:pPr>
        <w:ind w:left="5040" w:hanging="360"/>
      </w:pPr>
      <w:rPr>
        <w:rFonts w:ascii="Symbol" w:hAnsi="Symbol" w:hint="default"/>
      </w:rPr>
    </w:lvl>
    <w:lvl w:ilvl="7" w:tplc="024A4CD8">
      <w:start w:val="1"/>
      <w:numFmt w:val="bullet"/>
      <w:lvlText w:val="o"/>
      <w:lvlJc w:val="left"/>
      <w:pPr>
        <w:ind w:left="5760" w:hanging="360"/>
      </w:pPr>
      <w:rPr>
        <w:rFonts w:ascii="Courier New" w:hAnsi="Courier New" w:hint="default"/>
      </w:rPr>
    </w:lvl>
    <w:lvl w:ilvl="8" w:tplc="517ED348">
      <w:start w:val="1"/>
      <w:numFmt w:val="bullet"/>
      <w:lvlText w:val=""/>
      <w:lvlJc w:val="left"/>
      <w:pPr>
        <w:ind w:left="6480" w:hanging="360"/>
      </w:pPr>
      <w:rPr>
        <w:rFonts w:ascii="Wingdings" w:hAnsi="Wingdings" w:hint="default"/>
      </w:rPr>
    </w:lvl>
  </w:abstractNum>
  <w:abstractNum w:abstractNumId="3" w15:restartNumberingAfterBreak="0">
    <w:nsid w:val="7BD62327"/>
    <w:multiLevelType w:val="hybridMultilevel"/>
    <w:tmpl w:val="B33C7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8375051">
    <w:abstractNumId w:val="2"/>
  </w:num>
  <w:num w:numId="2" w16cid:durableId="1653674499">
    <w:abstractNumId w:val="1"/>
  </w:num>
  <w:num w:numId="3" w16cid:durableId="214463924">
    <w:abstractNumId w:val="0"/>
  </w:num>
  <w:num w:numId="4" w16cid:durableId="16676332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11542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090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F5"/>
    <w:rsid w:val="000065DA"/>
    <w:rsid w:val="00015AAC"/>
    <w:rsid w:val="000510AE"/>
    <w:rsid w:val="001103DA"/>
    <w:rsid w:val="00112D31"/>
    <w:rsid w:val="00166FFD"/>
    <w:rsid w:val="00183EC1"/>
    <w:rsid w:val="001900A2"/>
    <w:rsid w:val="001A141C"/>
    <w:rsid w:val="001B451D"/>
    <w:rsid w:val="001F17F0"/>
    <w:rsid w:val="002028C5"/>
    <w:rsid w:val="0021066E"/>
    <w:rsid w:val="00236AA5"/>
    <w:rsid w:val="00254E76"/>
    <w:rsid w:val="002668EB"/>
    <w:rsid w:val="002A663A"/>
    <w:rsid w:val="002D6FE8"/>
    <w:rsid w:val="00313B19"/>
    <w:rsid w:val="003630F9"/>
    <w:rsid w:val="004C511A"/>
    <w:rsid w:val="004C59DC"/>
    <w:rsid w:val="004D7B74"/>
    <w:rsid w:val="00556815"/>
    <w:rsid w:val="00557BED"/>
    <w:rsid w:val="00602BBA"/>
    <w:rsid w:val="00672BA3"/>
    <w:rsid w:val="0067459B"/>
    <w:rsid w:val="00692DB9"/>
    <w:rsid w:val="006A1BFC"/>
    <w:rsid w:val="006A6DBF"/>
    <w:rsid w:val="00704436"/>
    <w:rsid w:val="007261C4"/>
    <w:rsid w:val="007549D0"/>
    <w:rsid w:val="00773918"/>
    <w:rsid w:val="00792BB6"/>
    <w:rsid w:val="007F7A7F"/>
    <w:rsid w:val="00811E78"/>
    <w:rsid w:val="008303E8"/>
    <w:rsid w:val="00853E01"/>
    <w:rsid w:val="0086076B"/>
    <w:rsid w:val="008710AA"/>
    <w:rsid w:val="0087152E"/>
    <w:rsid w:val="008734C7"/>
    <w:rsid w:val="00873E08"/>
    <w:rsid w:val="00891406"/>
    <w:rsid w:val="008939F2"/>
    <w:rsid w:val="008B7A1C"/>
    <w:rsid w:val="008B7ED1"/>
    <w:rsid w:val="008D1C30"/>
    <w:rsid w:val="008F2725"/>
    <w:rsid w:val="0093136E"/>
    <w:rsid w:val="00935F09"/>
    <w:rsid w:val="00941CF7"/>
    <w:rsid w:val="009441AF"/>
    <w:rsid w:val="009A0264"/>
    <w:rsid w:val="009B52A2"/>
    <w:rsid w:val="00A1491C"/>
    <w:rsid w:val="00AC2979"/>
    <w:rsid w:val="00B122B4"/>
    <w:rsid w:val="00B17B5B"/>
    <w:rsid w:val="00B21775"/>
    <w:rsid w:val="00B722BD"/>
    <w:rsid w:val="00B95CA5"/>
    <w:rsid w:val="00B96841"/>
    <w:rsid w:val="00BA3BA7"/>
    <w:rsid w:val="00BD1487"/>
    <w:rsid w:val="00C121D4"/>
    <w:rsid w:val="00C15474"/>
    <w:rsid w:val="00C203D2"/>
    <w:rsid w:val="00C94037"/>
    <w:rsid w:val="00D01F76"/>
    <w:rsid w:val="00D50D13"/>
    <w:rsid w:val="00D9451C"/>
    <w:rsid w:val="00DB04A9"/>
    <w:rsid w:val="00DE7BAC"/>
    <w:rsid w:val="00E30A6E"/>
    <w:rsid w:val="00E4050B"/>
    <w:rsid w:val="00E43135"/>
    <w:rsid w:val="00E4430A"/>
    <w:rsid w:val="00E92DFE"/>
    <w:rsid w:val="00ED5560"/>
    <w:rsid w:val="00EF1F01"/>
    <w:rsid w:val="00EF5117"/>
    <w:rsid w:val="00F26CA7"/>
    <w:rsid w:val="00F4622C"/>
    <w:rsid w:val="00F579F5"/>
    <w:rsid w:val="00FB2A2B"/>
    <w:rsid w:val="132F34F1"/>
    <w:rsid w:val="16B6B9BC"/>
    <w:rsid w:val="576B6BB7"/>
    <w:rsid w:val="5B34FFAC"/>
    <w:rsid w:val="6D5CF3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2E6B"/>
  <w15:chartTrackingRefBased/>
  <w15:docId w15:val="{95921294-6A19-4CD1-9D16-38096EAC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0AA"/>
    <w:pPr>
      <w:jc w:val="both"/>
    </w:pPr>
    <w:rPr>
      <w:sz w:val="22"/>
    </w:rPr>
  </w:style>
  <w:style w:type="paragraph" w:styleId="Naslov1">
    <w:name w:val="heading 1"/>
    <w:basedOn w:val="Normal"/>
    <w:next w:val="Normal"/>
    <w:link w:val="Naslov1Char"/>
    <w:uiPriority w:val="9"/>
    <w:qFormat/>
    <w:rsid w:val="00F579F5"/>
    <w:pPr>
      <w:keepNext/>
      <w:keepLines/>
      <w:numPr>
        <w:numId w:val="3"/>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F579F5"/>
    <w:pPr>
      <w:keepNext/>
      <w:keepLines/>
      <w:numPr>
        <w:ilvl w:val="1"/>
        <w:numId w:val="3"/>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F579F5"/>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579F5"/>
    <w:pPr>
      <w:keepNext/>
      <w:keepLines/>
      <w:numPr>
        <w:ilvl w:val="3"/>
        <w:numId w:val="3"/>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579F5"/>
    <w:pPr>
      <w:keepNext/>
      <w:keepLines/>
      <w:numPr>
        <w:ilvl w:val="4"/>
        <w:numId w:val="3"/>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579F5"/>
    <w:pPr>
      <w:keepNext/>
      <w:keepLines/>
      <w:numPr>
        <w:ilvl w:val="5"/>
        <w:numId w:val="3"/>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579F5"/>
    <w:pPr>
      <w:keepNext/>
      <w:keepLines/>
      <w:numPr>
        <w:ilvl w:val="6"/>
        <w:numId w:val="3"/>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579F5"/>
    <w:pPr>
      <w:keepNext/>
      <w:keepLines/>
      <w:numPr>
        <w:ilvl w:val="7"/>
        <w:numId w:val="3"/>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579F5"/>
    <w:pPr>
      <w:keepNext/>
      <w:keepLines/>
      <w:numPr>
        <w:ilvl w:val="8"/>
        <w:numId w:val="3"/>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579F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F579F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F579F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579F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579F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579F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579F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579F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579F5"/>
    <w:rPr>
      <w:rFonts w:eastAsiaTheme="majorEastAsia" w:cstheme="majorBidi"/>
      <w:color w:val="272727" w:themeColor="text1" w:themeTint="D8"/>
    </w:rPr>
  </w:style>
  <w:style w:type="paragraph" w:styleId="Naslov">
    <w:name w:val="Title"/>
    <w:basedOn w:val="Normal"/>
    <w:next w:val="Normal"/>
    <w:link w:val="NaslovChar"/>
    <w:uiPriority w:val="10"/>
    <w:qFormat/>
    <w:rsid w:val="00F57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579F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579F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579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79F5"/>
    <w:pPr>
      <w:spacing w:before="160"/>
      <w:jc w:val="center"/>
    </w:pPr>
    <w:rPr>
      <w:i/>
      <w:iCs/>
      <w:color w:val="404040" w:themeColor="text1" w:themeTint="BF"/>
    </w:rPr>
  </w:style>
  <w:style w:type="character" w:customStyle="1" w:styleId="CitatChar">
    <w:name w:val="Citat Char"/>
    <w:basedOn w:val="Zadanifontodlomka"/>
    <w:link w:val="Citat"/>
    <w:uiPriority w:val="29"/>
    <w:rsid w:val="00F579F5"/>
    <w:rPr>
      <w:i/>
      <w:iCs/>
      <w:color w:val="404040" w:themeColor="text1" w:themeTint="BF"/>
    </w:rPr>
  </w:style>
  <w:style w:type="paragraph" w:styleId="Odlomakpopisa">
    <w:name w:val="List Paragraph"/>
    <w:basedOn w:val="Normal"/>
    <w:uiPriority w:val="34"/>
    <w:qFormat/>
    <w:rsid w:val="00F579F5"/>
    <w:pPr>
      <w:ind w:left="720"/>
      <w:contextualSpacing/>
    </w:pPr>
  </w:style>
  <w:style w:type="character" w:styleId="Jakoisticanje">
    <w:name w:val="Intense Emphasis"/>
    <w:basedOn w:val="Zadanifontodlomka"/>
    <w:uiPriority w:val="21"/>
    <w:qFormat/>
    <w:rsid w:val="00F579F5"/>
    <w:rPr>
      <w:i/>
      <w:iCs/>
      <w:color w:val="0F4761" w:themeColor="accent1" w:themeShade="BF"/>
    </w:rPr>
  </w:style>
  <w:style w:type="paragraph" w:styleId="Naglaencitat">
    <w:name w:val="Intense Quote"/>
    <w:basedOn w:val="Normal"/>
    <w:next w:val="Normal"/>
    <w:link w:val="NaglaencitatChar"/>
    <w:uiPriority w:val="30"/>
    <w:qFormat/>
    <w:rsid w:val="00F57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579F5"/>
    <w:rPr>
      <w:i/>
      <w:iCs/>
      <w:color w:val="0F4761" w:themeColor="accent1" w:themeShade="BF"/>
    </w:rPr>
  </w:style>
  <w:style w:type="character" w:styleId="Istaknutareferenca">
    <w:name w:val="Intense Reference"/>
    <w:basedOn w:val="Zadanifontodlomka"/>
    <w:uiPriority w:val="32"/>
    <w:qFormat/>
    <w:rsid w:val="00F579F5"/>
    <w:rPr>
      <w:b/>
      <w:bCs/>
      <w:smallCaps/>
      <w:color w:val="0F4761" w:themeColor="accent1" w:themeShade="BF"/>
      <w:spacing w:val="5"/>
    </w:rPr>
  </w:style>
  <w:style w:type="table" w:styleId="Reetkatablice">
    <w:name w:val="Table Grid"/>
    <w:basedOn w:val="Obinatablica"/>
    <w:uiPriority w:val="39"/>
    <w:rsid w:val="00F5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EF5117"/>
    <w:rPr>
      <w:b/>
      <w:bCs/>
    </w:rPr>
  </w:style>
  <w:style w:type="paragraph" w:styleId="StandardWeb">
    <w:name w:val="Normal (Web)"/>
    <w:basedOn w:val="Normal"/>
    <w:uiPriority w:val="99"/>
    <w:unhideWhenUsed/>
    <w:rsid w:val="00EF5117"/>
    <w:pPr>
      <w:spacing w:before="100" w:beforeAutospacing="1" w:after="100" w:afterAutospacing="1" w:line="240" w:lineRule="auto"/>
    </w:pPr>
    <w:rPr>
      <w:rFonts w:ascii="Times New Roman" w:eastAsia="Times New Roman" w:hAnsi="Times New Roman" w:cs="Times New Roman"/>
      <w:lang w:val="en-US"/>
      <w14:ligatures w14:val="none"/>
    </w:rPr>
  </w:style>
  <w:style w:type="character" w:styleId="Hiperveza">
    <w:name w:val="Hyperlink"/>
    <w:basedOn w:val="Zadanifontodlomka"/>
    <w:uiPriority w:val="99"/>
    <w:unhideWhenUsed/>
    <w:rsid w:val="00556815"/>
    <w:rPr>
      <w:color w:val="467886" w:themeColor="hyperlink"/>
      <w:u w:val="single"/>
    </w:rPr>
  </w:style>
  <w:style w:type="character" w:styleId="Nerijeenospominjanje">
    <w:name w:val="Unresolved Mention"/>
    <w:basedOn w:val="Zadanifontodlomka"/>
    <w:uiPriority w:val="99"/>
    <w:semiHidden/>
    <w:unhideWhenUsed/>
    <w:rsid w:val="00556815"/>
    <w:rPr>
      <w:color w:val="605E5C"/>
      <w:shd w:val="clear" w:color="auto" w:fill="E1DFDD"/>
    </w:rPr>
  </w:style>
  <w:style w:type="character" w:styleId="Istaknuto">
    <w:name w:val="Emphasis"/>
    <w:basedOn w:val="Zadanifontodlomka"/>
    <w:uiPriority w:val="20"/>
    <w:qFormat/>
    <w:rsid w:val="008939F2"/>
    <w:rPr>
      <w:i/>
      <w:iCs/>
    </w:rPr>
  </w:style>
  <w:style w:type="paragraph" w:styleId="Tekstfusnote">
    <w:name w:val="footnote text"/>
    <w:basedOn w:val="Normal"/>
    <w:link w:val="TekstfusnoteChar"/>
    <w:uiPriority w:val="99"/>
    <w:semiHidden/>
    <w:unhideWhenUsed/>
    <w:rsid w:val="00E30A6E"/>
    <w:pPr>
      <w:spacing w:after="0" w:line="240" w:lineRule="auto"/>
    </w:pPr>
    <w:rPr>
      <w:sz w:val="20"/>
      <w:szCs w:val="20"/>
    </w:rPr>
  </w:style>
  <w:style w:type="character" w:customStyle="1" w:styleId="TekstfusnoteChar">
    <w:name w:val="Tekst fusnote Char"/>
    <w:basedOn w:val="Zadanifontodlomka"/>
    <w:link w:val="Tekstfusnote"/>
    <w:uiPriority w:val="99"/>
    <w:semiHidden/>
    <w:rsid w:val="00E30A6E"/>
    <w:rPr>
      <w:sz w:val="20"/>
      <w:szCs w:val="20"/>
    </w:rPr>
  </w:style>
  <w:style w:type="character" w:styleId="Referencafusnote">
    <w:name w:val="footnote reference"/>
    <w:basedOn w:val="Zadanifontodlomka"/>
    <w:uiPriority w:val="99"/>
    <w:semiHidden/>
    <w:unhideWhenUsed/>
    <w:rsid w:val="00E30A6E"/>
    <w:rPr>
      <w:vertAlign w:val="superscript"/>
    </w:rPr>
  </w:style>
  <w:style w:type="character" w:styleId="SlijeenaHiperveza">
    <w:name w:val="FollowedHyperlink"/>
    <w:basedOn w:val="Zadanifontodlomka"/>
    <w:uiPriority w:val="99"/>
    <w:semiHidden/>
    <w:unhideWhenUsed/>
    <w:rsid w:val="00D01F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decade-desi.digital-strategy.ec.europa.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2C791-A550-480E-A2CD-A2DA3830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4896</Words>
  <Characters>27913</Characters>
  <Application>Microsoft Office Word</Application>
  <DocSecurity>0</DocSecurity>
  <Lines>232</Lines>
  <Paragraphs>65</Paragraphs>
  <ScaleCrop>false</ScaleCrop>
  <Company/>
  <LinksUpToDate>false</LinksUpToDate>
  <CharactersWithSpaces>32744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Ivancic</dc:creator>
  <cp:keywords/>
  <dc:description/>
  <cp:lastModifiedBy>Krešimir Ivančić</cp:lastModifiedBy>
  <cp:revision>38</cp:revision>
  <dcterms:created xsi:type="dcterms:W3CDTF">2026-04-17T07:15:00Z</dcterms:created>
  <dcterms:modified xsi:type="dcterms:W3CDTF">2026-04-29T04:46:00Z</dcterms:modified>
</cp:coreProperties>
</file>