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69E2E" w14:textId="3C0409C7" w:rsidR="009C3565" w:rsidRPr="009C3565" w:rsidRDefault="009C3565" w:rsidP="009C3565">
      <w:pPr>
        <w:jc w:val="center"/>
        <w:rPr>
          <w:lang w:val="sr-Latn-ME"/>
        </w:rPr>
      </w:pPr>
      <w:r w:rsidRPr="009C3565">
        <w:rPr>
          <w:noProof/>
          <w:lang w:val="sr-Latn-ME"/>
        </w:rPr>
        <w:drawing>
          <wp:inline distT="0" distB="0" distL="0" distR="0" wp14:anchorId="437066A2" wp14:editId="4A1E1D4F">
            <wp:extent cx="4177324" cy="2088662"/>
            <wp:effectExtent l="0" t="0" r="0" b="0"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B462C3E9-0F16-3A9C-C01E-9CF55F5E68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B462C3E9-0F16-3A9C-C01E-9CF55F5E68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7324" cy="2088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3565">
        <w:rPr>
          <w:noProof/>
          <w:lang w:val="sr-Latn-ME"/>
        </w:rPr>
        <w:drawing>
          <wp:inline distT="0" distB="0" distL="0" distR="0" wp14:anchorId="25620CB6" wp14:editId="27C497E6">
            <wp:extent cx="5755640" cy="5755640"/>
            <wp:effectExtent l="0" t="0" r="0" b="0"/>
            <wp:docPr id="202250508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575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E8D91" w14:textId="77777777" w:rsidR="009C3565" w:rsidRPr="009C3565" w:rsidRDefault="009C3565">
      <w:pPr>
        <w:rPr>
          <w:lang w:val="sr-Latn-ME"/>
        </w:rPr>
      </w:pPr>
    </w:p>
    <w:p w14:paraId="432C6DBA" w14:textId="77777777" w:rsidR="009C3565" w:rsidRPr="009C3565" w:rsidRDefault="009C3565">
      <w:pPr>
        <w:rPr>
          <w:lang w:val="sr-Latn-ME"/>
        </w:rPr>
      </w:pPr>
    </w:p>
    <w:p w14:paraId="1B361F6A" w14:textId="56F9AB46" w:rsidR="009C3565" w:rsidRPr="009C3565" w:rsidRDefault="009C3565">
      <w:pPr>
        <w:rPr>
          <w:lang w:val="sr-Latn-ME"/>
        </w:rPr>
      </w:pPr>
      <w:r w:rsidRPr="009C3565">
        <w:rPr>
          <w:lang w:val="sr-Latn-ME"/>
        </w:rPr>
        <w:br w:type="page"/>
      </w:r>
    </w:p>
    <w:p w14:paraId="6B615FC9" w14:textId="64BD18D5" w:rsidR="00F579F5" w:rsidRPr="009C3565" w:rsidRDefault="33781F68" w:rsidP="00F579F5">
      <w:pPr>
        <w:pStyle w:val="Heading1"/>
        <w:rPr>
          <w:rFonts w:asciiTheme="minorHAnsi" w:hAnsiTheme="minorHAnsi"/>
          <w:lang w:val="sr-Latn-ME"/>
        </w:rPr>
      </w:pPr>
      <w:r w:rsidRPr="009C3565">
        <w:rPr>
          <w:rFonts w:asciiTheme="minorHAnsi" w:hAnsiTheme="minorHAnsi"/>
          <w:lang w:val="sr-Latn-ME"/>
        </w:rPr>
        <w:lastRenderedPageBreak/>
        <w:t>Uvod i važnost</w:t>
      </w:r>
    </w:p>
    <w:p w14:paraId="7C6479B4" w14:textId="28372210" w:rsidR="33781F68" w:rsidRPr="009C3565" w:rsidRDefault="33781F68" w:rsidP="009C3565">
      <w:pPr>
        <w:rPr>
          <w:lang w:val="sr-Latn-ME"/>
        </w:rPr>
      </w:pPr>
      <w:r w:rsidRPr="009C3565">
        <w:rPr>
          <w:lang w:val="sr-Latn-ME"/>
        </w:rPr>
        <w:t>Situaciona analiza predstavlja analitičku osnovu za pripremu Strateškog planskog dokumenta Crne Gore za potrebe korišćenja fondova Evropske unije u okviru budućeg Nacionalnog i regionalnog partnerskog plana. Njena svrha je da, na sistematičan i na dokazima zasnovan način, identifikuje glavne razvojne izazove, potrebe, ciljne grupe, razvojne nejednakosti i investiciona uska grla u okviru predmetne oblasti politike, uzimajući u obzir ekonomske, socijalne, teritorijalne i, gdje je relevantno, ekološke dimenzije razvoja.</w:t>
      </w:r>
    </w:p>
    <w:p w14:paraId="27AA0492" w14:textId="1F9C1325" w:rsidR="33781F68" w:rsidRPr="009C3565" w:rsidRDefault="33781F68" w:rsidP="009C3565">
      <w:pPr>
        <w:rPr>
          <w:lang w:val="sr-Latn-ME"/>
        </w:rPr>
      </w:pPr>
      <w:r w:rsidRPr="009C3565">
        <w:rPr>
          <w:lang w:val="sr-Latn-ME"/>
        </w:rPr>
        <w:t>Značaj situacione analize dodatno proizlazi iz činjenice da je Strateški planski dokument prepoznat od strane Evropske komisije kao jedan od ključnih elemenata za ispunjenje mjerila za zatvaranje Poglavlja 22 – Regionalna politika i koordinacija strukturnih instrumenata, konkretno mjerila 2. Evropska komisija očekuje dostavljanje sveobuhvatnog, sažetog i kvalitetnog nacrta strateškog planskog dokumenta, koji u kontekstu finansijske perspektive 2021–2027 odgovara logici „Partnership Agreement“, a koji treba da obuhvati stratešku analizu, uključujući izazove, potrebe i ciljne grupe, odabrane prioritete i ciljeve, glavne očekivane rezultate, planirane tematske cjeline i izvore finansiranja, mehanizme za obezbjeđivanje usklađenosti sa relevantnim prioritetima i strategijama Evropske unije, kao i okvir upravljanja u skladu sa Evropskim kodeksom ponašanja o partnerstvu.</w:t>
      </w:r>
    </w:p>
    <w:p w14:paraId="749CE456" w14:textId="0B2A905A" w:rsidR="33781F68" w:rsidRPr="009C3565" w:rsidRDefault="33781F68" w:rsidP="33781F68">
      <w:pPr>
        <w:rPr>
          <w:rFonts w:eastAsia="Aptos" w:cs="Aptos"/>
          <w:color w:val="000000" w:themeColor="text1"/>
          <w:lang w:val="sr-Latn-ME"/>
        </w:rPr>
      </w:pPr>
      <w:r w:rsidRPr="009C3565">
        <w:rPr>
          <w:rFonts w:eastAsia="Aptos" w:cs="Aptos"/>
          <w:color w:val="000000" w:themeColor="text1"/>
          <w:lang w:val="sr-Latn-ME"/>
        </w:rPr>
        <w:t>U tom smislu, situaciona analiza ne služi samo kao opis postojećeg stanja, već kao polazna tačka za definisanje prioritetnih pravaca djelovanja, očekivanih rezultata i budućih reformskih i investicionih intervencija. U skladu sa metodološkim pristupom za izradu Strateškog planskog dokumenta, razvojni izazovi se posmatraju kao problemi koji zahtijevaju javnopolitički odgovor, a ne kao unaprijed definisane mjere ili rješenja. Zbog toga analiza mora da poveže raspoložive statističke i administrativne podatke, nalaze nacionalnih strateških dokumenata, relevantne međunarodne i EU izvore, kao i uvide ključnih institucija i partnera.</w:t>
      </w:r>
    </w:p>
    <w:p w14:paraId="520197C2" w14:textId="78E9B172" w:rsidR="33781F68" w:rsidRPr="009C3565" w:rsidRDefault="33781F68" w:rsidP="33781F68">
      <w:pPr>
        <w:rPr>
          <w:rFonts w:eastAsia="Aptos" w:cs="Aptos"/>
          <w:color w:val="000000" w:themeColor="text1"/>
          <w:lang w:val="sr-Latn-ME"/>
        </w:rPr>
      </w:pPr>
      <w:r w:rsidRPr="009C3565">
        <w:rPr>
          <w:rFonts w:eastAsia="Aptos" w:cs="Aptos"/>
          <w:color w:val="000000" w:themeColor="text1"/>
          <w:lang w:val="sr-Latn-ME"/>
        </w:rPr>
        <w:t>Situaciona analiza istovremeno ima i važnu funkciju u obezbjeđivanju usklađenosti budućeg strateškog dokumenta sa prioritetima Evropske unije, pravnom tekovinom EU i programskim okvirom za period nakon 2027. godine. Kroz pregled međunarodnog i nacionalnog strateškog i pravnog okvira, planiranih reformi i ključnih pokazatelja, analiza omogućava da se predmetna oblast politike sagleda u širem razvojnom i pristupnom kontekstu, uključujući doprinos pametnom, održivom i inkluzivnom rastu, ekonomskoj, socijalnoj i teritorijalnoj koheziji, kao i smanjenju razvojnih dispariteta.</w:t>
      </w:r>
    </w:p>
    <w:p w14:paraId="3993A5BA" w14:textId="688C8553" w:rsidR="33781F68" w:rsidRPr="009C3565" w:rsidRDefault="33781F68" w:rsidP="33781F68">
      <w:pPr>
        <w:rPr>
          <w:rFonts w:eastAsia="Aptos" w:cs="Aptos"/>
          <w:color w:val="000000" w:themeColor="text1"/>
          <w:lang w:val="sr-Latn-ME"/>
        </w:rPr>
      </w:pPr>
      <w:r w:rsidRPr="009C3565">
        <w:rPr>
          <w:rFonts w:eastAsia="Aptos" w:cs="Aptos"/>
          <w:color w:val="000000" w:themeColor="text1"/>
          <w:lang w:val="sr-Latn-ME"/>
        </w:rPr>
        <w:t>Pored toga, situaciona analiza je važan alat za strukturiranje dijaloga unutar radnih grupa i sa širim krugom partnera. Njome se obezbjeđuje zajednička analitička osnova za SWOT razmatranje, validaciju nalaza i identifikaciju dugog spiska razvojnih izazova, koji će u narednim koracima biti prioritizovani. Na taj način, situaciona analiza doprinosi transparentnom, participativnom i metodološki utemeljenom procesu planiranja, u skladu sa principom partnerstva i višerazinskog upravljanja.</w:t>
      </w:r>
    </w:p>
    <w:p w14:paraId="68AAD0E9" w14:textId="67ACFA5B" w:rsidR="00F579F5" w:rsidRPr="009C3565" w:rsidRDefault="33781F68" w:rsidP="00F579F5">
      <w:pPr>
        <w:pStyle w:val="Heading1"/>
        <w:rPr>
          <w:rFonts w:asciiTheme="minorHAnsi" w:hAnsiTheme="minorHAnsi"/>
          <w:lang w:val="sr-Latn-ME"/>
        </w:rPr>
      </w:pPr>
      <w:r w:rsidRPr="009C3565">
        <w:rPr>
          <w:rFonts w:asciiTheme="minorHAnsi" w:hAnsiTheme="minorHAnsi"/>
          <w:lang w:val="sr-Latn-ME"/>
        </w:rPr>
        <w:t xml:space="preserve">Opis prioritetnih područja </w:t>
      </w:r>
    </w:p>
    <w:tbl>
      <w:tblPr>
        <w:tblStyle w:val="GridTable1Light-Accent4"/>
        <w:tblW w:w="9224" w:type="dxa"/>
        <w:tblLook w:val="04A0" w:firstRow="1" w:lastRow="0" w:firstColumn="1" w:lastColumn="0" w:noHBand="0" w:noVBand="1"/>
      </w:tblPr>
      <w:tblGrid>
        <w:gridCol w:w="1812"/>
        <w:gridCol w:w="1980"/>
        <w:gridCol w:w="2007"/>
        <w:gridCol w:w="3425"/>
      </w:tblGrid>
      <w:tr w:rsidR="00F16B8B" w:rsidRPr="009C3565" w14:paraId="62CB07AC" w14:textId="77777777" w:rsidTr="009C35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36E2E54E" w14:textId="1BF2498B" w:rsidR="33781F68" w:rsidRPr="009C3565" w:rsidRDefault="33781F68" w:rsidP="33781F68">
            <w:pPr>
              <w:rPr>
                <w:rFonts w:eastAsia="Aptos" w:cs="Aptos"/>
                <w:color w:val="000000" w:themeColor="text1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color w:val="000000" w:themeColor="text1"/>
                <w:sz w:val="16"/>
                <w:szCs w:val="16"/>
                <w:lang w:val="sr-Latn-ME"/>
              </w:rPr>
              <w:t>Kod Prioritetnog područja nivo 1</w:t>
            </w:r>
          </w:p>
        </w:tc>
        <w:tc>
          <w:tcPr>
            <w:tcW w:w="1980" w:type="dxa"/>
          </w:tcPr>
          <w:p w14:paraId="7ACAD916" w14:textId="6B174F7E" w:rsidR="33781F68" w:rsidRPr="009C3565" w:rsidRDefault="33781F68" w:rsidP="33781F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color w:val="000000" w:themeColor="text1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color w:val="000000" w:themeColor="text1"/>
                <w:sz w:val="16"/>
                <w:szCs w:val="16"/>
                <w:lang w:val="sr-Latn-ME"/>
              </w:rPr>
              <w:t>Naziv Prioritetnog područja nivo 1</w:t>
            </w:r>
          </w:p>
        </w:tc>
        <w:tc>
          <w:tcPr>
            <w:tcW w:w="2007" w:type="dxa"/>
          </w:tcPr>
          <w:p w14:paraId="1EFF3793" w14:textId="3974F6D6" w:rsidR="33781F68" w:rsidRPr="009C3565" w:rsidRDefault="33781F68" w:rsidP="33781F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color w:val="000000" w:themeColor="text1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color w:val="000000" w:themeColor="text1"/>
                <w:sz w:val="16"/>
                <w:szCs w:val="16"/>
                <w:lang w:val="sr-Latn-ME"/>
              </w:rPr>
              <w:t>Kod Prioritetnog područja nivo 2</w:t>
            </w:r>
          </w:p>
        </w:tc>
        <w:tc>
          <w:tcPr>
            <w:tcW w:w="3425" w:type="dxa"/>
          </w:tcPr>
          <w:p w14:paraId="537B0597" w14:textId="784EF57F" w:rsidR="33781F68" w:rsidRPr="009C3565" w:rsidRDefault="33781F68" w:rsidP="33781F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color w:val="000000" w:themeColor="text1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color w:val="000000" w:themeColor="text1"/>
                <w:sz w:val="16"/>
                <w:szCs w:val="16"/>
                <w:lang w:val="sr-Latn-ME"/>
              </w:rPr>
              <w:t>Naziv Prioritetnog područja nivo 2</w:t>
            </w:r>
          </w:p>
        </w:tc>
      </w:tr>
      <w:tr w:rsidR="00F16B8B" w:rsidRPr="009C3565" w14:paraId="08D0BA66" w14:textId="77777777" w:rsidTr="009C3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4B662E62" w14:textId="77777777" w:rsidR="00F16B8B" w:rsidRPr="009C3565" w:rsidRDefault="33781F68" w:rsidP="33781F68">
            <w:pPr>
              <w:spacing w:line="276" w:lineRule="auto"/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18</w:t>
            </w:r>
          </w:p>
        </w:tc>
        <w:tc>
          <w:tcPr>
            <w:tcW w:w="1980" w:type="dxa"/>
          </w:tcPr>
          <w:p w14:paraId="2A0E54B9" w14:textId="77777777" w:rsidR="00F16B8B" w:rsidRPr="009C3565" w:rsidRDefault="00F16B8B" w:rsidP="0021621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  <w:r w:rsidRPr="009C3565">
              <w:rPr>
                <w:b/>
                <w:bCs/>
                <w:sz w:val="16"/>
                <w:szCs w:val="16"/>
                <w:lang w:val="sr-Latn-ME"/>
              </w:rPr>
              <w:t>Saobraćaj</w:t>
            </w:r>
          </w:p>
        </w:tc>
        <w:tc>
          <w:tcPr>
            <w:tcW w:w="2007" w:type="dxa"/>
          </w:tcPr>
          <w:p w14:paraId="02D4FF00" w14:textId="77777777" w:rsidR="00F16B8B" w:rsidRPr="009C3565" w:rsidRDefault="33781F68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  <w:r w:rsidRPr="009C3565">
              <w:rPr>
                <w:b/>
                <w:bCs/>
                <w:sz w:val="16"/>
                <w:szCs w:val="16"/>
                <w:lang w:val="sr-Latn-ME"/>
              </w:rPr>
              <w:t>18.72</w:t>
            </w:r>
          </w:p>
        </w:tc>
        <w:tc>
          <w:tcPr>
            <w:tcW w:w="3425" w:type="dxa"/>
          </w:tcPr>
          <w:p w14:paraId="4047428C" w14:textId="77777777" w:rsidR="00F16B8B" w:rsidRPr="009C3565" w:rsidRDefault="33781F68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  <w:r w:rsidRPr="009C3565">
              <w:rPr>
                <w:b/>
                <w:bCs/>
                <w:sz w:val="16"/>
                <w:szCs w:val="16"/>
                <w:lang w:val="sr-Latn-ME"/>
              </w:rPr>
              <w:t>Vazdušni saobraćaj</w:t>
            </w:r>
          </w:p>
        </w:tc>
      </w:tr>
      <w:tr w:rsidR="00F16B8B" w:rsidRPr="009C3565" w14:paraId="3ED27A25" w14:textId="77777777" w:rsidTr="009C3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4A8B94C0" w14:textId="77777777" w:rsidR="00F16B8B" w:rsidRPr="009C3565" w:rsidRDefault="33781F68" w:rsidP="33781F68">
            <w:pPr>
              <w:spacing w:line="276" w:lineRule="auto"/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18</w:t>
            </w:r>
          </w:p>
        </w:tc>
        <w:tc>
          <w:tcPr>
            <w:tcW w:w="1980" w:type="dxa"/>
          </w:tcPr>
          <w:p w14:paraId="67D65E58" w14:textId="77777777" w:rsidR="00F16B8B" w:rsidRPr="009C3565" w:rsidRDefault="00F16B8B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</w:p>
        </w:tc>
        <w:tc>
          <w:tcPr>
            <w:tcW w:w="2007" w:type="dxa"/>
          </w:tcPr>
          <w:p w14:paraId="25EE3295" w14:textId="77777777" w:rsidR="00F16B8B" w:rsidRPr="009C3565" w:rsidRDefault="33781F68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  <w:r w:rsidRPr="009C3565">
              <w:rPr>
                <w:b/>
                <w:bCs/>
                <w:sz w:val="16"/>
                <w:szCs w:val="16"/>
                <w:lang w:val="sr-Latn-ME"/>
              </w:rPr>
              <w:t>18.73</w:t>
            </w:r>
          </w:p>
        </w:tc>
        <w:tc>
          <w:tcPr>
            <w:tcW w:w="3425" w:type="dxa"/>
          </w:tcPr>
          <w:p w14:paraId="3E174516" w14:textId="77777777" w:rsidR="00F16B8B" w:rsidRPr="009C3565" w:rsidRDefault="33781F68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  <w:r w:rsidRPr="009C3565">
              <w:rPr>
                <w:b/>
                <w:bCs/>
                <w:sz w:val="16"/>
                <w:szCs w:val="16"/>
                <w:lang w:val="sr-Latn-ME"/>
              </w:rPr>
              <w:t>Biciklistički saobraćaj</w:t>
            </w:r>
          </w:p>
          <w:p w14:paraId="1DC2375C" w14:textId="77777777" w:rsidR="00F16B8B" w:rsidRPr="009C3565" w:rsidRDefault="00F16B8B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</w:p>
        </w:tc>
      </w:tr>
      <w:tr w:rsidR="00F16B8B" w:rsidRPr="009C3565" w14:paraId="7691B433" w14:textId="77777777" w:rsidTr="009C3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2BA4C059" w14:textId="77777777" w:rsidR="00F16B8B" w:rsidRPr="009C3565" w:rsidRDefault="33781F68" w:rsidP="33781F68">
            <w:pPr>
              <w:spacing w:line="276" w:lineRule="auto"/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18</w:t>
            </w:r>
          </w:p>
        </w:tc>
        <w:tc>
          <w:tcPr>
            <w:tcW w:w="1980" w:type="dxa"/>
          </w:tcPr>
          <w:p w14:paraId="6A73E72D" w14:textId="77777777" w:rsidR="00F16B8B" w:rsidRPr="009C3565" w:rsidRDefault="00F16B8B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</w:p>
        </w:tc>
        <w:tc>
          <w:tcPr>
            <w:tcW w:w="2007" w:type="dxa"/>
          </w:tcPr>
          <w:p w14:paraId="7B78A92C" w14:textId="77777777" w:rsidR="00F16B8B" w:rsidRPr="009C3565" w:rsidRDefault="33781F68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  <w:r w:rsidRPr="009C3565">
              <w:rPr>
                <w:b/>
                <w:bCs/>
                <w:sz w:val="16"/>
                <w:szCs w:val="16"/>
                <w:lang w:val="sr-Latn-ME"/>
              </w:rPr>
              <w:t>18.74</w:t>
            </w:r>
          </w:p>
        </w:tc>
        <w:tc>
          <w:tcPr>
            <w:tcW w:w="3425" w:type="dxa"/>
          </w:tcPr>
          <w:p w14:paraId="5EFEF88A" w14:textId="1EA3FEE8" w:rsidR="00F16B8B" w:rsidRPr="009C3565" w:rsidRDefault="33781F68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  <w:r w:rsidRPr="009C3565">
              <w:rPr>
                <w:b/>
                <w:bCs/>
                <w:sz w:val="16"/>
                <w:szCs w:val="16"/>
                <w:lang w:val="sr-Latn-ME"/>
              </w:rPr>
              <w:t>Digitalizacija saobraćaja</w:t>
            </w:r>
          </w:p>
        </w:tc>
      </w:tr>
      <w:tr w:rsidR="00F16B8B" w:rsidRPr="009C3565" w14:paraId="63C63B14" w14:textId="77777777" w:rsidTr="009C3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4EBB0236" w14:textId="77777777" w:rsidR="00F16B8B" w:rsidRPr="009C3565" w:rsidRDefault="33781F68" w:rsidP="33781F68">
            <w:pPr>
              <w:spacing w:line="276" w:lineRule="auto"/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18</w:t>
            </w:r>
          </w:p>
        </w:tc>
        <w:tc>
          <w:tcPr>
            <w:tcW w:w="1980" w:type="dxa"/>
          </w:tcPr>
          <w:p w14:paraId="7750AADB" w14:textId="77777777" w:rsidR="00F16B8B" w:rsidRPr="009C3565" w:rsidRDefault="00F16B8B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</w:p>
        </w:tc>
        <w:tc>
          <w:tcPr>
            <w:tcW w:w="2007" w:type="dxa"/>
          </w:tcPr>
          <w:p w14:paraId="6CB77A35" w14:textId="77777777" w:rsidR="00F16B8B" w:rsidRPr="009C3565" w:rsidRDefault="33781F68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  <w:r w:rsidRPr="009C3565">
              <w:rPr>
                <w:b/>
                <w:bCs/>
                <w:sz w:val="16"/>
                <w:szCs w:val="16"/>
                <w:lang w:val="sr-Latn-ME"/>
              </w:rPr>
              <w:t>18.75</w:t>
            </w:r>
          </w:p>
        </w:tc>
        <w:tc>
          <w:tcPr>
            <w:tcW w:w="3425" w:type="dxa"/>
          </w:tcPr>
          <w:p w14:paraId="55D83DC3" w14:textId="77777777" w:rsidR="00F16B8B" w:rsidRPr="009C3565" w:rsidRDefault="33781F68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  <w:r w:rsidRPr="009C3565">
              <w:rPr>
                <w:b/>
                <w:bCs/>
                <w:sz w:val="16"/>
                <w:szCs w:val="16"/>
                <w:lang w:val="sr-Latn-ME"/>
              </w:rPr>
              <w:t>Saobraćaj unutrašnjim plovnim putevima</w:t>
            </w:r>
          </w:p>
        </w:tc>
      </w:tr>
      <w:tr w:rsidR="00F16B8B" w:rsidRPr="009C3565" w14:paraId="4AC6F14E" w14:textId="77777777" w:rsidTr="009C3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46D554EB" w14:textId="77777777" w:rsidR="00F16B8B" w:rsidRPr="009C3565" w:rsidRDefault="33781F68" w:rsidP="33781F68">
            <w:pPr>
              <w:spacing w:line="276" w:lineRule="auto"/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18</w:t>
            </w:r>
          </w:p>
        </w:tc>
        <w:tc>
          <w:tcPr>
            <w:tcW w:w="1980" w:type="dxa"/>
          </w:tcPr>
          <w:p w14:paraId="01278F5F" w14:textId="77777777" w:rsidR="00F16B8B" w:rsidRPr="009C3565" w:rsidRDefault="00F16B8B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</w:p>
        </w:tc>
        <w:tc>
          <w:tcPr>
            <w:tcW w:w="2007" w:type="dxa"/>
          </w:tcPr>
          <w:p w14:paraId="65B3D460" w14:textId="77777777" w:rsidR="00F16B8B" w:rsidRPr="009C3565" w:rsidRDefault="33781F68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  <w:r w:rsidRPr="009C3565">
              <w:rPr>
                <w:b/>
                <w:bCs/>
                <w:sz w:val="16"/>
                <w:szCs w:val="16"/>
                <w:lang w:val="sr-Latn-ME"/>
              </w:rPr>
              <w:t>18.76</w:t>
            </w:r>
          </w:p>
        </w:tc>
        <w:tc>
          <w:tcPr>
            <w:tcW w:w="3425" w:type="dxa"/>
          </w:tcPr>
          <w:p w14:paraId="3EE74ECD" w14:textId="77777777" w:rsidR="00F16B8B" w:rsidRPr="009C3565" w:rsidRDefault="33781F68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  <w:r w:rsidRPr="009C3565">
              <w:rPr>
                <w:b/>
                <w:bCs/>
                <w:sz w:val="16"/>
                <w:szCs w:val="16"/>
                <w:lang w:val="sr-Latn-ME"/>
              </w:rPr>
              <w:t>Multimodalni saobraćaj</w:t>
            </w:r>
          </w:p>
        </w:tc>
      </w:tr>
      <w:tr w:rsidR="00F16B8B" w:rsidRPr="009C3565" w14:paraId="506B23EA" w14:textId="77777777" w:rsidTr="009C3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4D240737" w14:textId="77777777" w:rsidR="00F16B8B" w:rsidRPr="009C3565" w:rsidRDefault="33781F68" w:rsidP="33781F68">
            <w:pPr>
              <w:spacing w:line="276" w:lineRule="auto"/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18</w:t>
            </w:r>
          </w:p>
        </w:tc>
        <w:tc>
          <w:tcPr>
            <w:tcW w:w="1980" w:type="dxa"/>
          </w:tcPr>
          <w:p w14:paraId="7A35A690" w14:textId="77777777" w:rsidR="00F16B8B" w:rsidRPr="009C3565" w:rsidRDefault="00F16B8B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</w:p>
        </w:tc>
        <w:tc>
          <w:tcPr>
            <w:tcW w:w="2007" w:type="dxa"/>
          </w:tcPr>
          <w:p w14:paraId="7743DD7E" w14:textId="77777777" w:rsidR="00F16B8B" w:rsidRPr="009C3565" w:rsidRDefault="33781F68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  <w:r w:rsidRPr="009C3565">
              <w:rPr>
                <w:b/>
                <w:bCs/>
                <w:sz w:val="16"/>
                <w:szCs w:val="16"/>
                <w:lang w:val="sr-Latn-ME"/>
              </w:rPr>
              <w:t>18.77</w:t>
            </w:r>
          </w:p>
        </w:tc>
        <w:tc>
          <w:tcPr>
            <w:tcW w:w="3425" w:type="dxa"/>
          </w:tcPr>
          <w:p w14:paraId="01951C4B" w14:textId="77777777" w:rsidR="00F16B8B" w:rsidRPr="009C3565" w:rsidRDefault="33781F68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  <w:r w:rsidRPr="009C3565">
              <w:rPr>
                <w:b/>
                <w:bCs/>
                <w:sz w:val="16"/>
                <w:szCs w:val="16"/>
                <w:lang w:val="sr-Latn-ME"/>
              </w:rPr>
              <w:t>Željeznički saobraćaj</w:t>
            </w:r>
          </w:p>
        </w:tc>
      </w:tr>
      <w:tr w:rsidR="00F16B8B" w:rsidRPr="009C3565" w14:paraId="17534E30" w14:textId="77777777" w:rsidTr="009C3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394DAA77" w14:textId="77777777" w:rsidR="00F16B8B" w:rsidRPr="009C3565" w:rsidRDefault="33781F68" w:rsidP="33781F68">
            <w:pPr>
              <w:spacing w:line="276" w:lineRule="auto"/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18</w:t>
            </w:r>
          </w:p>
        </w:tc>
        <w:tc>
          <w:tcPr>
            <w:tcW w:w="1980" w:type="dxa"/>
          </w:tcPr>
          <w:p w14:paraId="73917018" w14:textId="77777777" w:rsidR="00F16B8B" w:rsidRPr="009C3565" w:rsidRDefault="00F16B8B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</w:p>
        </w:tc>
        <w:tc>
          <w:tcPr>
            <w:tcW w:w="2007" w:type="dxa"/>
          </w:tcPr>
          <w:p w14:paraId="2D8632E5" w14:textId="77777777" w:rsidR="00F16B8B" w:rsidRPr="009C3565" w:rsidRDefault="33781F68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  <w:r w:rsidRPr="009C3565">
              <w:rPr>
                <w:b/>
                <w:bCs/>
                <w:sz w:val="16"/>
                <w:szCs w:val="16"/>
                <w:lang w:val="sr-Latn-ME"/>
              </w:rPr>
              <w:t>18.05</w:t>
            </w:r>
          </w:p>
        </w:tc>
        <w:tc>
          <w:tcPr>
            <w:tcW w:w="3425" w:type="dxa"/>
          </w:tcPr>
          <w:p w14:paraId="105B3D82" w14:textId="77777777" w:rsidR="00F16B8B" w:rsidRPr="009C3565" w:rsidRDefault="33781F68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  <w:r w:rsidRPr="009C3565">
              <w:rPr>
                <w:b/>
                <w:bCs/>
                <w:sz w:val="16"/>
                <w:szCs w:val="16"/>
                <w:lang w:val="sr-Latn-ME"/>
              </w:rPr>
              <w:t xml:space="preserve">Reforme </w:t>
            </w:r>
          </w:p>
        </w:tc>
      </w:tr>
      <w:tr w:rsidR="00F16B8B" w:rsidRPr="009C3565" w14:paraId="6C18D940" w14:textId="77777777" w:rsidTr="009C3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71EB567C" w14:textId="77777777" w:rsidR="00F16B8B" w:rsidRPr="009C3565" w:rsidRDefault="33781F68" w:rsidP="33781F68">
            <w:pPr>
              <w:spacing w:line="276" w:lineRule="auto"/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lastRenderedPageBreak/>
              <w:t>18</w:t>
            </w:r>
          </w:p>
        </w:tc>
        <w:tc>
          <w:tcPr>
            <w:tcW w:w="1980" w:type="dxa"/>
          </w:tcPr>
          <w:p w14:paraId="6C61C516" w14:textId="77777777" w:rsidR="00F16B8B" w:rsidRPr="009C3565" w:rsidRDefault="00F16B8B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</w:p>
        </w:tc>
        <w:tc>
          <w:tcPr>
            <w:tcW w:w="2007" w:type="dxa"/>
          </w:tcPr>
          <w:p w14:paraId="7DD2C883" w14:textId="77777777" w:rsidR="00F16B8B" w:rsidRPr="009C3565" w:rsidRDefault="33781F68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  <w:r w:rsidRPr="009C3565">
              <w:rPr>
                <w:b/>
                <w:bCs/>
                <w:sz w:val="16"/>
                <w:szCs w:val="16"/>
                <w:lang w:val="sr-Latn-ME"/>
              </w:rPr>
              <w:t>18.78</w:t>
            </w:r>
          </w:p>
        </w:tc>
        <w:tc>
          <w:tcPr>
            <w:tcW w:w="3425" w:type="dxa"/>
          </w:tcPr>
          <w:p w14:paraId="1A633C9B" w14:textId="77777777" w:rsidR="00F16B8B" w:rsidRPr="009C3565" w:rsidRDefault="33781F68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  <w:r w:rsidRPr="009C3565">
              <w:rPr>
                <w:b/>
                <w:bCs/>
                <w:sz w:val="16"/>
                <w:szCs w:val="16"/>
                <w:lang w:val="sr-Latn-ME"/>
              </w:rPr>
              <w:t>Drumski saobraćaj</w:t>
            </w:r>
          </w:p>
        </w:tc>
      </w:tr>
      <w:tr w:rsidR="00F16B8B" w:rsidRPr="009C3565" w14:paraId="36B1B4F1" w14:textId="77777777" w:rsidTr="009C3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10536F61" w14:textId="77777777" w:rsidR="00F16B8B" w:rsidRPr="009C3565" w:rsidRDefault="33781F68" w:rsidP="33781F68">
            <w:pPr>
              <w:spacing w:line="276" w:lineRule="auto"/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18</w:t>
            </w:r>
          </w:p>
        </w:tc>
        <w:tc>
          <w:tcPr>
            <w:tcW w:w="1980" w:type="dxa"/>
          </w:tcPr>
          <w:p w14:paraId="6BE48AEB" w14:textId="77777777" w:rsidR="00F16B8B" w:rsidRPr="009C3565" w:rsidRDefault="00F16B8B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</w:p>
        </w:tc>
        <w:tc>
          <w:tcPr>
            <w:tcW w:w="2007" w:type="dxa"/>
          </w:tcPr>
          <w:p w14:paraId="39B2396E" w14:textId="77777777" w:rsidR="00F16B8B" w:rsidRPr="009C3565" w:rsidRDefault="33781F68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  <w:r w:rsidRPr="009C3565">
              <w:rPr>
                <w:b/>
                <w:bCs/>
                <w:sz w:val="16"/>
                <w:szCs w:val="16"/>
                <w:lang w:val="sr-Latn-ME"/>
              </w:rPr>
              <w:t>18.79</w:t>
            </w:r>
          </w:p>
        </w:tc>
        <w:tc>
          <w:tcPr>
            <w:tcW w:w="3425" w:type="dxa"/>
          </w:tcPr>
          <w:p w14:paraId="055205B5" w14:textId="77777777" w:rsidR="00F16B8B" w:rsidRPr="009C3565" w:rsidRDefault="33781F68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  <w:r w:rsidRPr="009C3565">
              <w:rPr>
                <w:b/>
                <w:bCs/>
                <w:sz w:val="16"/>
                <w:szCs w:val="16"/>
                <w:lang w:val="sr-Latn-ME"/>
              </w:rPr>
              <w:t>Pomorski saobraćaj</w:t>
            </w:r>
          </w:p>
        </w:tc>
      </w:tr>
      <w:tr w:rsidR="00F16B8B" w:rsidRPr="009C3565" w14:paraId="209A9BC4" w14:textId="77777777" w:rsidTr="009C3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5A774044" w14:textId="77777777" w:rsidR="00F16B8B" w:rsidRPr="009C3565" w:rsidRDefault="33781F68" w:rsidP="33781F68">
            <w:pPr>
              <w:spacing w:line="276" w:lineRule="auto"/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18</w:t>
            </w:r>
          </w:p>
        </w:tc>
        <w:tc>
          <w:tcPr>
            <w:tcW w:w="1980" w:type="dxa"/>
          </w:tcPr>
          <w:p w14:paraId="2BE94BD1" w14:textId="77777777" w:rsidR="00F16B8B" w:rsidRPr="009C3565" w:rsidRDefault="00F16B8B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</w:p>
        </w:tc>
        <w:tc>
          <w:tcPr>
            <w:tcW w:w="2007" w:type="dxa"/>
          </w:tcPr>
          <w:p w14:paraId="300E65F8" w14:textId="77777777" w:rsidR="00F16B8B" w:rsidRPr="009C3565" w:rsidRDefault="33781F68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  <w:r w:rsidRPr="009C3565">
              <w:rPr>
                <w:b/>
                <w:bCs/>
                <w:sz w:val="16"/>
                <w:szCs w:val="16"/>
                <w:lang w:val="sr-Latn-ME"/>
              </w:rPr>
              <w:t>18.80</w:t>
            </w:r>
          </w:p>
        </w:tc>
        <w:tc>
          <w:tcPr>
            <w:tcW w:w="3425" w:type="dxa"/>
          </w:tcPr>
          <w:p w14:paraId="336ABB27" w14:textId="77777777" w:rsidR="00F16B8B" w:rsidRPr="009C3565" w:rsidRDefault="33781F68" w:rsidP="33781F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sr-Latn-ME"/>
              </w:rPr>
            </w:pPr>
            <w:r w:rsidRPr="009C3565">
              <w:rPr>
                <w:b/>
                <w:bCs/>
                <w:sz w:val="16"/>
                <w:szCs w:val="16"/>
                <w:lang w:val="sr-Latn-ME"/>
              </w:rPr>
              <w:t>Urbani saobraćaj</w:t>
            </w:r>
          </w:p>
        </w:tc>
      </w:tr>
    </w:tbl>
    <w:p w14:paraId="0FDA5261" w14:textId="77777777" w:rsidR="00F579F5" w:rsidRPr="009C3565" w:rsidRDefault="00F579F5" w:rsidP="00F579F5">
      <w:pPr>
        <w:rPr>
          <w:lang w:val="sr-Latn-ME"/>
        </w:rPr>
      </w:pPr>
    </w:p>
    <w:p w14:paraId="1B481561" w14:textId="0EF30D12" w:rsidR="00F579F5" w:rsidRPr="009C3565" w:rsidRDefault="00F579F5" w:rsidP="009C3565">
      <w:pPr>
        <w:pStyle w:val="Heading1"/>
        <w:rPr>
          <w:lang w:val="sr-Latn-ME"/>
        </w:rPr>
      </w:pPr>
      <w:r w:rsidRPr="009C3565">
        <w:rPr>
          <w:lang w:val="sr-Latn-ME"/>
        </w:rPr>
        <w:t>Situaci</w:t>
      </w:r>
      <w:r w:rsidR="009C3565" w:rsidRPr="009C3565">
        <w:rPr>
          <w:lang w:val="sr-Latn-ME"/>
        </w:rPr>
        <w:t>ona</w:t>
      </w:r>
      <w:r w:rsidRPr="009C3565">
        <w:rPr>
          <w:lang w:val="sr-Latn-ME"/>
        </w:rPr>
        <w:t xml:space="preserve"> analiza</w:t>
      </w:r>
    </w:p>
    <w:p w14:paraId="370D6FC9" w14:textId="686C6F87" w:rsidR="00F579F5" w:rsidRPr="009C3565" w:rsidRDefault="6085CEB9" w:rsidP="009C3565">
      <w:pPr>
        <w:pStyle w:val="Heading2"/>
        <w:rPr>
          <w:lang w:val="sr-Latn-ME"/>
        </w:rPr>
      </w:pPr>
      <w:r w:rsidRPr="009C3565">
        <w:rPr>
          <w:lang w:val="sr-Latn-ME"/>
        </w:rPr>
        <w:t>Prioritetno područje nivo 1</w:t>
      </w:r>
    </w:p>
    <w:p w14:paraId="1EB28002" w14:textId="03F04F19" w:rsidR="00F7211B" w:rsidRPr="009C3565" w:rsidRDefault="00F7211B" w:rsidP="009C3565">
      <w:pPr>
        <w:rPr>
          <w:lang w:val="sr-Latn-ME"/>
        </w:rPr>
      </w:pPr>
      <w:r w:rsidRPr="009C3565">
        <w:rPr>
          <w:lang w:val="sr-Latn-ME"/>
        </w:rPr>
        <w:t xml:space="preserve">Prioritetno područje </w:t>
      </w:r>
      <w:r w:rsidRPr="009C3565">
        <w:rPr>
          <w:rStyle w:val="Strong"/>
          <w:rFonts w:eastAsiaTheme="majorEastAsia"/>
          <w:lang w:val="sr-Latn-ME"/>
        </w:rPr>
        <w:t>Saobraćaj</w:t>
      </w:r>
      <w:r w:rsidRPr="009C3565">
        <w:rPr>
          <w:lang w:val="sr-Latn-ME"/>
        </w:rPr>
        <w:t xml:space="preserve"> obuhvata razvoj funkcionalnog, integrisanog i održivog saobraćajnog sistema Crne Gore, usmjerenog ka unapređenju povezanosti, sigurnosti i efikasnosti, kao i ka postizanju ciljeva zelene i digitalne tranzicije u skladu sa pravnom tekovinom Evropske unije. Transportni sektor predstavlja ključni element ekonomskog razvoja i teritorijalne kohezije, posebno u kontekstu unapređenja dostupnosti, regionalne integracije i povezivanja sa transevropskom transportnom mrežom (TEN-T)</w:t>
      </w:r>
      <w:r w:rsidR="00DB07D6" w:rsidRPr="009C3565">
        <w:rPr>
          <w:lang w:val="sr-Latn-ME"/>
        </w:rPr>
        <w:t xml:space="preserve"> kao i pripreme za korišćenje sredstava Evropske unije.</w:t>
      </w:r>
    </w:p>
    <w:p w14:paraId="40E5811A" w14:textId="450157EE" w:rsidR="00F7211B" w:rsidRPr="009C3565" w:rsidRDefault="00DB07D6" w:rsidP="009C3565">
      <w:pPr>
        <w:rPr>
          <w:lang w:val="sr-Latn-ME"/>
        </w:rPr>
      </w:pPr>
      <w:r w:rsidRPr="009C3565">
        <w:rPr>
          <w:lang w:val="sr-Latn-ME"/>
        </w:rPr>
        <w:t>Ova oblast politike obuhvata sve vidove saobraćaja, uključujući drumski, željeznički, vazdušni i pomorski saobraćaj, kao i saobraćaj unutrašnjim plovnim putevima, uz horizontalne dimenzije koje se odnose na urbanu mobilnost, razvoj biciklističke i mikromobilne infrastrukture, multimodalna rješenja i digitalizaciju saobraćajnog sistema. Poseban fokus stavlja se na unapređenje kvaliteta, kapaciteta i dostupnosti saobraćajne infrastrukture i usluga, kao i na jačanje međusobne povezanosti različitih vidova saobraćaja u cilju efikasnijeg kretanja putnika i robe i unapređenja logističkih tokova</w:t>
      </w:r>
      <w:r w:rsidR="00F7211B" w:rsidRPr="009C3565">
        <w:rPr>
          <w:lang w:val="sr-Latn-ME"/>
        </w:rPr>
        <w:t>.</w:t>
      </w:r>
    </w:p>
    <w:p w14:paraId="20A29045" w14:textId="4622A8E0" w:rsidR="00DB07D6" w:rsidRPr="009C3565" w:rsidRDefault="00DB07D6" w:rsidP="009C3565">
      <w:pPr>
        <w:rPr>
          <w:lang w:val="sr-Latn-ME"/>
        </w:rPr>
      </w:pPr>
      <w:r w:rsidRPr="009C3565">
        <w:rPr>
          <w:lang w:val="sr-Latn-ME"/>
        </w:rPr>
        <w:t xml:space="preserve">U skladu sa politikama Evropske unije u oblasti održive i pametne mobilnosti, oblast politike Saobraćaj usmjerena je na tranziciju ka nisko- i nulto-emisionom saobraćaju, kroz modernizaciju </w:t>
      </w:r>
      <w:r w:rsidR="00A75001" w:rsidRPr="009C3565">
        <w:rPr>
          <w:lang w:val="sr-Latn-ME"/>
        </w:rPr>
        <w:t xml:space="preserve"> transportnih</w:t>
      </w:r>
      <w:r w:rsidRPr="009C3565">
        <w:rPr>
          <w:lang w:val="sr-Latn-ME"/>
        </w:rPr>
        <w:t xml:space="preserve"> sredstava, uvođenje energetski efikasnih tehnologija i razvoj infrastrukture za alternativna goriva. Istovremeno, poseban značaj ima smanjenje negativnih uticaja saobraćaja na životnu sredinu i povećanje otpornosti saobraćajne infrastrukture na klimatske promjene, uključujući prilagođavanje ekstremnim vremenskim uslovima i unapređenje standarda planiranja, izgradnje i održavanja.</w:t>
      </w:r>
    </w:p>
    <w:p w14:paraId="0FC59065" w14:textId="024B5FB0" w:rsidR="00F7211B" w:rsidRPr="009C3565" w:rsidRDefault="00F7211B" w:rsidP="009C3565">
      <w:pPr>
        <w:rPr>
          <w:lang w:val="sr-Latn-ME"/>
        </w:rPr>
      </w:pPr>
      <w:r w:rsidRPr="009C3565">
        <w:rPr>
          <w:lang w:val="sr-Latn-ME"/>
        </w:rPr>
        <w:t>Dalji razvoj sektora podrazumijeva unapređenje bezbjednosti i sigurnosti saobraćaja, kao i usklađivanje tehničkih i operativnih standarda sa EU zahtjevima, uključujući interoperabilnost sistema i primjenu savremenih tehnologija. U tom kontekstu, digitalna transformacija transporta, kroz razvoj inteligentnih transportnih sistema i unapređenje upravljanja saobraćajem, predstavlja ključni element povećanja efikasnosti, pouzdanosti i dostupnosti transportnih usluga.</w:t>
      </w:r>
    </w:p>
    <w:p w14:paraId="28BA8483" w14:textId="332A7D50" w:rsidR="00DB07D6" w:rsidRPr="009C3565" w:rsidRDefault="00DB07D6" w:rsidP="009C3565">
      <w:pPr>
        <w:rPr>
          <w:lang w:val="sr-Latn-ME"/>
        </w:rPr>
      </w:pPr>
      <w:r w:rsidRPr="009C3565">
        <w:rPr>
          <w:lang w:val="sr-Latn-ME"/>
        </w:rPr>
        <w:t>Konačno, oblast politike Saobraćaj obuhvata kontinuirane reformske procese i jačanje regulatornog i institucionalnog okvira, sa ciljem potpune usklađenosti sa pravnom tekovinom Evropske unije, unapređenja tržišnih uslova i stvaranja preduslova za efikasno planiranje, finansiranje i implementaciju investicija. Time se obezbjeđuje uspostavljanje modernog, održivog i konkurentnog saobraćajnog sistema, sposobnog da odgovori na razvojne potrebe Crne Gore i zahtjeve evropskih integracija.</w:t>
      </w:r>
    </w:p>
    <w:p w14:paraId="496280FB" w14:textId="28B028EF" w:rsidR="00F579F5" w:rsidRPr="009C3565" w:rsidRDefault="00F579F5" w:rsidP="009C3565">
      <w:pPr>
        <w:pStyle w:val="Heading3"/>
        <w:rPr>
          <w:lang w:val="sr-Latn-ME"/>
        </w:rPr>
      </w:pPr>
      <w:r w:rsidRPr="009C3565">
        <w:rPr>
          <w:lang w:val="sr-Latn-ME"/>
        </w:rPr>
        <w:t>Međunarodni i EU Strateški i pravni okvir</w:t>
      </w:r>
    </w:p>
    <w:p w14:paraId="2C79AA30" w14:textId="77777777" w:rsidR="005A688D" w:rsidRPr="009C3565" w:rsidRDefault="33781F68" w:rsidP="009C3565">
      <w:pPr>
        <w:rPr>
          <w:lang w:val="sr-Latn-ME"/>
        </w:rPr>
      </w:pPr>
      <w:r w:rsidRPr="009C3565">
        <w:rPr>
          <w:lang w:val="sr-Latn-ME"/>
        </w:rPr>
        <w:t>Strateški i pravni okvir Evropske unije u oblasti saobraćaja usmjeren je na razvoj održivog, sigurnog, interoperabilnog i digitalno unaprijeđenog sistema, uz snažan fokus na dekarbonizaciju, multimodalnost i povezivanje sa evropskom mrežom.</w:t>
      </w:r>
    </w:p>
    <w:p w14:paraId="5282B0A7" w14:textId="77777777" w:rsidR="005A688D" w:rsidRPr="009C3565" w:rsidRDefault="33781F68" w:rsidP="009C3565">
      <w:pPr>
        <w:rPr>
          <w:lang w:val="sr-Latn-ME"/>
        </w:rPr>
      </w:pPr>
      <w:r w:rsidRPr="009C3565">
        <w:rPr>
          <w:lang w:val="sr-Latn-ME"/>
        </w:rPr>
        <w:lastRenderedPageBreak/>
        <w:t xml:space="preserve">Na nivou Evropske unije, ključni strateški okvir čine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>Evropski zeleni plan (European Green Deal)</w:t>
      </w:r>
      <w:r w:rsidRPr="009C3565">
        <w:rPr>
          <w:lang w:val="sr-Latn-ME"/>
        </w:rPr>
        <w:t xml:space="preserve"> i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>Strategija za održivu i pametnu mobilnost (Sustainable and Smart Mobility Strategy, 2020)</w:t>
      </w:r>
      <w:r w:rsidRPr="009C3565">
        <w:rPr>
          <w:lang w:val="sr-Latn-ME"/>
        </w:rPr>
        <w:t xml:space="preserve">, koji definišu pravce razvoja nisko- i nulto-emisionog saobraćaja, digitalizacije i integrisanih transportnih sistema. Razvoj infrastrukture i povezivanja definisan je kroz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>Transevropsku transportnu mrežu (TEN-T)</w:t>
      </w:r>
      <w:r w:rsidRPr="009C3565">
        <w:rPr>
          <w:lang w:val="sr-Latn-ME"/>
        </w:rPr>
        <w:t xml:space="preserve">, uključujući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>Uredbu (EU) 2024/1679</w:t>
      </w:r>
      <w:r w:rsidRPr="009C3565">
        <w:rPr>
          <w:lang w:val="sr-Latn-ME"/>
        </w:rPr>
        <w:t>, kojom se utvrđuju prioriteti razvoja koridora, čvorišta i multimodalnih veza.</w:t>
      </w:r>
    </w:p>
    <w:p w14:paraId="0CFFDFFA" w14:textId="77777777" w:rsidR="005A688D" w:rsidRPr="009C3565" w:rsidRDefault="33781F68" w:rsidP="009C3565">
      <w:pPr>
        <w:rPr>
          <w:lang w:val="sr-Latn-ME"/>
        </w:rPr>
      </w:pPr>
      <w:r w:rsidRPr="009C3565">
        <w:rPr>
          <w:lang w:val="sr-Latn-ME"/>
        </w:rPr>
        <w:t>Sektorski regulatorni okvir obuhvata Uredbu (EU) 2023/1804 o infrastrukturi za alternativna goriva (AFIR), Direktivu 2010/40/EU o inteligentnim transportnim sistemima (ITS Directive), izmijenjenu Direktivom (EU) 2023/2661, kao i Uredbu (EU) 2020/1056 o elektronskim informacijama o teretu (eFTI Regulation), koja omogućava digitalizaciju logistike i razmjenu podataka u svim vidovima transporta. Multimodalni i logistički aspekt dodatno je podržan kroz Direktivu 92/106/EEZ o kombinovanom transportu (kako je izmijenjena) i Uredbu (EU) 913/2010 o evropskoj željezničkoj mreži za konkurentan teretni saobraćaj.</w:t>
      </w:r>
    </w:p>
    <w:p w14:paraId="2DFC2263" w14:textId="1677CCFE" w:rsidR="005A688D" w:rsidRPr="009C3565" w:rsidRDefault="33781F68" w:rsidP="009C3565">
      <w:pPr>
        <w:rPr>
          <w:lang w:val="sr-Latn-ME"/>
        </w:rPr>
      </w:pPr>
      <w:r w:rsidRPr="009C3565">
        <w:rPr>
          <w:lang w:val="sr-Latn-ME"/>
        </w:rPr>
        <w:t xml:space="preserve">U željezničkom sektoru, ključni pravni osnov interoperabilnosti predstavlja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>Direktiva (EU) 2016/797 o interoperabilnosti željezničkog sistema u Evropskoj uniji</w:t>
      </w:r>
      <w:r w:rsidRPr="009C3565">
        <w:rPr>
          <w:lang w:val="sr-Latn-ME"/>
        </w:rPr>
        <w:t xml:space="preserve">, zajedno sa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>Direktivom (EU) 2016/798 o bezbjednosti željeznica</w:t>
      </w:r>
      <w:r w:rsidRPr="009C3565">
        <w:rPr>
          <w:lang w:val="sr-Latn-ME"/>
        </w:rPr>
        <w:t>, kao i tehničkim specifikacijama interoperabilnosti (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>TSI</w:t>
      </w:r>
      <w:r w:rsidRPr="009C3565">
        <w:rPr>
          <w:lang w:val="sr-Latn-ME"/>
        </w:rPr>
        <w:t xml:space="preserve">). Poseban značaj ima implementacija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>ERTMS (European Rail Traffic Management System)</w:t>
      </w:r>
      <w:r w:rsidRPr="009C3565">
        <w:rPr>
          <w:lang w:val="sr-Latn-ME"/>
        </w:rPr>
        <w:t xml:space="preserve">, uključujući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>ETCS (European Train Control System)</w:t>
      </w:r>
      <w:r w:rsidRPr="009C3565">
        <w:rPr>
          <w:lang w:val="sr-Latn-ME"/>
        </w:rPr>
        <w:t xml:space="preserve"> i GSM-R, kao standardizovanog sistema za upravljanje i kontrolu željezničkog saobraćaja na TEN-T mreži. Ovaj okvir je dio šireg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>Četvrtog željezničkog paketa EU</w:t>
      </w:r>
      <w:r w:rsidRPr="009C3565">
        <w:rPr>
          <w:lang w:val="sr-Latn-ME"/>
        </w:rPr>
        <w:t>, koji obuhvata i tržišni i tehnički stub.</w:t>
      </w:r>
    </w:p>
    <w:p w14:paraId="3CC0089B" w14:textId="7DA0533D" w:rsidR="005A688D" w:rsidRPr="009C3565" w:rsidRDefault="33781F68" w:rsidP="009C3565">
      <w:pPr>
        <w:rPr>
          <w:lang w:val="sr-Latn-ME"/>
        </w:rPr>
      </w:pPr>
      <w:r w:rsidRPr="009C3565">
        <w:rPr>
          <w:lang w:val="sr-Latn-ME"/>
        </w:rPr>
        <w:t xml:space="preserve">U vazdušnom saobraćaju, regulatorni okvir obuhvata inicijative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>Jedinstveno evropsko nebo (SES/SES2+)</w:t>
      </w:r>
      <w:r w:rsidRPr="009C3565">
        <w:rPr>
          <w:lang w:val="sr-Latn-ME"/>
        </w:rPr>
        <w:t xml:space="preserve"> i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>Sporazum o Evropskoj zajedničkoj vazduhoplovnoj oblasti (ECAA)</w:t>
      </w:r>
      <w:r w:rsidRPr="009C3565">
        <w:rPr>
          <w:lang w:val="sr-Latn-ME"/>
        </w:rPr>
        <w:t>, uz prateće propise koji uređuju upravljanje vazdušnim prostorom, sigurnost i interoperabilnost sistema.</w:t>
      </w:r>
      <w:r w:rsidR="00F11AA2" w:rsidRPr="009C3565">
        <w:rPr>
          <w:lang w:val="sr-Latn-ME"/>
        </w:rPr>
        <w:t xml:space="preserve"> Uz širi regulatorni okvir koji obuhvata pravila u oblastima upravljanja vazdušnim prostorom, sigurnosti i bezbjednosti vazdušnog saobraćaja, interoperabilnosti sistema, upravljanja vazdušnim saobraćajem (ATM/ANS), zaštite putnika i usklađivanja sa standardima jedinstvenog evropskog vazduhoplovnog prostora.</w:t>
      </w:r>
    </w:p>
    <w:p w14:paraId="147559C4" w14:textId="3D98B2A4" w:rsidR="005A688D" w:rsidRPr="009C3565" w:rsidRDefault="33781F68" w:rsidP="009C3565">
      <w:pPr>
        <w:rPr>
          <w:lang w:val="sr-Latn-ME"/>
        </w:rPr>
      </w:pPr>
      <w:r w:rsidRPr="009C3565">
        <w:rPr>
          <w:lang w:val="sr-Latn-ME"/>
        </w:rPr>
        <w:t>U kontekstu zelene tranzicije posebno su relevantne Uredba (EU) 2023/1805 (FuelEU Maritime) i Uredba (EU) 2023/2405 (ReFuelEU Aviation), kao i Direktiva 2003/87/EC o sistemu trgovine emisijama (EU ETS</w:t>
      </w:r>
      <w:r w:rsidR="0058768D" w:rsidRPr="009C3565">
        <w:rPr>
          <w:lang w:val="sr-Latn-ME"/>
        </w:rPr>
        <w:t xml:space="preserve"> Direktiva (EU) 2023/959 o izmjenama i dopunama Direktive 2003/87/EC, kojom je sistem trgovine emisijama proširen i na sektore drumskog saobraćaja, građevinarstva i manjih industrija (EU ETS2), predstavlja važan okvir za dekarbonizaciju transporta i postepeno uvođenje karbonskog oporezivanja fosilnih goriva. U tom kontekstu, uspostavljen je i Socijalni fond za klimu (SCF) kroz Uredbu (EU) 2023/955, sa ciljem ublažavanja socio-ekonomskih efekata tranzicije i podrške ulaganjima u energetsku efikasnost, održivu mobilnost i čistije transportne sisteme, uključujući podršku ranjivim domaćinstvima i preduzećima.</w:t>
      </w:r>
      <w:r w:rsidRPr="009C3565">
        <w:rPr>
          <w:lang w:val="sr-Latn-ME"/>
        </w:rPr>
        <w:t>Dodatno, Direktiva (EU) 2018/2001 o promovisanju upotrebe energije iz obnovljivih izvora (RED II) kako je izmijenjena Direktivom (EU) 2023/2413 (RED III) postavlja obavezujuće ciljeve za udio obnovljivih izvora energije u transportu i predstavlja ključni okvir za dekarbonizaciju sektora kroz razvoj alternativnih goriva i elektrifikaciju</w:t>
      </w:r>
      <w:r w:rsidR="005A2CDB" w:rsidRPr="009C3565">
        <w:rPr>
          <w:lang w:val="sr-Latn-ME"/>
        </w:rPr>
        <w:t xml:space="preserve"> </w:t>
      </w:r>
      <w:r w:rsidR="005A2CDB" w:rsidRPr="009C3565">
        <w:rPr>
          <w:noProof/>
          <w:lang w:val="sr-Latn-ME"/>
        </w:rPr>
        <w:t>kao i Direktiva (EU) 2019/1161 o izmjenama i dopunama Direktive 2009/33/EC o podsticanju čistih i energetski efikasnih vozila u drumskom saobraćaju, te izmijenjena i dopunjena Direktiva (EU) 2024/1275</w:t>
      </w:r>
      <w:r w:rsidR="005A2CDB" w:rsidRPr="009C3565">
        <w:rPr>
          <w:lang w:val="sr-Latn-ME"/>
        </w:rPr>
        <w:t xml:space="preserve"> </w:t>
      </w:r>
      <w:r w:rsidR="005A2CDB" w:rsidRPr="009C3565">
        <w:rPr>
          <w:noProof/>
          <w:lang w:val="sr-Latn-ME"/>
        </w:rPr>
        <w:t>o energetskim karakteristikama zgrada (EPBD).</w:t>
      </w:r>
      <w:r w:rsidRPr="009C3565">
        <w:rPr>
          <w:lang w:val="sr-Latn-ME"/>
        </w:rPr>
        <w:t xml:space="preserve"> Dodatno, Uredba (EU) 2019/631 i Uredba (EU) 2019/1242 o standardima emisija CO₂ za vozila doprinose razvoju nisko- i nulto-emisionog drumskog transporta.</w:t>
      </w:r>
    </w:p>
    <w:p w14:paraId="4224B75E" w14:textId="1A50450A" w:rsidR="005A688D" w:rsidRPr="009C3565" w:rsidRDefault="33781F68" w:rsidP="009C3565">
      <w:pPr>
        <w:rPr>
          <w:lang w:val="sr-Latn-ME"/>
        </w:rPr>
      </w:pPr>
      <w:r w:rsidRPr="009C3565">
        <w:rPr>
          <w:lang w:val="sr-Latn-ME"/>
        </w:rPr>
        <w:t xml:space="preserve">Na regionalnom nivou, ključni okvir predstavlja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>Ugovor o Transportnoj zajednici (Transport Community Treaty)</w:t>
      </w:r>
      <w:r w:rsidRPr="009C3565">
        <w:rPr>
          <w:lang w:val="sr-Latn-ME"/>
        </w:rPr>
        <w:t xml:space="preserve">, uz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>Strategiju za održivu i pametnu mobilnost na Zapadnom Balkanu</w:t>
      </w:r>
      <w:r w:rsidRPr="009C3565">
        <w:rPr>
          <w:lang w:val="sr-Latn-ME"/>
        </w:rPr>
        <w:t xml:space="preserve"> i prateće akcione planove. Regionalna saradnja dodatno se razvija kroz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>Savjet za regionalnu saradnju (RCC)</w:t>
      </w:r>
      <w:r w:rsidRPr="009C3565">
        <w:rPr>
          <w:lang w:val="sr-Latn-ME"/>
        </w:rPr>
        <w:t xml:space="preserve"> i inicijativu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>Zajedničko regionalno tržište (Common Regional Market – CRM)</w:t>
      </w:r>
      <w:r w:rsidRPr="009C3565">
        <w:rPr>
          <w:lang w:val="sr-Latn-ME"/>
        </w:rPr>
        <w:t xml:space="preserve">, uključujući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>Akcioni plan za Zajedničko regionalno tržište 2025–2028</w:t>
      </w:r>
      <w:r w:rsidRPr="009C3565">
        <w:rPr>
          <w:lang w:val="sr-Latn-ME"/>
        </w:rPr>
        <w:t>, koji doprinose olakšavanju transporta, trgovine i digitalne integracije.</w:t>
      </w:r>
    </w:p>
    <w:p w14:paraId="2BEE9DBD" w14:textId="4B1D9192" w:rsidR="00D5044F" w:rsidRPr="009C3565" w:rsidRDefault="33781F68" w:rsidP="009C3565">
      <w:pPr>
        <w:rPr>
          <w:lang w:val="sr-Latn-ME"/>
        </w:rPr>
      </w:pPr>
      <w:r w:rsidRPr="009C3565">
        <w:rPr>
          <w:lang w:val="sr-Latn-ME"/>
        </w:rPr>
        <w:lastRenderedPageBreak/>
        <w:t xml:space="preserve">Na međunarodnom nivou, relevantni okvir dopunjuju instrumenti i analize organizacija kao što su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>UNECE</w:t>
      </w:r>
      <w:r w:rsidRPr="009C3565">
        <w:rPr>
          <w:lang w:val="sr-Latn-ME"/>
        </w:rPr>
        <w:t xml:space="preserve">, posebno u oblasti drumske i željezničke regulative i prekograničnog transporta,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>OECD</w:t>
      </w:r>
      <w:r w:rsidRPr="009C3565">
        <w:rPr>
          <w:lang w:val="sr-Latn-ME"/>
        </w:rPr>
        <w:t xml:space="preserve">, kroz izvještaj </w:t>
      </w:r>
      <w:r w:rsidRPr="009C3565">
        <w:rPr>
          <w:rStyle w:val="Emphasis"/>
          <w:rFonts w:eastAsiaTheme="majorEastAsia"/>
          <w:i w:val="0"/>
          <w:iCs w:val="0"/>
          <w:lang w:val="sr-Latn-ME"/>
        </w:rPr>
        <w:t>Western Balkans Competitiveness Outlook 2024</w:t>
      </w:r>
      <w:r w:rsidRPr="009C3565">
        <w:rPr>
          <w:lang w:val="sr-Latn-ME"/>
        </w:rPr>
        <w:t xml:space="preserve">, kao i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>UNCTAD</w:t>
      </w:r>
      <w:r w:rsidRPr="009C3565">
        <w:rPr>
          <w:lang w:val="sr-Latn-ME"/>
        </w:rPr>
        <w:t xml:space="preserve">, kroz </w:t>
      </w:r>
      <w:r w:rsidRPr="009C3565">
        <w:rPr>
          <w:rStyle w:val="Emphasis"/>
          <w:rFonts w:eastAsiaTheme="majorEastAsia"/>
          <w:i w:val="0"/>
          <w:iCs w:val="0"/>
          <w:lang w:val="sr-Latn-ME"/>
        </w:rPr>
        <w:t>Review of Maritime Transport</w:t>
      </w:r>
      <w:r w:rsidRPr="009C3565">
        <w:rPr>
          <w:lang w:val="sr-Latn-ME"/>
        </w:rPr>
        <w:t>, koji pruža globalni kontekst za razvoj pomorskog saobraćaja i logistike.</w:t>
      </w:r>
    </w:p>
    <w:p w14:paraId="096F3D65" w14:textId="78754DA8" w:rsidR="00F579F5" w:rsidRPr="009C3565" w:rsidRDefault="00F579F5" w:rsidP="009C3565">
      <w:pPr>
        <w:pStyle w:val="Heading3"/>
        <w:rPr>
          <w:lang w:val="sr-Latn-ME"/>
        </w:rPr>
      </w:pPr>
      <w:r w:rsidRPr="009C3565">
        <w:rPr>
          <w:lang w:val="sr-Latn-ME"/>
        </w:rPr>
        <w:t>Crnogorski strateški i pravni okvir</w:t>
      </w:r>
    </w:p>
    <w:p w14:paraId="79190D1C" w14:textId="77777777" w:rsidR="00431FB2" w:rsidRPr="009C3565" w:rsidRDefault="00431FB2" w:rsidP="009C3565">
      <w:pPr>
        <w:rPr>
          <w:lang w:val="sr-Latn-ME"/>
        </w:rPr>
      </w:pPr>
      <w:r w:rsidRPr="009C3565">
        <w:rPr>
          <w:lang w:val="sr-Latn-ME"/>
        </w:rPr>
        <w:t>Crnogorski strateški i pravni okvir u oblasti saobraćaja obuhvata opšte sektorske strategije, planske dokumente i posebne zakone kojima se uređuju drumski, željeznički, vazdušni i pomorski saobraćaj, kao i putna infrastruktura, sigurnost, interoperabilnost, prava putnika, klimatska tranzicija i pojedini aspekti digitalizacije. Ovaj okvir je u značajnoj mjeri uspostavljen, ali i dalje zahtijeva dalju harmonizaciju i funkcionalno povezivanje u skladu sa savremenim EU zahtjevima.</w:t>
      </w:r>
    </w:p>
    <w:p w14:paraId="079AFBB1" w14:textId="56A49E73" w:rsidR="00D073D8" w:rsidRPr="009C3565" w:rsidRDefault="00431FB2" w:rsidP="009C3565">
      <w:pPr>
        <w:rPr>
          <w:lang w:val="sr-Latn-ME"/>
        </w:rPr>
      </w:pPr>
      <w:r w:rsidRPr="009C3565">
        <w:rPr>
          <w:lang w:val="sr-Latn-ME"/>
        </w:rPr>
        <w:t xml:space="preserve">Najvažniji strateški dokument </w:t>
      </w:r>
      <w:r w:rsidR="00C835E8" w:rsidRPr="009C3565">
        <w:rPr>
          <w:lang w:val="sr-Latn-ME"/>
        </w:rPr>
        <w:t>je</w:t>
      </w:r>
      <w:r w:rsidRPr="009C3565">
        <w:rPr>
          <w:lang w:val="sr-Latn-ME"/>
        </w:rPr>
        <w:t xml:space="preserve"> Strategija razvoja saobraćaja 2019–2035, koja definiše razvoj infrastrukture, multimodalnosti i povezivanja sa TEN-T mrežom, ali zahtijeva ažuriranje u dijelu zelene i digitalne tranzicije.</w:t>
      </w:r>
      <w:r w:rsidR="005A2CDB" w:rsidRPr="009C3565">
        <w:rPr>
          <w:lang w:val="sr-Latn-ME"/>
        </w:rPr>
        <w:t xml:space="preserve"> U tom kontekstu, Vlada je usvojila Informaciju o ažuriranju Strategije razvoja saobraćaja 2019–2035, sa ciljem njenog daljeg usklađivanja sa savremenim EU politikama i prioritetima održive i pametne mobilnosti.</w:t>
      </w:r>
      <w:r w:rsidR="00D073D8" w:rsidRPr="009C3565">
        <w:rPr>
          <w:lang w:val="sr-Latn-ME"/>
        </w:rPr>
        <w:t xml:space="preserve"> </w:t>
      </w:r>
      <w:r w:rsidR="0005593C" w:rsidRPr="009C3565">
        <w:rPr>
          <w:lang w:val="sr-Latn-ME"/>
        </w:rPr>
        <w:t>Njen operativni nastavak čine Srednjoročni program izgradnje, rekonstrukcije, održavanja i zaštite državnih puteva</w:t>
      </w:r>
      <w:r w:rsidR="001F76F9" w:rsidRPr="009C3565">
        <w:rPr>
          <w:lang w:val="sr-Latn-ME"/>
        </w:rPr>
        <w:t xml:space="preserve"> do 2028.godine</w:t>
      </w:r>
      <w:r w:rsidR="0005593C" w:rsidRPr="009C3565">
        <w:rPr>
          <w:lang w:val="sr-Latn-ME"/>
        </w:rPr>
        <w:t xml:space="preserve"> i godišnji programi održavanja, kojima se operacionalizuju prioriteti razvoja, modernizacije i održavanja državne putne mreže, unapređenja bezbjednosti saobraćaja i otpornosti infrastrukture, dok je u segmentu digitalizacije ključan Program razvoja i uvođenja inteligentnih transportnih sistema (ITS) 2022–2026, usmjeren na unapređenje upravljanja saobraćajem, interoperabilnosti sistema i primjenu savremenih digitalnih rješenja u transportu</w:t>
      </w:r>
      <w:r w:rsidRPr="009C3565">
        <w:rPr>
          <w:lang w:val="sr-Latn-ME"/>
        </w:rPr>
        <w:t>.</w:t>
      </w:r>
      <w:r w:rsidR="00A75001" w:rsidRPr="009C3565">
        <w:rPr>
          <w:lang w:val="sr-Latn-ME"/>
        </w:rPr>
        <w:t xml:space="preserve"> </w:t>
      </w:r>
      <w:r w:rsidR="008A54A1" w:rsidRPr="009C3565">
        <w:rPr>
          <w:lang w:val="sr-Latn-ME"/>
        </w:rPr>
        <w:t>Dodatno, Program izgradnje, rekonstrukcije, održavanja i zaštite magistralnih i regionalnih puteva za 2026. godinu operacionalizuje planirane aktivnosti na rekonstrukciji i modernizaciji putne mreže, sanaciji kritičnih tačaka, klizišta i mostova, kao i unapređenju bezbjednosti i funkcionalnosti magistralnih i regionalnih puteva, u skladu sa prioritetima utvrđenim nacionalnim planskim dokumentima.</w:t>
      </w:r>
    </w:p>
    <w:p w14:paraId="4E8EC0CD" w14:textId="77777777" w:rsidR="00D073D8" w:rsidRPr="009C3565" w:rsidRDefault="00D073D8" w:rsidP="009C3565">
      <w:pPr>
        <w:rPr>
          <w:lang w:val="sr-Latn-ME"/>
        </w:rPr>
      </w:pPr>
      <w:r w:rsidRPr="009C3565">
        <w:rPr>
          <w:lang w:val="sr-Latn-ME"/>
        </w:rPr>
        <w:t>U oblasti vazdušnog saobraćaja, razvoj aerodromske infrastrukture dodatno je usmjeren kroz Master plan razvoja aerodroma Crne Gore do 2030. godine, kojim su definisani prioriteti razvoja Aerodroma Podgorica i Aerodroma Tivat, uključujući unapređenje terminalnih kapaciteta, manevarskih površina, bezbjednosne infrastrukture i pratećih sadržaja. Istovremeno, dalji razvoj sektora zahtijeva ažuriranje planske i razvojne dokumentacije, uključujući lokalne studije lokacije i planove razvoja aerodromske infrastrukture, u skladu sa rastom saobraćaja, savremenim EU standardima i potrebama zelene i digitalne tranzicije.</w:t>
      </w:r>
    </w:p>
    <w:p w14:paraId="4184EEB8" w14:textId="77777777" w:rsidR="00D073D8" w:rsidRPr="009C3565" w:rsidRDefault="00A75001" w:rsidP="009C3565">
      <w:pPr>
        <w:rPr>
          <w:lang w:val="sr-Latn-ME"/>
        </w:rPr>
      </w:pPr>
      <w:r w:rsidRPr="009C3565">
        <w:rPr>
          <w:lang w:val="sr-Latn-ME"/>
        </w:rPr>
        <w:t>Dodatno, Prostorni plan Crne Gore do 2040. godine predstavlja krovni dokument prostornog planiranja kojim se definišu dugoročni pravci prostornog razvoja, uključujući razvoj i izgradnju nedostajuće saobraćajne infrastrukture i unapređenje teritorijalne povezanost</w:t>
      </w:r>
      <w:r w:rsidR="00D073D8" w:rsidRPr="009C3565">
        <w:rPr>
          <w:lang w:val="sr-Latn-ME"/>
        </w:rPr>
        <w:t>i.</w:t>
      </w:r>
      <w:r w:rsidR="0023323B" w:rsidRPr="009C3565">
        <w:rPr>
          <w:lang w:val="sr-Latn-ME"/>
        </w:rPr>
        <w:t xml:space="preserve"> </w:t>
      </w:r>
      <w:r w:rsidR="0006165A" w:rsidRPr="009C3565">
        <w:rPr>
          <w:lang w:val="sr-Latn-ME"/>
        </w:rPr>
        <w:t>Takođe Strategija razvoja željeznice za period 2017-2027 usmjerena je na modernizaciju i rekonstrukciju postojeće infrastrukture, unapređenje bezbjednosti i efikasnosti željezničkog saobraćaja, kao i jačanje povezanosti sa regionalnim i evropskim transportnim mrežama, uz poseban fokus na integraciju u TEN-T koridore i povećanje učešća željeznice u ukupnom transportu.</w:t>
      </w:r>
    </w:p>
    <w:p w14:paraId="48CF2C26" w14:textId="52E823A2" w:rsidR="25AC1F87" w:rsidRPr="009C3565" w:rsidRDefault="25AC1F87" w:rsidP="009C3565">
      <w:pPr>
        <w:rPr>
          <w:lang w:val="sr-Latn-ME"/>
        </w:rPr>
      </w:pPr>
      <w:r w:rsidRPr="009C3565">
        <w:rPr>
          <w:lang w:val="sr-Latn-ME"/>
        </w:rPr>
        <w:t xml:space="preserve">Paralelno, Master plan javnih investicija u infrastrukturu 2026–2030 predstavlja važan planski okvir investicione politike, kojim se objedinjuju prioritetni infrastrukturni projekti, unapređuje sistem selekcije i upravljanja javnim investicijama i osigurava njihova povezanost sa srednjoročnim budžetskim i fiskalnim okvirom. U oblasti saobraćaja, Master plan potvrđuje dominantan značaj ovog sektora u ukupnom investicionom ciklusu, uključujući projekte putne, željezničke i aerodromske infrastrukture, kao i potrebu da se prioritetne investicije realizuju na fiskalno održiv, klimatski otporan i metodološki zasnovan način. Posebno se ukazuje na potrebu unapređenja zrelosti kapitalnih projekata, jačanja koordinacije između procesa strateškog planiranja i budžetiranja, kao i </w:t>
      </w:r>
      <w:r w:rsidRPr="009C3565">
        <w:rPr>
          <w:lang w:val="sr-Latn-ME"/>
        </w:rPr>
        <w:lastRenderedPageBreak/>
        <w:t>obezbjeđivanja pravovremene pripreme projektno-tehničke dokumentacije, rješavanja imovinsko-pravnih pitanja i osiguranja održivih izvora finansiranja.</w:t>
      </w:r>
    </w:p>
    <w:p w14:paraId="5ABDBC32" w14:textId="2F878E50" w:rsidR="001F76F9" w:rsidRPr="009C3565" w:rsidRDefault="005A2CDB" w:rsidP="009C3565">
      <w:pPr>
        <w:rPr>
          <w:rFonts w:cs="Calibri"/>
          <w:lang w:val="sr-Latn-ME"/>
        </w:rPr>
      </w:pPr>
      <w:r w:rsidRPr="009C3565">
        <w:rPr>
          <w:lang w:val="sr-Latn-ME"/>
        </w:rPr>
        <w:t>Dodatno, Strategija poboljšanja bezbjednosti u drumskom saobraćaju 2024–2030 predstavlja važan sektorski okvir usmjeren na unapređenje bezbjednosti saobraćaja, smanjenje broja saobraćajnih nezgoda i usklađivanje sa EU pristupom bezbjednoj i održivoj mobilnosti.</w:t>
      </w:r>
      <w:r w:rsidR="001F76F9" w:rsidRPr="009C3565">
        <w:rPr>
          <w:lang w:val="sr-Latn-ME"/>
        </w:rPr>
        <w:t xml:space="preserve"> </w:t>
      </w:r>
      <w:r w:rsidR="001F76F9" w:rsidRPr="009C3565">
        <w:rPr>
          <w:rFonts w:cs="Calibri"/>
          <w:lang w:val="sr-Latn-ME"/>
        </w:rPr>
        <w:t>Dodatnu stručnu osnovu za integrisanje klimatske otpornosti u planiranje i upravljanje putnom infrastrukturom predstavlja dokument „Otpornost putne infrastrukture Crne Gore na klimatske promjene - Strategija klimatske otpornosti i Akcioni plan“ (2019), izrađen uz podršku Evropske banke za obnovu i razvoj (EBRD), kojim su identifikovani klimatski rizici za putnu mrežu, prioritetne dionice izložene klimatskim uticajima i preporučene mjere za unapređenje otpornosti infrastrukture.</w:t>
      </w:r>
    </w:p>
    <w:p w14:paraId="640B165A" w14:textId="1BEFD4A7" w:rsidR="008A2FD9" w:rsidRPr="009C3565" w:rsidRDefault="008A2FD9" w:rsidP="009C3565">
      <w:pPr>
        <w:rPr>
          <w:lang w:val="sr-Latn-ME"/>
        </w:rPr>
      </w:pPr>
      <w:r w:rsidRPr="009C3565">
        <w:rPr>
          <w:lang w:val="sr-Latn-ME"/>
        </w:rPr>
        <w:t>Zakonodavni okvir zasniva se na Zakonu o putevima, kojim se uređuju razvoj, upravljanje, finansiranje, izgradnja, održavanje i zaštita javnih puteva, uključujući pitanja putne infrastrukture, nadzora i tehničkih standarda. Dodatno, Zakon o bezbjednosti saobraćaja na putevima uređuje pravila i standarde bezbjednosti drumskog saobraćaja, obaveze učesnika u saobraćaju, signalizaciju, tehničke uslove za vozila i vozače, kao i druge mjere od značaja za bezbjednost saobraćaja.</w:t>
      </w:r>
    </w:p>
    <w:p w14:paraId="18656D6A" w14:textId="07D945B3" w:rsidR="008A2FD9" w:rsidRPr="009C3565" w:rsidRDefault="008A2FD9" w:rsidP="009C3565">
      <w:pPr>
        <w:rPr>
          <w:lang w:val="sr-Latn-ME"/>
        </w:rPr>
      </w:pPr>
      <w:r w:rsidRPr="009C3565">
        <w:rPr>
          <w:lang w:val="sr-Latn-ME"/>
        </w:rPr>
        <w:t>Zakonodavni okvir dodatno prepoznaje razvoj biciklističke infrastrukture, uključujući obavezu finansiranja pješačkih i biciklističkih staza prilikom izgradnje državnih puteva kroz naselja.</w:t>
      </w:r>
      <w:r w:rsidR="00900774" w:rsidRPr="009C3565">
        <w:rPr>
          <w:lang w:val="sr-Latn-ME"/>
        </w:rPr>
        <w:t xml:space="preserve"> Dodatno, oblast ugovornih odnosa u drumskom prevozu uređena je Zakonom o ugovorima u drumskom saobraćaju.</w:t>
      </w:r>
    </w:p>
    <w:p w14:paraId="45B4007B" w14:textId="1D491248" w:rsidR="00431FB2" w:rsidRPr="009C3565" w:rsidRDefault="00431FB2" w:rsidP="009C3565">
      <w:pPr>
        <w:rPr>
          <w:lang w:val="sr-Latn-ME"/>
        </w:rPr>
      </w:pPr>
      <w:r w:rsidRPr="009C3565">
        <w:rPr>
          <w:lang w:val="sr-Latn-ME"/>
        </w:rPr>
        <w:t>Tržišni i operativni aspekti drumskog prevoza uređeni su kroz Zakon o prevozu u drumskom saobraćaju, dok su socijalna pravila i kontrola radnog vremena profesionalnih vozača uređeni kroz Zakon o radnom vremenu i pauzama u drumskom saobraćaju i prateće pravilnike. Dodatno, Zakon o prevozu opasnih materija obezbjeđuje sigurnosni okvir za sve vidove transporta.</w:t>
      </w:r>
    </w:p>
    <w:p w14:paraId="258352F1" w14:textId="77777777" w:rsidR="00431FB2" w:rsidRPr="009C3565" w:rsidRDefault="00431FB2" w:rsidP="009C3565">
      <w:pPr>
        <w:rPr>
          <w:lang w:val="sr-Latn-ME"/>
        </w:rPr>
      </w:pPr>
      <w:r w:rsidRPr="009C3565">
        <w:rPr>
          <w:lang w:val="sr-Latn-ME"/>
        </w:rPr>
        <w:t>U oblasti željezničkog saobraćaja, regulatorni okvir čine Zakon o željeznici, Zakon o bezbjednosti i interoperabilnosti u željezničkom saobraćaju i Zakon o ugovornim odnosima u željezničkom saobraćaju, uz prateće tehničke pravilnike, čime se uspostavlja okvir za upravljanje infrastrukturom, bezbjednost i interoperabilnost sistema.</w:t>
      </w:r>
    </w:p>
    <w:p w14:paraId="1F348B7D" w14:textId="4F5631A7" w:rsidR="00F51139" w:rsidRPr="009C3565" w:rsidRDefault="00F51139" w:rsidP="009C3565">
      <w:pPr>
        <w:rPr>
          <w:lang w:val="sr-Latn-ME"/>
        </w:rPr>
      </w:pPr>
      <w:r w:rsidRPr="009C3565">
        <w:rPr>
          <w:lang w:val="sr-Latn-ME"/>
        </w:rPr>
        <w:t>U sektoru vazdušnog saobraćaja, regulatorni okvir čine Zakon o vazdušnom saobraćaju, podzakonski akti, Zakon o obligacionim odnosima i osnovama svojinsko-pravnih odnosa u vazdušnom saobraćaju, Nacionalni program sigurnosti civilnog vazduhoplovstva i Nacionalni program bezbjednosti civilnog vazduhoplovstva, kojima se uređuju pitanja sigurnosti i bezbjednosti  civilnog vazduhoplovstva, upravljanja vazdušnim prostorom, aerodromskih operacija, prava putnika i odgovornosti prevoznika.</w:t>
      </w:r>
    </w:p>
    <w:p w14:paraId="3DD80903" w14:textId="77777777" w:rsidR="00F51139" w:rsidRPr="009C3565" w:rsidRDefault="00F51139" w:rsidP="009C3565">
      <w:pPr>
        <w:rPr>
          <w:lang w:val="sr-Latn-ME"/>
        </w:rPr>
      </w:pPr>
      <w:r w:rsidRPr="009C3565">
        <w:rPr>
          <w:lang w:val="sr-Latn-ME"/>
        </w:rPr>
        <w:t>Nacionalni program sigurnosti civilnog vazduhoplovstva, usvojen 2020. godine, definiše regulatorne strukture i odgovornosti u oblasti sigurnosti civilnog vazduhoplovstva, u skladu sa međunarodnim i evropskim standardima, sa ciljem kontinuiranog unapređenja sigurnosti civilnog vazduhoplovstva. Imajući u vidu stupanje na snagu novog Zakona o vazdušnom saobraćaju, očekuje se usvajanje ažuriranog Nacionalnog programa sigurnosti civilnog vazduhoplovstva.</w:t>
      </w:r>
    </w:p>
    <w:p w14:paraId="23DE8053" w14:textId="77777777" w:rsidR="00F51139" w:rsidRPr="009C3565" w:rsidRDefault="00F51139" w:rsidP="009C3565">
      <w:pPr>
        <w:rPr>
          <w:lang w:val="sr-Latn-ME"/>
        </w:rPr>
      </w:pPr>
      <w:r w:rsidRPr="009C3565">
        <w:rPr>
          <w:lang w:val="sr-Latn-ME"/>
        </w:rPr>
        <w:t>Regulatorni okvir zasniva se na kontinuiranom usklađivanju sa standardima Evropske unije i međunarodnim standardima civilnog vazduhoplovstva, uključujući zahtjeve Evropske agencije za sigurnost vazduhoplovstva (EASA), Jedinstvenog evropskog neba (SES), Evropske konferencije civilnog vazduhoplovstva (ECAC) i Međunarodne organizacije civilnog vazduhoplovstva (ICAO).</w:t>
      </w:r>
    </w:p>
    <w:p w14:paraId="29EDA787" w14:textId="77777777" w:rsidR="00F51139" w:rsidRPr="009C3565" w:rsidRDefault="00F51139" w:rsidP="009C3565">
      <w:pPr>
        <w:rPr>
          <w:lang w:val="sr-Latn-ME"/>
        </w:rPr>
      </w:pPr>
      <w:r w:rsidRPr="009C3565">
        <w:rPr>
          <w:lang w:val="sr-Latn-ME"/>
        </w:rPr>
        <w:t xml:space="preserve">Crna Gora kontinuirano zadržava status jedinstvene bezbjednosne kontrole (One Stop Security), koji je implementiran u saradnji sa ECAC i Evropskom komisijom, čime se potvrđuje visok nivo usklađenosti sa evropskim </w:t>
      </w:r>
      <w:r w:rsidRPr="009C3565">
        <w:rPr>
          <w:lang w:val="sr-Latn-ME"/>
        </w:rPr>
        <w:lastRenderedPageBreak/>
        <w:t>standardima bezbjednosti civilnog vazduhoplovstva. Ovim sistemom bezbjednosne kontrole sprovedene na aerodromima u Podgorici i Tivtu priznaju se kao ekvivalentne kontrolama koje se sprovode u državama članicama Evropske unije. Status jedinstvene bezbjednosne kontrole potvrđen je i nakon inspekcijskog nadzora Evropske komisije sprovedenog 2024. godine.</w:t>
      </w:r>
    </w:p>
    <w:p w14:paraId="50A8EAE3" w14:textId="050A990E" w:rsidR="00431FB2" w:rsidRPr="009C3565" w:rsidRDefault="00431FB2" w:rsidP="009C3565">
      <w:pPr>
        <w:rPr>
          <w:lang w:val="sr-Latn-ME"/>
        </w:rPr>
      </w:pPr>
      <w:r w:rsidRPr="009C3565">
        <w:rPr>
          <w:lang w:val="sr-Latn-ME"/>
        </w:rPr>
        <w:t xml:space="preserve">Pomorski sektor uređen je kroz Zakon o sigurnosti pomorske plovidbe, Zakon o lukama, Zakon o sprečavanju zagađenja mora sa brodova, Zakon o ugovoru o prevozu putnika morem i Zakon o jahtama, dok strateški okvir predstavlja </w:t>
      </w:r>
      <w:r w:rsidR="00900774" w:rsidRPr="009C3565">
        <w:rPr>
          <w:lang w:val="sr-Latn-ME"/>
        </w:rPr>
        <w:t>Strategija razvoja pomorske privrede 2020–2030</w:t>
      </w:r>
      <w:r w:rsidRPr="009C3565">
        <w:rPr>
          <w:lang w:val="sr-Latn-ME"/>
        </w:rPr>
        <w:t>, čime su obuhvaćeni sigurnost plovidbe, lučka infrastruktura, zaštita životne sredine i nadzor saobraćaja.</w:t>
      </w:r>
    </w:p>
    <w:p w14:paraId="7B47E266" w14:textId="77777777" w:rsidR="00431FB2" w:rsidRPr="009C3565" w:rsidRDefault="00431FB2" w:rsidP="009C3565">
      <w:pPr>
        <w:rPr>
          <w:lang w:val="sr-Latn-ME"/>
        </w:rPr>
      </w:pPr>
      <w:r w:rsidRPr="009C3565">
        <w:rPr>
          <w:lang w:val="sr-Latn-ME"/>
        </w:rPr>
        <w:t>Horizontalni strateški i regulatorni okvir uključuje:</w:t>
      </w:r>
    </w:p>
    <w:p w14:paraId="0FC55E64" w14:textId="77777777" w:rsidR="00431FB2" w:rsidRPr="009C3565" w:rsidRDefault="00431FB2" w:rsidP="009C3565">
      <w:pPr>
        <w:pStyle w:val="ListParagraph"/>
        <w:numPr>
          <w:ilvl w:val="0"/>
          <w:numId w:val="19"/>
        </w:numPr>
        <w:rPr>
          <w:lang w:val="sr-Latn-ME"/>
        </w:rPr>
      </w:pPr>
      <w:r w:rsidRPr="009C3565">
        <w:rPr>
          <w:lang w:val="sr-Latn-ME"/>
        </w:rPr>
        <w:t>Strategiju niskougljeničnog razvoja, koja je relevantna za razvoj nisko- i nulto-emisionog saobraćaja i smanjenje emisija u svim vidovima transporta;</w:t>
      </w:r>
    </w:p>
    <w:p w14:paraId="21C2D535" w14:textId="12290FCA" w:rsidR="00431FB2" w:rsidRPr="009C3565" w:rsidRDefault="00431FB2" w:rsidP="009C3565">
      <w:pPr>
        <w:pStyle w:val="ListParagraph"/>
        <w:numPr>
          <w:ilvl w:val="0"/>
          <w:numId w:val="19"/>
        </w:numPr>
        <w:rPr>
          <w:lang w:val="sr-Latn-ME"/>
        </w:rPr>
      </w:pPr>
      <w:r w:rsidRPr="009C3565">
        <w:rPr>
          <w:lang w:val="sr-Latn-ME"/>
        </w:rPr>
        <w:t>Nacionalni energetski i klimatski plan (NEKP), koji je relevantan za razvoj infrastrukture za alternativna goriva i energetsku tranziciju transportnog sektora;</w:t>
      </w:r>
    </w:p>
    <w:p w14:paraId="4A7A128B" w14:textId="77777777" w:rsidR="00431FB2" w:rsidRPr="009C3565" w:rsidRDefault="00431FB2" w:rsidP="009C3565">
      <w:pPr>
        <w:pStyle w:val="ListParagraph"/>
        <w:numPr>
          <w:ilvl w:val="0"/>
          <w:numId w:val="19"/>
        </w:numPr>
        <w:rPr>
          <w:lang w:val="sr-Latn-ME"/>
        </w:rPr>
      </w:pPr>
      <w:r w:rsidRPr="009C3565">
        <w:rPr>
          <w:lang w:val="sr-Latn-ME"/>
        </w:rPr>
        <w:t>Strategiju prilagođavanja na klimatske promjene, koja je relevantna za klimatsku otpornost saobraćajne infrastrukture, uključujući puteve, željeznicu, luke i aerodrome;</w:t>
      </w:r>
    </w:p>
    <w:p w14:paraId="4826327E" w14:textId="77777777" w:rsidR="00431FB2" w:rsidRPr="009C3565" w:rsidRDefault="00431FB2" w:rsidP="009C3565">
      <w:pPr>
        <w:pStyle w:val="ListParagraph"/>
        <w:numPr>
          <w:ilvl w:val="0"/>
          <w:numId w:val="19"/>
        </w:numPr>
        <w:rPr>
          <w:lang w:val="sr-Latn-ME"/>
        </w:rPr>
      </w:pPr>
      <w:r w:rsidRPr="009C3565">
        <w:rPr>
          <w:lang w:val="sr-Latn-ME"/>
        </w:rPr>
        <w:t>Zakon o klimatskim promjenama, koji uspostavlja okvir za praćenje i smanjenje emisija, uključujući vazdušni i pomorski saobraćaj;</w:t>
      </w:r>
    </w:p>
    <w:p w14:paraId="7C6BD700" w14:textId="77777777" w:rsidR="00431FB2" w:rsidRPr="009C3565" w:rsidRDefault="00431FB2" w:rsidP="009C3565">
      <w:pPr>
        <w:pStyle w:val="ListParagraph"/>
        <w:numPr>
          <w:ilvl w:val="0"/>
          <w:numId w:val="19"/>
        </w:numPr>
        <w:rPr>
          <w:lang w:val="sr-Latn-ME"/>
        </w:rPr>
      </w:pPr>
      <w:r w:rsidRPr="009C3565">
        <w:rPr>
          <w:lang w:val="sr-Latn-ME"/>
        </w:rPr>
        <w:t>Zakon o obaveznom osiguranju u saobraćaju, koji uređuje odgovornost i zaštitu korisnika u svim vidovima saobraćaja;</w:t>
      </w:r>
    </w:p>
    <w:p w14:paraId="502402ED" w14:textId="77777777" w:rsidR="00431FB2" w:rsidRPr="009C3565" w:rsidRDefault="00431FB2" w:rsidP="009C3565">
      <w:pPr>
        <w:pStyle w:val="ListParagraph"/>
        <w:numPr>
          <w:ilvl w:val="0"/>
          <w:numId w:val="19"/>
        </w:numPr>
        <w:rPr>
          <w:lang w:val="sr-Latn-ME"/>
        </w:rPr>
      </w:pPr>
      <w:r w:rsidRPr="009C3565">
        <w:rPr>
          <w:lang w:val="sr-Latn-ME"/>
        </w:rPr>
        <w:t>Zakon o odgovornosti za štetu u životnoj sredini, koji je relevantan za procjenu i upravljanje uticajem infrastrukturnih i saobraćajnih projekata na životnu sredinu.</w:t>
      </w:r>
    </w:p>
    <w:p w14:paraId="10D2AC9B" w14:textId="348D60E8" w:rsidR="00C835E8" w:rsidRPr="009C3565" w:rsidRDefault="33781F68" w:rsidP="009C3565">
      <w:pPr>
        <w:rPr>
          <w:lang w:val="sr-Latn-ME"/>
        </w:rPr>
      </w:pPr>
      <w:r w:rsidRPr="009C3565">
        <w:rPr>
          <w:lang w:val="sr-Latn-ME"/>
        </w:rPr>
        <w:t>Podzakonski okvir čine i brojni pravilnici koji uređuju tehničke i operativne aspekte sistema, uključujući signalizaciju, tehničke standarde, upravljanje saobraćajem, tahografe, interoperabilnost i sigurnosne procedure.</w:t>
      </w:r>
    </w:p>
    <w:p w14:paraId="3D23CB82" w14:textId="38A4457D" w:rsidR="00900774" w:rsidRPr="009C3565" w:rsidRDefault="00900774" w:rsidP="009C3565">
      <w:pPr>
        <w:rPr>
          <w:lang w:val="sr-Latn-ME"/>
        </w:rPr>
      </w:pPr>
      <w:r w:rsidRPr="009C3565">
        <w:rPr>
          <w:lang w:val="sr-Latn-ME"/>
        </w:rPr>
        <w:t>U okviru reforme Primjena elektronskog transporta i inteligentnih transportnih sistema (ITS), sprovode se aktivnosti na pripremi Predloga zakona o elektronskim informacijama o prevozu tereta, kojim se vrši usklađivanje sa Uredbom (EU) 2020/1056 o elektronskim informacijama o teretu (eFTI).</w:t>
      </w:r>
    </w:p>
    <w:p w14:paraId="42164ED2" w14:textId="6B04E597" w:rsidR="00F579F5" w:rsidRPr="009C3565" w:rsidRDefault="33781F68" w:rsidP="009C3565">
      <w:pPr>
        <w:rPr>
          <w:lang w:val="sr-Latn-ME"/>
        </w:rPr>
      </w:pPr>
      <w:r w:rsidRPr="009C3565">
        <w:rPr>
          <w:lang w:val="sr-Latn-ME"/>
        </w:rPr>
        <w:t xml:space="preserve">Konačno, normativni okvir pokriva ključne segmente saobraćajnog sistema, posebno u oblastima drumskog, željezničkog, vazdušnog i pomorskog saobraćaja. </w:t>
      </w:r>
      <w:r w:rsidR="008A2FD9" w:rsidRPr="009C3565">
        <w:rPr>
          <w:lang w:val="sr-Latn-ME"/>
        </w:rPr>
        <w:t>Međutim, određene oblasti, naročito urbani i biciklistički saobraćaj, multimodalnost, digitalizacija logističkih tokova, infrastruktura za alternativna goriva, kao i dugoročno planiranje i modernizacija aerodromske infrastrukture, ostaju djelimično razvijene i zahtijevaju dalje unapređenje strateškog i regulatornog okvira.</w:t>
      </w:r>
    </w:p>
    <w:p w14:paraId="632137A4" w14:textId="63425F1E" w:rsidR="008A2FD9" w:rsidRPr="009C3565" w:rsidRDefault="008A2FD9" w:rsidP="009C3565">
      <w:pPr>
        <w:pStyle w:val="Heading3"/>
        <w:rPr>
          <w:lang w:val="sr-Latn-ME"/>
        </w:rPr>
      </w:pPr>
      <w:r w:rsidRPr="009C3565">
        <w:rPr>
          <w:lang w:val="sr-Latn-ME"/>
        </w:rPr>
        <w:t xml:space="preserve">Planirane i trenutne reforme i investicije </w:t>
      </w:r>
    </w:p>
    <w:p w14:paraId="46587C9A" w14:textId="4BB109AB" w:rsidR="008A2FD9" w:rsidRPr="009C3565" w:rsidRDefault="33781F68" w:rsidP="009C3565">
      <w:pPr>
        <w:rPr>
          <w:lang w:val="sr-Latn-ME"/>
        </w:rPr>
      </w:pPr>
      <w:r w:rsidRPr="009C3565">
        <w:rPr>
          <w:lang w:val="sr-Latn-ME"/>
        </w:rPr>
        <w:t>U okviru Programa ekonomskih reformi i Reformske agende, Crna Gora sprovodi ograničen broj reformi koje su direktno relevantne za sektor saobraćaja, uz mjere koje stvaraju širi okvir za realizaciju infrastrukturnih i investicionih intervencija.</w:t>
      </w:r>
    </w:p>
    <w:p w14:paraId="28A4E288" w14:textId="67E45ED2" w:rsidR="00CB5F85" w:rsidRPr="009C3565" w:rsidRDefault="33781F68" w:rsidP="009C3565">
      <w:pPr>
        <w:rPr>
          <w:lang w:val="sr-Latn-ME"/>
        </w:rPr>
      </w:pPr>
      <w:r w:rsidRPr="009C3565">
        <w:rPr>
          <w:lang w:val="sr-Latn-ME"/>
        </w:rPr>
        <w:t xml:space="preserve">Najvažnija sektorska reforma je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 xml:space="preserve">Reforma 1.2.1 </w:t>
      </w:r>
      <w:r w:rsidR="0005593C" w:rsidRPr="009C3565">
        <w:rPr>
          <w:rStyle w:val="Strong"/>
          <w:rFonts w:eastAsiaTheme="majorEastAsia"/>
          <w:b w:val="0"/>
          <w:bCs w:val="0"/>
          <w:lang w:val="sr-Latn-ME"/>
        </w:rPr>
        <w:t>-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 xml:space="preserve"> Primjena elektronskog transporta i inteligentnih transportnih sistema (ITS)</w:t>
      </w:r>
      <w:r w:rsidRPr="009C3565">
        <w:rPr>
          <w:lang w:val="sr-Latn-ME"/>
        </w:rPr>
        <w:t>, koja je usmjerena na digitalizaciju upravljanja saobraćajem, unapređenje sigurnosti i efikasnosti, kao i razmjenu podataka u transportu, uključujući rješenja povezana sa eFTI pristupom. Ova reforma je direktno povezana sa EU okvirom za digitalizaciju transporta, uključujući ITS Direktivu i Uredbu o elektronskim informacijama o teretu (eFTI), te predstavlja ključni korak ka interoperabilnosti i integraciji u jedinstveno evropsko transportno tržište.</w:t>
      </w:r>
    </w:p>
    <w:p w14:paraId="245A44AB" w14:textId="2A75FFA1" w:rsidR="00CB5F85" w:rsidRPr="009C3565" w:rsidRDefault="33781F68" w:rsidP="009C3565">
      <w:pPr>
        <w:rPr>
          <w:lang w:val="sr-Latn-ME"/>
        </w:rPr>
      </w:pPr>
      <w:r w:rsidRPr="009C3565">
        <w:rPr>
          <w:lang w:val="sr-Latn-ME"/>
        </w:rPr>
        <w:lastRenderedPageBreak/>
        <w:t xml:space="preserve">Kao važna reforma za realizaciju infrastrukturnih projekata izdvaja se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>Reforma 1.1.4 - Poboljšanje elektronskog katastra i prostornog planiranja</w:t>
      </w:r>
      <w:r w:rsidRPr="009C3565">
        <w:rPr>
          <w:lang w:val="sr-Latn-ME"/>
        </w:rPr>
        <w:t>, koja omogućava efikasniju pripremu i implementaciju projekata izgradnje i modernizacije transportne infrastrukture.</w:t>
      </w:r>
    </w:p>
    <w:p w14:paraId="26FCB7B1" w14:textId="4B8CBEE4" w:rsidR="009A221E" w:rsidRPr="009C3565" w:rsidRDefault="00CB5F85" w:rsidP="009C3565">
      <w:pPr>
        <w:rPr>
          <w:lang w:val="sr-Latn-ME"/>
        </w:rPr>
      </w:pPr>
      <w:r w:rsidRPr="009C3565">
        <w:rPr>
          <w:lang w:val="sr-Latn-ME"/>
        </w:rPr>
        <w:t xml:space="preserve">U oblasti energetske i klimatske politike, relevantne su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 xml:space="preserve">Reforma 2.2.1 </w:t>
      </w:r>
      <w:r w:rsidR="00D606D3" w:rsidRPr="009C3565">
        <w:rPr>
          <w:rStyle w:val="Strong"/>
          <w:rFonts w:eastAsiaTheme="majorEastAsia"/>
          <w:b w:val="0"/>
          <w:bCs w:val="0"/>
          <w:lang w:val="sr-Latn-ME"/>
        </w:rPr>
        <w:t>-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 xml:space="preserve"> Implementacija mjera iz Nacionalnog energetskog i klimatskog plana (NEKP)</w:t>
      </w:r>
      <w:r w:rsidRPr="009C3565">
        <w:rPr>
          <w:lang w:val="sr-Latn-ME"/>
        </w:rPr>
        <w:t xml:space="preserve"> i 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 xml:space="preserve">Reforma 2.2.2 </w:t>
      </w:r>
      <w:r w:rsidR="00D606D3" w:rsidRPr="009C3565">
        <w:rPr>
          <w:rStyle w:val="Strong"/>
          <w:rFonts w:eastAsiaTheme="majorEastAsia"/>
          <w:b w:val="0"/>
          <w:bCs w:val="0"/>
          <w:lang w:val="sr-Latn-ME"/>
        </w:rPr>
        <w:t>-</w:t>
      </w:r>
      <w:r w:rsidRPr="009C3565">
        <w:rPr>
          <w:rStyle w:val="Strong"/>
          <w:rFonts w:eastAsiaTheme="majorEastAsia"/>
          <w:b w:val="0"/>
          <w:bCs w:val="0"/>
          <w:lang w:val="sr-Latn-ME"/>
        </w:rPr>
        <w:t xml:space="preserve"> Unapređenje sistema za trgovinu emisijama</w:t>
      </w:r>
      <w:r w:rsidRPr="009C3565">
        <w:rPr>
          <w:lang w:val="sr-Latn-ME"/>
        </w:rPr>
        <w:t>, koje doprinose smanjenju emisija, razvoju infrastrukture za alternativna goriva i postepenom uvođenju nisko- i nulto-emisionih tehnologija u transportnom sektoru</w:t>
      </w:r>
      <w:r w:rsidR="009A221E" w:rsidRPr="009C3565">
        <w:rPr>
          <w:lang w:val="sr-Latn-ME"/>
        </w:rPr>
        <w:t>. Reforma 2.3.2 odnosi se na transponovanje i implementaciju Direktive (EU) 2018/2001 (RED II), uključujući uspostavljanje regulatornog okvira za dozvole, garancije porijekla i prozjumere. U sektoru saobraćaja, reforma je relevantna kroz obaveze povećanja udjela energije iz obnovljivih izvora i smanjenja emisija, što se operacionalizuje kroz intervencione oblasti koje obuhvataju razvoj infrastrukture za alternativna goriva i elektrifikaciju transporta (npr. 525, 526), uvođenje nisko- i nulto-emisionih vozila i sistema javnog prevoza (npr. 527, 533), kao i širu podršku dekarbonizaciji transportnog sistema u skladu sa ciljevima energetske tranzicije.</w:t>
      </w:r>
      <w:r w:rsidR="009A221E" w:rsidRPr="009C3565">
        <w:rPr>
          <w:rFonts w:eastAsiaTheme="minorEastAsia"/>
          <w:lang w:val="sr-Latn-ME"/>
        </w:rPr>
        <w:t xml:space="preserve"> </w:t>
      </w:r>
    </w:p>
    <w:p w14:paraId="21B487D6" w14:textId="6F545488" w:rsidR="00296BE1" w:rsidRPr="009C3565" w:rsidRDefault="33781F68" w:rsidP="009C3565">
      <w:pPr>
        <w:rPr>
          <w:lang w:val="sr-Latn-ME"/>
        </w:rPr>
      </w:pPr>
      <w:r w:rsidRPr="009C3565">
        <w:rPr>
          <w:lang w:val="sr-Latn-ME"/>
        </w:rPr>
        <w:t xml:space="preserve">U okviru Programa ekonomskih reformi dodatno su obuhvaćene mjere koje se odnose na unapređenje upravljanja javnim investicijama i planiranje infrastrukturnih projekata, uključujući razvoj metodologije za procjenu i prioritizaciju projekata i izradu planskih dokumenata, što je od značaja za realizaciju investicija u saobraćajnu infrastrukturu. Posebno je značajna priprema Master plana </w:t>
      </w:r>
      <w:r w:rsidR="009D483C" w:rsidRPr="009C3565">
        <w:rPr>
          <w:rFonts w:cs="Calibri"/>
          <w:lang w:val="sr-Latn-ME"/>
        </w:rPr>
        <w:t xml:space="preserve">investicija u infrastrukturu 2026-2030  </w:t>
      </w:r>
      <w:r w:rsidRPr="009C3565">
        <w:rPr>
          <w:lang w:val="sr-Latn-ME"/>
        </w:rPr>
        <w:t>, koji će obuhvatiti prioritetne projekte u sektoru saobraćaja i predstavljati ključni instrument za srednjoročno planiranje i koordinaciju investicija.</w:t>
      </w:r>
    </w:p>
    <w:p w14:paraId="72C66FB3" w14:textId="4C801F37" w:rsidR="00296BE1" w:rsidRPr="009C3565" w:rsidRDefault="00296BE1" w:rsidP="009C3565">
      <w:pPr>
        <w:rPr>
          <w:lang w:val="sr-Latn-ME"/>
        </w:rPr>
      </w:pPr>
      <w:r w:rsidRPr="009C3565">
        <w:rPr>
          <w:lang w:val="sr-Latn-ME"/>
        </w:rPr>
        <w:t>Pored toga, u okviru PER-a sprovode se mjere usmjerene na suzbijanje neformalne ekonomije, uključujući sektore saobraćaja i logistike, koje imaju za cilj unapređenje tržišnih uslova, jačanje inspekcijskog nadzora i podsticanje formalizacije poslovanja, što indirektno doprinosi uređenju i konkurentnosti transportnog sektora.</w:t>
      </w:r>
    </w:p>
    <w:p w14:paraId="3C698635" w14:textId="5863FA6B" w:rsidR="00F579F5" w:rsidRPr="009C3565" w:rsidRDefault="0021066E" w:rsidP="009C3565">
      <w:pPr>
        <w:pStyle w:val="Heading3"/>
        <w:rPr>
          <w:lang w:val="sr-Latn-ME"/>
        </w:rPr>
      </w:pPr>
      <w:r w:rsidRPr="009C3565">
        <w:rPr>
          <w:lang w:val="sr-Latn-ME"/>
        </w:rPr>
        <w:t>Ključni indikatori</w:t>
      </w:r>
    </w:p>
    <w:p w14:paraId="62FC1746" w14:textId="2617B6A5" w:rsidR="00C44164" w:rsidRPr="009C3565" w:rsidRDefault="33781F68" w:rsidP="009C3565">
      <w:pPr>
        <w:rPr>
          <w:lang w:val="sr-Latn-ME"/>
        </w:rPr>
      </w:pPr>
      <w:r w:rsidRPr="009C3565">
        <w:rPr>
          <w:lang w:val="sr-Latn-ME"/>
        </w:rPr>
        <w:t>Podaci za Crnu Goru za transport robe i putnika izraženi su u apsolutnim vrijednostima (tone i broj putnika), dok su podaci za EU-27 prikazani u procentima u skladu sa Eurostat metodologijom, te nijesu u potpunosti metodološki uporedivi.</w:t>
      </w:r>
    </w:p>
    <w:tbl>
      <w:tblPr>
        <w:tblStyle w:val="GridTable1Light-Accent4"/>
        <w:tblW w:w="0" w:type="auto"/>
        <w:tblLook w:val="04A0" w:firstRow="1" w:lastRow="0" w:firstColumn="1" w:lastColumn="0" w:noHBand="0" w:noVBand="1"/>
      </w:tblPr>
      <w:tblGrid>
        <w:gridCol w:w="1975"/>
        <w:gridCol w:w="35"/>
        <w:gridCol w:w="1590"/>
        <w:gridCol w:w="1290"/>
        <w:gridCol w:w="945"/>
        <w:gridCol w:w="1445"/>
        <w:gridCol w:w="1465"/>
      </w:tblGrid>
      <w:tr w:rsidR="33781F68" w:rsidRPr="009C3565" w14:paraId="1ACDF8E1" w14:textId="77777777" w:rsidTr="009C35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gridSpan w:val="2"/>
          </w:tcPr>
          <w:p w14:paraId="007B3BF2" w14:textId="39C6112A" w:rsidR="33781F68" w:rsidRPr="009C3565" w:rsidRDefault="33781F68" w:rsidP="33781F68">
            <w:pPr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  <w:t xml:space="preserve">Indikator </w:t>
            </w:r>
          </w:p>
        </w:tc>
        <w:tc>
          <w:tcPr>
            <w:tcW w:w="1590" w:type="dxa"/>
          </w:tcPr>
          <w:p w14:paraId="74E466B0" w14:textId="6770E6EE" w:rsidR="33781F68" w:rsidRPr="009C3565" w:rsidRDefault="33781F68" w:rsidP="33781F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  <w:t>EU-27 vrijednost</w:t>
            </w:r>
          </w:p>
        </w:tc>
        <w:tc>
          <w:tcPr>
            <w:tcW w:w="1290" w:type="dxa"/>
          </w:tcPr>
          <w:p w14:paraId="5D192622" w14:textId="5619C895" w:rsidR="33781F68" w:rsidRPr="009C3565" w:rsidRDefault="33781F68" w:rsidP="33781F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  <w:t>Crna Gora vrjednost</w:t>
            </w:r>
          </w:p>
        </w:tc>
        <w:tc>
          <w:tcPr>
            <w:tcW w:w="945" w:type="dxa"/>
          </w:tcPr>
          <w:p w14:paraId="673AADC5" w14:textId="17E1764A" w:rsidR="33781F68" w:rsidRPr="009C3565" w:rsidRDefault="33781F68" w:rsidP="33781F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  <w:t xml:space="preserve">Godina </w:t>
            </w:r>
          </w:p>
        </w:tc>
        <w:tc>
          <w:tcPr>
            <w:tcW w:w="1445" w:type="dxa"/>
          </w:tcPr>
          <w:p w14:paraId="4503AB08" w14:textId="314456C2" w:rsidR="33781F68" w:rsidRPr="009C3565" w:rsidRDefault="33781F68" w:rsidP="33781F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  <w:t xml:space="preserve">Izvor </w:t>
            </w:r>
          </w:p>
        </w:tc>
        <w:tc>
          <w:tcPr>
            <w:tcW w:w="1463" w:type="dxa"/>
          </w:tcPr>
          <w:p w14:paraId="3F2C581C" w14:textId="0C75F711" w:rsidR="33781F68" w:rsidRPr="009C3565" w:rsidRDefault="33781F68" w:rsidP="33781F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  <w:t xml:space="preserve">Napomena </w:t>
            </w:r>
          </w:p>
        </w:tc>
      </w:tr>
      <w:tr w:rsidR="33781F68" w:rsidRPr="009C3565" w14:paraId="0CA1DB05" w14:textId="77777777" w:rsidTr="009C3565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gridSpan w:val="2"/>
          </w:tcPr>
          <w:p w14:paraId="0AC70E27" w14:textId="1C68BB60" w:rsidR="33781F68" w:rsidRPr="009C3565" w:rsidRDefault="33781F68" w:rsidP="33781F68">
            <w:pPr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  <w:t xml:space="preserve">Modalna raspodjela – drumski transport robe (%) </w:t>
            </w:r>
          </w:p>
        </w:tc>
        <w:tc>
          <w:tcPr>
            <w:tcW w:w="1590" w:type="dxa"/>
          </w:tcPr>
          <w:p w14:paraId="6D658352" w14:textId="3F03C3C6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78,2% </w:t>
            </w:r>
          </w:p>
        </w:tc>
        <w:tc>
          <w:tcPr>
            <w:tcW w:w="1290" w:type="dxa"/>
          </w:tcPr>
          <w:p w14:paraId="18F4F187" w14:textId="71ED5C53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50,5% </w:t>
            </w:r>
          </w:p>
        </w:tc>
        <w:tc>
          <w:tcPr>
            <w:tcW w:w="945" w:type="dxa"/>
          </w:tcPr>
          <w:p w14:paraId="61826BC2" w14:textId="11F3ED34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2024 </w:t>
            </w:r>
          </w:p>
        </w:tc>
        <w:tc>
          <w:tcPr>
            <w:tcW w:w="1445" w:type="dxa"/>
          </w:tcPr>
          <w:p w14:paraId="6D7BA31B" w14:textId="28498960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Eurostat (freight modal split) / Monstat </w:t>
            </w:r>
          </w:p>
        </w:tc>
        <w:tc>
          <w:tcPr>
            <w:tcW w:w="1463" w:type="dxa"/>
          </w:tcPr>
          <w:p w14:paraId="52880F5B" w14:textId="4E21710B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Podaci za EU zasnovani na ton-km, za CG na tonama </w:t>
            </w:r>
          </w:p>
        </w:tc>
      </w:tr>
      <w:tr w:rsidR="005A2CDB" w:rsidRPr="009C3565" w14:paraId="6F1CAE31" w14:textId="77777777" w:rsidTr="009C3565">
        <w:trPr>
          <w:trHeight w:val="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535D3692" w14:textId="77777777" w:rsidR="005A2CDB" w:rsidRPr="009C3565" w:rsidRDefault="005A2CDB" w:rsidP="00175720">
            <w:pPr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  <w:t>Stepen motorizacije: broj putničkih automobila na 1.000 stanovnika</w:t>
            </w:r>
          </w:p>
        </w:tc>
        <w:tc>
          <w:tcPr>
            <w:tcW w:w="1625" w:type="dxa"/>
            <w:gridSpan w:val="2"/>
          </w:tcPr>
          <w:p w14:paraId="3A03568E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578</w:t>
            </w:r>
          </w:p>
        </w:tc>
        <w:tc>
          <w:tcPr>
            <w:tcW w:w="1290" w:type="dxa"/>
          </w:tcPr>
          <w:p w14:paraId="2D1C656C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417</w:t>
            </w:r>
          </w:p>
        </w:tc>
        <w:tc>
          <w:tcPr>
            <w:tcW w:w="945" w:type="dxa"/>
          </w:tcPr>
          <w:p w14:paraId="356B9FED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2024.</w:t>
            </w:r>
          </w:p>
        </w:tc>
        <w:tc>
          <w:tcPr>
            <w:tcW w:w="1443" w:type="dxa"/>
          </w:tcPr>
          <w:p w14:paraId="7CE309B5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Eurostat / Monstat </w:t>
            </w:r>
          </w:p>
          <w:p w14:paraId="2CF850F4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</w:p>
          <w:p w14:paraId="4D465F35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Izvor: </w:t>
            </w:r>
            <w:hyperlink r:id="rId10" w:history="1">
              <w:r w:rsidRPr="009C3565">
                <w:rPr>
                  <w:sz w:val="16"/>
                  <w:szCs w:val="16"/>
                  <w:lang w:val="sr-Latn-ME"/>
                </w:rPr>
                <w:t>road_eqs_carhab</w:t>
              </w:r>
            </w:hyperlink>
          </w:p>
        </w:tc>
        <w:tc>
          <w:tcPr>
            <w:tcW w:w="1465" w:type="dxa"/>
          </w:tcPr>
          <w:p w14:paraId="1FBF416F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Direktan podatak</w:t>
            </w:r>
          </w:p>
          <w:p w14:paraId="073DF640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(Crna Gora 2025: 441)</w:t>
            </w:r>
          </w:p>
        </w:tc>
      </w:tr>
      <w:tr w:rsidR="005A2CDB" w:rsidRPr="009C3565" w14:paraId="3A452C1A" w14:textId="77777777" w:rsidTr="009C3565">
        <w:trPr>
          <w:trHeight w:val="1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3A538FCD" w14:textId="77777777" w:rsidR="005A2CDB" w:rsidRPr="009C3565" w:rsidRDefault="005A2CDB" w:rsidP="00175720">
            <w:pPr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  <w:t>Putnički automobili prema starosti (broj)</w:t>
            </w:r>
          </w:p>
        </w:tc>
        <w:tc>
          <w:tcPr>
            <w:tcW w:w="1625" w:type="dxa"/>
            <w:gridSpan w:val="2"/>
          </w:tcPr>
          <w:p w14:paraId="32C08B02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Ukupno: 260.195.837</w:t>
            </w:r>
          </w:p>
        </w:tc>
        <w:tc>
          <w:tcPr>
            <w:tcW w:w="1290" w:type="dxa"/>
          </w:tcPr>
          <w:p w14:paraId="1FA195E8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Ukupno: 259.815</w:t>
            </w:r>
          </w:p>
          <w:p w14:paraId="1500B861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Do 2 god: 7.136</w:t>
            </w:r>
          </w:p>
          <w:p w14:paraId="57AE2592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2-5 god: 9.324</w:t>
            </w:r>
          </w:p>
          <w:p w14:paraId="4EE4450E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5-10 god: 36.273</w:t>
            </w:r>
          </w:p>
          <w:p w14:paraId="2639FCF5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Od 10 do 20 god: 134.445</w:t>
            </w:r>
          </w:p>
        </w:tc>
        <w:tc>
          <w:tcPr>
            <w:tcW w:w="945" w:type="dxa"/>
          </w:tcPr>
          <w:p w14:paraId="19AA18CD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2024.</w:t>
            </w:r>
          </w:p>
        </w:tc>
        <w:tc>
          <w:tcPr>
            <w:tcW w:w="1443" w:type="dxa"/>
          </w:tcPr>
          <w:p w14:paraId="2D862320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Eurostat</w:t>
            </w:r>
          </w:p>
          <w:p w14:paraId="0DFE5460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Izvor: </w:t>
            </w:r>
          </w:p>
          <w:p w14:paraId="70F7A0DE" w14:textId="77777777" w:rsidR="005A2CDB" w:rsidRPr="009C3565" w:rsidRDefault="00175720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hyperlink r:id="rId11" w:history="1">
              <w:r w:rsidR="005A2CDB" w:rsidRPr="009C3565">
                <w:rPr>
                  <w:sz w:val="16"/>
                  <w:szCs w:val="16"/>
                  <w:lang w:val="sr-Latn-ME"/>
                </w:rPr>
                <w:t>road_eqs_carage</w:t>
              </w:r>
            </w:hyperlink>
          </w:p>
        </w:tc>
        <w:tc>
          <w:tcPr>
            <w:tcW w:w="1465" w:type="dxa"/>
          </w:tcPr>
          <w:p w14:paraId="66E3551D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Neke države EU ne dostavljaju podatke za ovu kategoriju, pa ne postoje brojevi prema starosti na nivou EU</w:t>
            </w:r>
          </w:p>
        </w:tc>
      </w:tr>
      <w:tr w:rsidR="005A2CDB" w:rsidRPr="009C3565" w14:paraId="248C1E2E" w14:textId="77777777" w:rsidTr="009C3565">
        <w:trPr>
          <w:trHeight w:val="1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0AB9B0DF" w14:textId="77777777" w:rsidR="005A2CDB" w:rsidRPr="009C3565" w:rsidRDefault="005A2CDB" w:rsidP="00175720">
            <w:pPr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  <w:lastRenderedPageBreak/>
              <w:t>Broj novih putničkih automobila prema vrsti pogonskog goriva (broj)</w:t>
            </w:r>
          </w:p>
        </w:tc>
        <w:tc>
          <w:tcPr>
            <w:tcW w:w="1625" w:type="dxa"/>
            <w:gridSpan w:val="2"/>
          </w:tcPr>
          <w:p w14:paraId="10C3232C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Benzin: 7.161.137</w:t>
            </w:r>
          </w:p>
          <w:p w14:paraId="2928FF64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Dizel: 1.818.403</w:t>
            </w:r>
          </w:p>
          <w:p w14:paraId="24DA5FD8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El. energija: 1.455.122</w:t>
            </w:r>
          </w:p>
          <w:p w14:paraId="689BA401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Alternativna energija: 1.780.36</w:t>
            </w:r>
          </w:p>
        </w:tc>
        <w:tc>
          <w:tcPr>
            <w:tcW w:w="1290" w:type="dxa"/>
          </w:tcPr>
          <w:p w14:paraId="35EF9F98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Benzin: 4.916</w:t>
            </w:r>
          </w:p>
          <w:p w14:paraId="44CA4CE8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Dizel: 1.982</w:t>
            </w:r>
          </w:p>
          <w:p w14:paraId="1FF52D16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El. energija: 167</w:t>
            </w:r>
          </w:p>
          <w:p w14:paraId="1BCF5F70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Alternativna energija: 238</w:t>
            </w:r>
          </w:p>
        </w:tc>
        <w:tc>
          <w:tcPr>
            <w:tcW w:w="945" w:type="dxa"/>
          </w:tcPr>
          <w:p w14:paraId="7D8D193C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2024.</w:t>
            </w:r>
          </w:p>
        </w:tc>
        <w:tc>
          <w:tcPr>
            <w:tcW w:w="1443" w:type="dxa"/>
          </w:tcPr>
          <w:p w14:paraId="290E12ED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Eurostat: </w:t>
            </w:r>
          </w:p>
          <w:p w14:paraId="1BF8D8F4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Izvor: </w:t>
            </w:r>
            <w:hyperlink r:id="rId12" w:history="1">
              <w:r w:rsidRPr="009C3565">
                <w:rPr>
                  <w:sz w:val="16"/>
                  <w:szCs w:val="16"/>
                  <w:lang w:val="sr-Latn-ME"/>
                </w:rPr>
                <w:t>road_eqr_carpda</w:t>
              </w:r>
            </w:hyperlink>
          </w:p>
        </w:tc>
        <w:tc>
          <w:tcPr>
            <w:tcW w:w="1465" w:type="dxa"/>
          </w:tcPr>
          <w:p w14:paraId="34A7CDBA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Direktan podatak</w:t>
            </w:r>
          </w:p>
        </w:tc>
      </w:tr>
      <w:tr w:rsidR="005A2CDB" w:rsidRPr="009C3565" w14:paraId="77F655C7" w14:textId="77777777" w:rsidTr="009C3565">
        <w:trPr>
          <w:trHeight w:val="1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2E6E9ABC" w14:textId="77777777" w:rsidR="005A2CDB" w:rsidRPr="009C3565" w:rsidRDefault="005A2CDB" w:rsidP="00175720">
            <w:pPr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  <w:t>Procenat novih registrovanih automobila na isključivo električni pogon u odnosu na ukupan broj novoregistrovanih automobila (%)</w:t>
            </w:r>
          </w:p>
        </w:tc>
        <w:tc>
          <w:tcPr>
            <w:tcW w:w="1625" w:type="dxa"/>
            <w:gridSpan w:val="2"/>
          </w:tcPr>
          <w:p w14:paraId="6432F7D6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13,6%</w:t>
            </w:r>
          </w:p>
        </w:tc>
        <w:tc>
          <w:tcPr>
            <w:tcW w:w="1290" w:type="dxa"/>
          </w:tcPr>
          <w:p w14:paraId="125AA8E8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n/a</w:t>
            </w:r>
          </w:p>
        </w:tc>
        <w:tc>
          <w:tcPr>
            <w:tcW w:w="945" w:type="dxa"/>
          </w:tcPr>
          <w:p w14:paraId="3B0E8FCB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2024.</w:t>
            </w:r>
          </w:p>
        </w:tc>
        <w:tc>
          <w:tcPr>
            <w:tcW w:w="1443" w:type="dxa"/>
          </w:tcPr>
          <w:p w14:paraId="38AF2B79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Eurostat</w:t>
            </w:r>
          </w:p>
        </w:tc>
        <w:tc>
          <w:tcPr>
            <w:tcW w:w="1465" w:type="dxa"/>
          </w:tcPr>
          <w:p w14:paraId="33239ACC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Podatak za Crnu Goru posjeduje Monstat</w:t>
            </w:r>
          </w:p>
        </w:tc>
      </w:tr>
      <w:tr w:rsidR="005A2CDB" w:rsidRPr="009C3565" w14:paraId="6F5D81A0" w14:textId="77777777" w:rsidTr="009C3565">
        <w:trPr>
          <w:trHeight w:val="1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4045B30C" w14:textId="77777777" w:rsidR="005A2CDB" w:rsidRPr="009C3565" w:rsidRDefault="005A2CDB" w:rsidP="00175720">
            <w:pPr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  <w:t>Broj smrtno stradalih lica u drumskom saobraćaju na milion stanovnika (broj)</w:t>
            </w:r>
          </w:p>
        </w:tc>
        <w:tc>
          <w:tcPr>
            <w:tcW w:w="1625" w:type="dxa"/>
            <w:gridSpan w:val="2"/>
          </w:tcPr>
          <w:p w14:paraId="4CF2A1A9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44</w:t>
            </w:r>
          </w:p>
        </w:tc>
        <w:tc>
          <w:tcPr>
            <w:tcW w:w="1290" w:type="dxa"/>
          </w:tcPr>
          <w:p w14:paraId="1330A31E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120</w:t>
            </w:r>
          </w:p>
        </w:tc>
        <w:tc>
          <w:tcPr>
            <w:tcW w:w="945" w:type="dxa"/>
          </w:tcPr>
          <w:p w14:paraId="4BEE7DC1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2024.</w:t>
            </w:r>
          </w:p>
        </w:tc>
        <w:tc>
          <w:tcPr>
            <w:tcW w:w="1443" w:type="dxa"/>
          </w:tcPr>
          <w:p w14:paraId="175B365F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Eurostat / Transportna zajednica</w:t>
            </w:r>
          </w:p>
        </w:tc>
        <w:tc>
          <w:tcPr>
            <w:tcW w:w="1465" w:type="dxa"/>
          </w:tcPr>
          <w:p w14:paraId="2141AB83" w14:textId="77777777" w:rsidR="005A2CDB" w:rsidRPr="009C3565" w:rsidRDefault="005A2CDB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Direktan podatak</w:t>
            </w:r>
          </w:p>
        </w:tc>
      </w:tr>
      <w:tr w:rsidR="33781F68" w:rsidRPr="009C3565" w14:paraId="60FF27ED" w14:textId="77777777" w:rsidTr="009C356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gridSpan w:val="2"/>
          </w:tcPr>
          <w:p w14:paraId="3BF7501D" w14:textId="28978C5C" w:rsidR="33781F68" w:rsidRPr="009C3565" w:rsidRDefault="33781F68" w:rsidP="33781F68">
            <w:pPr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  <w:t xml:space="preserve">Modalna raspodjela – željeznički transport robe (%) </w:t>
            </w:r>
          </w:p>
        </w:tc>
        <w:tc>
          <w:tcPr>
            <w:tcW w:w="1590" w:type="dxa"/>
          </w:tcPr>
          <w:p w14:paraId="2EC1C853" w14:textId="6E87FB48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16,6% </w:t>
            </w:r>
          </w:p>
        </w:tc>
        <w:tc>
          <w:tcPr>
            <w:tcW w:w="1290" w:type="dxa"/>
          </w:tcPr>
          <w:p w14:paraId="7BF8367C" w14:textId="661F5275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49,5% </w:t>
            </w:r>
          </w:p>
        </w:tc>
        <w:tc>
          <w:tcPr>
            <w:tcW w:w="945" w:type="dxa"/>
          </w:tcPr>
          <w:p w14:paraId="379CD630" w14:textId="690C4365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2024 </w:t>
            </w:r>
          </w:p>
        </w:tc>
        <w:tc>
          <w:tcPr>
            <w:tcW w:w="1445" w:type="dxa"/>
          </w:tcPr>
          <w:p w14:paraId="33C49F18" w14:textId="48AF9DCB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Eurostat / Monstat </w:t>
            </w:r>
          </w:p>
        </w:tc>
        <w:tc>
          <w:tcPr>
            <w:tcW w:w="1463" w:type="dxa"/>
          </w:tcPr>
          <w:p w14:paraId="3C49CE19" w14:textId="177FF7EF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Metodološki različiti izvori </w:t>
            </w:r>
          </w:p>
        </w:tc>
      </w:tr>
      <w:tr w:rsidR="33781F68" w:rsidRPr="009C3565" w14:paraId="2F296787" w14:textId="77777777" w:rsidTr="009C356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gridSpan w:val="2"/>
          </w:tcPr>
          <w:p w14:paraId="45D6804E" w14:textId="74C12649" w:rsidR="33781F68" w:rsidRPr="009C3565" w:rsidRDefault="33781F68" w:rsidP="33781F68">
            <w:pPr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  <w:t xml:space="preserve">Udio obnovljivih izvora energije u transportu (%) </w:t>
            </w:r>
          </w:p>
        </w:tc>
        <w:tc>
          <w:tcPr>
            <w:tcW w:w="1590" w:type="dxa"/>
          </w:tcPr>
          <w:p w14:paraId="4D37D54B" w14:textId="640C738F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11,2% </w:t>
            </w:r>
          </w:p>
        </w:tc>
        <w:tc>
          <w:tcPr>
            <w:tcW w:w="1290" w:type="dxa"/>
          </w:tcPr>
          <w:p w14:paraId="4F102DB6" w14:textId="40305BF7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0,3% </w:t>
            </w:r>
          </w:p>
        </w:tc>
        <w:tc>
          <w:tcPr>
            <w:tcW w:w="945" w:type="dxa"/>
          </w:tcPr>
          <w:p w14:paraId="3145FED7" w14:textId="3CB5C557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2023 </w:t>
            </w:r>
          </w:p>
        </w:tc>
        <w:tc>
          <w:tcPr>
            <w:tcW w:w="1445" w:type="dxa"/>
          </w:tcPr>
          <w:p w14:paraId="59631FE7" w14:textId="1ECB8693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Eurostat </w:t>
            </w:r>
          </w:p>
        </w:tc>
        <w:tc>
          <w:tcPr>
            <w:tcW w:w="1463" w:type="dxa"/>
          </w:tcPr>
          <w:p w14:paraId="4ADE55D0" w14:textId="573C890B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Direktan podatak </w:t>
            </w:r>
          </w:p>
        </w:tc>
      </w:tr>
      <w:tr w:rsidR="33781F68" w:rsidRPr="009C3565" w14:paraId="2604EBD4" w14:textId="77777777" w:rsidTr="009C356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gridSpan w:val="2"/>
          </w:tcPr>
          <w:p w14:paraId="63D3AE58" w14:textId="400B7B6D" w:rsidR="33781F68" w:rsidRPr="009C3565" w:rsidRDefault="33781F68" w:rsidP="33781F68">
            <w:pPr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  <w:t xml:space="preserve">Emisije GHG iz transporta (% ukupnih emisija) </w:t>
            </w:r>
          </w:p>
        </w:tc>
        <w:tc>
          <w:tcPr>
            <w:tcW w:w="1590" w:type="dxa"/>
          </w:tcPr>
          <w:p w14:paraId="4744FBA7" w14:textId="5C734245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~25% </w:t>
            </w:r>
          </w:p>
        </w:tc>
        <w:tc>
          <w:tcPr>
            <w:tcW w:w="1290" w:type="dxa"/>
          </w:tcPr>
          <w:p w14:paraId="59BF7B5E" w14:textId="2B2A75FC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~22% </w:t>
            </w:r>
          </w:p>
        </w:tc>
        <w:tc>
          <w:tcPr>
            <w:tcW w:w="945" w:type="dxa"/>
          </w:tcPr>
          <w:p w14:paraId="03F5666C" w14:textId="3AA97361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2022 </w:t>
            </w:r>
          </w:p>
        </w:tc>
        <w:tc>
          <w:tcPr>
            <w:tcW w:w="1445" w:type="dxa"/>
          </w:tcPr>
          <w:p w14:paraId="68056099" w14:textId="0BE0A25F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Eurostat / UNFCCC </w:t>
            </w:r>
          </w:p>
        </w:tc>
        <w:tc>
          <w:tcPr>
            <w:tcW w:w="1463" w:type="dxa"/>
          </w:tcPr>
          <w:p w14:paraId="2F5CE2BA" w14:textId="1489DC2E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Procjena </w:t>
            </w:r>
          </w:p>
        </w:tc>
      </w:tr>
      <w:tr w:rsidR="33781F68" w:rsidRPr="009C3565" w14:paraId="10C52634" w14:textId="77777777" w:rsidTr="009C356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gridSpan w:val="2"/>
          </w:tcPr>
          <w:p w14:paraId="4313899D" w14:textId="576BC0B3" w:rsidR="33781F68" w:rsidRPr="009C3565" w:rsidRDefault="33781F68" w:rsidP="33781F68">
            <w:pPr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  <w:t xml:space="preserve">Dužina željezničke mreže (km) </w:t>
            </w:r>
          </w:p>
        </w:tc>
        <w:tc>
          <w:tcPr>
            <w:tcW w:w="1590" w:type="dxa"/>
          </w:tcPr>
          <w:p w14:paraId="12B3D736" w14:textId="0035356C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n/a </w:t>
            </w:r>
          </w:p>
        </w:tc>
        <w:tc>
          <w:tcPr>
            <w:tcW w:w="1290" w:type="dxa"/>
          </w:tcPr>
          <w:p w14:paraId="305C93F3" w14:textId="3C173A02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250 </w:t>
            </w:r>
          </w:p>
        </w:tc>
        <w:tc>
          <w:tcPr>
            <w:tcW w:w="945" w:type="dxa"/>
          </w:tcPr>
          <w:p w14:paraId="1F0F1A15" w14:textId="282936CF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2019 </w:t>
            </w:r>
          </w:p>
        </w:tc>
        <w:tc>
          <w:tcPr>
            <w:tcW w:w="1445" w:type="dxa"/>
          </w:tcPr>
          <w:p w14:paraId="660042C6" w14:textId="01424F1D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World Bank / Monstat </w:t>
            </w:r>
          </w:p>
        </w:tc>
        <w:tc>
          <w:tcPr>
            <w:tcW w:w="1463" w:type="dxa"/>
          </w:tcPr>
          <w:p w14:paraId="429E54CA" w14:textId="7FC6DDE9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Direktan podatak </w:t>
            </w:r>
          </w:p>
        </w:tc>
      </w:tr>
      <w:tr w:rsidR="33781F68" w:rsidRPr="009C3565" w14:paraId="52C7F1C8" w14:textId="77777777" w:rsidTr="009C356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gridSpan w:val="2"/>
          </w:tcPr>
          <w:p w14:paraId="2AB30AC5" w14:textId="32E3ADD6" w:rsidR="33781F68" w:rsidRPr="009C3565" w:rsidRDefault="33781F68" w:rsidP="33781F68">
            <w:pPr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  <w:t xml:space="preserve">Dužina putne mreže (km) </w:t>
            </w:r>
          </w:p>
        </w:tc>
        <w:tc>
          <w:tcPr>
            <w:tcW w:w="1590" w:type="dxa"/>
          </w:tcPr>
          <w:p w14:paraId="04DC0236" w14:textId="6FABD93A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n/a </w:t>
            </w:r>
          </w:p>
        </w:tc>
        <w:tc>
          <w:tcPr>
            <w:tcW w:w="1290" w:type="dxa"/>
          </w:tcPr>
          <w:p w14:paraId="19F76F09" w14:textId="5A62F448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~7.000 </w:t>
            </w:r>
          </w:p>
        </w:tc>
        <w:tc>
          <w:tcPr>
            <w:tcW w:w="945" w:type="dxa"/>
          </w:tcPr>
          <w:p w14:paraId="47ED8292" w14:textId="4A383368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2022 </w:t>
            </w:r>
          </w:p>
        </w:tc>
        <w:tc>
          <w:tcPr>
            <w:tcW w:w="1445" w:type="dxa"/>
          </w:tcPr>
          <w:p w14:paraId="54ADB5DA" w14:textId="37855DF9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World Bank / Monstat </w:t>
            </w:r>
          </w:p>
        </w:tc>
        <w:tc>
          <w:tcPr>
            <w:tcW w:w="1463" w:type="dxa"/>
          </w:tcPr>
          <w:p w14:paraId="1C0EABEF" w14:textId="02E6E269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Procjena </w:t>
            </w:r>
          </w:p>
        </w:tc>
      </w:tr>
      <w:tr w:rsidR="33781F68" w:rsidRPr="009C3565" w14:paraId="31C4DAE8" w14:textId="77777777" w:rsidTr="009C356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gridSpan w:val="2"/>
          </w:tcPr>
          <w:p w14:paraId="4EF3B895" w14:textId="785A77B2" w:rsidR="33781F68" w:rsidRPr="009C3565" w:rsidRDefault="33781F68" w:rsidP="33781F68">
            <w:pPr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  <w:t xml:space="preserve">Dužina željezničke mreže opremljene ERTMS (km) </w:t>
            </w:r>
          </w:p>
        </w:tc>
        <w:tc>
          <w:tcPr>
            <w:tcW w:w="1590" w:type="dxa"/>
          </w:tcPr>
          <w:p w14:paraId="66BC00F8" w14:textId="3AFE5C16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dostupno po državama </w:t>
            </w:r>
          </w:p>
        </w:tc>
        <w:tc>
          <w:tcPr>
            <w:tcW w:w="1290" w:type="dxa"/>
          </w:tcPr>
          <w:p w14:paraId="075E962D" w14:textId="6F30D18C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0 </w:t>
            </w:r>
          </w:p>
        </w:tc>
        <w:tc>
          <w:tcPr>
            <w:tcW w:w="945" w:type="dxa"/>
          </w:tcPr>
          <w:p w14:paraId="5489B6EE" w14:textId="3DA65888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2023 </w:t>
            </w:r>
          </w:p>
        </w:tc>
        <w:tc>
          <w:tcPr>
            <w:tcW w:w="1445" w:type="dxa"/>
          </w:tcPr>
          <w:p w14:paraId="203BBF2B" w14:textId="1B272D70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Eurostat </w:t>
            </w:r>
          </w:p>
        </w:tc>
        <w:tc>
          <w:tcPr>
            <w:tcW w:w="1463" w:type="dxa"/>
          </w:tcPr>
          <w:p w14:paraId="6CC3F6D0" w14:textId="52BF0DEC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Direktan podatak </w:t>
            </w:r>
          </w:p>
        </w:tc>
      </w:tr>
      <w:tr w:rsidR="33781F68" w:rsidRPr="009C3565" w14:paraId="71572224" w14:textId="77777777" w:rsidTr="009C356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gridSpan w:val="2"/>
          </w:tcPr>
          <w:p w14:paraId="50D05500" w14:textId="428EDD67" w:rsidR="33781F68" w:rsidRPr="009C3565" w:rsidRDefault="33781F68" w:rsidP="33781F68">
            <w:pPr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b w:val="0"/>
                <w:bCs w:val="0"/>
                <w:sz w:val="16"/>
                <w:szCs w:val="16"/>
                <w:lang w:val="sr-Latn-ME"/>
              </w:rPr>
              <w:t xml:space="preserve">Broj putnika u vazdušnom saobraćaju </w:t>
            </w:r>
          </w:p>
        </w:tc>
        <w:tc>
          <w:tcPr>
            <w:tcW w:w="1590" w:type="dxa"/>
          </w:tcPr>
          <w:p w14:paraId="6807B4BC" w14:textId="3EEE0F28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n/a </w:t>
            </w:r>
          </w:p>
        </w:tc>
        <w:tc>
          <w:tcPr>
            <w:tcW w:w="1290" w:type="dxa"/>
          </w:tcPr>
          <w:p w14:paraId="0D86DF23" w14:textId="19B7AA7D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2.871.774 </w:t>
            </w:r>
          </w:p>
        </w:tc>
        <w:tc>
          <w:tcPr>
            <w:tcW w:w="945" w:type="dxa"/>
          </w:tcPr>
          <w:p w14:paraId="476E9158" w14:textId="78F42879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2024 </w:t>
            </w:r>
          </w:p>
        </w:tc>
        <w:tc>
          <w:tcPr>
            <w:tcW w:w="1445" w:type="dxa"/>
          </w:tcPr>
          <w:p w14:paraId="07165C02" w14:textId="13A5234E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 xml:space="preserve">Monstat </w:t>
            </w:r>
          </w:p>
        </w:tc>
        <w:tc>
          <w:tcPr>
            <w:tcW w:w="1463" w:type="dxa"/>
          </w:tcPr>
          <w:p w14:paraId="607B0A79" w14:textId="62A74FBB" w:rsidR="33781F68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ptos"/>
                <w:sz w:val="16"/>
                <w:szCs w:val="16"/>
                <w:lang w:val="sr-Latn-ME"/>
              </w:rPr>
            </w:pPr>
            <w:r w:rsidRPr="009C3565">
              <w:rPr>
                <w:rFonts w:eastAsia="Aptos" w:cs="Aptos"/>
                <w:sz w:val="16"/>
                <w:szCs w:val="16"/>
                <w:lang w:val="sr-Latn-ME"/>
              </w:rPr>
              <w:t>Direktan podatak</w:t>
            </w:r>
          </w:p>
        </w:tc>
      </w:tr>
    </w:tbl>
    <w:p w14:paraId="607A6CC8" w14:textId="2E0580AA" w:rsidR="00C44164" w:rsidRPr="009C3565" w:rsidRDefault="00C44164" w:rsidP="33781F68">
      <w:pPr>
        <w:rPr>
          <w:lang w:val="sr-Latn-ME"/>
        </w:rPr>
      </w:pPr>
    </w:p>
    <w:p w14:paraId="55AE590B" w14:textId="77777777" w:rsidR="0021066E" w:rsidRPr="009C3565" w:rsidRDefault="33781F68" w:rsidP="0021066E">
      <w:pPr>
        <w:pStyle w:val="Heading2"/>
        <w:rPr>
          <w:rFonts w:asciiTheme="minorHAnsi" w:hAnsiTheme="minorHAnsi"/>
          <w:lang w:val="sr-Latn-ME"/>
        </w:rPr>
      </w:pPr>
      <w:r w:rsidRPr="009C3565">
        <w:rPr>
          <w:rFonts w:asciiTheme="minorHAnsi" w:hAnsiTheme="minorHAnsi"/>
          <w:lang w:val="sr-Latn-ME"/>
        </w:rPr>
        <w:t>Tematske cjeline</w:t>
      </w:r>
    </w:p>
    <w:tbl>
      <w:tblPr>
        <w:tblStyle w:val="GridTable1Light-Accent4"/>
        <w:tblW w:w="9140" w:type="dxa"/>
        <w:tblLook w:val="04A0" w:firstRow="1" w:lastRow="0" w:firstColumn="1" w:lastColumn="0" w:noHBand="0" w:noVBand="1"/>
      </w:tblPr>
      <w:tblGrid>
        <w:gridCol w:w="3020"/>
        <w:gridCol w:w="6120"/>
      </w:tblGrid>
      <w:tr w:rsidR="0021066E" w:rsidRPr="009C3565" w14:paraId="4B4FD3E9" w14:textId="77777777" w:rsidTr="009C35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A00D1A1" w14:textId="77777777" w:rsidR="0021066E" w:rsidRPr="009C3565" w:rsidRDefault="33781F68" w:rsidP="33781F68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Kod tematske cjeline</w:t>
            </w:r>
          </w:p>
        </w:tc>
        <w:tc>
          <w:tcPr>
            <w:tcW w:w="6120" w:type="dxa"/>
          </w:tcPr>
          <w:p w14:paraId="0C76F98A" w14:textId="77777777" w:rsidR="0021066E" w:rsidRPr="009C3565" w:rsidRDefault="33781F68" w:rsidP="33781F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Naziv tematske cjeline</w:t>
            </w:r>
          </w:p>
        </w:tc>
      </w:tr>
      <w:tr w:rsidR="0021066E" w:rsidRPr="009C3565" w14:paraId="6A3F0558" w14:textId="77777777" w:rsidTr="009C3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0817500" w14:textId="27E4F131" w:rsidR="0021066E" w:rsidRPr="009C3565" w:rsidRDefault="33781F68" w:rsidP="33781F68">
            <w:pPr>
              <w:rPr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[PA2]18.1</w:t>
            </w:r>
          </w:p>
        </w:tc>
        <w:tc>
          <w:tcPr>
            <w:tcW w:w="6120" w:type="dxa"/>
          </w:tcPr>
          <w:p w14:paraId="1172554C" w14:textId="05CB856B" w:rsidR="0021066E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Strateški, regulatorni i institucionalni okvir</w:t>
            </w:r>
          </w:p>
        </w:tc>
      </w:tr>
      <w:tr w:rsidR="0021066E" w:rsidRPr="009C3565" w14:paraId="651EB7EB" w14:textId="77777777" w:rsidTr="009C3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EBCFEC7" w14:textId="39793473" w:rsidR="0021066E" w:rsidRPr="009C3565" w:rsidRDefault="33781F68" w:rsidP="33781F68">
            <w:pPr>
              <w:rPr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[PA2]18.2</w:t>
            </w:r>
          </w:p>
        </w:tc>
        <w:tc>
          <w:tcPr>
            <w:tcW w:w="6120" w:type="dxa"/>
          </w:tcPr>
          <w:p w14:paraId="0386CACC" w14:textId="3E16C7FE" w:rsidR="0021066E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Razvoj željezničke infrastrukture</w:t>
            </w:r>
          </w:p>
        </w:tc>
      </w:tr>
      <w:tr w:rsidR="00F16B8B" w:rsidRPr="009C3565" w14:paraId="7F146A3C" w14:textId="77777777" w:rsidTr="009C3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FDEE5DA" w14:textId="796C2270" w:rsidR="00F16B8B" w:rsidRPr="009C3565" w:rsidRDefault="33781F68" w:rsidP="33781F68">
            <w:pPr>
              <w:rPr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[PA2]18.3</w:t>
            </w:r>
          </w:p>
        </w:tc>
        <w:tc>
          <w:tcPr>
            <w:tcW w:w="6120" w:type="dxa"/>
          </w:tcPr>
          <w:p w14:paraId="5524C7DE" w14:textId="49E22D08" w:rsidR="00F16B8B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Razvoj putne infrastrukture</w:t>
            </w:r>
          </w:p>
        </w:tc>
      </w:tr>
      <w:tr w:rsidR="00F16B8B" w:rsidRPr="009C3565" w14:paraId="62210DFE" w14:textId="77777777" w:rsidTr="009C3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8E65A5D" w14:textId="64146BA9" w:rsidR="00F16B8B" w:rsidRPr="009C3565" w:rsidRDefault="33781F68" w:rsidP="33781F68">
            <w:pPr>
              <w:rPr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[PA2]18.4</w:t>
            </w:r>
          </w:p>
        </w:tc>
        <w:tc>
          <w:tcPr>
            <w:tcW w:w="6120" w:type="dxa"/>
          </w:tcPr>
          <w:p w14:paraId="4825830B" w14:textId="25928A21" w:rsidR="00F16B8B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Razvoj infrastrukture vazdušnog saobraćaja</w:t>
            </w:r>
          </w:p>
        </w:tc>
      </w:tr>
      <w:tr w:rsidR="0053472B" w:rsidRPr="009C3565" w14:paraId="1FF277D4" w14:textId="77777777" w:rsidTr="009C3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3690CCF" w14:textId="1D6314DF" w:rsidR="0053472B" w:rsidRPr="009C3565" w:rsidRDefault="33781F68" w:rsidP="33781F68">
            <w:pPr>
              <w:rPr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[PA2]18.5</w:t>
            </w:r>
          </w:p>
        </w:tc>
        <w:tc>
          <w:tcPr>
            <w:tcW w:w="6120" w:type="dxa"/>
          </w:tcPr>
          <w:p w14:paraId="201D527E" w14:textId="609482BD" w:rsidR="0053472B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Multimodalna integracija i povezanost</w:t>
            </w:r>
          </w:p>
        </w:tc>
      </w:tr>
      <w:tr w:rsidR="0053472B" w:rsidRPr="009C3565" w14:paraId="2F36DC92" w14:textId="77777777" w:rsidTr="009C3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BD9DA5C" w14:textId="1B7DB7B1" w:rsidR="0053472B" w:rsidRPr="009C3565" w:rsidRDefault="33781F68" w:rsidP="33781F68">
            <w:pPr>
              <w:rPr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[PA2]18.6</w:t>
            </w:r>
          </w:p>
        </w:tc>
        <w:tc>
          <w:tcPr>
            <w:tcW w:w="6120" w:type="dxa"/>
          </w:tcPr>
          <w:p w14:paraId="3F9AC2FB" w14:textId="7D8A5077" w:rsidR="0053472B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Digitalizacija i povezanost saobraćajnog sistema</w:t>
            </w:r>
          </w:p>
        </w:tc>
      </w:tr>
      <w:tr w:rsidR="0053472B" w:rsidRPr="009C3565" w14:paraId="0F40261B" w14:textId="77777777" w:rsidTr="009C3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A1D195D" w14:textId="1346A918" w:rsidR="0053472B" w:rsidRPr="009C3565" w:rsidRDefault="33781F68" w:rsidP="33781F68">
            <w:pPr>
              <w:rPr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[PA2]18.7</w:t>
            </w:r>
          </w:p>
        </w:tc>
        <w:tc>
          <w:tcPr>
            <w:tcW w:w="6120" w:type="dxa"/>
          </w:tcPr>
          <w:p w14:paraId="6962D2DC" w14:textId="55615DF7" w:rsidR="0053472B" w:rsidRPr="009C3565" w:rsidRDefault="33781F68" w:rsidP="33781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C3565">
              <w:rPr>
                <w:sz w:val="16"/>
                <w:szCs w:val="16"/>
                <w:lang w:val="sr-Latn-ME"/>
              </w:rPr>
              <w:t>Održiva i niskoemisiona mobilnost</w:t>
            </w:r>
          </w:p>
        </w:tc>
      </w:tr>
    </w:tbl>
    <w:p w14:paraId="3CB8CDA5" w14:textId="77777777" w:rsidR="00F579F5" w:rsidRPr="009C3565" w:rsidRDefault="00F579F5" w:rsidP="00D606D3">
      <w:pPr>
        <w:rPr>
          <w:lang w:val="sr-Latn-ME"/>
        </w:rPr>
      </w:pPr>
    </w:p>
    <w:p w14:paraId="7641081D" w14:textId="67491C47" w:rsidR="00D606D3" w:rsidRPr="009C3565" w:rsidRDefault="33781F68" w:rsidP="00D606D3">
      <w:pPr>
        <w:rPr>
          <w:lang w:val="sr-Latn-ME"/>
        </w:rPr>
      </w:pPr>
      <w:r w:rsidRPr="009C3565">
        <w:rPr>
          <w:b/>
          <w:bCs/>
          <w:lang w:val="sr-Latn-ME"/>
        </w:rPr>
        <w:t xml:space="preserve">[PA2]18.1 Strateški, regulatorni i institucionalni okvir </w:t>
      </w:r>
      <w:r w:rsidRPr="009C3565">
        <w:rPr>
          <w:lang w:val="sr-Latn-ME"/>
        </w:rPr>
        <w:t xml:space="preserve"> obuhvata razvoj politika, zakonodavstva i organizacije sektora saobraćaja, uključujući planiranje razvoja, regulaciju tržišta i funkcionisanje nadležnih institucija. Ovaj okvir omogućava usklađivanje sa evropskim standardima i predstavlja osnov za sprovođenje investicija i reformi u ovoj oblasti.</w:t>
      </w:r>
    </w:p>
    <w:p w14:paraId="2B775524" w14:textId="351B23C8" w:rsidR="00942304" w:rsidRPr="009C3565" w:rsidRDefault="33781F68" w:rsidP="33781F68">
      <w:pPr>
        <w:rPr>
          <w:lang w:val="sr-Latn-ME"/>
        </w:rPr>
      </w:pPr>
      <w:r w:rsidRPr="009C3565">
        <w:rPr>
          <w:b/>
          <w:bCs/>
          <w:lang w:val="sr-Latn-ME"/>
        </w:rPr>
        <w:t xml:space="preserve">[PA2]18.2 Razvoj željezničke infrastrukture </w:t>
      </w:r>
      <w:r w:rsidRPr="009C3565">
        <w:rPr>
          <w:lang w:val="sr-Latn-ME"/>
        </w:rPr>
        <w:t>obuhvata izgradnju, rekonstrukciju, modernizaciju i održavanje željezničke mreže i pratećih kapaciteta, uključujući unapređenje interoperabilnosti i sigurnosti sistema. Ova oblast doprinosi povećanju kapaciteta, pouzdanosti i konkurentnosti željezničkog transporta.</w:t>
      </w:r>
    </w:p>
    <w:p w14:paraId="4BC383DD" w14:textId="7243AE5B" w:rsidR="00942304" w:rsidRPr="009C3565" w:rsidRDefault="33781F68" w:rsidP="33781F68">
      <w:pPr>
        <w:rPr>
          <w:lang w:val="sr-Latn-ME"/>
        </w:rPr>
      </w:pPr>
      <w:r w:rsidRPr="009C3565">
        <w:rPr>
          <w:b/>
          <w:bCs/>
          <w:lang w:val="sr-Latn-ME"/>
        </w:rPr>
        <w:lastRenderedPageBreak/>
        <w:t xml:space="preserve">[PA2]18.3 Razvoj putne infrastrukture </w:t>
      </w:r>
      <w:r w:rsidRPr="009C3565">
        <w:rPr>
          <w:lang w:val="sr-Latn-ME"/>
        </w:rPr>
        <w:t xml:space="preserve">obuhvata razvoj, </w:t>
      </w:r>
      <w:r w:rsidR="00AC2237" w:rsidRPr="009C3565">
        <w:rPr>
          <w:lang w:val="sr-Latn-ME"/>
        </w:rPr>
        <w:t xml:space="preserve">izgradnju, </w:t>
      </w:r>
      <w:r w:rsidRPr="009C3565">
        <w:rPr>
          <w:lang w:val="sr-Latn-ME"/>
        </w:rPr>
        <w:t>rekonstrukciju i održavanje putne mreže, uključujući autoputeve, magistralne i regionalne puteve, kao i unapređenje sigurnosti i kapaciteta drumskog saobraćaja. Ova oblast predstavlja osnov za dostupnost i teritorijalnu povezanost.</w:t>
      </w:r>
    </w:p>
    <w:p w14:paraId="23B6BC25" w14:textId="0BDD3843" w:rsidR="00D606D3" w:rsidRPr="009C3565" w:rsidRDefault="33781F68" w:rsidP="33781F68">
      <w:pPr>
        <w:rPr>
          <w:lang w:val="sr-Latn-ME"/>
        </w:rPr>
      </w:pPr>
      <w:r w:rsidRPr="009C3565">
        <w:rPr>
          <w:b/>
          <w:bCs/>
          <w:lang w:val="sr-Latn-ME"/>
        </w:rPr>
        <w:t xml:space="preserve"> [PA2]18.4 Razvoj infrastrukture vazdušnog saobraćaja </w:t>
      </w:r>
      <w:r w:rsidRPr="009C3565">
        <w:rPr>
          <w:lang w:val="sr-Latn-ME"/>
        </w:rPr>
        <w:t>obuhvata razvoj i unapređenje aerodromske infrastrukture i operativnih kapaciteta, uključujući sigurnost,</w:t>
      </w:r>
      <w:r w:rsidR="00F11AA2" w:rsidRPr="009C3565">
        <w:rPr>
          <w:lang w:val="sr-Latn-ME"/>
        </w:rPr>
        <w:t>bezbjednost</w:t>
      </w:r>
      <w:r w:rsidRPr="009C3565">
        <w:rPr>
          <w:lang w:val="sr-Latn-ME"/>
        </w:rPr>
        <w:t xml:space="preserve"> upravljanje i dostupnost vazdušnog saobraćaja. Ova oblast doprinosi međunarodnoj povezanosti i mobilnosti putnika.</w:t>
      </w:r>
    </w:p>
    <w:p w14:paraId="3BA7FB5F" w14:textId="6CD30AB6" w:rsidR="00D606D3" w:rsidRPr="009C3565" w:rsidRDefault="33781F68" w:rsidP="33781F68">
      <w:pPr>
        <w:rPr>
          <w:lang w:val="sr-Latn-ME"/>
        </w:rPr>
      </w:pPr>
      <w:r w:rsidRPr="009C3565">
        <w:rPr>
          <w:b/>
          <w:bCs/>
          <w:lang w:val="sr-Latn-ME"/>
        </w:rPr>
        <w:t xml:space="preserve">[PA2]18.5 Multimodalna integracija i povezanost </w:t>
      </w:r>
      <w:r w:rsidRPr="009C3565">
        <w:rPr>
          <w:lang w:val="sr-Latn-ME"/>
        </w:rPr>
        <w:t>obuhvata povezivanje različitih vidova transporta i razvoj intermodalnih rješenja, uključujući koordinaciju transportnih tokova i funkcionalnu integraciju mreža i čvorišta. Ova oblast doprinosi efikasnijem korišćenju resursa i boljoj organizaciji transportnog sistema.</w:t>
      </w:r>
    </w:p>
    <w:p w14:paraId="7F8B8654" w14:textId="0BC996F0" w:rsidR="00D606D3" w:rsidRPr="009C3565" w:rsidRDefault="33781F68" w:rsidP="33781F68">
      <w:pPr>
        <w:rPr>
          <w:lang w:val="sr-Latn-ME"/>
        </w:rPr>
      </w:pPr>
      <w:r w:rsidRPr="009C3565">
        <w:rPr>
          <w:b/>
          <w:bCs/>
          <w:lang w:val="sr-Latn-ME"/>
        </w:rPr>
        <w:t xml:space="preserve">[PA2]18.6  Digitalizacija i povezanost saobraćajnog sistema </w:t>
      </w:r>
      <w:r w:rsidRPr="009C3565">
        <w:rPr>
          <w:lang w:val="sr-Latn-ME"/>
        </w:rPr>
        <w:t>obuhvataju primjenu digitalnih tehnologija u upravljanju saobraćajem i logistici, uključujući sisteme za razmjenu podataka i podršku operativnim procesima.</w:t>
      </w:r>
      <w:r w:rsidR="009050CA" w:rsidRPr="009C3565">
        <w:rPr>
          <w:lang w:val="sr-Latn-ME"/>
        </w:rPr>
        <w:t xml:space="preserve"> Poseban značaj imaju i digitalna rješenja za upravljanje mobilnošću i unapređenje dostupnosti transportnih usluga u ruralnim i teritorijalno udaljenim područjima.</w:t>
      </w:r>
      <w:r w:rsidRPr="009C3565">
        <w:rPr>
          <w:lang w:val="sr-Latn-ME"/>
        </w:rPr>
        <w:t xml:space="preserve"> Ova oblast omogućava unapređenje efikasnosti, koordinacije i funkcionalnosti transportnog sistema.</w:t>
      </w:r>
    </w:p>
    <w:p w14:paraId="613A8CB1" w14:textId="35CA2905" w:rsidR="00D606D3" w:rsidRPr="009C3565" w:rsidRDefault="33781F68" w:rsidP="33781F68">
      <w:pPr>
        <w:rPr>
          <w:lang w:val="sr-Latn-ME"/>
        </w:rPr>
      </w:pPr>
      <w:r w:rsidRPr="009C3565">
        <w:rPr>
          <w:b/>
          <w:bCs/>
          <w:lang w:val="sr-Latn-ME"/>
        </w:rPr>
        <w:t>[PA2]18.7 Održiva i niskoemisiona mobilnost</w:t>
      </w:r>
      <w:r w:rsidRPr="009C3565">
        <w:rPr>
          <w:lang w:val="sr-Latn-ME"/>
        </w:rPr>
        <w:t xml:space="preserve"> obuhvata razvoj rješenja za smanjenje emisija u transportu, unapređenje javnog prevoza i razvoj urbanih i alternativnih vidova kretanja, uključujući biciklistički saobraćaj. </w:t>
      </w:r>
      <w:r w:rsidR="009050CA" w:rsidRPr="009C3565">
        <w:rPr>
          <w:lang w:val="sr-Latn-ME"/>
        </w:rPr>
        <w:t xml:space="preserve">Poseban značaj ima razvoj minimalne mreže infrastrukture za alternativna goriva i električnu mobilnost, posebno u tranzitnim, ruralnim, planinskim i turističkim područjima, kako bi se unaprijedila dostupnost održivih vidova transporta, smanjila transportna izolovanost i podržao ravnomjerniji teritorijalni razvoj. </w:t>
      </w:r>
      <w:r w:rsidRPr="009C3565">
        <w:rPr>
          <w:lang w:val="sr-Latn-ME"/>
        </w:rPr>
        <w:t>Ova oblast doprinosi postepenoj transformaciji transportnog sistema ka efikasnijim i ekološki prihvatljivijim rješenjima.</w:t>
      </w:r>
    </w:p>
    <w:p w14:paraId="6E22485E" w14:textId="2A672699" w:rsidR="006531F9" w:rsidRPr="009C3565" w:rsidRDefault="006531F9" w:rsidP="33781F68">
      <w:pPr>
        <w:rPr>
          <w:lang w:val="sr-Latn-ME"/>
        </w:rPr>
      </w:pPr>
    </w:p>
    <w:p w14:paraId="3777CC6E" w14:textId="12880EAA" w:rsidR="00F579F5" w:rsidRPr="009C3565" w:rsidRDefault="33781F68" w:rsidP="0021066E">
      <w:pPr>
        <w:pStyle w:val="Heading2"/>
        <w:rPr>
          <w:rFonts w:asciiTheme="minorHAnsi" w:hAnsiTheme="minorHAnsi"/>
          <w:lang w:val="sr-Latn-ME"/>
        </w:rPr>
      </w:pPr>
      <w:r w:rsidRPr="009C3565">
        <w:rPr>
          <w:rFonts w:asciiTheme="minorHAnsi" w:hAnsiTheme="minorHAnsi"/>
          <w:lang w:val="sr-Latn-ME"/>
        </w:rPr>
        <w:t>Indikativna lista razvojnih izazova</w:t>
      </w:r>
    </w:p>
    <w:tbl>
      <w:tblPr>
        <w:tblStyle w:val="GridTable1Light-Accent4"/>
        <w:tblW w:w="0" w:type="auto"/>
        <w:tblLook w:val="04A0" w:firstRow="1" w:lastRow="0" w:firstColumn="1" w:lastColumn="0" w:noHBand="0" w:noVBand="1"/>
      </w:tblPr>
      <w:tblGrid>
        <w:gridCol w:w="567"/>
        <w:gridCol w:w="1147"/>
        <w:gridCol w:w="2319"/>
        <w:gridCol w:w="5029"/>
      </w:tblGrid>
      <w:tr w:rsidR="009C3565" w:rsidRPr="009C3565" w14:paraId="1394F23B" w14:textId="77777777" w:rsidTr="009C35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17DAAC26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Broj</w:t>
            </w:r>
          </w:p>
        </w:tc>
        <w:tc>
          <w:tcPr>
            <w:tcW w:w="1148" w:type="dxa"/>
            <w:noWrap/>
            <w:hideMark/>
          </w:tcPr>
          <w:p w14:paraId="3B0AE746" w14:textId="77777777" w:rsidR="009C3565" w:rsidRPr="009C3565" w:rsidRDefault="009C3565" w:rsidP="009C356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Kod</w:t>
            </w:r>
          </w:p>
        </w:tc>
        <w:tc>
          <w:tcPr>
            <w:tcW w:w="2322" w:type="dxa"/>
            <w:noWrap/>
            <w:hideMark/>
          </w:tcPr>
          <w:p w14:paraId="2C574E7C" w14:textId="77777777" w:rsidR="009C3565" w:rsidRPr="009C3565" w:rsidRDefault="009C3565" w:rsidP="009C356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Naziv razvojnog izazova</w:t>
            </w:r>
          </w:p>
        </w:tc>
        <w:tc>
          <w:tcPr>
            <w:tcW w:w="5035" w:type="dxa"/>
            <w:noWrap/>
            <w:hideMark/>
          </w:tcPr>
          <w:p w14:paraId="2C6AADA9" w14:textId="77777777" w:rsidR="009C3565" w:rsidRPr="009C3565" w:rsidRDefault="009C3565" w:rsidP="009C356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Obrazloženje</w:t>
            </w:r>
          </w:p>
        </w:tc>
      </w:tr>
      <w:tr w:rsidR="009C3565" w:rsidRPr="009C3565" w14:paraId="65070288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541D7FFF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01</w:t>
            </w:r>
          </w:p>
        </w:tc>
        <w:tc>
          <w:tcPr>
            <w:tcW w:w="1148" w:type="dxa"/>
            <w:noWrap/>
            <w:hideMark/>
          </w:tcPr>
          <w:p w14:paraId="0AC44D2E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PA18-01</w:t>
            </w:r>
          </w:p>
        </w:tc>
        <w:tc>
          <w:tcPr>
            <w:tcW w:w="2322" w:type="dxa"/>
            <w:noWrap/>
            <w:hideMark/>
          </w:tcPr>
          <w:p w14:paraId="27D194A3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Nedovoljno usklađen željeznički okvir sa EU acquis</w:t>
            </w:r>
          </w:p>
        </w:tc>
        <w:tc>
          <w:tcPr>
            <w:tcW w:w="5035" w:type="dxa"/>
            <w:noWrap/>
            <w:hideMark/>
          </w:tcPr>
          <w:p w14:paraId="2E3FEA29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Preostali zakonodavni koraci u oblasti bezbjednosti i interoperabilnosti željeznice usporavaju zatvaranje Poglavlja 14 i punu integraciju u EU sistem.</w:t>
            </w:r>
          </w:p>
        </w:tc>
      </w:tr>
      <w:tr w:rsidR="009C3565" w:rsidRPr="009C3565" w14:paraId="0EBFF8D0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58F8FADD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02</w:t>
            </w:r>
          </w:p>
        </w:tc>
        <w:tc>
          <w:tcPr>
            <w:tcW w:w="1148" w:type="dxa"/>
            <w:noWrap/>
            <w:hideMark/>
          </w:tcPr>
          <w:p w14:paraId="62BCD9DB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PA18-02</w:t>
            </w:r>
          </w:p>
        </w:tc>
        <w:tc>
          <w:tcPr>
            <w:tcW w:w="2322" w:type="dxa"/>
            <w:noWrap/>
            <w:hideMark/>
          </w:tcPr>
          <w:p w14:paraId="01FEA424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Jačanje administrativnih kapaciteta institucija</w:t>
            </w:r>
          </w:p>
        </w:tc>
        <w:tc>
          <w:tcPr>
            <w:tcW w:w="5035" w:type="dxa"/>
            <w:noWrap/>
            <w:hideMark/>
          </w:tcPr>
          <w:p w14:paraId="20EBBD0A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Nedovoljni administrativni i stručni kapaciteti nadležnih institucija ograničavaju sprovođenje reformi i usklađivanje sa EU zakonodavstvom.</w:t>
            </w:r>
          </w:p>
        </w:tc>
      </w:tr>
      <w:tr w:rsidR="009C3565" w:rsidRPr="009C3565" w14:paraId="53CE146A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75B8F550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03</w:t>
            </w:r>
          </w:p>
        </w:tc>
        <w:tc>
          <w:tcPr>
            <w:tcW w:w="1148" w:type="dxa"/>
            <w:noWrap/>
            <w:hideMark/>
          </w:tcPr>
          <w:p w14:paraId="53A7EF47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PA18-03</w:t>
            </w:r>
          </w:p>
        </w:tc>
        <w:tc>
          <w:tcPr>
            <w:tcW w:w="2322" w:type="dxa"/>
            <w:noWrap/>
            <w:hideMark/>
          </w:tcPr>
          <w:p w14:paraId="6C936250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Zastarjelost i nedovoljna međusobna usklađenost strateškog okvira sektora</w:t>
            </w:r>
          </w:p>
        </w:tc>
        <w:tc>
          <w:tcPr>
            <w:tcW w:w="5035" w:type="dxa"/>
            <w:noWrap/>
            <w:hideMark/>
          </w:tcPr>
          <w:p w14:paraId="6D2F8A00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Važeći strateški dokumenti nijesu u potpunosti usklađeni sa novim EU prioritetima u oblasti zelene i digitalne tranzicije.</w:t>
            </w:r>
          </w:p>
        </w:tc>
      </w:tr>
      <w:tr w:rsidR="009C3565" w:rsidRPr="009C3565" w14:paraId="44C88FBB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23F20E6F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04</w:t>
            </w:r>
          </w:p>
        </w:tc>
        <w:tc>
          <w:tcPr>
            <w:tcW w:w="1148" w:type="dxa"/>
            <w:noWrap/>
            <w:hideMark/>
          </w:tcPr>
          <w:p w14:paraId="18208FB2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PA18-04</w:t>
            </w:r>
          </w:p>
        </w:tc>
        <w:tc>
          <w:tcPr>
            <w:tcW w:w="2322" w:type="dxa"/>
            <w:noWrap/>
            <w:hideMark/>
          </w:tcPr>
          <w:p w14:paraId="34354B33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Ograničeni kapaciteti za pripremu i upravljanje investicionim projektima</w:t>
            </w:r>
          </w:p>
        </w:tc>
        <w:tc>
          <w:tcPr>
            <w:tcW w:w="5035" w:type="dxa"/>
            <w:noWrap/>
            <w:hideMark/>
          </w:tcPr>
          <w:p w14:paraId="7B92AB75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Ograničeni tehnički, administrativni i projektni kapaciteti utiču na pripremu zrelih projekata, korišćenje EU sredstava i realizaciju infrastrukturnih investicija.</w:t>
            </w:r>
          </w:p>
        </w:tc>
      </w:tr>
      <w:tr w:rsidR="009C3565" w:rsidRPr="009C3565" w14:paraId="5F1B58E1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5D3EC5E2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05</w:t>
            </w:r>
          </w:p>
        </w:tc>
        <w:tc>
          <w:tcPr>
            <w:tcW w:w="1148" w:type="dxa"/>
            <w:noWrap/>
            <w:hideMark/>
          </w:tcPr>
          <w:p w14:paraId="4C3A5DD8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PA18-05</w:t>
            </w:r>
          </w:p>
        </w:tc>
        <w:tc>
          <w:tcPr>
            <w:tcW w:w="2322" w:type="dxa"/>
            <w:noWrap/>
            <w:hideMark/>
          </w:tcPr>
          <w:p w14:paraId="762F1323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Potreba za revizijom i ažuriranjem strateškog i planskog okvira za vazdušni saobraćaj</w:t>
            </w:r>
          </w:p>
        </w:tc>
        <w:tc>
          <w:tcPr>
            <w:tcW w:w="5035" w:type="dxa"/>
            <w:noWrap/>
            <w:hideMark/>
          </w:tcPr>
          <w:p w14:paraId="06FE2698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U postojecem dokumentu Strategija razvoja saobracaja 2019-2035 nijesu razmatrani svi potencijalni pravci razvoja vazdušnog saobracaja u CG</w:t>
            </w:r>
          </w:p>
        </w:tc>
      </w:tr>
      <w:tr w:rsidR="009C3565" w:rsidRPr="009C3565" w14:paraId="24456D96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372D8A67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06</w:t>
            </w:r>
          </w:p>
        </w:tc>
        <w:tc>
          <w:tcPr>
            <w:tcW w:w="1148" w:type="dxa"/>
            <w:noWrap/>
            <w:hideMark/>
          </w:tcPr>
          <w:p w14:paraId="69236303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PA18-06</w:t>
            </w:r>
          </w:p>
        </w:tc>
        <w:tc>
          <w:tcPr>
            <w:tcW w:w="2322" w:type="dxa"/>
            <w:noWrap/>
            <w:hideMark/>
          </w:tcPr>
          <w:p w14:paraId="0D9A62E1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Jačanje administartivnih kapaciteta za planiranje i prioritizaciju investicija</w:t>
            </w:r>
          </w:p>
        </w:tc>
        <w:tc>
          <w:tcPr>
            <w:tcW w:w="5035" w:type="dxa"/>
            <w:noWrap/>
            <w:hideMark/>
          </w:tcPr>
          <w:p w14:paraId="76CFFDB8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Nedovoljno razvijeni mehanizmi planiranja i prioritizacije infrastrukturnih projekata utiču na efikasnost ulaganja i realizaciju strateških ciljeva.</w:t>
            </w:r>
          </w:p>
        </w:tc>
      </w:tr>
      <w:tr w:rsidR="009C3565" w:rsidRPr="009C3565" w14:paraId="4D19D9E9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1689E325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07</w:t>
            </w:r>
          </w:p>
        </w:tc>
        <w:tc>
          <w:tcPr>
            <w:tcW w:w="1148" w:type="dxa"/>
            <w:noWrap/>
            <w:hideMark/>
          </w:tcPr>
          <w:p w14:paraId="42DBB924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PA18-07</w:t>
            </w:r>
          </w:p>
        </w:tc>
        <w:tc>
          <w:tcPr>
            <w:tcW w:w="2322" w:type="dxa"/>
            <w:noWrap/>
            <w:hideMark/>
          </w:tcPr>
          <w:p w14:paraId="025A647C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Slaba interoperabilnost željezničkog sistema</w:t>
            </w:r>
          </w:p>
        </w:tc>
        <w:tc>
          <w:tcPr>
            <w:tcW w:w="5035" w:type="dxa"/>
            <w:noWrap/>
            <w:hideMark/>
          </w:tcPr>
          <w:p w14:paraId="60CDAAAF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Nizak nivo implementacije ERTMS i tehničkih standarda ograničava povezivanje sa TEN-T mrežom i interoperabilnost sistema.</w:t>
            </w:r>
          </w:p>
        </w:tc>
      </w:tr>
      <w:tr w:rsidR="009C3565" w:rsidRPr="009C3565" w14:paraId="19E654CF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73C9A46C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08</w:t>
            </w:r>
          </w:p>
        </w:tc>
        <w:tc>
          <w:tcPr>
            <w:tcW w:w="1148" w:type="dxa"/>
            <w:noWrap/>
            <w:hideMark/>
          </w:tcPr>
          <w:p w14:paraId="19B5A8D7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PA18-08</w:t>
            </w:r>
          </w:p>
        </w:tc>
        <w:tc>
          <w:tcPr>
            <w:tcW w:w="2322" w:type="dxa"/>
            <w:noWrap/>
            <w:hideMark/>
          </w:tcPr>
          <w:p w14:paraId="691AFF45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Ograničena konkurentnost željezničkog transporta</w:t>
            </w:r>
          </w:p>
        </w:tc>
        <w:tc>
          <w:tcPr>
            <w:tcW w:w="5035" w:type="dxa"/>
            <w:noWrap/>
            <w:hideMark/>
          </w:tcPr>
          <w:p w14:paraId="4BBFD8A0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Nizak nivo modernizacije i ograničen kvalitet usluga utiču na konkurentnost i atraktivnost željezničkog sektora u odnosu na drumski transport.</w:t>
            </w:r>
          </w:p>
        </w:tc>
      </w:tr>
      <w:tr w:rsidR="009C3565" w:rsidRPr="009C3565" w14:paraId="2F5E83B5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34504525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09</w:t>
            </w:r>
          </w:p>
        </w:tc>
        <w:tc>
          <w:tcPr>
            <w:tcW w:w="1148" w:type="dxa"/>
            <w:noWrap/>
            <w:hideMark/>
          </w:tcPr>
          <w:p w14:paraId="06795BE9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PA18-09</w:t>
            </w:r>
          </w:p>
        </w:tc>
        <w:tc>
          <w:tcPr>
            <w:tcW w:w="2322" w:type="dxa"/>
            <w:noWrap/>
            <w:hideMark/>
          </w:tcPr>
          <w:p w14:paraId="78C7A759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Nedovoljna razvijenost putne infrastrukture</w:t>
            </w:r>
          </w:p>
        </w:tc>
        <w:tc>
          <w:tcPr>
            <w:tcW w:w="5035" w:type="dxa"/>
            <w:noWrap/>
            <w:hideMark/>
          </w:tcPr>
          <w:p w14:paraId="1E6BF9E5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Postojeća mreža ne odgovara rastućim potrebama saobraćaja i ekonomskog razvoja, posebno u pogledu kapaciteta i povezanosti.</w:t>
            </w:r>
          </w:p>
        </w:tc>
      </w:tr>
      <w:tr w:rsidR="009C3565" w:rsidRPr="009C3565" w14:paraId="1BED31C7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57EF9576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10</w:t>
            </w:r>
          </w:p>
        </w:tc>
        <w:tc>
          <w:tcPr>
            <w:tcW w:w="1148" w:type="dxa"/>
            <w:noWrap/>
            <w:hideMark/>
          </w:tcPr>
          <w:p w14:paraId="1D45C07D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PA18-10</w:t>
            </w:r>
          </w:p>
        </w:tc>
        <w:tc>
          <w:tcPr>
            <w:tcW w:w="2322" w:type="dxa"/>
            <w:noWrap/>
            <w:hideMark/>
          </w:tcPr>
          <w:p w14:paraId="17F62F1D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Postojanje uskih grla na putnoj mreži</w:t>
            </w:r>
          </w:p>
        </w:tc>
        <w:tc>
          <w:tcPr>
            <w:tcW w:w="5035" w:type="dxa"/>
            <w:noWrap/>
            <w:hideMark/>
          </w:tcPr>
          <w:p w14:paraId="5A7A2BBF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Identifikovana kritična mjesta ograničavaju protok saobraćaja i povećavaju troškove transporta.</w:t>
            </w:r>
          </w:p>
        </w:tc>
      </w:tr>
      <w:tr w:rsidR="009C3565" w:rsidRPr="009C3565" w14:paraId="53D5ED94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759B6EA4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lastRenderedPageBreak/>
              <w:t>11</w:t>
            </w:r>
          </w:p>
        </w:tc>
        <w:tc>
          <w:tcPr>
            <w:tcW w:w="1148" w:type="dxa"/>
            <w:noWrap/>
            <w:hideMark/>
          </w:tcPr>
          <w:p w14:paraId="66F07121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PA18-11</w:t>
            </w:r>
          </w:p>
        </w:tc>
        <w:tc>
          <w:tcPr>
            <w:tcW w:w="2322" w:type="dxa"/>
            <w:noWrap/>
            <w:hideMark/>
          </w:tcPr>
          <w:p w14:paraId="3130DA07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Klimatska ranjivost infrastrukture</w:t>
            </w:r>
          </w:p>
        </w:tc>
        <w:tc>
          <w:tcPr>
            <w:tcW w:w="5035" w:type="dxa"/>
            <w:noWrap/>
            <w:hideMark/>
          </w:tcPr>
          <w:p w14:paraId="3A290C9E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Saobraćajna infrastruktura izložena je rizicima od klimatskih promjena, uključujući klizišta, ekstremne vremenske uslove i povećana opterećenja u osjetljivim planinskim i turističkim područjima, što zahtijeva unapređenje otpornosti infrastrukture, zaštitu kritičnih dionica i prilagođavanje standarda planiranja i održavanja klimatskim rizicima.</w:t>
            </w:r>
          </w:p>
        </w:tc>
      </w:tr>
      <w:tr w:rsidR="009C3565" w:rsidRPr="009C3565" w14:paraId="04D63192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51081AFC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12</w:t>
            </w:r>
          </w:p>
        </w:tc>
        <w:tc>
          <w:tcPr>
            <w:tcW w:w="1148" w:type="dxa"/>
            <w:noWrap/>
            <w:hideMark/>
          </w:tcPr>
          <w:p w14:paraId="3F0015AE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PA18-12</w:t>
            </w:r>
          </w:p>
        </w:tc>
        <w:tc>
          <w:tcPr>
            <w:tcW w:w="2322" w:type="dxa"/>
            <w:noWrap/>
            <w:hideMark/>
          </w:tcPr>
          <w:p w14:paraId="014C8FC7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Izazovi u unapređenju bezbjednosti saobraćaja</w:t>
            </w:r>
          </w:p>
        </w:tc>
        <w:tc>
          <w:tcPr>
            <w:tcW w:w="5035" w:type="dxa"/>
            <w:noWrap/>
            <w:hideMark/>
          </w:tcPr>
          <w:p w14:paraId="7134776B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Nivo bezbjednosti u drumskom saobraćaju zahtijeva dodatna ulaganja u infrastrukturu, upravljanje saobraćajem i preventivne mjere, uz istovremeno uspostavljen visok nivo regulisanosti i bezbjednosnih standarda u vazdušnom saobraćaju.</w:t>
            </w:r>
          </w:p>
        </w:tc>
      </w:tr>
      <w:tr w:rsidR="009C3565" w:rsidRPr="009C3565" w14:paraId="6BB7EFAD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28386A0F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13</w:t>
            </w:r>
          </w:p>
        </w:tc>
        <w:tc>
          <w:tcPr>
            <w:tcW w:w="1148" w:type="dxa"/>
            <w:noWrap/>
            <w:hideMark/>
          </w:tcPr>
          <w:p w14:paraId="174987E2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PA18-13</w:t>
            </w:r>
          </w:p>
        </w:tc>
        <w:tc>
          <w:tcPr>
            <w:tcW w:w="2322" w:type="dxa"/>
            <w:noWrap/>
            <w:hideMark/>
          </w:tcPr>
          <w:p w14:paraId="7AEEB90C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Nedovoljno razvijen sistem upravljanja i održavanja infrastrukture</w:t>
            </w:r>
          </w:p>
        </w:tc>
        <w:tc>
          <w:tcPr>
            <w:tcW w:w="5035" w:type="dxa"/>
            <w:noWrap/>
            <w:hideMark/>
          </w:tcPr>
          <w:p w14:paraId="333DFA4B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Održavanje postojeće infrastrukture i upravljanje njenim životnim ciklusom nijesu u potpunosti razvijeni, što utiče na dugoročnu održivost, otpornost i kvalitet saobraćajne mreže.</w:t>
            </w:r>
          </w:p>
        </w:tc>
      </w:tr>
      <w:tr w:rsidR="009C3565" w:rsidRPr="009C3565" w14:paraId="1284464A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0A72B749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14</w:t>
            </w:r>
          </w:p>
        </w:tc>
        <w:tc>
          <w:tcPr>
            <w:tcW w:w="1148" w:type="dxa"/>
            <w:noWrap/>
            <w:hideMark/>
          </w:tcPr>
          <w:p w14:paraId="6DEE33AC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PA18-14</w:t>
            </w:r>
          </w:p>
        </w:tc>
        <w:tc>
          <w:tcPr>
            <w:tcW w:w="2322" w:type="dxa"/>
            <w:noWrap/>
            <w:hideMark/>
          </w:tcPr>
          <w:p w14:paraId="66414A9D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Rast potražnje za vazdušnim saobraćajem</w:t>
            </w:r>
          </w:p>
        </w:tc>
        <w:tc>
          <w:tcPr>
            <w:tcW w:w="5035" w:type="dxa"/>
            <w:noWrap/>
            <w:hideMark/>
          </w:tcPr>
          <w:p w14:paraId="71D8500F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Kontinuirani rast broja putnika povećava pritisak na aerodromske kapacitete, upravljanje saobraćajem i prateću infrastrukturu, što zahtijeva dodatna ulaganja, modernizaciju i unapređenje operativnih sistema.</w:t>
            </w:r>
          </w:p>
        </w:tc>
      </w:tr>
      <w:tr w:rsidR="009C3565" w:rsidRPr="009C3565" w14:paraId="46BA2DD3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77893BA7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15</w:t>
            </w:r>
          </w:p>
        </w:tc>
        <w:tc>
          <w:tcPr>
            <w:tcW w:w="1148" w:type="dxa"/>
            <w:noWrap/>
            <w:hideMark/>
          </w:tcPr>
          <w:p w14:paraId="66C26D67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PA18-15</w:t>
            </w:r>
          </w:p>
        </w:tc>
        <w:tc>
          <w:tcPr>
            <w:tcW w:w="2322" w:type="dxa"/>
            <w:noWrap/>
            <w:hideMark/>
          </w:tcPr>
          <w:p w14:paraId="4BEBEC72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Nedovoljno razvijena generalna avijacija</w:t>
            </w:r>
          </w:p>
        </w:tc>
        <w:tc>
          <w:tcPr>
            <w:tcW w:w="5035" w:type="dxa"/>
            <w:noWrap/>
            <w:hideMark/>
          </w:tcPr>
          <w:p w14:paraId="34DABE10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Nedovoljno razvijena infrastruktura i organizacioni okvir za generalnu i rekreativnu avijaciju ograničavaju razvoj ovog segmenta vazdušnog saobraćaja.</w:t>
            </w:r>
          </w:p>
        </w:tc>
      </w:tr>
      <w:tr w:rsidR="009C3565" w:rsidRPr="009C3565" w14:paraId="60B66240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6F7CD276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16</w:t>
            </w:r>
          </w:p>
        </w:tc>
        <w:tc>
          <w:tcPr>
            <w:tcW w:w="1148" w:type="dxa"/>
            <w:noWrap/>
            <w:hideMark/>
          </w:tcPr>
          <w:p w14:paraId="22A2FEC4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PA18-16</w:t>
            </w:r>
          </w:p>
        </w:tc>
        <w:tc>
          <w:tcPr>
            <w:tcW w:w="2322" w:type="dxa"/>
            <w:noWrap/>
            <w:hideMark/>
          </w:tcPr>
          <w:p w14:paraId="62146F75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Potreba za daljim unapređenjem bezbjednosnih i sigurnosnih sistema u vazdušnom saobraćaju</w:t>
            </w:r>
          </w:p>
        </w:tc>
        <w:tc>
          <w:tcPr>
            <w:tcW w:w="5035" w:type="dxa"/>
            <w:noWrap/>
            <w:hideMark/>
          </w:tcPr>
          <w:p w14:paraId="4504B591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Dalji razvoj sektora zahtijeva unapređenje sistema za praćenje i upravljanje rizicima, uključujući GNSS ometanja, sisteme za upravljanje bespilotnim vazduhoplovima i zaštitu operacija u blizini aerodroma.</w:t>
            </w:r>
          </w:p>
        </w:tc>
      </w:tr>
      <w:tr w:rsidR="009C3565" w:rsidRPr="009C3565" w14:paraId="049C3E0C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4FE424A4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17</w:t>
            </w:r>
          </w:p>
        </w:tc>
        <w:tc>
          <w:tcPr>
            <w:tcW w:w="1148" w:type="dxa"/>
            <w:noWrap/>
            <w:hideMark/>
          </w:tcPr>
          <w:p w14:paraId="7E5E76EC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PA18-17</w:t>
            </w:r>
          </w:p>
        </w:tc>
        <w:tc>
          <w:tcPr>
            <w:tcW w:w="2322" w:type="dxa"/>
            <w:noWrap/>
            <w:hideMark/>
          </w:tcPr>
          <w:p w14:paraId="090549A7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Nedovoljna multimodalna integracija</w:t>
            </w:r>
          </w:p>
        </w:tc>
        <w:tc>
          <w:tcPr>
            <w:tcW w:w="5035" w:type="dxa"/>
            <w:noWrap/>
            <w:hideMark/>
          </w:tcPr>
          <w:p w14:paraId="2AE74058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Ograničena povezanost između različitih vidova transporta smanjuje efikasnost logističkih tokova, korišćenje infrastrukture i kvalitet teritorijalne povezanosti i dostupnosti pojedinih područja.</w:t>
            </w:r>
          </w:p>
        </w:tc>
      </w:tr>
      <w:tr w:rsidR="009C3565" w:rsidRPr="009C3565" w14:paraId="3B3B4555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7905102C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18</w:t>
            </w:r>
          </w:p>
        </w:tc>
        <w:tc>
          <w:tcPr>
            <w:tcW w:w="1148" w:type="dxa"/>
            <w:noWrap/>
            <w:hideMark/>
          </w:tcPr>
          <w:p w14:paraId="524A6291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PA18-18</w:t>
            </w:r>
          </w:p>
        </w:tc>
        <w:tc>
          <w:tcPr>
            <w:tcW w:w="2322" w:type="dxa"/>
            <w:noWrap/>
            <w:hideMark/>
          </w:tcPr>
          <w:p w14:paraId="0AB434D0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Dominacija drumskog transporta</w:t>
            </w:r>
          </w:p>
        </w:tc>
        <w:tc>
          <w:tcPr>
            <w:tcW w:w="5035" w:type="dxa"/>
            <w:noWrap/>
            <w:hideMark/>
          </w:tcPr>
          <w:p w14:paraId="3E5AC4C3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Visok udio drumskog transporta ukazuje na nedovoljno korišćenje željezničkog i drugih održivih vidova transporta.</w:t>
            </w:r>
          </w:p>
        </w:tc>
      </w:tr>
      <w:tr w:rsidR="009C3565" w:rsidRPr="009C3565" w14:paraId="4A80C19C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6BDF9535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19</w:t>
            </w:r>
          </w:p>
        </w:tc>
        <w:tc>
          <w:tcPr>
            <w:tcW w:w="1148" w:type="dxa"/>
            <w:noWrap/>
            <w:hideMark/>
          </w:tcPr>
          <w:p w14:paraId="7B6C0F75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PA18-19</w:t>
            </w:r>
          </w:p>
        </w:tc>
        <w:tc>
          <w:tcPr>
            <w:tcW w:w="2322" w:type="dxa"/>
            <w:noWrap/>
            <w:hideMark/>
          </w:tcPr>
          <w:p w14:paraId="7B99E96C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Nedostatak logističkih i intermodalnih kapaciteta</w:t>
            </w:r>
          </w:p>
        </w:tc>
        <w:tc>
          <w:tcPr>
            <w:tcW w:w="5035" w:type="dxa"/>
            <w:noWrap/>
            <w:hideMark/>
          </w:tcPr>
          <w:p w14:paraId="5A9CC00E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 razvoj terminala i logističkih centara otežava integraciju transportnih tokova i efikasnost teretnog saobraćaja.</w:t>
            </w:r>
          </w:p>
        </w:tc>
      </w:tr>
      <w:tr w:rsidR="009C3565" w:rsidRPr="009C3565" w14:paraId="1248E028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4890666C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20</w:t>
            </w:r>
          </w:p>
        </w:tc>
        <w:tc>
          <w:tcPr>
            <w:tcW w:w="1148" w:type="dxa"/>
            <w:noWrap/>
            <w:hideMark/>
          </w:tcPr>
          <w:p w14:paraId="66B61486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PA18-20</w:t>
            </w:r>
          </w:p>
        </w:tc>
        <w:tc>
          <w:tcPr>
            <w:tcW w:w="2322" w:type="dxa"/>
            <w:noWrap/>
            <w:hideMark/>
          </w:tcPr>
          <w:p w14:paraId="723E49F8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Nedovoljna modernizacija pomorske infrastrukture</w:t>
            </w:r>
          </w:p>
        </w:tc>
        <w:tc>
          <w:tcPr>
            <w:tcW w:w="5035" w:type="dxa"/>
            <w:noWrap/>
            <w:hideMark/>
          </w:tcPr>
          <w:p w14:paraId="5AA8A182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Lučka infrastruktura i prateći kapaciteti zahtijevaju modernizaciju i usklađivanje sa EU standardima, uključujući sigurnost i zaštitu životne sredine.</w:t>
            </w:r>
          </w:p>
        </w:tc>
      </w:tr>
      <w:tr w:rsidR="009C3565" w:rsidRPr="009C3565" w14:paraId="08B20D3B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10CC0F8A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21</w:t>
            </w:r>
          </w:p>
        </w:tc>
        <w:tc>
          <w:tcPr>
            <w:tcW w:w="1148" w:type="dxa"/>
            <w:noWrap/>
            <w:hideMark/>
          </w:tcPr>
          <w:p w14:paraId="7F7CCCAA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PA18-21</w:t>
            </w:r>
          </w:p>
        </w:tc>
        <w:tc>
          <w:tcPr>
            <w:tcW w:w="2322" w:type="dxa"/>
            <w:noWrap/>
            <w:hideMark/>
          </w:tcPr>
          <w:p w14:paraId="71C4840D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Spor razvoj inteligentnih transportnih sistema</w:t>
            </w:r>
          </w:p>
        </w:tc>
        <w:tc>
          <w:tcPr>
            <w:tcW w:w="5035" w:type="dxa"/>
            <w:noWrap/>
            <w:hideMark/>
          </w:tcPr>
          <w:p w14:paraId="1B0ACEF3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 obuhvat implementacije ITS rješenja ukazuje na ranu fazu digitalizacije transporta.</w:t>
            </w:r>
          </w:p>
        </w:tc>
      </w:tr>
      <w:tr w:rsidR="009C3565" w:rsidRPr="009C3565" w14:paraId="6F1B36DE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31B258D1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22</w:t>
            </w:r>
          </w:p>
        </w:tc>
        <w:tc>
          <w:tcPr>
            <w:tcW w:w="1148" w:type="dxa"/>
            <w:noWrap/>
            <w:hideMark/>
          </w:tcPr>
          <w:p w14:paraId="22060F3D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PA18-22</w:t>
            </w:r>
          </w:p>
        </w:tc>
        <w:tc>
          <w:tcPr>
            <w:tcW w:w="2322" w:type="dxa"/>
            <w:noWrap/>
            <w:hideMark/>
          </w:tcPr>
          <w:p w14:paraId="5D834B4F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Ograničena implementacija ITS rješenja u drumskom saobraćaju</w:t>
            </w:r>
          </w:p>
        </w:tc>
        <w:tc>
          <w:tcPr>
            <w:tcW w:w="5035" w:type="dxa"/>
            <w:noWrap/>
            <w:hideMark/>
          </w:tcPr>
          <w:p w14:paraId="10ECFFBA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Pokrivenost ITS funkcijama, uključujući elektronsku naplatu i upravljanje saobraćajem, ostaje parcijalna i ograničena na pojedine dionice.</w:t>
            </w:r>
          </w:p>
        </w:tc>
      </w:tr>
      <w:tr w:rsidR="009C3565" w:rsidRPr="009C3565" w14:paraId="208C5675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0214DA9D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23</w:t>
            </w:r>
          </w:p>
        </w:tc>
        <w:tc>
          <w:tcPr>
            <w:tcW w:w="1148" w:type="dxa"/>
            <w:noWrap/>
            <w:hideMark/>
          </w:tcPr>
          <w:p w14:paraId="7513652A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PA18-23</w:t>
            </w:r>
          </w:p>
        </w:tc>
        <w:tc>
          <w:tcPr>
            <w:tcW w:w="2322" w:type="dxa"/>
            <w:noWrap/>
            <w:hideMark/>
          </w:tcPr>
          <w:p w14:paraId="041CFBF1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Ograničena digitalizacija logističkih i transportnih tokova</w:t>
            </w:r>
          </w:p>
        </w:tc>
        <w:tc>
          <w:tcPr>
            <w:tcW w:w="5035" w:type="dxa"/>
            <w:noWrap/>
            <w:hideMark/>
          </w:tcPr>
          <w:p w14:paraId="66FA0485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Kašnjenja u implementaciji eFTI, eCMR i drugih digitalnih rješenja ograničavaju efikasnost, interoperabilnost i transparentnost transportnog sistema.</w:t>
            </w:r>
          </w:p>
        </w:tc>
      </w:tr>
      <w:tr w:rsidR="009C3565" w:rsidRPr="009C3565" w14:paraId="4AC2C233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42DD8ECF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24</w:t>
            </w:r>
          </w:p>
        </w:tc>
        <w:tc>
          <w:tcPr>
            <w:tcW w:w="1148" w:type="dxa"/>
            <w:noWrap/>
            <w:hideMark/>
          </w:tcPr>
          <w:p w14:paraId="48BC7FE7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PA18-24</w:t>
            </w:r>
          </w:p>
        </w:tc>
        <w:tc>
          <w:tcPr>
            <w:tcW w:w="2322" w:type="dxa"/>
            <w:noWrap/>
            <w:hideMark/>
          </w:tcPr>
          <w:p w14:paraId="02839F8E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Nedostatak pouzdanih transportnih podataka</w:t>
            </w:r>
          </w:p>
        </w:tc>
        <w:tc>
          <w:tcPr>
            <w:tcW w:w="5035" w:type="dxa"/>
            <w:noWrap/>
            <w:hideMark/>
          </w:tcPr>
          <w:p w14:paraId="0E8CCDE0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Nedovoljno razvijeni sistemi prikupljanja i obrade podataka ograničavaju planiranje i upravljanje saobraćajem.</w:t>
            </w:r>
          </w:p>
        </w:tc>
      </w:tr>
      <w:tr w:rsidR="009C3565" w:rsidRPr="009C3565" w14:paraId="554B3EAE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2CA0F55F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25</w:t>
            </w:r>
          </w:p>
        </w:tc>
        <w:tc>
          <w:tcPr>
            <w:tcW w:w="1148" w:type="dxa"/>
            <w:noWrap/>
            <w:hideMark/>
          </w:tcPr>
          <w:p w14:paraId="35F204FF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PA18-25</w:t>
            </w:r>
          </w:p>
        </w:tc>
        <w:tc>
          <w:tcPr>
            <w:tcW w:w="2322" w:type="dxa"/>
            <w:noWrap/>
            <w:hideMark/>
          </w:tcPr>
          <w:p w14:paraId="20B6690E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Nedovoljna digitalizacija radnih tokova</w:t>
            </w:r>
          </w:p>
        </w:tc>
        <w:tc>
          <w:tcPr>
            <w:tcW w:w="5035" w:type="dxa"/>
            <w:noWrap/>
            <w:hideMark/>
          </w:tcPr>
          <w:p w14:paraId="10E8FD54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Neadekvatni softverski sistemi za nadzore, sertifikaciju, licenciranje, prinudne mjere u oblasti vazdušnog saobraćaja</w:t>
            </w:r>
          </w:p>
        </w:tc>
      </w:tr>
      <w:tr w:rsidR="009C3565" w:rsidRPr="009C3565" w14:paraId="5261778F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42B077C5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26</w:t>
            </w:r>
          </w:p>
        </w:tc>
        <w:tc>
          <w:tcPr>
            <w:tcW w:w="1148" w:type="dxa"/>
            <w:noWrap/>
            <w:hideMark/>
          </w:tcPr>
          <w:p w14:paraId="06EFA340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PA18-26</w:t>
            </w:r>
          </w:p>
        </w:tc>
        <w:tc>
          <w:tcPr>
            <w:tcW w:w="2322" w:type="dxa"/>
            <w:noWrap/>
            <w:hideMark/>
          </w:tcPr>
          <w:p w14:paraId="32568A32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 napredak ka održivoj mobilnosti</w:t>
            </w:r>
          </w:p>
        </w:tc>
        <w:tc>
          <w:tcPr>
            <w:tcW w:w="5035" w:type="dxa"/>
            <w:noWrap/>
            <w:hideMark/>
          </w:tcPr>
          <w:p w14:paraId="3D005FA1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Nizak nivo ulaganja i primjene nisko- i nulto-emisionih rješenja usporava tranziciju ka održivom transportnom sistemu.</w:t>
            </w:r>
          </w:p>
        </w:tc>
      </w:tr>
      <w:tr w:rsidR="009C3565" w:rsidRPr="009C3565" w14:paraId="78275303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00347B26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27</w:t>
            </w:r>
          </w:p>
        </w:tc>
        <w:tc>
          <w:tcPr>
            <w:tcW w:w="1148" w:type="dxa"/>
            <w:noWrap/>
            <w:hideMark/>
          </w:tcPr>
          <w:p w14:paraId="78651E3E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PA18-27</w:t>
            </w:r>
          </w:p>
        </w:tc>
        <w:tc>
          <w:tcPr>
            <w:tcW w:w="2322" w:type="dxa"/>
            <w:noWrap/>
            <w:hideMark/>
          </w:tcPr>
          <w:p w14:paraId="5A462EA1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Nizak udio obnovljivih izvora energije u transportu</w:t>
            </w:r>
          </w:p>
        </w:tc>
        <w:tc>
          <w:tcPr>
            <w:tcW w:w="5035" w:type="dxa"/>
            <w:noWrap/>
            <w:hideMark/>
          </w:tcPr>
          <w:p w14:paraId="5177B353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Udio OIE u transportu ostaje značajno ispod EU prosjeka, što ukazuje na ograničenu dekarbonizaciju sektora.</w:t>
            </w:r>
          </w:p>
        </w:tc>
      </w:tr>
      <w:tr w:rsidR="009C3565" w:rsidRPr="009C3565" w14:paraId="29F5D6D5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17A88E75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28</w:t>
            </w:r>
          </w:p>
        </w:tc>
        <w:tc>
          <w:tcPr>
            <w:tcW w:w="1148" w:type="dxa"/>
            <w:noWrap/>
            <w:hideMark/>
          </w:tcPr>
          <w:p w14:paraId="386DD56D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PA18-28</w:t>
            </w:r>
          </w:p>
        </w:tc>
        <w:tc>
          <w:tcPr>
            <w:tcW w:w="2322" w:type="dxa"/>
            <w:noWrap/>
            <w:hideMark/>
          </w:tcPr>
          <w:p w14:paraId="68A195E7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Nedovoljno razvijena infrastruktura za alternativna goriva</w:t>
            </w:r>
          </w:p>
        </w:tc>
        <w:tc>
          <w:tcPr>
            <w:tcW w:w="5035" w:type="dxa"/>
            <w:noWrap/>
            <w:hideMark/>
          </w:tcPr>
          <w:p w14:paraId="1A00C0EC" w14:textId="02142C6B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Ograničena dostupnost infrastrukture za punjenje električnih vozila i druga alternativna goriva usporava razvoj održive mobilnosti i dekarbonizaciju transportnog sektora.</w:t>
            </w:r>
          </w:p>
        </w:tc>
      </w:tr>
      <w:tr w:rsidR="009C3565" w:rsidRPr="009C3565" w14:paraId="5A3BE5FB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573F6C97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29</w:t>
            </w:r>
          </w:p>
        </w:tc>
        <w:tc>
          <w:tcPr>
            <w:tcW w:w="1148" w:type="dxa"/>
            <w:noWrap/>
            <w:hideMark/>
          </w:tcPr>
          <w:p w14:paraId="3735B413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PA18-29</w:t>
            </w:r>
          </w:p>
        </w:tc>
        <w:tc>
          <w:tcPr>
            <w:tcW w:w="2322" w:type="dxa"/>
            <w:noWrap/>
            <w:hideMark/>
          </w:tcPr>
          <w:p w14:paraId="224A00DD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Rast drumskog saobraćaja i pritisak na sistem</w:t>
            </w:r>
          </w:p>
        </w:tc>
        <w:tc>
          <w:tcPr>
            <w:tcW w:w="5035" w:type="dxa"/>
            <w:noWrap/>
            <w:hideMark/>
          </w:tcPr>
          <w:p w14:paraId="0C0FEE76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Kontinuirani rast drumskog transporta povećava opterećenje infrastrukture, emisije i bezbjednosne rizike.</w:t>
            </w:r>
          </w:p>
        </w:tc>
      </w:tr>
      <w:tr w:rsidR="009C3565" w:rsidRPr="009C3565" w14:paraId="36276F72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46F2A21A" w14:textId="77777777" w:rsidR="009C3565" w:rsidRPr="009C3565" w:rsidRDefault="009C3565" w:rsidP="009C3565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30</w:t>
            </w:r>
          </w:p>
        </w:tc>
        <w:tc>
          <w:tcPr>
            <w:tcW w:w="1148" w:type="dxa"/>
            <w:noWrap/>
            <w:hideMark/>
          </w:tcPr>
          <w:p w14:paraId="6541AA11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PA18-30</w:t>
            </w:r>
          </w:p>
        </w:tc>
        <w:tc>
          <w:tcPr>
            <w:tcW w:w="2322" w:type="dxa"/>
            <w:noWrap/>
            <w:hideMark/>
          </w:tcPr>
          <w:p w14:paraId="23263A39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Spor prelazak na nisko- i nulto-emisiona vozila i flote</w:t>
            </w:r>
          </w:p>
        </w:tc>
        <w:tc>
          <w:tcPr>
            <w:tcW w:w="5035" w:type="dxa"/>
            <w:noWrap/>
            <w:hideMark/>
          </w:tcPr>
          <w:p w14:paraId="0C9473B4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Ograničeno uvođenje nisko- i nulto-emisionih vozila u javnom i komercijalnom transportu usporava dekarbonizaciju sektora.</w:t>
            </w:r>
          </w:p>
        </w:tc>
      </w:tr>
    </w:tbl>
    <w:p w14:paraId="3F2C1DB6" w14:textId="43449BD1" w:rsidR="009C3565" w:rsidRDefault="009C3565" w:rsidP="009C3565">
      <w:pPr>
        <w:rPr>
          <w:lang w:val="sr-Latn-ME"/>
        </w:rPr>
      </w:pPr>
    </w:p>
    <w:p w14:paraId="3A1A803C" w14:textId="25B65970" w:rsidR="00175720" w:rsidRDefault="00175720" w:rsidP="009C3565">
      <w:pPr>
        <w:rPr>
          <w:lang w:val="sr-Latn-ME"/>
        </w:rPr>
      </w:pPr>
    </w:p>
    <w:p w14:paraId="35B4CEA7" w14:textId="77777777" w:rsidR="00175720" w:rsidRPr="009C3565" w:rsidRDefault="00175720" w:rsidP="009C3565">
      <w:pPr>
        <w:rPr>
          <w:lang w:val="sr-Latn-ME"/>
        </w:rPr>
      </w:pPr>
    </w:p>
    <w:p w14:paraId="672A7EF5" w14:textId="77777777" w:rsidR="009C3565" w:rsidRPr="009C3565" w:rsidRDefault="009C3565" w:rsidP="009C3565">
      <w:pPr>
        <w:rPr>
          <w:lang w:val="sr-Latn-ME"/>
        </w:rPr>
      </w:pPr>
    </w:p>
    <w:p w14:paraId="538F00B5" w14:textId="236B267D" w:rsidR="004F05B0" w:rsidRPr="009C3565" w:rsidRDefault="004F05B0" w:rsidP="009C3565">
      <w:pPr>
        <w:pStyle w:val="Heading2"/>
        <w:rPr>
          <w:rFonts w:eastAsia="Calibri"/>
          <w:lang w:val="sr-Latn-ME"/>
        </w:rPr>
      </w:pPr>
      <w:r w:rsidRPr="009C3565">
        <w:rPr>
          <w:rFonts w:eastAsia="Calibri"/>
          <w:lang w:val="sr-Latn-ME"/>
        </w:rPr>
        <w:lastRenderedPageBreak/>
        <w:t>SWOT</w:t>
      </w:r>
    </w:p>
    <w:tbl>
      <w:tblPr>
        <w:tblStyle w:val="GridTable1Light-Accent4"/>
        <w:tblW w:w="5000" w:type="pct"/>
        <w:tblLayout w:type="fixed"/>
        <w:tblLook w:val="04A0" w:firstRow="1" w:lastRow="0" w:firstColumn="1" w:lastColumn="0" w:noHBand="0" w:noVBand="1"/>
      </w:tblPr>
      <w:tblGrid>
        <w:gridCol w:w="1129"/>
        <w:gridCol w:w="5954"/>
        <w:gridCol w:w="1979"/>
      </w:tblGrid>
      <w:tr w:rsidR="009C3565" w:rsidRPr="009C3565" w14:paraId="293602B5" w14:textId="77777777" w:rsidTr="009C35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noWrap/>
            <w:hideMark/>
          </w:tcPr>
          <w:p w14:paraId="1A6D29FB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  <w:t>S-W-O-T</w:t>
            </w:r>
          </w:p>
        </w:tc>
        <w:tc>
          <w:tcPr>
            <w:tcW w:w="3285" w:type="pct"/>
            <w:noWrap/>
            <w:hideMark/>
          </w:tcPr>
          <w:p w14:paraId="68F03223" w14:textId="77777777" w:rsidR="009C3565" w:rsidRPr="009C3565" w:rsidRDefault="009C3565" w:rsidP="009C356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  <w:t>IZJAVA</w:t>
            </w:r>
          </w:p>
        </w:tc>
        <w:tc>
          <w:tcPr>
            <w:tcW w:w="1092" w:type="pct"/>
            <w:noWrap/>
            <w:hideMark/>
          </w:tcPr>
          <w:p w14:paraId="61C04C25" w14:textId="77777777" w:rsidR="009C3565" w:rsidRPr="009C3565" w:rsidRDefault="009C3565" w:rsidP="009C356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  <w:t>Povezani izazovi</w:t>
            </w:r>
          </w:p>
        </w:tc>
      </w:tr>
      <w:tr w:rsidR="009C3565" w:rsidRPr="009C3565" w14:paraId="0ADF4E7E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 w:val="restart"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18129660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  <w:t>SNAGE</w:t>
            </w:r>
          </w:p>
        </w:tc>
        <w:tc>
          <w:tcPr>
            <w:tcW w:w="3285" w:type="pct"/>
            <w:shd w:val="clear" w:color="auto" w:fill="D9F2D0" w:themeFill="accent6" w:themeFillTint="33"/>
            <w:noWrap/>
            <w:hideMark/>
          </w:tcPr>
          <w:p w14:paraId="1C1F9255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Aktivno učešće u regionalnim i EU inicijativama (TEN-T, Transportna zajednica)</w:t>
            </w:r>
          </w:p>
        </w:tc>
        <w:tc>
          <w:tcPr>
            <w:tcW w:w="1092" w:type="pct"/>
            <w:shd w:val="clear" w:color="auto" w:fill="D9F2D0" w:themeFill="accent6" w:themeFillTint="33"/>
            <w:noWrap/>
            <w:hideMark/>
          </w:tcPr>
          <w:p w14:paraId="023D75DD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PA18-18</w:t>
            </w:r>
          </w:p>
        </w:tc>
      </w:tr>
      <w:tr w:rsidR="00175720" w:rsidRPr="009C3565" w14:paraId="03FB6A89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D9F2D0" w:themeFill="accent6" w:themeFillTint="33"/>
            <w:noWrap/>
            <w:textDirection w:val="btLr"/>
            <w:vAlign w:val="center"/>
          </w:tcPr>
          <w:p w14:paraId="613B6EE9" w14:textId="77777777" w:rsidR="00175720" w:rsidRPr="009C3565" w:rsidRDefault="00175720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D9F2D0" w:themeFill="accent6" w:themeFillTint="33"/>
            <w:noWrap/>
          </w:tcPr>
          <w:p w14:paraId="401AD9CE" w14:textId="2BA68BE7" w:rsidR="00175720" w:rsidRPr="009C3565" w:rsidRDefault="00175720" w:rsidP="001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17572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Identifikovani prioritetni projekti u oblasti drumskog, željezničkog i vazdušnog saobraćaja sa planiranim višegodišnjim investicionim ciklusom</w:t>
            </w:r>
          </w:p>
        </w:tc>
        <w:tc>
          <w:tcPr>
            <w:tcW w:w="1092" w:type="pct"/>
            <w:shd w:val="clear" w:color="auto" w:fill="D9F2D0" w:themeFill="accent6" w:themeFillTint="33"/>
            <w:noWrap/>
          </w:tcPr>
          <w:p w14:paraId="612282A9" w14:textId="739FE2BC" w:rsidR="00175720" w:rsidRPr="009C3565" w:rsidRDefault="00175720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175720">
              <w:rPr>
                <w:rFonts w:ascii="Aptos Narrow" w:eastAsia="Times New Roman" w:hAnsi="Aptos Narrow" w:cs="Times New Roman"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PA18-09, PA18-13, PA18-20</w:t>
            </w:r>
          </w:p>
        </w:tc>
      </w:tr>
      <w:tr w:rsidR="009C3565" w:rsidRPr="009C3565" w14:paraId="13ABEC16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33D2FBE3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D9F2D0" w:themeFill="accent6" w:themeFillTint="33"/>
            <w:noWrap/>
            <w:hideMark/>
          </w:tcPr>
          <w:p w14:paraId="40160235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Jasno strateško opredjeljenje ka zelenoj i digitalnoj tranziciji</w:t>
            </w:r>
          </w:p>
        </w:tc>
        <w:tc>
          <w:tcPr>
            <w:tcW w:w="1092" w:type="pct"/>
            <w:shd w:val="clear" w:color="auto" w:fill="D9F2D0" w:themeFill="accent6" w:themeFillTint="33"/>
            <w:noWrap/>
            <w:hideMark/>
          </w:tcPr>
          <w:p w14:paraId="275F722D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PA18-03</w:t>
            </w:r>
          </w:p>
        </w:tc>
      </w:tr>
      <w:tr w:rsidR="009C3565" w:rsidRPr="009C3565" w14:paraId="1F4B3A09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458CC343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D9F2D0" w:themeFill="accent6" w:themeFillTint="33"/>
            <w:noWrap/>
            <w:hideMark/>
          </w:tcPr>
          <w:p w14:paraId="442BAED1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Napredak u usklađivanju sa EU regulativom u oblasti elektronskih informacija o prevozu tereta (eFTI), uključujući pripremu zakonodavnog okvira</w:t>
            </w:r>
          </w:p>
        </w:tc>
        <w:tc>
          <w:tcPr>
            <w:tcW w:w="1092" w:type="pct"/>
            <w:shd w:val="clear" w:color="auto" w:fill="D9F2D0" w:themeFill="accent6" w:themeFillTint="33"/>
            <w:noWrap/>
            <w:hideMark/>
          </w:tcPr>
          <w:p w14:paraId="5ADE5AB8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PA18-26</w:t>
            </w:r>
          </w:p>
        </w:tc>
      </w:tr>
      <w:tr w:rsidR="009C3565" w:rsidRPr="009C3565" w14:paraId="6EB3D640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23FE220B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D9F2D0" w:themeFill="accent6" w:themeFillTint="33"/>
            <w:noWrap/>
            <w:hideMark/>
          </w:tcPr>
          <w:p w14:paraId="676CD15E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Postepeno uvođenje principa interoperabilnosti, digitalizacije i tržišne transparentnosti u sektorsku regulativu</w:t>
            </w:r>
          </w:p>
        </w:tc>
        <w:tc>
          <w:tcPr>
            <w:tcW w:w="1092" w:type="pct"/>
            <w:shd w:val="clear" w:color="auto" w:fill="D9F2D0" w:themeFill="accent6" w:themeFillTint="33"/>
            <w:noWrap/>
            <w:hideMark/>
          </w:tcPr>
          <w:p w14:paraId="54A8E707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PA18-25</w:t>
            </w:r>
          </w:p>
        </w:tc>
      </w:tr>
      <w:tr w:rsidR="009C3565" w:rsidRPr="009C3565" w14:paraId="04BDC696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042F45DF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D9F2D0" w:themeFill="accent6" w:themeFillTint="33"/>
            <w:noWrap/>
            <w:hideMark/>
          </w:tcPr>
          <w:p w14:paraId="24982FCA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Postojanje programa razvoja inteligentnih transportnih sistema (ITS)</w:t>
            </w:r>
          </w:p>
        </w:tc>
        <w:tc>
          <w:tcPr>
            <w:tcW w:w="1092" w:type="pct"/>
            <w:shd w:val="clear" w:color="auto" w:fill="D9F2D0" w:themeFill="accent6" w:themeFillTint="33"/>
            <w:noWrap/>
            <w:hideMark/>
          </w:tcPr>
          <w:p w14:paraId="7D6E1F90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PA18-21, PA18-22, PA18-23, PA18-24, PA18-25</w:t>
            </w:r>
          </w:p>
        </w:tc>
      </w:tr>
      <w:tr w:rsidR="009C3565" w:rsidRPr="009C3565" w14:paraId="1CD58C47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7F7811ED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D9F2D0" w:themeFill="accent6" w:themeFillTint="33"/>
            <w:noWrap/>
            <w:hideMark/>
          </w:tcPr>
          <w:p w14:paraId="3C549C19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Postojanje reformskih inicijativa u oblasti digitalizacije i planiranja investicija</w:t>
            </w:r>
          </w:p>
        </w:tc>
        <w:tc>
          <w:tcPr>
            <w:tcW w:w="1092" w:type="pct"/>
            <w:shd w:val="clear" w:color="auto" w:fill="D9F2D0" w:themeFill="accent6" w:themeFillTint="33"/>
            <w:noWrap/>
            <w:hideMark/>
          </w:tcPr>
          <w:p w14:paraId="14F52D3F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PA18-06</w:t>
            </w:r>
          </w:p>
        </w:tc>
      </w:tr>
      <w:tr w:rsidR="009C3565" w:rsidRPr="009C3565" w14:paraId="49377D0E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477330B9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D9F2D0" w:themeFill="accent6" w:themeFillTint="33"/>
            <w:noWrap/>
            <w:hideMark/>
          </w:tcPr>
          <w:p w14:paraId="2920F423" w14:textId="2CEEA0C0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Postojanje Strategije razvoja saobraćaja 2019–2035 kao krovnog strateškog dokumenta, uz planirano dalje ažuriranje i usklađivanje sektorskog strateškog okvira</w:t>
            </w:r>
          </w:p>
        </w:tc>
        <w:tc>
          <w:tcPr>
            <w:tcW w:w="1092" w:type="pct"/>
            <w:shd w:val="clear" w:color="auto" w:fill="D9F2D0" w:themeFill="accent6" w:themeFillTint="33"/>
            <w:noWrap/>
            <w:hideMark/>
          </w:tcPr>
          <w:p w14:paraId="7042AEC4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PA18-01, PA18-07, PA18-08</w:t>
            </w:r>
          </w:p>
        </w:tc>
      </w:tr>
      <w:tr w:rsidR="00175720" w:rsidRPr="009C3565" w14:paraId="0F9C8F3E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D9F2D0" w:themeFill="accent6" w:themeFillTint="33"/>
            <w:noWrap/>
            <w:textDirection w:val="btLr"/>
            <w:vAlign w:val="center"/>
          </w:tcPr>
          <w:p w14:paraId="46B1B3FC" w14:textId="77777777" w:rsidR="00175720" w:rsidRPr="009C3565" w:rsidRDefault="00175720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D9F2D0" w:themeFill="accent6" w:themeFillTint="33"/>
            <w:noWrap/>
          </w:tcPr>
          <w:p w14:paraId="2A5299AC" w14:textId="042FFC8B" w:rsidR="00175720" w:rsidRPr="009C3565" w:rsidRDefault="00175720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Postojanje Strategije razvoja željeznice (2017–2027) kao sektorske osnove</w:t>
            </w:r>
          </w:p>
        </w:tc>
        <w:tc>
          <w:tcPr>
            <w:tcW w:w="1092" w:type="pct"/>
            <w:shd w:val="clear" w:color="auto" w:fill="D9F2D0" w:themeFill="accent6" w:themeFillTint="33"/>
            <w:noWrap/>
          </w:tcPr>
          <w:p w14:paraId="3DDE2E21" w14:textId="7E4D2FD3" w:rsidR="00175720" w:rsidRPr="009C3565" w:rsidRDefault="00175720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PA18-01, PA18-07, PA18-08</w:t>
            </w:r>
          </w:p>
        </w:tc>
      </w:tr>
      <w:tr w:rsidR="009C3565" w:rsidRPr="009C3565" w14:paraId="013F15D5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70C552A2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D9F2D0" w:themeFill="accent6" w:themeFillTint="33"/>
            <w:noWrap/>
            <w:hideMark/>
          </w:tcPr>
          <w:p w14:paraId="5CFFF4CE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Povoljan geografski položaj kao tranzitne i turističke destinacije</w:t>
            </w:r>
          </w:p>
        </w:tc>
        <w:tc>
          <w:tcPr>
            <w:tcW w:w="1092" w:type="pct"/>
            <w:shd w:val="clear" w:color="auto" w:fill="D9F2D0" w:themeFill="accent6" w:themeFillTint="33"/>
            <w:noWrap/>
            <w:hideMark/>
          </w:tcPr>
          <w:p w14:paraId="625F68A9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PA18-08, PA18-17</w:t>
            </w:r>
          </w:p>
        </w:tc>
      </w:tr>
      <w:tr w:rsidR="009C3565" w:rsidRPr="009C3565" w14:paraId="23EE4A48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6C353836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D9F2D0" w:themeFill="accent6" w:themeFillTint="33"/>
            <w:noWrap/>
            <w:hideMark/>
          </w:tcPr>
          <w:p w14:paraId="50BA536C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Relativno razvijen zakonodavni okvir za sve vidove saobraćaja</w:t>
            </w:r>
          </w:p>
        </w:tc>
        <w:tc>
          <w:tcPr>
            <w:tcW w:w="1092" w:type="pct"/>
            <w:shd w:val="clear" w:color="auto" w:fill="D9F2D0" w:themeFill="accent6" w:themeFillTint="33"/>
            <w:noWrap/>
            <w:hideMark/>
          </w:tcPr>
          <w:p w14:paraId="171F3984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PA18-09</w:t>
            </w:r>
          </w:p>
        </w:tc>
      </w:tr>
      <w:tr w:rsidR="009C3565" w:rsidRPr="009C3565" w14:paraId="4EC858CE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07A47105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D9F2D0" w:themeFill="accent6" w:themeFillTint="33"/>
            <w:noWrap/>
            <w:hideMark/>
          </w:tcPr>
          <w:p w14:paraId="4A907D85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Relativno značajan udio željezničkog transporta robe</w:t>
            </w:r>
          </w:p>
        </w:tc>
        <w:tc>
          <w:tcPr>
            <w:tcW w:w="1092" w:type="pct"/>
            <w:shd w:val="clear" w:color="auto" w:fill="D9F2D0" w:themeFill="accent6" w:themeFillTint="33"/>
            <w:noWrap/>
            <w:hideMark/>
          </w:tcPr>
          <w:p w14:paraId="242C33B4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PA18-01, PA18-07, PA18-08</w:t>
            </w:r>
          </w:p>
        </w:tc>
      </w:tr>
      <w:tr w:rsidR="009C3565" w:rsidRPr="009C3565" w14:paraId="7D297998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7703BD8F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D9F2D0" w:themeFill="accent6" w:themeFillTint="33"/>
            <w:noWrap/>
            <w:hideMark/>
          </w:tcPr>
          <w:p w14:paraId="658C1846" w14:textId="47D008FA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Unaprijeđen i djelimično revidiran strateški i normativni okvir sektora</w:t>
            </w:r>
          </w:p>
        </w:tc>
        <w:tc>
          <w:tcPr>
            <w:tcW w:w="1092" w:type="pct"/>
            <w:shd w:val="clear" w:color="auto" w:fill="D9F2D0" w:themeFill="accent6" w:themeFillTint="33"/>
            <w:noWrap/>
            <w:hideMark/>
          </w:tcPr>
          <w:p w14:paraId="4A8C230D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PA18-03</w:t>
            </w:r>
          </w:p>
        </w:tc>
      </w:tr>
      <w:tr w:rsidR="009C3565" w:rsidRPr="009C3565" w14:paraId="39DE2D13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3B2AAE2F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D9F2D0" w:themeFill="accent6" w:themeFillTint="33"/>
            <w:noWrap/>
            <w:hideMark/>
          </w:tcPr>
          <w:p w14:paraId="6F69258D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Uspostavljen pravni okvir za razvoj digitalne lučke infrastrukture i Port Community System (PCS)</w:t>
            </w:r>
          </w:p>
        </w:tc>
        <w:tc>
          <w:tcPr>
            <w:tcW w:w="1092" w:type="pct"/>
            <w:shd w:val="clear" w:color="auto" w:fill="D9F2D0" w:themeFill="accent6" w:themeFillTint="33"/>
            <w:noWrap/>
            <w:hideMark/>
          </w:tcPr>
          <w:p w14:paraId="2FD28251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PA18-12</w:t>
            </w:r>
          </w:p>
        </w:tc>
      </w:tr>
      <w:tr w:rsidR="009C3565" w:rsidRPr="009C3565" w14:paraId="2C095F08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1B740EF7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D9F2D0" w:themeFill="accent6" w:themeFillTint="33"/>
            <w:noWrap/>
            <w:hideMark/>
          </w:tcPr>
          <w:p w14:paraId="4E6EE422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Uspostavljena institucionalna struktura i međuresorna koordinacija</w:t>
            </w:r>
          </w:p>
        </w:tc>
        <w:tc>
          <w:tcPr>
            <w:tcW w:w="1092" w:type="pct"/>
            <w:shd w:val="clear" w:color="auto" w:fill="D9F2D0" w:themeFill="accent6" w:themeFillTint="33"/>
            <w:noWrap/>
            <w:hideMark/>
          </w:tcPr>
          <w:p w14:paraId="0F32D45B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PA18-30</w:t>
            </w:r>
          </w:p>
        </w:tc>
      </w:tr>
      <w:tr w:rsidR="009C3565" w:rsidRPr="009C3565" w14:paraId="52B9B18E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7E8F83AE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D9F2D0" w:themeFill="accent6" w:themeFillTint="33"/>
            <w:noWrap/>
            <w:hideMark/>
          </w:tcPr>
          <w:p w14:paraId="62BB98E1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Usvajanje novih sektorskih zakona u oblasti željeznice, luka i sigurnosti pomorske plovidbe, zatim putne infrastrukture, kao osnove za dalje usklađivanje sa EU acquis</w:t>
            </w:r>
          </w:p>
        </w:tc>
        <w:tc>
          <w:tcPr>
            <w:tcW w:w="1092" w:type="pct"/>
            <w:shd w:val="clear" w:color="auto" w:fill="D9F2D0" w:themeFill="accent6" w:themeFillTint="33"/>
            <w:noWrap/>
            <w:hideMark/>
          </w:tcPr>
          <w:p w14:paraId="51E4D484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PA18-01, PA18-07, PA18-08</w:t>
            </w:r>
          </w:p>
        </w:tc>
      </w:tr>
      <w:tr w:rsidR="00175720" w:rsidRPr="009C3565" w14:paraId="4A75F9EE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D9F2D0" w:themeFill="accent6" w:themeFillTint="33"/>
            <w:noWrap/>
            <w:textDirection w:val="btLr"/>
            <w:vAlign w:val="center"/>
          </w:tcPr>
          <w:p w14:paraId="1DE9C189" w14:textId="77777777" w:rsidR="00175720" w:rsidRPr="009C3565" w:rsidRDefault="00175720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D9F2D0" w:themeFill="accent6" w:themeFillTint="33"/>
            <w:noWrap/>
          </w:tcPr>
          <w:p w14:paraId="2BB2551A" w14:textId="2329AF54" w:rsidR="00175720" w:rsidRPr="009C3565" w:rsidRDefault="00175720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17572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Usvojen M</w:t>
            </w:r>
            <w:r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a</w:t>
            </w:r>
            <w:r w:rsidRPr="0017572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ster plan investicija  u infrastrukturu 2026-2030. godina</w:t>
            </w:r>
          </w:p>
        </w:tc>
        <w:tc>
          <w:tcPr>
            <w:tcW w:w="1092" w:type="pct"/>
            <w:shd w:val="clear" w:color="auto" w:fill="D9F2D0" w:themeFill="accent6" w:themeFillTint="33"/>
            <w:noWrap/>
          </w:tcPr>
          <w:p w14:paraId="73777FFD" w14:textId="23F19554" w:rsidR="00175720" w:rsidRPr="00175720" w:rsidRDefault="00175720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175720">
              <w:rPr>
                <w:rFonts w:ascii="Aptos Narrow" w:eastAsia="Times New Roman" w:hAnsi="Aptos Narrow" w:cs="Times New Roman"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PA18-09, PA18-13, PA18-20</w:t>
            </w:r>
          </w:p>
        </w:tc>
      </w:tr>
      <w:tr w:rsidR="009C3565" w:rsidRPr="009C3565" w14:paraId="131D6B5D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38DD7A1D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D9F2D0" w:themeFill="accent6" w:themeFillTint="33"/>
            <w:noWrap/>
            <w:hideMark/>
          </w:tcPr>
          <w:p w14:paraId="23A28919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Usvojen Srednjoročni program izgradnje, rekonstrukcije, održavanja i zaštite državnih puteva do 2028. godine</w:t>
            </w:r>
          </w:p>
        </w:tc>
        <w:tc>
          <w:tcPr>
            <w:tcW w:w="1092" w:type="pct"/>
            <w:shd w:val="clear" w:color="auto" w:fill="D9F2D0" w:themeFill="accent6" w:themeFillTint="33"/>
            <w:noWrap/>
            <w:hideMark/>
          </w:tcPr>
          <w:p w14:paraId="2D724067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PA18-13</w:t>
            </w:r>
          </w:p>
        </w:tc>
      </w:tr>
      <w:tr w:rsidR="00CF3AB1" w:rsidRPr="009C3565" w14:paraId="423B3F6D" w14:textId="77777777" w:rsidTr="00175720">
        <w:trPr>
          <w:trHeight w:val="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 w:val="restart"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6AAC8E3F" w14:textId="77777777" w:rsidR="00CF3AB1" w:rsidRPr="009C3565" w:rsidRDefault="00CF3AB1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  <w:t>SLABOSTI</w:t>
            </w: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78DA0151" w14:textId="77777777" w:rsidR="00CF3AB1" w:rsidRPr="009C3565" w:rsidRDefault="00CF3AB1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Dominacija drumskog transporta u modalnoj raspodjeli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5E7178FC" w14:textId="77777777" w:rsidR="00CF3AB1" w:rsidRPr="009C3565" w:rsidRDefault="00CF3AB1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PA18-17, PA18-18, PA18-19, PA18-20</w:t>
            </w:r>
          </w:p>
        </w:tc>
      </w:tr>
      <w:tr w:rsidR="009C3565" w:rsidRPr="009C3565" w14:paraId="1FC46B81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69788502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4F9393D0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Nedostatak logističkih i intermodalnih kapaciteta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6B9A7697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PA18-17, PA18-18, PA18-19, PA18-20</w:t>
            </w:r>
          </w:p>
        </w:tc>
      </w:tr>
      <w:tr w:rsidR="009C3565" w:rsidRPr="009C3565" w14:paraId="34DC200C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4D5CF606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02572CEF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Nedostatak pouzdanih i integrisanih transportnih podataka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65637DC0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PA18-21, PA18-22, PA18-23, PA18-24, PA18-25</w:t>
            </w:r>
          </w:p>
        </w:tc>
      </w:tr>
      <w:tr w:rsidR="009C3565" w:rsidRPr="009C3565" w14:paraId="64FA73AA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7BC6290C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7C21B681" w14:textId="5C5E01BB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Nedovoljna bezbjednost saobraćaja u pojedinim vidovima transporta, uz visok nivo regulisanosti i usklađenosti standarda sigurnosti</w:t>
            </w:r>
            <w:r w:rsidR="00CF3AB1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i bezbjednosti</w:t>
            </w: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u vazdušnom saobraćaju</w:t>
            </w:r>
            <w:r w:rsidR="00CF3AB1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34636A86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PA18-13</w:t>
            </w:r>
          </w:p>
        </w:tc>
      </w:tr>
      <w:tr w:rsidR="00CF3AB1" w:rsidRPr="009C3565" w14:paraId="41C22EE8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</w:tcPr>
          <w:p w14:paraId="52276A16" w14:textId="77777777" w:rsidR="00CF3AB1" w:rsidRPr="009C3565" w:rsidRDefault="00CF3AB1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</w:tcPr>
          <w:p w14:paraId="4D1D9F10" w14:textId="518E4309" w:rsidR="00CF3AB1" w:rsidRPr="009C3565" w:rsidRDefault="00CF3AB1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Nedovoljno razvijen sistem upravljanja i održavanja infrastrukture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</w:tcPr>
          <w:p w14:paraId="046C1730" w14:textId="7942A9F9" w:rsidR="00CF3AB1" w:rsidRPr="009C3565" w:rsidRDefault="00CF3AB1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PA18-13</w:t>
            </w:r>
          </w:p>
        </w:tc>
      </w:tr>
      <w:tr w:rsidR="009C3565" w:rsidRPr="009C3565" w14:paraId="3595E3A6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77342A8E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275175B6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Nedovoljna implementacija strateških dokumenata, posebno u željezničkom sektoru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7B1D7EC9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PA18-01, PA18-07, PA18-08</w:t>
            </w:r>
          </w:p>
        </w:tc>
      </w:tr>
      <w:tr w:rsidR="009C3565" w:rsidRPr="009C3565" w14:paraId="45F556E4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524B303E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2986ABAB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Nedovoljna međusobna usklađenost strateških dokumenata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2E747D3D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PA18-03</w:t>
            </w:r>
          </w:p>
        </w:tc>
      </w:tr>
      <w:tr w:rsidR="009C3565" w:rsidRPr="009C3565" w14:paraId="490F451B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70133879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2C6A7D62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Nedovoljna modernizacija pomorske infrastrukture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0C58E329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PA18-17, PA18-18, PA18-19, PA18-20</w:t>
            </w:r>
          </w:p>
        </w:tc>
      </w:tr>
      <w:tr w:rsidR="009C3565" w:rsidRPr="009C3565" w14:paraId="661012B4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69DAF2E6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0FA55672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Nedovoljna multimodalna integracija transportnog sistema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54F214AD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PA18-17, PA18-18, PA18-19, PA18-20</w:t>
            </w:r>
          </w:p>
        </w:tc>
      </w:tr>
      <w:tr w:rsidR="009C3565" w:rsidRPr="009C3565" w14:paraId="5AF3DCDE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11AA65C6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510F235D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Nedovoljna razvijenost putne infrastrukture i prisustvo uskih grla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4CCC76BC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PA18-09, PA18-10, PA18-29</w:t>
            </w:r>
          </w:p>
        </w:tc>
      </w:tr>
      <w:tr w:rsidR="009C3565" w:rsidRPr="009C3565" w14:paraId="5D2A098E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586D10EE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6B2F63F5" w14:textId="4402FA23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Nedovoljna usklađenost sa EU acquis, posebno u željezničkom</w:t>
            </w:r>
            <w:r w:rsidR="006C044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sektoru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141AA49E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PA18-01, PA18-07, PA18-08</w:t>
            </w:r>
          </w:p>
        </w:tc>
      </w:tr>
      <w:tr w:rsidR="009C3565" w:rsidRPr="009C3565" w14:paraId="42838B6A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30BD635B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6C995A92" w14:textId="3D1F12ED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Nedovoljno razvijen segment generalne </w:t>
            </w:r>
            <w:r w:rsidR="006C044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i</w:t>
            </w: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rekreativne avijacije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52347BF0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PA18-15</w:t>
            </w:r>
          </w:p>
        </w:tc>
      </w:tr>
      <w:tr w:rsidR="009C3565" w:rsidRPr="009C3565" w14:paraId="7212857F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4B884A8F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46A11CC0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Nedovoljno razvijen sistem upravljanja životnim ciklusom infrastrukture (asset management)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2DD8D28F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PA18-13</w:t>
            </w:r>
          </w:p>
        </w:tc>
      </w:tr>
      <w:tr w:rsidR="009C3565" w:rsidRPr="009C3565" w14:paraId="65E875E0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4B985944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2EA5508F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Nedovoljno razvijen sistem urbane i aktivne mobilnosti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17104309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PA18-26</w:t>
            </w:r>
          </w:p>
        </w:tc>
      </w:tr>
      <w:tr w:rsidR="009C3565" w:rsidRPr="009C3565" w14:paraId="569B2DED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21FF08C4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4FFFFA61" w14:textId="6C25DA5F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Nedovoljno razvijena infrastruktura za alternativna goriva i punjenje nisko i nulto-emisionih vozila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2A353767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PA18-26, PA18-27, PA18-28, PA18-30</w:t>
            </w:r>
          </w:p>
        </w:tc>
      </w:tr>
      <w:tr w:rsidR="009C3565" w:rsidRPr="009C3565" w14:paraId="6F92E29E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1A3DD031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50689B47" w14:textId="34FAF3C0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Nedovoljno razvijeni mehanizmi za pripremu, upravljanje i</w:t>
            </w:r>
            <w:r w:rsidR="00CF3AB1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</w:t>
            </w:r>
            <w:r w:rsidR="00CF3AB1"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evaluaciju projekata finansiranih iz EU fondova u oblasti saobraćaja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47A347D7" w14:textId="77777777" w:rsid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PA18-04</w:t>
            </w:r>
          </w:p>
          <w:p w14:paraId="5819C477" w14:textId="5E07CD95" w:rsidR="00CF3AB1" w:rsidRPr="009C3565" w:rsidRDefault="00CF3AB1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PA18-12</w:t>
            </w:r>
          </w:p>
        </w:tc>
      </w:tr>
      <w:tr w:rsidR="006C0444" w:rsidRPr="009C3565" w14:paraId="41B5852A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</w:tcPr>
          <w:p w14:paraId="1685ACA5" w14:textId="77777777" w:rsidR="006C0444" w:rsidRPr="009C3565" w:rsidRDefault="006C0444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</w:tcPr>
          <w:p w14:paraId="213D0345" w14:textId="6BC278A4" w:rsidR="006C0444" w:rsidRPr="009C3565" w:rsidRDefault="006C0444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Nedovoljno razvijeni digitalni sistemi za upravljanje pomorskim i logističkim tokovima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</w:tcPr>
          <w:p w14:paraId="3CB332ED" w14:textId="1FCABFD3" w:rsidR="006C0444" w:rsidRPr="009C3565" w:rsidRDefault="006C0444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PA18-23, PA18-</w:t>
            </w:r>
            <w:r w:rsidR="00B17C7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20</w:t>
            </w:r>
          </w:p>
        </w:tc>
      </w:tr>
      <w:tr w:rsidR="009C3565" w:rsidRPr="009C3565" w14:paraId="4419C20D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710CBBFC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1094A4AA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Nizak nivo digitalizacije transporta i logistike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317DD9D0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PA18-23, PA18-08</w:t>
            </w:r>
          </w:p>
        </w:tc>
      </w:tr>
      <w:tr w:rsidR="009C3565" w:rsidRPr="009C3565" w14:paraId="5E7DA2DD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2B363D1F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5AD3A447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Nizak nivo interoperabilnosti željezničkog sistema (ERTMS)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045225B7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PA18-01, PA18-07, PA18-08</w:t>
            </w:r>
          </w:p>
        </w:tc>
      </w:tr>
      <w:tr w:rsidR="009C3565" w:rsidRPr="009C3565" w14:paraId="0B734AE9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14DDD9C5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1DF81A1C" w14:textId="58D7EC4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Ograničena integracija klimatskih ciljeva i mjera dekarbonizacije u </w:t>
            </w:r>
            <w:r w:rsidR="006C044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okviru sektorskog planiranja transporta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520E58D8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PA18-11</w:t>
            </w:r>
          </w:p>
        </w:tc>
      </w:tr>
      <w:tr w:rsidR="009C3565" w:rsidRPr="009C3565" w14:paraId="1C393031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610D8A75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5F85A516" w14:textId="1A6E30DB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Ograničena konkurentnost željezničkog </w:t>
            </w:r>
            <w:r w:rsidR="006C044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transporta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251B1D21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PA18-01, PA18-07, PA18-08</w:t>
            </w:r>
          </w:p>
        </w:tc>
      </w:tr>
      <w:tr w:rsidR="009C3565" w:rsidRPr="009C3565" w14:paraId="77887856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58FA79ED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1C2466CC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Ograničena otpornost transportnog sistema na krizne situacije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3B885097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PA18-08</w:t>
            </w:r>
          </w:p>
        </w:tc>
      </w:tr>
      <w:tr w:rsidR="009C3565" w:rsidRPr="009C3565" w14:paraId="1C337482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497D6005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69D9857E" w14:textId="6E903AAE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Ograničena razrada razvojnih pravaca vazdušnog saobraćaja u postojećem strateškom okviru (Strategije razvoja saobraćaja 2019–2035), uključujući nedovoljno definisanu viziju razvoja komercijalnog i rekreativnog vazduhoplovstva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58E31F45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PA18-05</w:t>
            </w:r>
          </w:p>
        </w:tc>
      </w:tr>
      <w:tr w:rsidR="009C3565" w:rsidRPr="009C3565" w14:paraId="4001E201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7D095BEA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6B182527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Ograničeni administrativni i institucionalni kapaciteti za sprovođenje reformi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185640D5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PA18-02</w:t>
            </w:r>
          </w:p>
        </w:tc>
      </w:tr>
      <w:tr w:rsidR="009C3565" w:rsidRPr="009C3565" w14:paraId="09C8B1FE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234803CD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1CC6953C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Ograničeni kapaciteti za planiranje i prioritizaciju investicija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0957D666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PA18-02, PA18-04, PA18-06</w:t>
            </w:r>
          </w:p>
        </w:tc>
      </w:tr>
      <w:tr w:rsidR="009C3565" w:rsidRPr="009C3565" w14:paraId="41A4479C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736113D2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6E42421E" w14:textId="2E280BB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Potreba za daljim administrativnim i regulatornim usklađivanjem u vazdušnom sektoru, posebno u dijelu ispunjavanja formalnih zahtjeva povezanih sa Jedinstvenim evropskim nebom (SES), uz očuvanje postojećeg nivoa sigurnosti i funkcionalnog upravljanja vazdušnim prostorom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7EEF6936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PA18-16</w:t>
            </w:r>
          </w:p>
        </w:tc>
      </w:tr>
      <w:tr w:rsidR="009C3565" w:rsidRPr="009C3565" w14:paraId="3CE7E97B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565C0369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22FBC7E3" w14:textId="6B0BAB2C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Potreba za daljim praćenjem i pravovremenim prilagođavanjem sektora novim EU klimatskim i dekarbonizacionim obavezama, posebno u segmentima gdje se očekuje dodatno usklađivanje sa EU pravilima</w:t>
            </w:r>
            <w:r w:rsidR="006C044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303002CB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PA18-11</w:t>
            </w:r>
          </w:p>
        </w:tc>
      </w:tr>
      <w:tr w:rsidR="009C3565" w:rsidRPr="009C3565" w14:paraId="5BF92461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27F4F551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7B73F1E6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Potreba za revizijom i ažuriranjem planske i razvojne dokumentacije za vazdušni saobraćaj, uključujući Master plan razvoja aerodroma i lokalne studije lokacije za sektor 24 Tivat i Aerodrom Podgorica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2A13FDB7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PA18-05, PA18-14, PA18-15</w:t>
            </w:r>
          </w:p>
        </w:tc>
      </w:tr>
      <w:tr w:rsidR="009C3565" w:rsidRPr="009C3565" w14:paraId="7455FAA3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7FF58157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086FDA39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Visoka klimatska ranjivost transportne infrastrukture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46137AAC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PA18-11</w:t>
            </w:r>
          </w:p>
        </w:tc>
      </w:tr>
      <w:tr w:rsidR="009C3565" w:rsidRPr="009C3565" w14:paraId="38E2554F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217D3D79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5CAC00FB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Vrlo nizak udio obnovljivih izvora energije u transportu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4DAE7599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PA18-26, PA18-27, PA18-28, PA18-30</w:t>
            </w:r>
          </w:p>
        </w:tc>
      </w:tr>
      <w:tr w:rsidR="009C3565" w:rsidRPr="009C3565" w14:paraId="73C59656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5DEF92A9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AE2D5" w:themeFill="accent2" w:themeFillTint="33"/>
            <w:noWrap/>
            <w:hideMark/>
          </w:tcPr>
          <w:p w14:paraId="4ADA4ADD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Zastarjela i nedovoljno usklađena strateška osnova sektora</w:t>
            </w:r>
          </w:p>
        </w:tc>
        <w:tc>
          <w:tcPr>
            <w:tcW w:w="1092" w:type="pct"/>
            <w:shd w:val="clear" w:color="auto" w:fill="FAE2D5" w:themeFill="accent2" w:themeFillTint="33"/>
            <w:noWrap/>
            <w:hideMark/>
          </w:tcPr>
          <w:p w14:paraId="3376E896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PA18-03</w:t>
            </w:r>
          </w:p>
        </w:tc>
      </w:tr>
      <w:tr w:rsidR="009C3565" w:rsidRPr="009C3565" w14:paraId="1DFB894D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 w:val="restart"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7E2544E5" w14:textId="77777777" w:rsidR="009C3565" w:rsidRPr="009C3565" w:rsidRDefault="009C3565" w:rsidP="009C3565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  <w:t>PRILIKE</w:t>
            </w:r>
          </w:p>
        </w:tc>
        <w:tc>
          <w:tcPr>
            <w:tcW w:w="3285" w:type="pct"/>
            <w:shd w:val="clear" w:color="auto" w:fill="CAEDFB" w:themeFill="accent4" w:themeFillTint="33"/>
            <w:noWrap/>
            <w:hideMark/>
          </w:tcPr>
          <w:p w14:paraId="76D0F582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Ažuriranje i usklađivanje sektorskih strategija sa EU zahtjevima</w:t>
            </w:r>
          </w:p>
        </w:tc>
        <w:tc>
          <w:tcPr>
            <w:tcW w:w="1092" w:type="pct"/>
            <w:shd w:val="clear" w:color="auto" w:fill="CAEDFB" w:themeFill="accent4" w:themeFillTint="33"/>
            <w:noWrap/>
            <w:hideMark/>
          </w:tcPr>
          <w:p w14:paraId="496760DB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PA18-02</w:t>
            </w:r>
          </w:p>
        </w:tc>
      </w:tr>
      <w:tr w:rsidR="009C3565" w:rsidRPr="009C3565" w14:paraId="45EF98A4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CAEDFB" w:themeFill="accent4" w:themeFillTint="33"/>
            <w:noWrap/>
            <w:hideMark/>
          </w:tcPr>
          <w:p w14:paraId="55CF1D59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CAEDFB" w:themeFill="accent4" w:themeFillTint="33"/>
            <w:noWrap/>
            <w:hideMark/>
          </w:tcPr>
          <w:p w14:paraId="05A5B906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Dalja formalizacija i razvoj transportnog tržišta</w:t>
            </w:r>
          </w:p>
        </w:tc>
        <w:tc>
          <w:tcPr>
            <w:tcW w:w="1092" w:type="pct"/>
            <w:shd w:val="clear" w:color="auto" w:fill="CAEDFB" w:themeFill="accent4" w:themeFillTint="33"/>
            <w:noWrap/>
            <w:hideMark/>
          </w:tcPr>
          <w:p w14:paraId="41B7DEEA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PA18-21</w:t>
            </w:r>
          </w:p>
        </w:tc>
      </w:tr>
      <w:tr w:rsidR="009C3565" w:rsidRPr="009C3565" w14:paraId="2D285D3C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CAEDFB" w:themeFill="accent4" w:themeFillTint="33"/>
            <w:noWrap/>
            <w:hideMark/>
          </w:tcPr>
          <w:p w14:paraId="13BF990F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CAEDFB" w:themeFill="accent4" w:themeFillTint="33"/>
            <w:noWrap/>
            <w:hideMark/>
          </w:tcPr>
          <w:p w14:paraId="385F80E2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Dalje usklađivanje sa EU politikama (Green Deal, Sustainable and Smart Mobility Strategy)</w:t>
            </w:r>
          </w:p>
        </w:tc>
        <w:tc>
          <w:tcPr>
            <w:tcW w:w="1092" w:type="pct"/>
            <w:shd w:val="clear" w:color="auto" w:fill="CAEDFB" w:themeFill="accent4" w:themeFillTint="33"/>
            <w:noWrap/>
            <w:hideMark/>
          </w:tcPr>
          <w:p w14:paraId="42E02CED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PA18-02</w:t>
            </w:r>
          </w:p>
        </w:tc>
      </w:tr>
      <w:tr w:rsidR="009C3565" w:rsidRPr="009C3565" w14:paraId="141A5B57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CAEDFB" w:themeFill="accent4" w:themeFillTint="33"/>
            <w:noWrap/>
            <w:hideMark/>
          </w:tcPr>
          <w:p w14:paraId="008D982C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CAEDFB" w:themeFill="accent4" w:themeFillTint="33"/>
            <w:noWrap/>
            <w:hideMark/>
          </w:tcPr>
          <w:p w14:paraId="53138D80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Implementacija regulative za alternativna goriva (AFIR)</w:t>
            </w:r>
          </w:p>
        </w:tc>
        <w:tc>
          <w:tcPr>
            <w:tcW w:w="1092" w:type="pct"/>
            <w:shd w:val="clear" w:color="auto" w:fill="CAEDFB" w:themeFill="accent4" w:themeFillTint="33"/>
            <w:noWrap/>
            <w:hideMark/>
          </w:tcPr>
          <w:p w14:paraId="30284636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PA18-26, PA18-27, PA18-28, PA18-30</w:t>
            </w:r>
          </w:p>
        </w:tc>
      </w:tr>
      <w:tr w:rsidR="009C3565" w:rsidRPr="009C3565" w14:paraId="5AD60AEC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CAEDFB" w:themeFill="accent4" w:themeFillTint="33"/>
            <w:noWrap/>
            <w:hideMark/>
          </w:tcPr>
          <w:p w14:paraId="522EC44A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CAEDFB" w:themeFill="accent4" w:themeFillTint="33"/>
            <w:noWrap/>
            <w:hideMark/>
          </w:tcPr>
          <w:p w14:paraId="672D20C0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Integracija klimatske neutralnosti i dekarbonizacije transporta u buduće investicione prioritete</w:t>
            </w:r>
          </w:p>
        </w:tc>
        <w:tc>
          <w:tcPr>
            <w:tcW w:w="1092" w:type="pct"/>
            <w:shd w:val="clear" w:color="auto" w:fill="CAEDFB" w:themeFill="accent4" w:themeFillTint="33"/>
            <w:noWrap/>
            <w:hideMark/>
          </w:tcPr>
          <w:p w14:paraId="494E45BC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PA18-11</w:t>
            </w:r>
          </w:p>
        </w:tc>
      </w:tr>
      <w:tr w:rsidR="009C3565" w:rsidRPr="009C3565" w14:paraId="71E32633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CAEDFB" w:themeFill="accent4" w:themeFillTint="33"/>
            <w:noWrap/>
            <w:hideMark/>
          </w:tcPr>
          <w:p w14:paraId="606DE077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CAEDFB" w:themeFill="accent4" w:themeFillTint="33"/>
            <w:noWrap/>
            <w:hideMark/>
          </w:tcPr>
          <w:p w14:paraId="7249222C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Izrada i implementacija master planova infrastrukturnog razvoja</w:t>
            </w:r>
          </w:p>
        </w:tc>
        <w:tc>
          <w:tcPr>
            <w:tcW w:w="1092" w:type="pct"/>
            <w:shd w:val="clear" w:color="auto" w:fill="CAEDFB" w:themeFill="accent4" w:themeFillTint="33"/>
            <w:noWrap/>
            <w:hideMark/>
          </w:tcPr>
          <w:p w14:paraId="7AB0F63B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PA18-22</w:t>
            </w:r>
          </w:p>
        </w:tc>
      </w:tr>
      <w:tr w:rsidR="009C3565" w:rsidRPr="009C3565" w14:paraId="6F6D19DA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CAEDFB" w:themeFill="accent4" w:themeFillTint="33"/>
            <w:noWrap/>
            <w:hideMark/>
          </w:tcPr>
          <w:p w14:paraId="323D5A9B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CAEDFB" w:themeFill="accent4" w:themeFillTint="33"/>
            <w:noWrap/>
            <w:hideMark/>
          </w:tcPr>
          <w:p w14:paraId="76C9AB52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Jačanje otpornosti infrastrukture na klimatske promjene</w:t>
            </w:r>
          </w:p>
        </w:tc>
        <w:tc>
          <w:tcPr>
            <w:tcW w:w="1092" w:type="pct"/>
            <w:shd w:val="clear" w:color="auto" w:fill="CAEDFB" w:themeFill="accent4" w:themeFillTint="33"/>
            <w:noWrap/>
            <w:hideMark/>
          </w:tcPr>
          <w:p w14:paraId="31BE5FC7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PA18-11</w:t>
            </w:r>
          </w:p>
        </w:tc>
      </w:tr>
      <w:tr w:rsidR="009C3565" w:rsidRPr="009C3565" w14:paraId="2DCC5E98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CAEDFB" w:themeFill="accent4" w:themeFillTint="33"/>
            <w:noWrap/>
            <w:hideMark/>
          </w:tcPr>
          <w:p w14:paraId="4785A1C0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CAEDFB" w:themeFill="accent4" w:themeFillTint="33"/>
            <w:noWrap/>
            <w:hideMark/>
          </w:tcPr>
          <w:p w14:paraId="6C9B2FC5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Jačanje regionalne saradnje i integracije transportnih sistema</w:t>
            </w:r>
          </w:p>
        </w:tc>
        <w:tc>
          <w:tcPr>
            <w:tcW w:w="1092" w:type="pct"/>
            <w:shd w:val="clear" w:color="auto" w:fill="CAEDFB" w:themeFill="accent4" w:themeFillTint="33"/>
            <w:noWrap/>
            <w:hideMark/>
          </w:tcPr>
          <w:p w14:paraId="18847D6C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PA18-21, PA18-17</w:t>
            </w:r>
          </w:p>
        </w:tc>
      </w:tr>
      <w:tr w:rsidR="009C3565" w:rsidRPr="009C3565" w14:paraId="1EA85946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CAEDFB" w:themeFill="accent4" w:themeFillTint="33"/>
            <w:noWrap/>
            <w:hideMark/>
          </w:tcPr>
          <w:p w14:paraId="1455B634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CAEDFB" w:themeFill="accent4" w:themeFillTint="33"/>
            <w:noWrap/>
            <w:hideMark/>
          </w:tcPr>
          <w:p w14:paraId="373B9938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Jačanje željezničkog transporta kao održive alternative</w:t>
            </w:r>
          </w:p>
        </w:tc>
        <w:tc>
          <w:tcPr>
            <w:tcW w:w="1092" w:type="pct"/>
            <w:shd w:val="clear" w:color="auto" w:fill="CAEDFB" w:themeFill="accent4" w:themeFillTint="33"/>
            <w:noWrap/>
            <w:hideMark/>
          </w:tcPr>
          <w:p w14:paraId="0471D942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PA18-01, PA18-07, PA18-08</w:t>
            </w:r>
          </w:p>
        </w:tc>
      </w:tr>
      <w:tr w:rsidR="009C3565" w:rsidRPr="009C3565" w14:paraId="732026EF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CAEDFB" w:themeFill="accent4" w:themeFillTint="33"/>
            <w:noWrap/>
            <w:hideMark/>
          </w:tcPr>
          <w:p w14:paraId="3B7590EC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CAEDFB" w:themeFill="accent4" w:themeFillTint="33"/>
            <w:noWrap/>
            <w:hideMark/>
          </w:tcPr>
          <w:p w14:paraId="284573F2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Korišćenje novih zakonodavnih rješenja za ubrzanje interoperabilnosti, digitalizacije i liberalizacije tržišta transporta</w:t>
            </w:r>
          </w:p>
        </w:tc>
        <w:tc>
          <w:tcPr>
            <w:tcW w:w="1092" w:type="pct"/>
            <w:shd w:val="clear" w:color="auto" w:fill="CAEDFB" w:themeFill="accent4" w:themeFillTint="33"/>
            <w:noWrap/>
            <w:hideMark/>
          </w:tcPr>
          <w:p w14:paraId="0B7DC5F6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PA18-23</w:t>
            </w:r>
          </w:p>
        </w:tc>
      </w:tr>
      <w:tr w:rsidR="009C3565" w:rsidRPr="009C3565" w14:paraId="1173E0EB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CAEDFB" w:themeFill="accent4" w:themeFillTint="33"/>
            <w:noWrap/>
            <w:hideMark/>
          </w:tcPr>
          <w:p w14:paraId="3382A459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CAEDFB" w:themeFill="accent4" w:themeFillTint="33"/>
            <w:noWrap/>
            <w:hideMark/>
          </w:tcPr>
          <w:p w14:paraId="35E7B82F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Modernizacija aerodromske i pomorske infrastrukture</w:t>
            </w:r>
          </w:p>
        </w:tc>
        <w:tc>
          <w:tcPr>
            <w:tcW w:w="1092" w:type="pct"/>
            <w:shd w:val="clear" w:color="auto" w:fill="CAEDFB" w:themeFill="accent4" w:themeFillTint="33"/>
            <w:noWrap/>
            <w:hideMark/>
          </w:tcPr>
          <w:p w14:paraId="1591B25A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PA18-17, PA18-18, PA18-19, PA18-20</w:t>
            </w:r>
          </w:p>
        </w:tc>
      </w:tr>
      <w:tr w:rsidR="00B17C78" w:rsidRPr="009C3565" w14:paraId="5DCC847B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CAEDFB" w:themeFill="accent4" w:themeFillTint="33"/>
            <w:noWrap/>
          </w:tcPr>
          <w:p w14:paraId="7E352051" w14:textId="77777777" w:rsidR="00B17C78" w:rsidRPr="009C3565" w:rsidRDefault="00B17C78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CAEDFB" w:themeFill="accent4" w:themeFillTint="33"/>
            <w:noWrap/>
          </w:tcPr>
          <w:p w14:paraId="5725B936" w14:textId="72CE87D5" w:rsidR="00B17C78" w:rsidRPr="009C3565" w:rsidRDefault="00B17C78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Mogućnost korišćenja EU fondova, WBIF mehanizma i međunarodnih finansijskih institucija za realizaciju velikih projekata iz ove oblasti</w:t>
            </w:r>
          </w:p>
        </w:tc>
        <w:tc>
          <w:tcPr>
            <w:tcW w:w="1092" w:type="pct"/>
            <w:shd w:val="clear" w:color="auto" w:fill="CAEDFB" w:themeFill="accent4" w:themeFillTint="33"/>
            <w:noWrap/>
          </w:tcPr>
          <w:p w14:paraId="5D3F3B23" w14:textId="2A19B333" w:rsidR="00B17C78" w:rsidRPr="00B17C78" w:rsidRDefault="00B17C78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B17C78">
              <w:rPr>
                <w:rFonts w:ascii="Aptos Narrow" w:eastAsia="Times New Roman" w:hAnsi="Aptos Narrow" w:cs="Times New Roman"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PA18-0</w:t>
            </w:r>
            <w:r>
              <w:rPr>
                <w:rFonts w:ascii="Aptos Narrow" w:eastAsia="Times New Roman" w:hAnsi="Aptos Narrow" w:cs="Times New Roman"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2</w:t>
            </w:r>
            <w:r w:rsidRPr="00B17C78">
              <w:rPr>
                <w:rFonts w:ascii="Aptos Narrow" w:eastAsia="Times New Roman" w:hAnsi="Aptos Narrow" w:cs="Times New Roman"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, </w:t>
            </w:r>
            <w:r w:rsidRPr="00B17C78">
              <w:rPr>
                <w:rFonts w:ascii="Aptos Narrow" w:eastAsia="Times New Roman" w:hAnsi="Aptos Narrow" w:cs="Times New Roman"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PA18-0</w:t>
            </w:r>
            <w:r>
              <w:rPr>
                <w:rFonts w:ascii="Aptos Narrow" w:eastAsia="Times New Roman" w:hAnsi="Aptos Narrow" w:cs="Times New Roman"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4</w:t>
            </w:r>
            <w:r w:rsidRPr="00B17C78">
              <w:rPr>
                <w:rFonts w:ascii="Aptos Narrow" w:eastAsia="Times New Roman" w:hAnsi="Aptos Narrow" w:cs="Times New Roman"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, PA18-06</w:t>
            </w:r>
          </w:p>
        </w:tc>
      </w:tr>
      <w:tr w:rsidR="009C3565" w:rsidRPr="009C3565" w14:paraId="4CBCD7FB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CAEDFB" w:themeFill="accent4" w:themeFillTint="33"/>
            <w:noWrap/>
            <w:hideMark/>
          </w:tcPr>
          <w:p w14:paraId="25885005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CAEDFB" w:themeFill="accent4" w:themeFillTint="33"/>
            <w:noWrap/>
            <w:hideMark/>
          </w:tcPr>
          <w:p w14:paraId="79728F94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Podsticanje modalnog pomaka sa drumskog na željeznički i multimodalni transport</w:t>
            </w:r>
          </w:p>
        </w:tc>
        <w:tc>
          <w:tcPr>
            <w:tcW w:w="1092" w:type="pct"/>
            <w:shd w:val="clear" w:color="auto" w:fill="CAEDFB" w:themeFill="accent4" w:themeFillTint="33"/>
            <w:noWrap/>
            <w:hideMark/>
          </w:tcPr>
          <w:p w14:paraId="3AFB10B6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PA18-01, PA18-07, PA18-08</w:t>
            </w:r>
          </w:p>
        </w:tc>
      </w:tr>
      <w:tr w:rsidR="009C3565" w:rsidRPr="009C3565" w14:paraId="733292A3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CAEDFB" w:themeFill="accent4" w:themeFillTint="33"/>
            <w:noWrap/>
            <w:hideMark/>
          </w:tcPr>
          <w:p w14:paraId="03B68510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CAEDFB" w:themeFill="accent4" w:themeFillTint="33"/>
            <w:noWrap/>
            <w:hideMark/>
          </w:tcPr>
          <w:p w14:paraId="0C1B783A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Razvoj i integracija u TEN-T mrežu i evropske transportne koridore</w:t>
            </w:r>
          </w:p>
        </w:tc>
        <w:tc>
          <w:tcPr>
            <w:tcW w:w="1092" w:type="pct"/>
            <w:shd w:val="clear" w:color="auto" w:fill="CAEDFB" w:themeFill="accent4" w:themeFillTint="33"/>
            <w:noWrap/>
            <w:hideMark/>
          </w:tcPr>
          <w:p w14:paraId="14E01281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PA18-21</w:t>
            </w:r>
          </w:p>
        </w:tc>
      </w:tr>
      <w:tr w:rsidR="009C3565" w:rsidRPr="009C3565" w14:paraId="1AF1D9DB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CAEDFB" w:themeFill="accent4" w:themeFillTint="33"/>
            <w:noWrap/>
            <w:hideMark/>
          </w:tcPr>
          <w:p w14:paraId="763064C2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CAEDFB" w:themeFill="accent4" w:themeFillTint="33"/>
            <w:noWrap/>
            <w:hideMark/>
          </w:tcPr>
          <w:p w14:paraId="399655E5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Razvoj integrisanih transportnih informacionih sistema i upravljanja zasnovanog na podacima</w:t>
            </w:r>
          </w:p>
        </w:tc>
        <w:tc>
          <w:tcPr>
            <w:tcW w:w="1092" w:type="pct"/>
            <w:shd w:val="clear" w:color="auto" w:fill="CAEDFB" w:themeFill="accent4" w:themeFillTint="33"/>
            <w:noWrap/>
            <w:hideMark/>
          </w:tcPr>
          <w:p w14:paraId="576A0FED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PA18-21</w:t>
            </w:r>
          </w:p>
        </w:tc>
      </w:tr>
      <w:tr w:rsidR="009C3565" w:rsidRPr="009C3565" w14:paraId="15948F8C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CAEDFB" w:themeFill="accent4" w:themeFillTint="33"/>
            <w:noWrap/>
            <w:hideMark/>
          </w:tcPr>
          <w:p w14:paraId="4B3F6978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CAEDFB" w:themeFill="accent4" w:themeFillTint="33"/>
            <w:noWrap/>
            <w:hideMark/>
          </w:tcPr>
          <w:p w14:paraId="5ABE024D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Razvoj inteligentnih transportnih sistema i digitalnih rješenja (eFTI, eCMR)</w:t>
            </w:r>
          </w:p>
        </w:tc>
        <w:tc>
          <w:tcPr>
            <w:tcW w:w="1092" w:type="pct"/>
            <w:shd w:val="clear" w:color="auto" w:fill="CAEDFB" w:themeFill="accent4" w:themeFillTint="33"/>
            <w:noWrap/>
            <w:hideMark/>
          </w:tcPr>
          <w:p w14:paraId="466B186B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PA18-21, PA18-22, PA18-23, PA18-24, PA18-25</w:t>
            </w:r>
          </w:p>
        </w:tc>
      </w:tr>
      <w:tr w:rsidR="009C3565" w:rsidRPr="009C3565" w14:paraId="6F087D4D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CAEDFB" w:themeFill="accent4" w:themeFillTint="33"/>
            <w:noWrap/>
            <w:hideMark/>
          </w:tcPr>
          <w:p w14:paraId="7F53BD0E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CAEDFB" w:themeFill="accent4" w:themeFillTint="33"/>
            <w:noWrap/>
            <w:hideMark/>
          </w:tcPr>
          <w:p w14:paraId="4A88C210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Razvoj logističkih i intermodalnih centara</w:t>
            </w:r>
          </w:p>
        </w:tc>
        <w:tc>
          <w:tcPr>
            <w:tcW w:w="1092" w:type="pct"/>
            <w:shd w:val="clear" w:color="auto" w:fill="CAEDFB" w:themeFill="accent4" w:themeFillTint="33"/>
            <w:noWrap/>
            <w:hideMark/>
          </w:tcPr>
          <w:p w14:paraId="7B89C2F0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PA18-17, PA18-18, PA18-19, PA18-20</w:t>
            </w:r>
          </w:p>
        </w:tc>
      </w:tr>
      <w:tr w:rsidR="009C3565" w:rsidRPr="009C3565" w14:paraId="7D1CEB4D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CAEDFB" w:themeFill="accent4" w:themeFillTint="33"/>
            <w:noWrap/>
            <w:hideMark/>
          </w:tcPr>
          <w:p w14:paraId="33BBE697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CAEDFB" w:themeFill="accent4" w:themeFillTint="33"/>
            <w:noWrap/>
            <w:hideMark/>
          </w:tcPr>
          <w:p w14:paraId="4A89ECD2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Razvoj luka kao regionalnih logističkih i intermodalnih čvorišta kroz digitalnu i zelenu tranziciju</w:t>
            </w:r>
          </w:p>
        </w:tc>
        <w:tc>
          <w:tcPr>
            <w:tcW w:w="1092" w:type="pct"/>
            <w:shd w:val="clear" w:color="auto" w:fill="CAEDFB" w:themeFill="accent4" w:themeFillTint="33"/>
            <w:noWrap/>
            <w:hideMark/>
          </w:tcPr>
          <w:p w14:paraId="284F1672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PA18-17, PA18-18, PA18-19, PA18-20</w:t>
            </w:r>
          </w:p>
        </w:tc>
      </w:tr>
      <w:tr w:rsidR="009C3565" w:rsidRPr="009C3565" w14:paraId="1CB1482D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CAEDFB" w:themeFill="accent4" w:themeFillTint="33"/>
            <w:noWrap/>
            <w:hideMark/>
          </w:tcPr>
          <w:p w14:paraId="597BEBA5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CAEDFB" w:themeFill="accent4" w:themeFillTint="33"/>
            <w:noWrap/>
            <w:hideMark/>
          </w:tcPr>
          <w:p w14:paraId="020C10C1" w14:textId="2D4FBABB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Razvoj nisko i nulto-emisionog transporta</w:t>
            </w:r>
          </w:p>
        </w:tc>
        <w:tc>
          <w:tcPr>
            <w:tcW w:w="1092" w:type="pct"/>
            <w:shd w:val="clear" w:color="auto" w:fill="CAEDFB" w:themeFill="accent4" w:themeFillTint="33"/>
            <w:noWrap/>
            <w:hideMark/>
          </w:tcPr>
          <w:p w14:paraId="23EB809A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PA18-26, PA18-27, PA18-28, PA18-30</w:t>
            </w:r>
          </w:p>
        </w:tc>
      </w:tr>
      <w:tr w:rsidR="009C3565" w:rsidRPr="009C3565" w14:paraId="5B18A9E2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CAEDFB" w:themeFill="accent4" w:themeFillTint="33"/>
            <w:noWrap/>
            <w:hideMark/>
          </w:tcPr>
          <w:p w14:paraId="582AA19D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CAEDFB" w:themeFill="accent4" w:themeFillTint="33"/>
            <w:noWrap/>
            <w:hideMark/>
          </w:tcPr>
          <w:p w14:paraId="7686F7DF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Razvoj urbanih transportnih sistema i održive mobilnosti</w:t>
            </w:r>
          </w:p>
        </w:tc>
        <w:tc>
          <w:tcPr>
            <w:tcW w:w="1092" w:type="pct"/>
            <w:shd w:val="clear" w:color="auto" w:fill="CAEDFB" w:themeFill="accent4" w:themeFillTint="33"/>
            <w:noWrap/>
            <w:hideMark/>
          </w:tcPr>
          <w:p w14:paraId="32E01F2C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PA18-26</w:t>
            </w:r>
          </w:p>
        </w:tc>
      </w:tr>
      <w:tr w:rsidR="009C3565" w:rsidRPr="009C3565" w14:paraId="74660015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CAEDFB" w:themeFill="accent4" w:themeFillTint="33"/>
            <w:noWrap/>
            <w:hideMark/>
          </w:tcPr>
          <w:p w14:paraId="5C3A2734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CAEDFB" w:themeFill="accent4" w:themeFillTint="33"/>
            <w:noWrap/>
            <w:hideMark/>
          </w:tcPr>
          <w:p w14:paraId="3DFEE981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Reorganizacija logističkih tokova i jačanje regionalne uloge</w:t>
            </w:r>
          </w:p>
        </w:tc>
        <w:tc>
          <w:tcPr>
            <w:tcW w:w="1092" w:type="pct"/>
            <w:shd w:val="clear" w:color="auto" w:fill="CAEDFB" w:themeFill="accent4" w:themeFillTint="33"/>
            <w:noWrap/>
            <w:hideMark/>
          </w:tcPr>
          <w:p w14:paraId="7750DE1D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PA18-17, PA18-18, PA18-19, PA18-20</w:t>
            </w:r>
          </w:p>
        </w:tc>
      </w:tr>
      <w:tr w:rsidR="009C3565" w:rsidRPr="009C3565" w14:paraId="081930BD" w14:textId="77777777" w:rsidTr="009C356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CAEDFB" w:themeFill="accent4" w:themeFillTint="33"/>
            <w:noWrap/>
            <w:hideMark/>
          </w:tcPr>
          <w:p w14:paraId="081E2815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CAEDFB" w:themeFill="accent4" w:themeFillTint="33"/>
            <w:noWrap/>
            <w:hideMark/>
          </w:tcPr>
          <w:p w14:paraId="07F46A40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Ubrzana digitalizacija kao odgovor na globalne krize</w:t>
            </w:r>
          </w:p>
        </w:tc>
        <w:tc>
          <w:tcPr>
            <w:tcW w:w="1092" w:type="pct"/>
            <w:shd w:val="clear" w:color="auto" w:fill="CAEDFB" w:themeFill="accent4" w:themeFillTint="33"/>
            <w:noWrap/>
            <w:hideMark/>
          </w:tcPr>
          <w:p w14:paraId="469CCAB4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PA18-21, PA18-22, PA18-23, PA18-24, PA18-25</w:t>
            </w:r>
          </w:p>
        </w:tc>
      </w:tr>
      <w:tr w:rsidR="009C3565" w:rsidRPr="009C3565" w14:paraId="208106BA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 w:val="restart"/>
            <w:shd w:val="clear" w:color="auto" w:fill="FFFFCC"/>
            <w:noWrap/>
            <w:textDirection w:val="btLr"/>
            <w:vAlign w:val="center"/>
            <w:hideMark/>
          </w:tcPr>
          <w:p w14:paraId="496F71DD" w14:textId="77777777" w:rsidR="009C3565" w:rsidRPr="006B1819" w:rsidRDefault="009C3565" w:rsidP="006B1819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  <w:r w:rsidRPr="006B1819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  <w:t>PRIJETNJE</w:t>
            </w:r>
          </w:p>
        </w:tc>
        <w:tc>
          <w:tcPr>
            <w:tcW w:w="3285" w:type="pct"/>
            <w:shd w:val="clear" w:color="auto" w:fill="FFFFCC"/>
            <w:noWrap/>
            <w:hideMark/>
          </w:tcPr>
          <w:p w14:paraId="537015C2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Fragmentisano planiranje i nedovoljna koordinacija</w:t>
            </w:r>
          </w:p>
        </w:tc>
        <w:tc>
          <w:tcPr>
            <w:tcW w:w="1092" w:type="pct"/>
            <w:shd w:val="clear" w:color="auto" w:fill="FFFFCC"/>
            <w:noWrap/>
            <w:hideMark/>
          </w:tcPr>
          <w:p w14:paraId="0DFF9197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PA18-06</w:t>
            </w:r>
          </w:p>
        </w:tc>
      </w:tr>
      <w:tr w:rsidR="009C3565" w:rsidRPr="009C3565" w14:paraId="3B8C2AA9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FFFCC"/>
            <w:noWrap/>
            <w:hideMark/>
          </w:tcPr>
          <w:p w14:paraId="10EBE23E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FFFCC"/>
            <w:noWrap/>
            <w:hideMark/>
          </w:tcPr>
          <w:p w14:paraId="445321BD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Geopolitičke krize</w:t>
            </w:r>
          </w:p>
        </w:tc>
        <w:tc>
          <w:tcPr>
            <w:tcW w:w="1092" w:type="pct"/>
            <w:shd w:val="clear" w:color="auto" w:fill="FFFFCC"/>
            <w:noWrap/>
            <w:hideMark/>
          </w:tcPr>
          <w:p w14:paraId="444238DC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PA18-30</w:t>
            </w:r>
          </w:p>
        </w:tc>
      </w:tr>
      <w:tr w:rsidR="009C3565" w:rsidRPr="009C3565" w14:paraId="53F9F453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FFFCC"/>
            <w:noWrap/>
            <w:hideMark/>
          </w:tcPr>
          <w:p w14:paraId="0B4D6DF7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FFFCC"/>
            <w:noWrap/>
            <w:hideMark/>
          </w:tcPr>
          <w:p w14:paraId="348044AB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Globalni ekonomski i energetski poremećaji</w:t>
            </w:r>
          </w:p>
        </w:tc>
        <w:tc>
          <w:tcPr>
            <w:tcW w:w="1092" w:type="pct"/>
            <w:shd w:val="clear" w:color="auto" w:fill="FFFFCC"/>
            <w:noWrap/>
            <w:hideMark/>
          </w:tcPr>
          <w:p w14:paraId="37D726D8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PA18-09</w:t>
            </w:r>
          </w:p>
        </w:tc>
      </w:tr>
      <w:tr w:rsidR="009C3565" w:rsidRPr="009C3565" w14:paraId="6A9355A2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FFFCC"/>
            <w:noWrap/>
            <w:hideMark/>
          </w:tcPr>
          <w:p w14:paraId="371EF569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FFFCC"/>
            <w:noWrap/>
            <w:hideMark/>
          </w:tcPr>
          <w:p w14:paraId="39B98E25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Inflatorni pritisci i rast troškova infrastrukturnih projekata</w:t>
            </w:r>
          </w:p>
        </w:tc>
        <w:tc>
          <w:tcPr>
            <w:tcW w:w="1092" w:type="pct"/>
            <w:shd w:val="clear" w:color="auto" w:fill="FFFFCC"/>
            <w:noWrap/>
            <w:hideMark/>
          </w:tcPr>
          <w:p w14:paraId="1E8EE27B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PA18-29</w:t>
            </w:r>
          </w:p>
        </w:tc>
      </w:tr>
      <w:tr w:rsidR="009C3565" w:rsidRPr="009C3565" w14:paraId="1EFAF4A2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FFFCC"/>
            <w:noWrap/>
            <w:hideMark/>
          </w:tcPr>
          <w:p w14:paraId="31491699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FFFCC"/>
            <w:noWrap/>
            <w:hideMark/>
          </w:tcPr>
          <w:p w14:paraId="5BF4B0E4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Kašnjenja u usklađivanju sa EU acquis i rizik za proces pristupanja</w:t>
            </w:r>
          </w:p>
        </w:tc>
        <w:tc>
          <w:tcPr>
            <w:tcW w:w="1092" w:type="pct"/>
            <w:shd w:val="clear" w:color="auto" w:fill="FFFFCC"/>
            <w:noWrap/>
            <w:hideMark/>
          </w:tcPr>
          <w:p w14:paraId="5532F557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PA18-01, PA18-07, PA18-08</w:t>
            </w:r>
          </w:p>
        </w:tc>
      </w:tr>
      <w:tr w:rsidR="009C3565" w:rsidRPr="009C3565" w14:paraId="6C086578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FFFCC"/>
            <w:noWrap/>
            <w:hideMark/>
          </w:tcPr>
          <w:p w14:paraId="1C879F27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FFFCC"/>
            <w:noWrap/>
            <w:hideMark/>
          </w:tcPr>
          <w:p w14:paraId="19F16CC4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Klimatske promjene i povećani rizici za infrastrukturu</w:t>
            </w:r>
          </w:p>
        </w:tc>
        <w:tc>
          <w:tcPr>
            <w:tcW w:w="1092" w:type="pct"/>
            <w:shd w:val="clear" w:color="auto" w:fill="FFFFCC"/>
            <w:noWrap/>
            <w:hideMark/>
          </w:tcPr>
          <w:p w14:paraId="5DE66D9F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PA18-11</w:t>
            </w:r>
          </w:p>
        </w:tc>
      </w:tr>
      <w:tr w:rsidR="009C3565" w:rsidRPr="009C3565" w14:paraId="3F255862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FFFCC"/>
            <w:noWrap/>
            <w:hideMark/>
          </w:tcPr>
          <w:p w14:paraId="19299E56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FFFCC"/>
            <w:noWrap/>
            <w:hideMark/>
          </w:tcPr>
          <w:p w14:paraId="6CAC18E3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Kontinuirani rast drumskog transporta i emisija</w:t>
            </w:r>
          </w:p>
        </w:tc>
        <w:tc>
          <w:tcPr>
            <w:tcW w:w="1092" w:type="pct"/>
            <w:shd w:val="clear" w:color="auto" w:fill="FFFFCC"/>
            <w:noWrap/>
            <w:hideMark/>
          </w:tcPr>
          <w:p w14:paraId="2143BFE4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PA18-29</w:t>
            </w:r>
          </w:p>
        </w:tc>
      </w:tr>
      <w:tr w:rsidR="009C3565" w:rsidRPr="009C3565" w14:paraId="45481F07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FFFCC"/>
            <w:noWrap/>
            <w:hideMark/>
          </w:tcPr>
          <w:p w14:paraId="16BC772E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FFFCC"/>
            <w:noWrap/>
            <w:hideMark/>
          </w:tcPr>
          <w:p w14:paraId="5734CF70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Nedovoljna i selektivna ulaganja u željeznički sektor</w:t>
            </w:r>
          </w:p>
        </w:tc>
        <w:tc>
          <w:tcPr>
            <w:tcW w:w="1092" w:type="pct"/>
            <w:shd w:val="clear" w:color="auto" w:fill="FFFFCC"/>
            <w:noWrap/>
            <w:hideMark/>
          </w:tcPr>
          <w:p w14:paraId="2006F094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PA18-01, PA18-07, PA18-08</w:t>
            </w:r>
          </w:p>
        </w:tc>
      </w:tr>
      <w:tr w:rsidR="009C3565" w:rsidRPr="009C3565" w14:paraId="09780016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FFFCC"/>
            <w:noWrap/>
            <w:hideMark/>
          </w:tcPr>
          <w:p w14:paraId="7ADB3165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FFFCC"/>
            <w:noWrap/>
            <w:hideMark/>
          </w:tcPr>
          <w:p w14:paraId="4602F86F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Neispunjavanje klimatskih ciljeva u transportu</w:t>
            </w:r>
          </w:p>
        </w:tc>
        <w:tc>
          <w:tcPr>
            <w:tcW w:w="1092" w:type="pct"/>
            <w:shd w:val="clear" w:color="auto" w:fill="FFFFCC"/>
            <w:noWrap/>
            <w:hideMark/>
          </w:tcPr>
          <w:p w14:paraId="7B01A731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PA18-11</w:t>
            </w:r>
          </w:p>
        </w:tc>
      </w:tr>
      <w:tr w:rsidR="009C3565" w:rsidRPr="009C3565" w14:paraId="1AA35A20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FFFCC"/>
            <w:noWrap/>
            <w:hideMark/>
          </w:tcPr>
          <w:p w14:paraId="5BA7F414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FFFCC"/>
            <w:noWrap/>
            <w:hideMark/>
          </w:tcPr>
          <w:p w14:paraId="554B83EC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Ograničeni kapaciteti za pripremu i implementaciju projekata</w:t>
            </w:r>
          </w:p>
        </w:tc>
        <w:tc>
          <w:tcPr>
            <w:tcW w:w="1092" w:type="pct"/>
            <w:shd w:val="clear" w:color="auto" w:fill="FFFFCC"/>
            <w:noWrap/>
            <w:hideMark/>
          </w:tcPr>
          <w:p w14:paraId="4D10DAB6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PA18-04</w:t>
            </w:r>
          </w:p>
        </w:tc>
      </w:tr>
      <w:tr w:rsidR="009C3565" w:rsidRPr="009C3565" w14:paraId="193F7DF1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FFFCC"/>
            <w:noWrap/>
            <w:hideMark/>
          </w:tcPr>
          <w:p w14:paraId="07C54795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FFFCC"/>
            <w:noWrap/>
            <w:hideMark/>
          </w:tcPr>
          <w:p w14:paraId="3657DD52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Pandemije i nagli pad potražnje u pojedinim segmentima transporta</w:t>
            </w:r>
          </w:p>
        </w:tc>
        <w:tc>
          <w:tcPr>
            <w:tcW w:w="1092" w:type="pct"/>
            <w:shd w:val="clear" w:color="auto" w:fill="FFFFCC"/>
            <w:noWrap/>
            <w:hideMark/>
          </w:tcPr>
          <w:p w14:paraId="63D2637C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PA18-14</w:t>
            </w:r>
          </w:p>
        </w:tc>
      </w:tr>
      <w:tr w:rsidR="009C3565" w:rsidRPr="009C3565" w14:paraId="04A2DF79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FFFCC"/>
            <w:noWrap/>
            <w:hideMark/>
          </w:tcPr>
          <w:p w14:paraId="33CF3DA0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FFFCC"/>
            <w:noWrap/>
            <w:hideMark/>
          </w:tcPr>
          <w:p w14:paraId="307BEA02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Poremećaji u globalnim lancima snabdijevanja</w:t>
            </w:r>
          </w:p>
        </w:tc>
        <w:tc>
          <w:tcPr>
            <w:tcW w:w="1092" w:type="pct"/>
            <w:shd w:val="clear" w:color="auto" w:fill="FFFFCC"/>
            <w:noWrap/>
            <w:hideMark/>
          </w:tcPr>
          <w:p w14:paraId="1CCD2220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PA18-30</w:t>
            </w:r>
          </w:p>
        </w:tc>
      </w:tr>
      <w:tr w:rsidR="009C3565" w:rsidRPr="009C3565" w14:paraId="424E4508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FFFCC"/>
            <w:noWrap/>
            <w:hideMark/>
          </w:tcPr>
          <w:p w14:paraId="7763E11F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FFFCC"/>
            <w:noWrap/>
            <w:hideMark/>
          </w:tcPr>
          <w:p w14:paraId="4DC05CFE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Povećani troškovi održavanja usljed klimatskih uticaja</w:t>
            </w:r>
          </w:p>
        </w:tc>
        <w:tc>
          <w:tcPr>
            <w:tcW w:w="1092" w:type="pct"/>
            <w:shd w:val="clear" w:color="auto" w:fill="FFFFCC"/>
            <w:noWrap/>
            <w:hideMark/>
          </w:tcPr>
          <w:p w14:paraId="67BC6A7E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PA18-11</w:t>
            </w:r>
          </w:p>
        </w:tc>
      </w:tr>
      <w:tr w:rsidR="009C3565" w:rsidRPr="009C3565" w14:paraId="07521068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FFFCC"/>
            <w:noWrap/>
            <w:hideMark/>
          </w:tcPr>
          <w:p w14:paraId="4FBB14E7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FFFCC"/>
            <w:noWrap/>
            <w:hideMark/>
          </w:tcPr>
          <w:p w14:paraId="571DC951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Promjene u globalnim i regionalnim transportnim tokovima</w:t>
            </w:r>
          </w:p>
        </w:tc>
        <w:tc>
          <w:tcPr>
            <w:tcW w:w="1092" w:type="pct"/>
            <w:shd w:val="clear" w:color="auto" w:fill="FFFFCC"/>
            <w:noWrap/>
            <w:hideMark/>
          </w:tcPr>
          <w:p w14:paraId="2CC11BBE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PA18-25</w:t>
            </w:r>
          </w:p>
        </w:tc>
      </w:tr>
      <w:tr w:rsidR="009C3565" w:rsidRPr="009C3565" w14:paraId="7FBDDA38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FFFCC"/>
            <w:noWrap/>
            <w:hideMark/>
          </w:tcPr>
          <w:p w14:paraId="724C2B16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FFFCC"/>
            <w:noWrap/>
            <w:hideMark/>
          </w:tcPr>
          <w:p w14:paraId="6F1DEBDE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Rast cijena goriva i volatilnost energetskog tržišta</w:t>
            </w:r>
          </w:p>
        </w:tc>
        <w:tc>
          <w:tcPr>
            <w:tcW w:w="1092" w:type="pct"/>
            <w:shd w:val="clear" w:color="auto" w:fill="FFFFCC"/>
            <w:noWrap/>
            <w:hideMark/>
          </w:tcPr>
          <w:p w14:paraId="69EE8DAB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PA18-28</w:t>
            </w:r>
          </w:p>
        </w:tc>
      </w:tr>
      <w:tr w:rsidR="009C3565" w:rsidRPr="009C3565" w14:paraId="14BA0CAC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FFFCC"/>
            <w:noWrap/>
            <w:hideMark/>
          </w:tcPr>
          <w:p w14:paraId="31699546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FFFCC"/>
            <w:noWrap/>
            <w:hideMark/>
          </w:tcPr>
          <w:p w14:paraId="3A906CE1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Regulatorni pritisci EU klimatskih politika (ETS, RED III)</w:t>
            </w:r>
          </w:p>
        </w:tc>
        <w:tc>
          <w:tcPr>
            <w:tcW w:w="1092" w:type="pct"/>
            <w:shd w:val="clear" w:color="auto" w:fill="FFFFCC"/>
            <w:noWrap/>
            <w:hideMark/>
          </w:tcPr>
          <w:p w14:paraId="51ADD465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PA18-11</w:t>
            </w:r>
          </w:p>
        </w:tc>
      </w:tr>
      <w:tr w:rsidR="009C3565" w:rsidRPr="009C3565" w14:paraId="292DBF82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FFFCC"/>
            <w:noWrap/>
            <w:hideMark/>
          </w:tcPr>
          <w:p w14:paraId="4084DE21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FFFCC"/>
            <w:noWrap/>
            <w:hideMark/>
          </w:tcPr>
          <w:p w14:paraId="444A61F1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Rizik od dodatnog produbljivanja investicionog jaza usljed rasta troškova zelene i digitalne tranzicije</w:t>
            </w:r>
          </w:p>
        </w:tc>
        <w:tc>
          <w:tcPr>
            <w:tcW w:w="1092" w:type="pct"/>
            <w:shd w:val="clear" w:color="auto" w:fill="FFFFCC"/>
            <w:noWrap/>
            <w:hideMark/>
          </w:tcPr>
          <w:p w14:paraId="749C3F1A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PA18-03</w:t>
            </w:r>
          </w:p>
        </w:tc>
      </w:tr>
      <w:tr w:rsidR="009C3565" w:rsidRPr="009C3565" w14:paraId="7CD59567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FFFCC"/>
            <w:noWrap/>
            <w:hideMark/>
          </w:tcPr>
          <w:p w14:paraId="5B18A9D4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FFFCC"/>
            <w:noWrap/>
            <w:hideMark/>
          </w:tcPr>
          <w:p w14:paraId="5C380E6B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Rizik od gubitka tranzitnog značaja</w:t>
            </w:r>
          </w:p>
        </w:tc>
        <w:tc>
          <w:tcPr>
            <w:tcW w:w="1092" w:type="pct"/>
            <w:shd w:val="clear" w:color="auto" w:fill="FFFFCC"/>
            <w:noWrap/>
            <w:hideMark/>
          </w:tcPr>
          <w:p w14:paraId="6D8E07FE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PA18-08, PA18-17</w:t>
            </w:r>
          </w:p>
        </w:tc>
      </w:tr>
      <w:tr w:rsidR="009C3565" w:rsidRPr="009C3565" w14:paraId="748138B4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FFFCC"/>
            <w:noWrap/>
            <w:hideMark/>
          </w:tcPr>
          <w:p w14:paraId="28D1939F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FFFCC"/>
            <w:noWrap/>
            <w:hideMark/>
          </w:tcPr>
          <w:p w14:paraId="0B18F057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Rizik od sporog prilagođavanja transportnog sektora novim EU standardima dekarbonizacije i održive mobilnosti</w:t>
            </w:r>
            <w:bookmarkStart w:id="0" w:name="_GoBack"/>
            <w:bookmarkEnd w:id="0"/>
          </w:p>
        </w:tc>
        <w:tc>
          <w:tcPr>
            <w:tcW w:w="1092" w:type="pct"/>
            <w:shd w:val="clear" w:color="auto" w:fill="FFFFCC"/>
            <w:noWrap/>
            <w:hideMark/>
          </w:tcPr>
          <w:p w14:paraId="56C8E836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PA18-26</w:t>
            </w:r>
          </w:p>
        </w:tc>
      </w:tr>
      <w:tr w:rsidR="009C3565" w:rsidRPr="009C3565" w14:paraId="5AC9E087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FFFCC"/>
            <w:noWrap/>
            <w:hideMark/>
          </w:tcPr>
          <w:p w14:paraId="1C695079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FFFCC"/>
            <w:noWrap/>
            <w:hideMark/>
          </w:tcPr>
          <w:p w14:paraId="0F40E7D5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Slaba apsorpcija dostupnih EU sredstava</w:t>
            </w:r>
          </w:p>
        </w:tc>
        <w:tc>
          <w:tcPr>
            <w:tcW w:w="1092" w:type="pct"/>
            <w:shd w:val="clear" w:color="auto" w:fill="FFFFCC"/>
            <w:noWrap/>
            <w:hideMark/>
          </w:tcPr>
          <w:p w14:paraId="480AA0DC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PA18-07</w:t>
            </w:r>
          </w:p>
        </w:tc>
      </w:tr>
      <w:tr w:rsidR="009C3565" w:rsidRPr="009C3565" w14:paraId="6CD6A507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FFFCC"/>
            <w:noWrap/>
            <w:hideMark/>
          </w:tcPr>
          <w:p w14:paraId="0DB77543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FFFCC"/>
            <w:noWrap/>
            <w:hideMark/>
          </w:tcPr>
          <w:p w14:paraId="521A3320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Spora digitalna transformacija sektora</w:t>
            </w:r>
          </w:p>
        </w:tc>
        <w:tc>
          <w:tcPr>
            <w:tcW w:w="1092" w:type="pct"/>
            <w:shd w:val="clear" w:color="auto" w:fill="FFFFCC"/>
            <w:noWrap/>
            <w:hideMark/>
          </w:tcPr>
          <w:p w14:paraId="52283DC6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PA18-03</w:t>
            </w:r>
          </w:p>
        </w:tc>
      </w:tr>
      <w:tr w:rsidR="009C3565" w:rsidRPr="009C3565" w14:paraId="315CEE10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FFFCC"/>
            <w:noWrap/>
            <w:hideMark/>
          </w:tcPr>
          <w:p w14:paraId="0185DE0E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FFFCC"/>
            <w:noWrap/>
            <w:hideMark/>
          </w:tcPr>
          <w:p w14:paraId="07A470C4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Strukturna zavisnost od drumskog transporta</w:t>
            </w:r>
          </w:p>
        </w:tc>
        <w:tc>
          <w:tcPr>
            <w:tcW w:w="1092" w:type="pct"/>
            <w:shd w:val="clear" w:color="auto" w:fill="FFFFCC"/>
            <w:noWrap/>
            <w:hideMark/>
          </w:tcPr>
          <w:p w14:paraId="4A86D317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PA18-18</w:t>
            </w:r>
          </w:p>
        </w:tc>
      </w:tr>
      <w:tr w:rsidR="009C3565" w:rsidRPr="009C3565" w14:paraId="7DEC7FD7" w14:textId="77777777" w:rsidTr="006B18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vMerge/>
            <w:shd w:val="clear" w:color="auto" w:fill="FFFFCC"/>
            <w:noWrap/>
            <w:hideMark/>
          </w:tcPr>
          <w:p w14:paraId="5525AFBB" w14:textId="77777777" w:rsidR="009C3565" w:rsidRPr="009C3565" w:rsidRDefault="009C3565" w:rsidP="009C3565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285" w:type="pct"/>
            <w:shd w:val="clear" w:color="auto" w:fill="FFFFCC"/>
            <w:noWrap/>
            <w:hideMark/>
          </w:tcPr>
          <w:p w14:paraId="21D3838F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Zavisnost od uvoza energenata i tehnologija</w:t>
            </w:r>
          </w:p>
        </w:tc>
        <w:tc>
          <w:tcPr>
            <w:tcW w:w="1092" w:type="pct"/>
            <w:shd w:val="clear" w:color="auto" w:fill="FFFFCC"/>
            <w:noWrap/>
            <w:hideMark/>
          </w:tcPr>
          <w:p w14:paraId="4A6ACAA2" w14:textId="77777777" w:rsidR="009C3565" w:rsidRPr="009C3565" w:rsidRDefault="009C3565" w:rsidP="009C35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9C3565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PA18-30</w:t>
            </w:r>
          </w:p>
        </w:tc>
      </w:tr>
    </w:tbl>
    <w:p w14:paraId="3D5DFB30" w14:textId="77777777" w:rsidR="009C3565" w:rsidRPr="009C3565" w:rsidRDefault="009C3565" w:rsidP="009C3565">
      <w:pPr>
        <w:rPr>
          <w:lang w:val="sr-Latn-ME"/>
        </w:rPr>
      </w:pPr>
    </w:p>
    <w:p w14:paraId="71A8FFD9" w14:textId="52CCAB89" w:rsidR="33781F68" w:rsidRPr="009C3565" w:rsidRDefault="33781F68" w:rsidP="009C3565">
      <w:pPr>
        <w:rPr>
          <w:lang w:val="sr-Latn-ME"/>
        </w:rPr>
      </w:pPr>
      <w:r w:rsidRPr="009C3565">
        <w:rPr>
          <w:lang w:val="sr-Latn-ME"/>
        </w:rPr>
        <w:t>Lista referenci</w:t>
      </w:r>
    </w:p>
    <w:p w14:paraId="26F7815C" w14:textId="29F00774" w:rsidR="00A75001" w:rsidRPr="009C3565" w:rsidRDefault="00A75001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>Prostorni plan Crne Gore do 2040. godine</w:t>
      </w:r>
    </w:p>
    <w:p w14:paraId="0D39B9E1" w14:textId="61BCE704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Strategija razvoja saobraćaja 2019–2035 </w:t>
      </w:r>
    </w:p>
    <w:p w14:paraId="77BC16AD" w14:textId="21FEAF70" w:rsidR="0006165A" w:rsidRPr="009C3565" w:rsidRDefault="0006165A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Strategija razvoja željeznice za period 2017 </w:t>
      </w:r>
      <w:r w:rsidR="005A2CDB" w:rsidRPr="009C3565">
        <w:rPr>
          <w:rFonts w:eastAsia="Aptos" w:cs="Aptos"/>
          <w:szCs w:val="20"/>
          <w:lang w:val="sr-Latn-ME"/>
        </w:rPr>
        <w:t>–</w:t>
      </w:r>
      <w:r w:rsidRPr="009C3565">
        <w:rPr>
          <w:rFonts w:eastAsia="Aptos" w:cs="Aptos"/>
          <w:szCs w:val="20"/>
          <w:lang w:val="sr-Latn-ME"/>
        </w:rPr>
        <w:t xml:space="preserve"> 2027</w:t>
      </w:r>
    </w:p>
    <w:p w14:paraId="50A76A38" w14:textId="602AEF6E" w:rsidR="005A2CDB" w:rsidRPr="009C3565" w:rsidRDefault="005A2CDB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>Strategija poboljsanja bezbjednosti u drumskom saobracaju za period od 2024 do 2030 godine</w:t>
      </w:r>
      <w:r w:rsidR="00900774" w:rsidRPr="009C3565">
        <w:rPr>
          <w:rFonts w:eastAsia="Aptos" w:cs="Aptos"/>
          <w:szCs w:val="20"/>
          <w:lang w:val="sr-Latn-ME"/>
        </w:rPr>
        <w:t>.</w:t>
      </w:r>
    </w:p>
    <w:p w14:paraId="2D67A6A0" w14:textId="77777777" w:rsidR="001F76F9" w:rsidRPr="009C3565" w:rsidRDefault="001F76F9" w:rsidP="001F76F9">
      <w:pPr>
        <w:pStyle w:val="ListParagraph"/>
        <w:numPr>
          <w:ilvl w:val="0"/>
          <w:numId w:val="8"/>
        </w:numPr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>Strategija razvoja pomorske privrede 2020-2030</w:t>
      </w:r>
    </w:p>
    <w:p w14:paraId="7C701303" w14:textId="77777777" w:rsidR="001F76F9" w:rsidRPr="009C3565" w:rsidRDefault="001F76F9" w:rsidP="001F76F9">
      <w:pPr>
        <w:pStyle w:val="ListParagraph"/>
        <w:numPr>
          <w:ilvl w:val="0"/>
          <w:numId w:val="8"/>
        </w:numPr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>Strategija niskougljeničnog razvoja (SNR)</w:t>
      </w:r>
    </w:p>
    <w:p w14:paraId="72965C33" w14:textId="77777777" w:rsidR="001F76F9" w:rsidRPr="009C3565" w:rsidRDefault="001F76F9" w:rsidP="001F76F9">
      <w:pPr>
        <w:pStyle w:val="ListParagraph"/>
        <w:numPr>
          <w:ilvl w:val="0"/>
          <w:numId w:val="8"/>
        </w:numPr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Nacionalni energetski i klimatski plan (NEKP) </w:t>
      </w:r>
    </w:p>
    <w:p w14:paraId="175EDD97" w14:textId="5CE0F0C9" w:rsidR="001F76F9" w:rsidRPr="009C3565" w:rsidRDefault="25AC1F87" w:rsidP="001F76F9">
      <w:pPr>
        <w:pStyle w:val="ListParagraph"/>
        <w:numPr>
          <w:ilvl w:val="0"/>
          <w:numId w:val="8"/>
        </w:numPr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>Otpornost putne infrastrukture Crne Gore na klimatske promjene - Strategija klimatske otpornosti i Akcioni plan", 2019</w:t>
      </w:r>
    </w:p>
    <w:p w14:paraId="0BAC06A3" w14:textId="74E94B4C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Srednjoročni program izgradnje, rekonstrukcije, održavanja i zaštite državnih puteva </w:t>
      </w:r>
      <w:r w:rsidR="00900774" w:rsidRPr="009C3565">
        <w:rPr>
          <w:rFonts w:eastAsia="Aptos" w:cs="Aptos"/>
          <w:szCs w:val="20"/>
          <w:lang w:val="sr-Latn-ME"/>
        </w:rPr>
        <w:t>do 2028. godine</w:t>
      </w:r>
    </w:p>
    <w:p w14:paraId="45DD3242" w14:textId="6887FCA8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Program razvoja i uvođenja inteligentnih transportnih sistema 2022–2026 </w:t>
      </w:r>
    </w:p>
    <w:p w14:paraId="27B43604" w14:textId="5D44E07B" w:rsidR="008A54A1" w:rsidRPr="009C3565" w:rsidRDefault="008A54A1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lastRenderedPageBreak/>
        <w:t>Program izgradnje, rekonstrukcije, održavanja i zaštite magistralnih i regionalnih puteva za 2026. godinu</w:t>
      </w:r>
    </w:p>
    <w:p w14:paraId="5EE50E0F" w14:textId="2A7B9485" w:rsidR="00E069AE" w:rsidRPr="009C3565" w:rsidRDefault="33781F68" w:rsidP="00900774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Program ekonomskih reformi </w:t>
      </w:r>
    </w:p>
    <w:p w14:paraId="55D17965" w14:textId="77777777" w:rsidR="00900774" w:rsidRPr="009C3565" w:rsidRDefault="00E069AE" w:rsidP="33781F68">
      <w:pPr>
        <w:pStyle w:val="ListParagraph"/>
        <w:numPr>
          <w:ilvl w:val="0"/>
          <w:numId w:val="8"/>
        </w:numPr>
        <w:spacing w:after="0"/>
        <w:rPr>
          <w:rFonts w:eastAsia="Aptos" w:cs="Calibri"/>
          <w:szCs w:val="20"/>
          <w:lang w:val="sr-Latn-ME"/>
        </w:rPr>
      </w:pPr>
      <w:r w:rsidRPr="009C3565">
        <w:rPr>
          <w:rFonts w:eastAsia="Times New Roman" w:cs="Calibri"/>
          <w:szCs w:val="20"/>
          <w:lang w:val="sr-Latn-ME"/>
          <w14:ligatures w14:val="none"/>
        </w:rPr>
        <w:t>Master plana investicija u infrastrukturu 2026-2030</w:t>
      </w:r>
      <w:r w:rsidR="007D7A57" w:rsidRPr="009C3565">
        <w:rPr>
          <w:rFonts w:eastAsia="Times New Roman" w:cs="Calibri"/>
          <w:szCs w:val="20"/>
          <w:lang w:val="sr-Latn-ME"/>
          <w14:ligatures w14:val="none"/>
        </w:rPr>
        <w:t xml:space="preserve"> </w:t>
      </w:r>
    </w:p>
    <w:p w14:paraId="6D08A27E" w14:textId="0E561689" w:rsidR="0058768D" w:rsidRPr="009C3565" w:rsidRDefault="0058768D" w:rsidP="33781F68">
      <w:pPr>
        <w:pStyle w:val="ListParagraph"/>
        <w:numPr>
          <w:ilvl w:val="0"/>
          <w:numId w:val="8"/>
        </w:numPr>
        <w:spacing w:after="0"/>
        <w:rPr>
          <w:rFonts w:eastAsia="Aptos" w:cs="Calibri"/>
          <w:szCs w:val="20"/>
          <w:lang w:val="sr-Latn-ME"/>
        </w:rPr>
      </w:pPr>
      <w:r w:rsidRPr="009C3565">
        <w:rPr>
          <w:rFonts w:eastAsia="Aptos" w:cs="Calibri"/>
          <w:szCs w:val="20"/>
          <w:lang w:val="sr-Latn-ME"/>
        </w:rPr>
        <w:t xml:space="preserve">Master plan razvoja aerodroma Crne Gore do 2030. </w:t>
      </w:r>
      <w:r w:rsidR="00900774" w:rsidRPr="009C3565">
        <w:rPr>
          <w:rFonts w:eastAsia="Aptos" w:cs="Calibri"/>
          <w:szCs w:val="20"/>
          <w:lang w:val="sr-Latn-ME"/>
        </w:rPr>
        <w:t>g</w:t>
      </w:r>
      <w:r w:rsidRPr="009C3565">
        <w:rPr>
          <w:rFonts w:eastAsia="Aptos" w:cs="Calibri"/>
          <w:szCs w:val="20"/>
          <w:lang w:val="sr-Latn-ME"/>
        </w:rPr>
        <w:t>odine</w:t>
      </w:r>
    </w:p>
    <w:p w14:paraId="43147A36" w14:textId="603C781C" w:rsidR="00F51139" w:rsidRPr="009C3565" w:rsidRDefault="00F51139" w:rsidP="33781F68">
      <w:pPr>
        <w:pStyle w:val="ListParagraph"/>
        <w:numPr>
          <w:ilvl w:val="0"/>
          <w:numId w:val="8"/>
        </w:numPr>
        <w:spacing w:after="0"/>
        <w:rPr>
          <w:rFonts w:eastAsia="Aptos" w:cs="Calibri"/>
          <w:szCs w:val="20"/>
          <w:lang w:val="sr-Latn-ME"/>
        </w:rPr>
      </w:pPr>
      <w:r w:rsidRPr="009C3565">
        <w:rPr>
          <w:rFonts w:eastAsia="Aptos" w:cs="Calibri"/>
          <w:szCs w:val="20"/>
          <w:lang w:val="sr-Latn-ME"/>
        </w:rPr>
        <w:t>Nacionalni program sigurnosti vazdušnog saobraćaja</w:t>
      </w:r>
    </w:p>
    <w:p w14:paraId="3777CFBD" w14:textId="3D741E5B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Zakon o putevima </w:t>
      </w:r>
    </w:p>
    <w:p w14:paraId="66B8C1E8" w14:textId="69BBCCAB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Zakon o bezbjednosti saobraćaja na putevima </w:t>
      </w:r>
    </w:p>
    <w:p w14:paraId="1A9E3CD3" w14:textId="35975D98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Zakon o prevozu u drumskom saobraćaju </w:t>
      </w:r>
    </w:p>
    <w:p w14:paraId="04BEA1B9" w14:textId="56BFFD9F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Zakon o radnom vremenu i pauzama u drumskom saobraćaju </w:t>
      </w:r>
    </w:p>
    <w:p w14:paraId="2574B2B8" w14:textId="013F6446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Zakon o prevozu opasnih materija </w:t>
      </w:r>
    </w:p>
    <w:p w14:paraId="1B429D73" w14:textId="4541DC7A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Zakon o željeznici </w:t>
      </w:r>
    </w:p>
    <w:p w14:paraId="3FD3643B" w14:textId="5FC83B65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Zakon o bezbjednosti i interoperabilnosti u željezničkom saobraćaju </w:t>
      </w:r>
    </w:p>
    <w:p w14:paraId="47F4F442" w14:textId="61B6B184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Zakon o ugovornim odnosima u željezničkom saobraćaju </w:t>
      </w:r>
    </w:p>
    <w:p w14:paraId="128112CA" w14:textId="522B0ACF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Zakon o vazdušnom saobraćaju </w:t>
      </w:r>
    </w:p>
    <w:p w14:paraId="48E6DFFF" w14:textId="6B5F0585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Nacionalni program sigurnosti vazdušnog saobraćaja </w:t>
      </w:r>
    </w:p>
    <w:p w14:paraId="23E221AB" w14:textId="5940D30E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Zakon o sigurnosti pomorske plovidbe </w:t>
      </w:r>
    </w:p>
    <w:p w14:paraId="490ECF08" w14:textId="22F15040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Zakon o lukama </w:t>
      </w:r>
    </w:p>
    <w:p w14:paraId="1AF7A9EE" w14:textId="661645E3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Zakon o sprečavanju zagađenja mora sa brodova </w:t>
      </w:r>
    </w:p>
    <w:p w14:paraId="438546AB" w14:textId="2482592F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Zakon o ugovoru o prevozu putnika morem </w:t>
      </w:r>
    </w:p>
    <w:p w14:paraId="404B0723" w14:textId="6B037059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Zakon o jahtama </w:t>
      </w:r>
    </w:p>
    <w:p w14:paraId="30C5A8C6" w14:textId="451477F3" w:rsidR="001D2691" w:rsidRPr="009C3565" w:rsidRDefault="001D2691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>Zakon o obligacionim odnosima</w:t>
      </w:r>
      <w:r w:rsidR="00F51139" w:rsidRPr="009C3565">
        <w:rPr>
          <w:rFonts w:eastAsia="Aptos" w:cs="Aptos"/>
          <w:szCs w:val="20"/>
          <w:lang w:val="sr-Latn-ME"/>
        </w:rPr>
        <w:t xml:space="preserve"> u vazdušnom saobraćaju</w:t>
      </w:r>
    </w:p>
    <w:p w14:paraId="76FABF7F" w14:textId="1860911E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Zakon o klimatskim promjenama </w:t>
      </w:r>
    </w:p>
    <w:p w14:paraId="3B5A2AF2" w14:textId="77777777" w:rsidR="00E069AE" w:rsidRPr="009C3565" w:rsidRDefault="00E069AE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Zakon o ugovorima u drumskom saobraćaju </w:t>
      </w:r>
    </w:p>
    <w:p w14:paraId="4D395F6F" w14:textId="003639F5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Zakon o odgovornosti za štetu u životnoj sredini </w:t>
      </w:r>
    </w:p>
    <w:p w14:paraId="4BE2D272" w14:textId="6D1AC49D" w:rsidR="0058768D" w:rsidRPr="009C3565" w:rsidRDefault="0058768D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>Predlog zakona o elektronskim informacijama o prevozu tereta</w:t>
      </w:r>
    </w:p>
    <w:p w14:paraId="5B0A4127" w14:textId="4527D709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Evropski zeleni plan (European Green Deal) </w:t>
      </w:r>
    </w:p>
    <w:p w14:paraId="745077B6" w14:textId="1B3D2D70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Strategija za održivu i pametnu mobilnost (Sustainable and Smart Mobility Strategy, 2020) </w:t>
      </w:r>
    </w:p>
    <w:p w14:paraId="063EAFF1" w14:textId="08D382B4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Transevropska transportna mreža (TEN-T) </w:t>
      </w:r>
    </w:p>
    <w:p w14:paraId="4DA3770C" w14:textId="297AFC77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Uredba (EU) 2024/1679 </w:t>
      </w:r>
    </w:p>
    <w:p w14:paraId="696CD9A4" w14:textId="08340D38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Uredba (EU) 2023/1804 o infrastrukturi za alternativna goriva (AFIR) </w:t>
      </w:r>
    </w:p>
    <w:p w14:paraId="35296F58" w14:textId="68BB2351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Direktiva 2010/40/EU o inteligentnim transportnim sistemima (ITS Directive) </w:t>
      </w:r>
    </w:p>
    <w:p w14:paraId="2F06EDD6" w14:textId="1CB3BE19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Direktiva (EU) 2023/2661 </w:t>
      </w:r>
    </w:p>
    <w:p w14:paraId="2CA565D3" w14:textId="78C0B4BB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Uredba (EU) 2020/1056 o elektronskim informacijama o teretu (eFTI Regulation) </w:t>
      </w:r>
    </w:p>
    <w:p w14:paraId="7145148F" w14:textId="32611825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Direktiva 92/106/EEZ o kombinovanom transportu </w:t>
      </w:r>
    </w:p>
    <w:p w14:paraId="32DE0D27" w14:textId="77777777" w:rsidR="005A2CDB" w:rsidRPr="009C3565" w:rsidRDefault="005A2CDB" w:rsidP="005A2CDB">
      <w:pPr>
        <w:pStyle w:val="ListParagraph"/>
        <w:numPr>
          <w:ilvl w:val="0"/>
          <w:numId w:val="8"/>
        </w:numPr>
        <w:spacing w:after="0"/>
        <w:rPr>
          <w:rFonts w:eastAsia="Aptos" w:cs="Aptos"/>
          <w:noProof/>
          <w:szCs w:val="20"/>
          <w:lang w:val="sr-Latn-ME"/>
        </w:rPr>
      </w:pPr>
      <w:r w:rsidRPr="009C3565">
        <w:rPr>
          <w:rFonts w:eastAsia="Aptos" w:cs="Aptos"/>
          <w:noProof/>
          <w:szCs w:val="20"/>
          <w:lang w:val="sr-Latn-ME"/>
        </w:rPr>
        <w:t>Direktiva (EU) 2023/959 o izmjenama i dopunama Direktive 2003/87/EC (EU ETS2)</w:t>
      </w:r>
    </w:p>
    <w:p w14:paraId="0BAB64A4" w14:textId="77777777" w:rsidR="005A2CDB" w:rsidRPr="009C3565" w:rsidRDefault="005A2CDB" w:rsidP="005A2CDB">
      <w:pPr>
        <w:pStyle w:val="ListParagraph"/>
        <w:numPr>
          <w:ilvl w:val="0"/>
          <w:numId w:val="8"/>
        </w:numPr>
        <w:spacing w:after="0"/>
        <w:rPr>
          <w:rFonts w:eastAsia="Aptos" w:cs="Aptos"/>
          <w:noProof/>
          <w:szCs w:val="20"/>
          <w:lang w:val="sr-Latn-ME"/>
        </w:rPr>
      </w:pPr>
      <w:r w:rsidRPr="009C3565">
        <w:rPr>
          <w:rFonts w:eastAsia="Aptos" w:cs="Aptos"/>
          <w:noProof/>
          <w:szCs w:val="20"/>
          <w:lang w:val="sr-Latn-ME"/>
        </w:rPr>
        <w:t>Regulativa (EU) 2023/955 o uspostavljanju Socijalnog fonda za klimu (SCF)</w:t>
      </w:r>
    </w:p>
    <w:p w14:paraId="4940A864" w14:textId="77777777" w:rsidR="005A2CDB" w:rsidRPr="009C3565" w:rsidRDefault="005A2CDB" w:rsidP="005A2CDB">
      <w:pPr>
        <w:pStyle w:val="ListParagraph"/>
        <w:numPr>
          <w:ilvl w:val="0"/>
          <w:numId w:val="8"/>
        </w:numPr>
        <w:spacing w:after="0"/>
        <w:rPr>
          <w:rFonts w:eastAsia="Aptos" w:cs="Aptos"/>
          <w:noProof/>
          <w:szCs w:val="20"/>
          <w:lang w:val="sr-Latn-ME"/>
        </w:rPr>
      </w:pPr>
      <w:r w:rsidRPr="009C3565">
        <w:rPr>
          <w:rFonts w:eastAsia="Aptos" w:cs="Aptos"/>
          <w:noProof/>
          <w:szCs w:val="20"/>
          <w:lang w:val="sr-Latn-ME"/>
        </w:rPr>
        <w:t xml:space="preserve">Direktiva (EU) 2019/1161 o podsticanju čistih i energetski efikasnih vozila </w:t>
      </w:r>
    </w:p>
    <w:p w14:paraId="70844D8B" w14:textId="78C2BDF7" w:rsidR="005A2CDB" w:rsidRPr="009C3565" w:rsidRDefault="005A2CDB" w:rsidP="005A2CDB">
      <w:pPr>
        <w:pStyle w:val="ListParagraph"/>
        <w:numPr>
          <w:ilvl w:val="0"/>
          <w:numId w:val="8"/>
        </w:numPr>
        <w:spacing w:after="0"/>
        <w:rPr>
          <w:rFonts w:eastAsia="Aptos" w:cs="Aptos"/>
          <w:noProof/>
          <w:szCs w:val="20"/>
          <w:lang w:val="sr-Latn-ME"/>
        </w:rPr>
      </w:pPr>
      <w:r w:rsidRPr="009C3565">
        <w:rPr>
          <w:rFonts w:eastAsia="Aptos" w:cs="Aptos"/>
          <w:noProof/>
          <w:szCs w:val="20"/>
          <w:lang w:val="sr-Latn-ME"/>
        </w:rPr>
        <w:t>Direktiva (EU) 2024/1275 o energetskim karakteristikama zgrada (EPBD)</w:t>
      </w:r>
    </w:p>
    <w:p w14:paraId="4BE8CC8D" w14:textId="5D2A346A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Uredba (EU) 913/2010 o evropskoj željezničkoj mreži za konkurentan teretni saobraćaj </w:t>
      </w:r>
    </w:p>
    <w:p w14:paraId="6531C98A" w14:textId="2DFE65A5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Direktiva (EU) 2016/797 o interoperabilnosti željezničkog sistema u Evropskoj uniji </w:t>
      </w:r>
    </w:p>
    <w:p w14:paraId="7ED81BA5" w14:textId="7ADFC008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Direktiva (EU) 2016/798 o bezbjednosti željeznica </w:t>
      </w:r>
    </w:p>
    <w:p w14:paraId="44846A49" w14:textId="7680F01D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tehničke specifikacije interoperabilnosti (TSI) </w:t>
      </w:r>
    </w:p>
    <w:p w14:paraId="3458B511" w14:textId="201C2688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ERTMS (European Rail Traffic Management System) </w:t>
      </w:r>
    </w:p>
    <w:p w14:paraId="27A6E4A1" w14:textId="5D9511AF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ETCS (European Train Control System) </w:t>
      </w:r>
    </w:p>
    <w:p w14:paraId="623FBFAC" w14:textId="38ABE625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GSM-R </w:t>
      </w:r>
    </w:p>
    <w:p w14:paraId="01F732AB" w14:textId="56743F06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lastRenderedPageBreak/>
        <w:t xml:space="preserve">Četvrti željeznički paket EU </w:t>
      </w:r>
    </w:p>
    <w:p w14:paraId="063F426C" w14:textId="447268E6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Jedinstveno evropsko nebo (SES/SES2+) </w:t>
      </w:r>
    </w:p>
    <w:p w14:paraId="402DBF9A" w14:textId="3CCE3CB7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Sporazum o Evropskoj zajedničkoj vazduhoplovnoj oblasti (ECAA) </w:t>
      </w:r>
    </w:p>
    <w:p w14:paraId="47104B91" w14:textId="7E084B2B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Uredba (EU) 2023/1805 (FuelEU Maritime) </w:t>
      </w:r>
    </w:p>
    <w:p w14:paraId="6B50B0C5" w14:textId="6E4EC8C6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Uredba (EU) 2023/2405 (ReFuelEU Aviation) </w:t>
      </w:r>
    </w:p>
    <w:p w14:paraId="2169D2E2" w14:textId="0CF0BDFE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Direktiva 2003/87/EC o sistemu trgovine emisijama (EU ETS) </w:t>
      </w:r>
    </w:p>
    <w:p w14:paraId="7AD822AE" w14:textId="44BCD34F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Direktiva (EU) 2018/2001 (RED II) </w:t>
      </w:r>
    </w:p>
    <w:p w14:paraId="6EA94843" w14:textId="2B31F8F5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Direktiva (EU) 2023/2413 (RED III) </w:t>
      </w:r>
    </w:p>
    <w:p w14:paraId="6F8AFB57" w14:textId="770D6FAB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Uredba (EU) 2019/631 </w:t>
      </w:r>
    </w:p>
    <w:p w14:paraId="46557B8F" w14:textId="26640FB8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Uredba (EU) 2019/1242 </w:t>
      </w:r>
    </w:p>
    <w:p w14:paraId="33B3E9B2" w14:textId="766237CA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Ugovor o Transportnoj zajednici (Transport Community Treaty) </w:t>
      </w:r>
    </w:p>
    <w:p w14:paraId="691DE293" w14:textId="3C6944D5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Strategija za održivu i pametnu mobilnost na Zapadnom Balkanu </w:t>
      </w:r>
    </w:p>
    <w:p w14:paraId="11029389" w14:textId="471D2146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Akcioni plan za Zajedničko regionalno tržište 2025–2028 </w:t>
      </w:r>
    </w:p>
    <w:p w14:paraId="18FFADB1" w14:textId="3EAA246E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 xml:space="preserve">Western Balkans Competitiveness Outlook 2024 </w:t>
      </w:r>
    </w:p>
    <w:p w14:paraId="26B8CE3F" w14:textId="46B30AF9" w:rsidR="33781F68" w:rsidRPr="009C3565" w:rsidRDefault="33781F68" w:rsidP="33781F68">
      <w:pPr>
        <w:pStyle w:val="ListParagraph"/>
        <w:numPr>
          <w:ilvl w:val="0"/>
          <w:numId w:val="8"/>
        </w:numPr>
        <w:spacing w:after="0"/>
        <w:rPr>
          <w:rFonts w:eastAsia="Aptos" w:cs="Aptos"/>
          <w:szCs w:val="20"/>
          <w:lang w:val="sr-Latn-ME"/>
        </w:rPr>
      </w:pPr>
      <w:r w:rsidRPr="009C3565">
        <w:rPr>
          <w:rFonts w:eastAsia="Aptos" w:cs="Aptos"/>
          <w:szCs w:val="20"/>
          <w:lang w:val="sr-Latn-ME"/>
        </w:rPr>
        <w:t>Review of Maritime Transport</w:t>
      </w:r>
    </w:p>
    <w:p w14:paraId="23F2F771" w14:textId="653794DA" w:rsidR="33781F68" w:rsidRPr="009C3565" w:rsidRDefault="33781F68" w:rsidP="33781F68">
      <w:pPr>
        <w:pStyle w:val="ListParagraph"/>
        <w:spacing w:after="0"/>
        <w:ind w:hanging="360"/>
        <w:rPr>
          <w:rFonts w:eastAsia="Aptos" w:cs="Aptos"/>
          <w:szCs w:val="20"/>
          <w:lang w:val="sr-Latn-ME"/>
        </w:rPr>
      </w:pPr>
    </w:p>
    <w:sectPr w:rsidR="33781F68" w:rsidRPr="009C3565" w:rsidSect="006B181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2BB6A" w14:textId="77777777" w:rsidR="00265F6A" w:rsidRDefault="00265F6A" w:rsidP="00C44164">
      <w:pPr>
        <w:spacing w:after="0" w:line="240" w:lineRule="auto"/>
      </w:pPr>
      <w:r>
        <w:separator/>
      </w:r>
    </w:p>
  </w:endnote>
  <w:endnote w:type="continuationSeparator" w:id="0">
    <w:p w14:paraId="221D55B0" w14:textId="77777777" w:rsidR="00265F6A" w:rsidRDefault="00265F6A" w:rsidP="00C44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CABE9" w14:textId="77777777" w:rsidR="00175720" w:rsidRDefault="00175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4C4D4" w14:textId="77777777" w:rsidR="00175720" w:rsidRDefault="00175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912BA" w14:textId="77777777" w:rsidR="00175720" w:rsidRDefault="00175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97466" w14:textId="77777777" w:rsidR="00265F6A" w:rsidRDefault="00265F6A" w:rsidP="00C44164">
      <w:pPr>
        <w:spacing w:after="0" w:line="240" w:lineRule="auto"/>
      </w:pPr>
      <w:r>
        <w:separator/>
      </w:r>
    </w:p>
  </w:footnote>
  <w:footnote w:type="continuationSeparator" w:id="0">
    <w:p w14:paraId="4FFB94E3" w14:textId="77777777" w:rsidR="00265F6A" w:rsidRDefault="00265F6A" w:rsidP="00C44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03970" w14:textId="77777777" w:rsidR="00175720" w:rsidRDefault="001757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49AAF" w14:textId="7C33D8CF" w:rsidR="00175720" w:rsidRDefault="00175720">
    <w:pPr>
      <w:pStyle w:val="Header"/>
    </w:pPr>
    <w:r w:rsidRPr="00095509">
      <w:rPr>
        <w:noProof/>
      </w:rPr>
      <w:drawing>
        <wp:anchor distT="0" distB="0" distL="114300" distR="114300" simplePos="0" relativeHeight="251659264" behindDoc="0" locked="0" layoutInCell="1" allowOverlap="1" wp14:anchorId="6C116679" wp14:editId="729511BC">
          <wp:simplePos x="0" y="0"/>
          <wp:positionH relativeFrom="column">
            <wp:posOffset>0</wp:posOffset>
          </wp:positionH>
          <wp:positionV relativeFrom="paragraph">
            <wp:posOffset>189230</wp:posOffset>
          </wp:positionV>
          <wp:extent cx="1459865" cy="729615"/>
          <wp:effectExtent l="0" t="0" r="6985" b="0"/>
          <wp:wrapThrough wrapText="bothSides">
            <wp:wrapPolygon edited="0">
              <wp:start x="1973" y="3948"/>
              <wp:lineTo x="282" y="6768"/>
              <wp:lineTo x="282" y="12407"/>
              <wp:lineTo x="1973" y="14663"/>
              <wp:lineTo x="12120" y="16919"/>
              <wp:lineTo x="15784" y="16919"/>
              <wp:lineTo x="20858" y="14663"/>
              <wp:lineTo x="21421" y="12971"/>
              <wp:lineTo x="21421" y="5076"/>
              <wp:lineTo x="3382" y="3948"/>
              <wp:lineTo x="1973" y="3948"/>
            </wp:wrapPolygon>
          </wp:wrapThrough>
          <wp:docPr id="154918060" name="Picture 10">
            <a:extLst xmlns:a="http://schemas.openxmlformats.org/drawingml/2006/main">
              <a:ext uri="{FF2B5EF4-FFF2-40B4-BE49-F238E27FC236}">
                <a16:creationId xmlns:a16="http://schemas.microsoft.com/office/drawing/2014/main" id="{B462C3E9-0F16-3A9C-C01E-9CF55F5E688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>
                    <a:extLst>
                      <a:ext uri="{FF2B5EF4-FFF2-40B4-BE49-F238E27FC236}">
                        <a16:creationId xmlns:a16="http://schemas.microsoft.com/office/drawing/2014/main" id="{B462C3E9-0F16-3A9C-C01E-9CF55F5E688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9865" cy="729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979B24" w14:textId="77777777" w:rsidR="00175720" w:rsidRDefault="00175720">
    <w:pPr>
      <w:pStyle w:val="Header"/>
    </w:pPr>
  </w:p>
  <w:p w14:paraId="132F2811" w14:textId="77777777" w:rsidR="00175720" w:rsidRDefault="00175720">
    <w:pPr>
      <w:pStyle w:val="Header"/>
    </w:pPr>
  </w:p>
  <w:p w14:paraId="6EDF7D93" w14:textId="77777777" w:rsidR="00175720" w:rsidRDefault="00175720">
    <w:pPr>
      <w:pStyle w:val="Header"/>
    </w:pPr>
  </w:p>
  <w:p w14:paraId="777C1524" w14:textId="77777777" w:rsidR="00175720" w:rsidRDefault="00175720">
    <w:pPr>
      <w:pStyle w:val="Header"/>
    </w:pPr>
  </w:p>
  <w:p w14:paraId="42C0292E" w14:textId="77777777" w:rsidR="00175720" w:rsidRDefault="001757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05205" w14:textId="77777777" w:rsidR="00175720" w:rsidRDefault="00175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A36D8"/>
    <w:multiLevelType w:val="multilevel"/>
    <w:tmpl w:val="9138A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A0212"/>
    <w:multiLevelType w:val="multilevel"/>
    <w:tmpl w:val="16C6F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6721C"/>
    <w:multiLevelType w:val="multilevel"/>
    <w:tmpl w:val="F50A2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7475A3"/>
    <w:multiLevelType w:val="multilevel"/>
    <w:tmpl w:val="8CDE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5CF3DB"/>
    <w:multiLevelType w:val="hybridMultilevel"/>
    <w:tmpl w:val="EFB6C158"/>
    <w:lvl w:ilvl="0" w:tplc="D1A8A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5CC5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348E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145E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DA70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80E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A064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4A21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B406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51E17"/>
    <w:multiLevelType w:val="multilevel"/>
    <w:tmpl w:val="21C6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D6DAC9"/>
    <w:multiLevelType w:val="hybridMultilevel"/>
    <w:tmpl w:val="00A072B8"/>
    <w:lvl w:ilvl="0" w:tplc="7E983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26C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72FF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4C34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249C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266A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D04D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AE6B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20C5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D6D3A"/>
    <w:multiLevelType w:val="multilevel"/>
    <w:tmpl w:val="117C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EEF6D"/>
    <w:multiLevelType w:val="hybridMultilevel"/>
    <w:tmpl w:val="E4E61082"/>
    <w:lvl w:ilvl="0" w:tplc="96EEB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463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F277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7CA3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42F9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DE80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21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BA9F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782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50F45"/>
    <w:multiLevelType w:val="hybridMultilevel"/>
    <w:tmpl w:val="549A13E8"/>
    <w:lvl w:ilvl="0" w:tplc="094024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76D6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DE2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63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C23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B41A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2AA4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6CB9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BEA2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A18A1"/>
    <w:multiLevelType w:val="multilevel"/>
    <w:tmpl w:val="0DEEC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15440B"/>
    <w:multiLevelType w:val="multilevel"/>
    <w:tmpl w:val="6C8A5D0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7DE5484"/>
    <w:multiLevelType w:val="multilevel"/>
    <w:tmpl w:val="450C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AB7F50"/>
    <w:multiLevelType w:val="multilevel"/>
    <w:tmpl w:val="CA862AD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71262329"/>
    <w:multiLevelType w:val="hybridMultilevel"/>
    <w:tmpl w:val="17662D68"/>
    <w:lvl w:ilvl="0" w:tplc="505C6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B42B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AC3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3C3A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2BF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800E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981B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E8D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1ADD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942268"/>
    <w:multiLevelType w:val="multilevel"/>
    <w:tmpl w:val="63902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FA71C7"/>
    <w:multiLevelType w:val="multilevel"/>
    <w:tmpl w:val="4A6E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2342D9"/>
    <w:multiLevelType w:val="hybridMultilevel"/>
    <w:tmpl w:val="61965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9"/>
  </w:num>
  <w:num w:numId="4">
    <w:abstractNumId w:val="8"/>
  </w:num>
  <w:num w:numId="5">
    <w:abstractNumId w:val="4"/>
  </w:num>
  <w:num w:numId="6">
    <w:abstractNumId w:val="11"/>
  </w:num>
  <w:num w:numId="7">
    <w:abstractNumId w:val="7"/>
  </w:num>
  <w:num w:numId="8">
    <w:abstractNumId w:val="3"/>
  </w:num>
  <w:num w:numId="9">
    <w:abstractNumId w:val="2"/>
  </w:num>
  <w:num w:numId="10">
    <w:abstractNumId w:val="15"/>
  </w:num>
  <w:num w:numId="11">
    <w:abstractNumId w:val="16"/>
  </w:num>
  <w:num w:numId="12">
    <w:abstractNumId w:val="0"/>
  </w:num>
  <w:num w:numId="13">
    <w:abstractNumId w:val="5"/>
  </w:num>
  <w:num w:numId="14">
    <w:abstractNumId w:val="12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9F5"/>
    <w:rsid w:val="00015AAC"/>
    <w:rsid w:val="0002126D"/>
    <w:rsid w:val="00045F14"/>
    <w:rsid w:val="000510AE"/>
    <w:rsid w:val="0005593C"/>
    <w:rsid w:val="0006165A"/>
    <w:rsid w:val="00062A29"/>
    <w:rsid w:val="000E4218"/>
    <w:rsid w:val="00112D31"/>
    <w:rsid w:val="001536B0"/>
    <w:rsid w:val="00175720"/>
    <w:rsid w:val="001A0639"/>
    <w:rsid w:val="001A17E3"/>
    <w:rsid w:val="001D2691"/>
    <w:rsid w:val="001D7F3C"/>
    <w:rsid w:val="001F76F9"/>
    <w:rsid w:val="0020789F"/>
    <w:rsid w:val="0021066E"/>
    <w:rsid w:val="00216210"/>
    <w:rsid w:val="0023323B"/>
    <w:rsid w:val="002348E6"/>
    <w:rsid w:val="00241ADD"/>
    <w:rsid w:val="00254E76"/>
    <w:rsid w:val="002555BE"/>
    <w:rsid w:val="00265F6A"/>
    <w:rsid w:val="00272DB4"/>
    <w:rsid w:val="00291816"/>
    <w:rsid w:val="00292798"/>
    <w:rsid w:val="00296BE1"/>
    <w:rsid w:val="002A08A4"/>
    <w:rsid w:val="002A663A"/>
    <w:rsid w:val="002A7BD1"/>
    <w:rsid w:val="002C5F62"/>
    <w:rsid w:val="002D6FE8"/>
    <w:rsid w:val="00322E28"/>
    <w:rsid w:val="0034562F"/>
    <w:rsid w:val="00360E89"/>
    <w:rsid w:val="003630F9"/>
    <w:rsid w:val="00396E28"/>
    <w:rsid w:val="003B160F"/>
    <w:rsid w:val="003D6330"/>
    <w:rsid w:val="004212C9"/>
    <w:rsid w:val="00431FB2"/>
    <w:rsid w:val="00435F82"/>
    <w:rsid w:val="00442A04"/>
    <w:rsid w:val="004F05B0"/>
    <w:rsid w:val="00502497"/>
    <w:rsid w:val="005267E8"/>
    <w:rsid w:val="0053472B"/>
    <w:rsid w:val="00566FB2"/>
    <w:rsid w:val="0058768D"/>
    <w:rsid w:val="005A2CDB"/>
    <w:rsid w:val="005A688D"/>
    <w:rsid w:val="006531F9"/>
    <w:rsid w:val="00672BA3"/>
    <w:rsid w:val="00674329"/>
    <w:rsid w:val="006A1BFC"/>
    <w:rsid w:val="006A6DBF"/>
    <w:rsid w:val="006B1819"/>
    <w:rsid w:val="006C0444"/>
    <w:rsid w:val="006E6088"/>
    <w:rsid w:val="0075302F"/>
    <w:rsid w:val="007A0BEA"/>
    <w:rsid w:val="007C7146"/>
    <w:rsid w:val="007D7A57"/>
    <w:rsid w:val="007E59D5"/>
    <w:rsid w:val="007F6DA0"/>
    <w:rsid w:val="00810662"/>
    <w:rsid w:val="00811E78"/>
    <w:rsid w:val="00823291"/>
    <w:rsid w:val="0087152E"/>
    <w:rsid w:val="008803BF"/>
    <w:rsid w:val="00881E98"/>
    <w:rsid w:val="00885372"/>
    <w:rsid w:val="008960C8"/>
    <w:rsid w:val="008A05C4"/>
    <w:rsid w:val="008A2996"/>
    <w:rsid w:val="008A2FD9"/>
    <w:rsid w:val="008A54A1"/>
    <w:rsid w:val="008B7ED1"/>
    <w:rsid w:val="00900774"/>
    <w:rsid w:val="009050CA"/>
    <w:rsid w:val="0093136E"/>
    <w:rsid w:val="00942304"/>
    <w:rsid w:val="009462D4"/>
    <w:rsid w:val="00947126"/>
    <w:rsid w:val="00983BC0"/>
    <w:rsid w:val="009A0264"/>
    <w:rsid w:val="009A221E"/>
    <w:rsid w:val="009A29B4"/>
    <w:rsid w:val="009B52A2"/>
    <w:rsid w:val="009C3565"/>
    <w:rsid w:val="009D483C"/>
    <w:rsid w:val="00A1491C"/>
    <w:rsid w:val="00A75001"/>
    <w:rsid w:val="00AC2237"/>
    <w:rsid w:val="00AD5397"/>
    <w:rsid w:val="00AE5C37"/>
    <w:rsid w:val="00B17B5B"/>
    <w:rsid w:val="00B17C78"/>
    <w:rsid w:val="00B434AC"/>
    <w:rsid w:val="00B722BD"/>
    <w:rsid w:val="00B96841"/>
    <w:rsid w:val="00BA22BD"/>
    <w:rsid w:val="00BB456A"/>
    <w:rsid w:val="00BB487A"/>
    <w:rsid w:val="00BC39C1"/>
    <w:rsid w:val="00BD1487"/>
    <w:rsid w:val="00C44164"/>
    <w:rsid w:val="00C55F67"/>
    <w:rsid w:val="00C835E8"/>
    <w:rsid w:val="00C94037"/>
    <w:rsid w:val="00C948D8"/>
    <w:rsid w:val="00CB5F85"/>
    <w:rsid w:val="00CE274A"/>
    <w:rsid w:val="00CF3AB1"/>
    <w:rsid w:val="00D00CF0"/>
    <w:rsid w:val="00D073D8"/>
    <w:rsid w:val="00D15F71"/>
    <w:rsid w:val="00D22D8A"/>
    <w:rsid w:val="00D5044F"/>
    <w:rsid w:val="00D50D13"/>
    <w:rsid w:val="00D606D3"/>
    <w:rsid w:val="00DB07D6"/>
    <w:rsid w:val="00DE0FB1"/>
    <w:rsid w:val="00E064AF"/>
    <w:rsid w:val="00E069AE"/>
    <w:rsid w:val="00E2705F"/>
    <w:rsid w:val="00E92DFE"/>
    <w:rsid w:val="00EA5BDC"/>
    <w:rsid w:val="00F11AA2"/>
    <w:rsid w:val="00F16B8B"/>
    <w:rsid w:val="00F42139"/>
    <w:rsid w:val="00F4622C"/>
    <w:rsid w:val="00F51139"/>
    <w:rsid w:val="00F579F5"/>
    <w:rsid w:val="00F7211B"/>
    <w:rsid w:val="00F721F0"/>
    <w:rsid w:val="00F8242B"/>
    <w:rsid w:val="00F93F55"/>
    <w:rsid w:val="00FB2D93"/>
    <w:rsid w:val="00FD108E"/>
    <w:rsid w:val="0BDFBDB8"/>
    <w:rsid w:val="25AC1F87"/>
    <w:rsid w:val="33781F68"/>
    <w:rsid w:val="484DCC5A"/>
    <w:rsid w:val="6085C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72E6B"/>
  <w15:chartTrackingRefBased/>
  <w15:docId w15:val="{95921294-6A19-4CD1-9D16-38096EAC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3565"/>
    <w:pPr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9F5"/>
    <w:pPr>
      <w:keepNext/>
      <w:keepLines/>
      <w:numPr>
        <w:numId w:val="6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9F5"/>
    <w:pPr>
      <w:keepNext/>
      <w:keepLines/>
      <w:numPr>
        <w:ilvl w:val="1"/>
        <w:numId w:val="6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79F5"/>
    <w:pPr>
      <w:keepNext/>
      <w:keepLines/>
      <w:numPr>
        <w:ilvl w:val="2"/>
        <w:numId w:val="6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9F5"/>
    <w:pPr>
      <w:keepNext/>
      <w:keepLines/>
      <w:numPr>
        <w:ilvl w:val="3"/>
        <w:numId w:val="6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9F5"/>
    <w:pPr>
      <w:keepNext/>
      <w:keepLines/>
      <w:numPr>
        <w:ilvl w:val="4"/>
        <w:numId w:val="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9F5"/>
    <w:pPr>
      <w:keepNext/>
      <w:keepLines/>
      <w:numPr>
        <w:ilvl w:val="5"/>
        <w:numId w:val="6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9F5"/>
    <w:pPr>
      <w:keepNext/>
      <w:keepLines/>
      <w:numPr>
        <w:ilvl w:val="6"/>
        <w:numId w:val="6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9F5"/>
    <w:pPr>
      <w:keepNext/>
      <w:keepLines/>
      <w:numPr>
        <w:ilvl w:val="7"/>
        <w:numId w:val="6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9F5"/>
    <w:pPr>
      <w:keepNext/>
      <w:keepLines/>
      <w:numPr>
        <w:ilvl w:val="8"/>
        <w:numId w:val="6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9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579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579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9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9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9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9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9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9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9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9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9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9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9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9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9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9F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72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F7211B"/>
    <w:rPr>
      <w:b/>
      <w:bCs/>
    </w:rPr>
  </w:style>
  <w:style w:type="character" w:styleId="Emphasis">
    <w:name w:val="Emphasis"/>
    <w:basedOn w:val="DefaultParagraphFont"/>
    <w:uiPriority w:val="20"/>
    <w:qFormat/>
    <w:rsid w:val="002A08A4"/>
    <w:rPr>
      <w:i/>
      <w:iCs/>
    </w:rPr>
  </w:style>
  <w:style w:type="character" w:customStyle="1" w:styleId="CommentReference1">
    <w:name w:val="Comment Reference1"/>
    <w:basedOn w:val="DefaultParagraphFont"/>
    <w:uiPriority w:val="99"/>
    <w:semiHidden/>
    <w:unhideWhenUsed/>
    <w:rsid w:val="0053472B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semiHidden/>
    <w:unhideWhenUsed/>
    <w:rsid w:val="0053472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53472B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53472B"/>
    <w:rPr>
      <w:b/>
      <w:bCs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53472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606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06D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44164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41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416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93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F55"/>
  </w:style>
  <w:style w:type="paragraph" w:styleId="Footer">
    <w:name w:val="footer"/>
    <w:basedOn w:val="Normal"/>
    <w:link w:val="FooterChar"/>
    <w:uiPriority w:val="99"/>
    <w:unhideWhenUsed/>
    <w:rsid w:val="00F93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F55"/>
  </w:style>
  <w:style w:type="paragraph" w:styleId="BalloonText">
    <w:name w:val="Balloon Text"/>
    <w:basedOn w:val="Normal"/>
    <w:link w:val="BalloonTextChar"/>
    <w:uiPriority w:val="99"/>
    <w:semiHidden/>
    <w:unhideWhenUsed/>
    <w:rsid w:val="00FD1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08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A17E3"/>
    <w:pPr>
      <w:spacing w:after="0" w:line="240" w:lineRule="auto"/>
    </w:pPr>
  </w:style>
  <w:style w:type="table" w:styleId="GridTable1Light-Accent4">
    <w:name w:val="Grid Table 1 Light Accent 4"/>
    <w:basedOn w:val="TableNormal"/>
    <w:uiPriority w:val="46"/>
    <w:rsid w:val="009C3565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6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2908/ROAD_EQR_CARPDA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2908/ROAD_EQS_CARAG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doi.org/10.2908/ROAD_EQS_CARHAB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FDDD5-5846-4D70-9A3B-D98574698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16</Pages>
  <Words>7437</Words>
  <Characters>42393</Characters>
  <Application>Microsoft Office Word</Application>
  <DocSecurity>0</DocSecurity>
  <Lines>353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Kresimir Ivancic</dc:creator>
  <cp:keywords/>
  <dc:description/>
  <cp:lastModifiedBy>Mitar Djurovic</cp:lastModifiedBy>
  <cp:revision>16</cp:revision>
  <dcterms:created xsi:type="dcterms:W3CDTF">2026-05-31T21:22:00Z</dcterms:created>
  <dcterms:modified xsi:type="dcterms:W3CDTF">2026-06-03T07:21:00Z</dcterms:modified>
</cp:coreProperties>
</file>