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D474" w14:textId="6DE368B0" w:rsidR="00410F31" w:rsidRDefault="00410F31" w:rsidP="00410F31">
      <w:pPr>
        <w:pStyle w:val="Naslov"/>
        <w:rPr>
          <w:lang w:val="sr-Latn-ME"/>
        </w:rPr>
      </w:pPr>
      <w:r>
        <w:rPr>
          <w:lang w:val="sr-Latn-ME"/>
        </w:rPr>
        <w:t xml:space="preserve">Prioritetna oblast </w:t>
      </w:r>
      <w:r>
        <w:rPr>
          <w:lang w:val="sr-Latn-ME"/>
        </w:rPr>
        <w:t>17</w:t>
      </w:r>
      <w:r>
        <w:rPr>
          <w:lang w:val="sr-Latn-ME"/>
        </w:rPr>
        <w:t xml:space="preserve"> – </w:t>
      </w:r>
      <w:r>
        <w:rPr>
          <w:lang w:val="sr-Latn-ME"/>
        </w:rPr>
        <w:t>Socijalna politika</w:t>
      </w:r>
    </w:p>
    <w:p w14:paraId="211124B5" w14:textId="77777777" w:rsidR="00410F31" w:rsidRDefault="00410F31" w:rsidP="00410F31">
      <w:pPr>
        <w:pStyle w:val="Podnaslov"/>
        <w:rPr>
          <w:lang w:val="sr-Latn-ME"/>
        </w:rPr>
      </w:pPr>
      <w:r w:rsidRPr="00F579F5">
        <w:rPr>
          <w:lang w:val="sr-Latn-ME"/>
        </w:rPr>
        <w:t>Priprema Strateškog planskog dokumenta Crne Gore za potrebe korišćenja EU fondova</w:t>
      </w:r>
    </w:p>
    <w:p w14:paraId="29BA00EF" w14:textId="77777777" w:rsidR="00410F31" w:rsidRPr="00F579F5" w:rsidRDefault="00410F31" w:rsidP="00410F31">
      <w:pPr>
        <w:pStyle w:val="Naslov1"/>
        <w:rPr>
          <w:lang w:val="sr-Latn-ME"/>
        </w:rPr>
      </w:pPr>
      <w:r w:rsidRPr="0BB45BEF">
        <w:rPr>
          <w:lang w:val="sr-Latn-ME"/>
        </w:rPr>
        <w:t>Uvod i važnost</w:t>
      </w:r>
    </w:p>
    <w:p w14:paraId="5FC29562" w14:textId="77777777" w:rsidR="00410F31" w:rsidRDefault="00410F31" w:rsidP="00410F31">
      <w:pPr>
        <w:rPr>
          <w:rFonts w:ascii="Aptos" w:eastAsia="Aptos" w:hAnsi="Aptos" w:cs="Aptos"/>
          <w:color w:val="000000" w:themeColor="text1"/>
          <w:lang w:val="sr-Latn-ME"/>
        </w:rPr>
      </w:pPr>
      <w:r w:rsidRPr="0BB45BEF">
        <w:rPr>
          <w:rFonts w:ascii="Aptos" w:eastAsia="Aptos" w:hAnsi="Aptos" w:cs="Aptos"/>
          <w:color w:val="000000" w:themeColor="text1"/>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46E9B228" w14:textId="77777777" w:rsidR="00410F31" w:rsidRDefault="00410F31" w:rsidP="00410F31">
      <w:pPr>
        <w:rPr>
          <w:rFonts w:ascii="Aptos" w:eastAsia="Aptos" w:hAnsi="Aptos" w:cs="Aptos"/>
          <w:color w:val="000000" w:themeColor="text1"/>
          <w:lang w:val="sr-Latn-ME"/>
        </w:rPr>
      </w:pPr>
      <w:r w:rsidRPr="0BB45BE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lang w:val="sr-Latn-ME"/>
        </w:rPr>
        <w:t>Partnership</w:t>
      </w:r>
      <w:proofErr w:type="spellEnd"/>
      <w:r w:rsidRPr="0BB45BEF">
        <w:rPr>
          <w:rFonts w:ascii="Aptos" w:eastAsia="Aptos" w:hAnsi="Aptos" w:cs="Aptos"/>
          <w:color w:val="000000" w:themeColor="text1"/>
          <w:lang w:val="sr-Latn-ME"/>
        </w:rPr>
        <w:t xml:space="preserve"> </w:t>
      </w:r>
      <w:proofErr w:type="spellStart"/>
      <w:r w:rsidRPr="0BB45BEF">
        <w:rPr>
          <w:rFonts w:ascii="Aptos" w:eastAsia="Aptos" w:hAnsi="Aptos" w:cs="Aptos"/>
          <w:color w:val="000000" w:themeColor="text1"/>
          <w:lang w:val="sr-Latn-ME"/>
        </w:rPr>
        <w:t>Agreement</w:t>
      </w:r>
      <w:proofErr w:type="spellEnd"/>
      <w:r w:rsidRPr="0BB45BE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lang w:val="sr-Latn-ME"/>
        </w:rPr>
        <w:t>obezbjeđivanje</w:t>
      </w:r>
      <w:proofErr w:type="spellEnd"/>
      <w:r w:rsidRPr="0BB45BE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0E649568" w14:textId="77777777" w:rsidR="00410F31" w:rsidRDefault="00410F31" w:rsidP="00410F31">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43C46756" w14:textId="77777777" w:rsidR="00410F31" w:rsidRDefault="00410F31" w:rsidP="00410F31">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60BD1CB1" w14:textId="77777777" w:rsidR="00410F31" w:rsidRDefault="00410F31" w:rsidP="00410F31">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lastRenderedPageBreak/>
        <w:t>participativnom</w:t>
      </w:r>
      <w:proofErr w:type="spellEnd"/>
      <w:r w:rsidRPr="0BB45BEF">
        <w:rPr>
          <w:rFonts w:ascii="Aptos" w:eastAsia="Aptos" w:hAnsi="Aptos" w:cs="Aptos"/>
          <w:color w:val="000000" w:themeColor="text1"/>
          <w:lang w:val="sr-Latn-ME"/>
        </w:rPr>
        <w:t xml:space="preserve"> i 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3949F6B1" w14:textId="0492D3A4" w:rsidR="00410F31" w:rsidRPr="002F6D7B" w:rsidRDefault="00410F31" w:rsidP="00410F31">
      <w:pPr>
        <w:pStyle w:val="Naslov1"/>
        <w:rPr>
          <w:rFonts w:eastAsia="Times New Roman"/>
          <w:lang w:val="sr-Latn-ME"/>
        </w:rPr>
      </w:pPr>
      <w:r w:rsidRPr="002F6D7B">
        <w:rPr>
          <w:rFonts w:eastAsia="Times New Roman"/>
          <w:lang w:val="sr-Latn-ME"/>
        </w:rPr>
        <w:t xml:space="preserve">Opis prioritetnih područja unutar radne grupe </w:t>
      </w:r>
    </w:p>
    <w:tbl>
      <w:tblPr>
        <w:tblStyle w:val="Reetkatablice"/>
        <w:tblW w:w="0" w:type="auto"/>
        <w:tblLook w:val="04A0" w:firstRow="1" w:lastRow="0" w:firstColumn="1" w:lastColumn="0" w:noHBand="0" w:noVBand="1"/>
      </w:tblPr>
      <w:tblGrid>
        <w:gridCol w:w="1327"/>
        <w:gridCol w:w="2009"/>
        <w:gridCol w:w="1142"/>
        <w:gridCol w:w="4584"/>
      </w:tblGrid>
      <w:tr w:rsidR="00410F31" w:rsidRPr="00410F31" w14:paraId="5128CDD0" w14:textId="77777777" w:rsidTr="00FC410A">
        <w:trPr>
          <w:trHeight w:val="20"/>
        </w:trPr>
        <w:tc>
          <w:tcPr>
            <w:tcW w:w="1345" w:type="dxa"/>
            <w:shd w:val="clear" w:color="auto" w:fill="83CAEB" w:themeFill="accent1" w:themeFillTint="66"/>
          </w:tcPr>
          <w:p w14:paraId="6589B18D" w14:textId="77777777" w:rsidR="00410F31" w:rsidRPr="00410F31" w:rsidRDefault="00410F31" w:rsidP="00FC410A">
            <w:pPr>
              <w:spacing w:line="216" w:lineRule="auto"/>
              <w:rPr>
                <w:b/>
                <w:sz w:val="16"/>
                <w:szCs w:val="16"/>
                <w:lang w:val="sr-Latn-ME"/>
              </w:rPr>
            </w:pPr>
            <w:r w:rsidRPr="00410F31">
              <w:rPr>
                <w:b/>
                <w:sz w:val="16"/>
                <w:szCs w:val="16"/>
                <w:lang w:val="sr-Latn-ME"/>
              </w:rPr>
              <w:t>Kod</w:t>
            </w:r>
          </w:p>
          <w:p w14:paraId="6E6D5279" w14:textId="77777777" w:rsidR="00410F31" w:rsidRPr="00410F31" w:rsidRDefault="00410F31" w:rsidP="00FC410A">
            <w:pPr>
              <w:spacing w:line="216" w:lineRule="auto"/>
              <w:rPr>
                <w:b/>
                <w:sz w:val="16"/>
                <w:szCs w:val="16"/>
                <w:lang w:val="sr-Latn-ME"/>
              </w:rPr>
            </w:pPr>
            <w:r w:rsidRPr="00410F31">
              <w:rPr>
                <w:b/>
                <w:sz w:val="16"/>
                <w:szCs w:val="16"/>
                <w:lang w:val="sr-Latn-ME"/>
              </w:rPr>
              <w:t>Prioritetno područje (PA), nivo 1</w:t>
            </w:r>
          </w:p>
        </w:tc>
        <w:tc>
          <w:tcPr>
            <w:tcW w:w="2070" w:type="dxa"/>
            <w:shd w:val="clear" w:color="auto" w:fill="83CAEB" w:themeFill="accent1" w:themeFillTint="66"/>
            <w:vAlign w:val="center"/>
          </w:tcPr>
          <w:p w14:paraId="7301ED81" w14:textId="77777777" w:rsidR="00410F31" w:rsidRPr="00410F31" w:rsidRDefault="00410F31" w:rsidP="00FC410A">
            <w:pPr>
              <w:spacing w:line="216" w:lineRule="auto"/>
              <w:rPr>
                <w:b/>
                <w:sz w:val="16"/>
                <w:szCs w:val="16"/>
                <w:lang w:val="sr-Latn-ME"/>
              </w:rPr>
            </w:pPr>
            <w:r w:rsidRPr="00410F31">
              <w:rPr>
                <w:b/>
                <w:sz w:val="16"/>
                <w:szCs w:val="16"/>
                <w:lang w:val="sr-Latn-ME"/>
              </w:rPr>
              <w:t>Naziv PA nivo 1</w:t>
            </w:r>
          </w:p>
        </w:tc>
        <w:tc>
          <w:tcPr>
            <w:tcW w:w="1170" w:type="dxa"/>
            <w:shd w:val="clear" w:color="auto" w:fill="83CAEB" w:themeFill="accent1" w:themeFillTint="66"/>
            <w:vAlign w:val="center"/>
          </w:tcPr>
          <w:p w14:paraId="2C017051" w14:textId="77777777" w:rsidR="00410F31" w:rsidRPr="00410F31" w:rsidRDefault="00410F31" w:rsidP="00FC410A">
            <w:pPr>
              <w:spacing w:line="216" w:lineRule="auto"/>
              <w:rPr>
                <w:b/>
                <w:sz w:val="16"/>
                <w:szCs w:val="16"/>
                <w:lang w:val="sr-Latn-ME"/>
              </w:rPr>
            </w:pPr>
            <w:r w:rsidRPr="00410F31">
              <w:rPr>
                <w:b/>
                <w:sz w:val="16"/>
                <w:szCs w:val="16"/>
                <w:lang w:val="sr-Latn-ME"/>
              </w:rPr>
              <w:t>Kod PA nivo 2</w:t>
            </w:r>
          </w:p>
        </w:tc>
        <w:tc>
          <w:tcPr>
            <w:tcW w:w="4765" w:type="dxa"/>
            <w:shd w:val="clear" w:color="auto" w:fill="83CAEB" w:themeFill="accent1" w:themeFillTint="66"/>
            <w:vAlign w:val="center"/>
          </w:tcPr>
          <w:p w14:paraId="4E3E900B" w14:textId="77777777" w:rsidR="00410F31" w:rsidRPr="00410F31" w:rsidRDefault="00410F31" w:rsidP="00FC410A">
            <w:pPr>
              <w:spacing w:line="216" w:lineRule="auto"/>
              <w:rPr>
                <w:b/>
                <w:sz w:val="16"/>
                <w:szCs w:val="16"/>
                <w:lang w:val="sr-Latn-ME"/>
              </w:rPr>
            </w:pPr>
            <w:r w:rsidRPr="00410F31">
              <w:rPr>
                <w:b/>
                <w:sz w:val="16"/>
                <w:szCs w:val="16"/>
                <w:lang w:val="sr-Latn-ME"/>
              </w:rPr>
              <w:t>Naziv PA nivo 2</w:t>
            </w:r>
          </w:p>
        </w:tc>
      </w:tr>
      <w:tr w:rsidR="00410F31" w:rsidRPr="00410F31" w14:paraId="48AAEFF9" w14:textId="77777777" w:rsidTr="00FC410A">
        <w:trPr>
          <w:trHeight w:val="20"/>
        </w:trPr>
        <w:tc>
          <w:tcPr>
            <w:tcW w:w="1345" w:type="dxa"/>
            <w:vMerge w:val="restart"/>
            <w:vAlign w:val="center"/>
          </w:tcPr>
          <w:p w14:paraId="256C79E8" w14:textId="77777777" w:rsidR="00410F31" w:rsidRPr="00410F31" w:rsidRDefault="00410F31" w:rsidP="00FC410A">
            <w:pPr>
              <w:jc w:val="center"/>
              <w:rPr>
                <w:sz w:val="16"/>
                <w:szCs w:val="16"/>
                <w:lang w:val="sr-Latn-ME"/>
              </w:rPr>
            </w:pPr>
            <w:r w:rsidRPr="00410F31">
              <w:rPr>
                <w:sz w:val="16"/>
                <w:szCs w:val="16"/>
                <w:lang w:val="sr-Latn-ME"/>
              </w:rPr>
              <w:t>17</w:t>
            </w:r>
          </w:p>
          <w:p w14:paraId="4D8D8ED9" w14:textId="77777777" w:rsidR="00410F31" w:rsidRPr="00410F31" w:rsidRDefault="00410F31" w:rsidP="00FC410A">
            <w:pPr>
              <w:rPr>
                <w:sz w:val="16"/>
                <w:szCs w:val="16"/>
                <w:lang w:val="sr-Latn-ME"/>
              </w:rPr>
            </w:pPr>
          </w:p>
        </w:tc>
        <w:tc>
          <w:tcPr>
            <w:tcW w:w="2070" w:type="dxa"/>
            <w:vMerge w:val="restart"/>
            <w:vAlign w:val="center"/>
          </w:tcPr>
          <w:p w14:paraId="4AAE054E" w14:textId="77777777" w:rsidR="00410F31" w:rsidRPr="00410F31" w:rsidRDefault="00410F31" w:rsidP="00FC410A">
            <w:pPr>
              <w:rPr>
                <w:sz w:val="16"/>
                <w:szCs w:val="16"/>
                <w:lang w:val="sr-Latn-ME"/>
              </w:rPr>
            </w:pPr>
            <w:r w:rsidRPr="00410F31">
              <w:rPr>
                <w:sz w:val="16"/>
                <w:szCs w:val="16"/>
                <w:lang w:val="sr-Latn-ME"/>
              </w:rPr>
              <w:t>Socijalna politika</w:t>
            </w:r>
          </w:p>
        </w:tc>
        <w:tc>
          <w:tcPr>
            <w:tcW w:w="1170" w:type="dxa"/>
            <w:vAlign w:val="center"/>
          </w:tcPr>
          <w:p w14:paraId="110E5F73" w14:textId="77777777" w:rsidR="00410F31" w:rsidRPr="00410F31" w:rsidRDefault="00410F31" w:rsidP="00FC410A">
            <w:pPr>
              <w:jc w:val="center"/>
              <w:rPr>
                <w:sz w:val="16"/>
                <w:szCs w:val="16"/>
                <w:lang w:val="sr-Latn-ME"/>
              </w:rPr>
            </w:pPr>
            <w:r w:rsidRPr="00410F31">
              <w:rPr>
                <w:sz w:val="16"/>
                <w:szCs w:val="16"/>
                <w:lang w:val="sr-Latn-ME"/>
              </w:rPr>
              <w:t>17.68</w:t>
            </w:r>
          </w:p>
        </w:tc>
        <w:tc>
          <w:tcPr>
            <w:tcW w:w="4765" w:type="dxa"/>
            <w:vAlign w:val="center"/>
          </w:tcPr>
          <w:p w14:paraId="6F7077A5" w14:textId="77777777" w:rsidR="00410F31" w:rsidRPr="00410F31" w:rsidRDefault="00410F31" w:rsidP="00FC410A">
            <w:pPr>
              <w:rPr>
                <w:sz w:val="16"/>
                <w:szCs w:val="16"/>
                <w:lang w:val="sr-Latn-ME"/>
              </w:rPr>
            </w:pPr>
            <w:r w:rsidRPr="00410F31">
              <w:rPr>
                <w:sz w:val="16"/>
                <w:szCs w:val="16"/>
                <w:lang w:val="sr-Latn-ME"/>
              </w:rPr>
              <w:t>Tržište rada i zapošljavanje</w:t>
            </w:r>
          </w:p>
        </w:tc>
      </w:tr>
      <w:tr w:rsidR="00410F31" w:rsidRPr="00410F31" w14:paraId="3D7FD175" w14:textId="77777777" w:rsidTr="00FC410A">
        <w:trPr>
          <w:trHeight w:val="20"/>
        </w:trPr>
        <w:tc>
          <w:tcPr>
            <w:tcW w:w="1345" w:type="dxa"/>
            <w:vMerge/>
            <w:vAlign w:val="center"/>
          </w:tcPr>
          <w:p w14:paraId="60C5072F" w14:textId="77777777" w:rsidR="00410F31" w:rsidRPr="00410F31" w:rsidRDefault="00410F31" w:rsidP="00FC410A">
            <w:pPr>
              <w:spacing w:line="216" w:lineRule="auto"/>
              <w:rPr>
                <w:sz w:val="16"/>
                <w:szCs w:val="16"/>
                <w:lang w:val="sr-Latn-ME"/>
              </w:rPr>
            </w:pPr>
          </w:p>
        </w:tc>
        <w:tc>
          <w:tcPr>
            <w:tcW w:w="2070" w:type="dxa"/>
            <w:vMerge/>
            <w:vAlign w:val="center"/>
          </w:tcPr>
          <w:p w14:paraId="01B18D37" w14:textId="77777777" w:rsidR="00410F31" w:rsidRPr="00410F31" w:rsidRDefault="00410F31" w:rsidP="00FC410A">
            <w:pPr>
              <w:spacing w:line="216" w:lineRule="auto"/>
              <w:rPr>
                <w:sz w:val="16"/>
                <w:szCs w:val="16"/>
                <w:lang w:val="sr-Latn-ME"/>
              </w:rPr>
            </w:pPr>
          </w:p>
        </w:tc>
        <w:tc>
          <w:tcPr>
            <w:tcW w:w="1170" w:type="dxa"/>
            <w:vAlign w:val="center"/>
          </w:tcPr>
          <w:p w14:paraId="1383231E" w14:textId="77777777" w:rsidR="00410F31" w:rsidRPr="00410F31" w:rsidRDefault="00410F31" w:rsidP="00FC410A">
            <w:pPr>
              <w:spacing w:line="216" w:lineRule="auto"/>
              <w:jc w:val="center"/>
              <w:rPr>
                <w:sz w:val="16"/>
                <w:szCs w:val="16"/>
                <w:lang w:val="sr-Latn-ME"/>
              </w:rPr>
            </w:pPr>
            <w:r w:rsidRPr="00410F31">
              <w:rPr>
                <w:sz w:val="16"/>
                <w:szCs w:val="16"/>
                <w:lang w:val="sr-Latn-ME"/>
              </w:rPr>
              <w:t>17.69</w:t>
            </w:r>
          </w:p>
        </w:tc>
        <w:tc>
          <w:tcPr>
            <w:tcW w:w="4765" w:type="dxa"/>
            <w:vAlign w:val="center"/>
          </w:tcPr>
          <w:p w14:paraId="28E6E8DB" w14:textId="77777777" w:rsidR="00410F31" w:rsidRPr="00410F31" w:rsidRDefault="00410F31" w:rsidP="00FC410A">
            <w:pPr>
              <w:spacing w:line="216" w:lineRule="auto"/>
              <w:rPr>
                <w:sz w:val="16"/>
                <w:szCs w:val="16"/>
                <w:lang w:val="sr-Latn-ME"/>
              </w:rPr>
            </w:pPr>
            <w:r w:rsidRPr="00410F31">
              <w:rPr>
                <w:sz w:val="16"/>
                <w:szCs w:val="16"/>
                <w:lang w:val="sr-Latn-ME"/>
              </w:rPr>
              <w:t>Pomoć u hrani i materijalna davanja</w:t>
            </w:r>
          </w:p>
        </w:tc>
      </w:tr>
      <w:tr w:rsidR="00410F31" w:rsidRPr="00410F31" w14:paraId="7BEECDD0" w14:textId="77777777" w:rsidTr="00FC410A">
        <w:trPr>
          <w:trHeight w:val="20"/>
        </w:trPr>
        <w:tc>
          <w:tcPr>
            <w:tcW w:w="1345" w:type="dxa"/>
            <w:vMerge/>
            <w:vAlign w:val="center"/>
          </w:tcPr>
          <w:p w14:paraId="6B933C4F" w14:textId="77777777" w:rsidR="00410F31" w:rsidRPr="00410F31" w:rsidRDefault="00410F31" w:rsidP="00FC410A">
            <w:pPr>
              <w:spacing w:line="216" w:lineRule="auto"/>
              <w:rPr>
                <w:sz w:val="16"/>
                <w:szCs w:val="16"/>
                <w:lang w:val="sr-Latn-ME"/>
              </w:rPr>
            </w:pPr>
          </w:p>
        </w:tc>
        <w:tc>
          <w:tcPr>
            <w:tcW w:w="2070" w:type="dxa"/>
            <w:vMerge/>
            <w:vAlign w:val="center"/>
          </w:tcPr>
          <w:p w14:paraId="0A7D957E" w14:textId="77777777" w:rsidR="00410F31" w:rsidRPr="00410F31" w:rsidRDefault="00410F31" w:rsidP="00FC410A">
            <w:pPr>
              <w:spacing w:line="216" w:lineRule="auto"/>
              <w:rPr>
                <w:sz w:val="16"/>
                <w:szCs w:val="16"/>
                <w:lang w:val="sr-Latn-ME"/>
              </w:rPr>
            </w:pPr>
          </w:p>
        </w:tc>
        <w:tc>
          <w:tcPr>
            <w:tcW w:w="1170" w:type="dxa"/>
            <w:vAlign w:val="center"/>
          </w:tcPr>
          <w:p w14:paraId="0EDCC0BE" w14:textId="77777777" w:rsidR="00410F31" w:rsidRPr="00410F31" w:rsidRDefault="00410F31" w:rsidP="00FC410A">
            <w:pPr>
              <w:spacing w:line="216" w:lineRule="auto"/>
              <w:jc w:val="center"/>
              <w:rPr>
                <w:sz w:val="16"/>
                <w:szCs w:val="16"/>
                <w:lang w:val="sr-Latn-ME"/>
              </w:rPr>
            </w:pPr>
            <w:r w:rsidRPr="00410F31">
              <w:rPr>
                <w:sz w:val="16"/>
                <w:szCs w:val="16"/>
                <w:lang w:val="sr-Latn-ME"/>
              </w:rPr>
              <w:t>17.70</w:t>
            </w:r>
          </w:p>
        </w:tc>
        <w:tc>
          <w:tcPr>
            <w:tcW w:w="4765" w:type="dxa"/>
            <w:vAlign w:val="center"/>
          </w:tcPr>
          <w:p w14:paraId="45DAF4D1" w14:textId="77777777" w:rsidR="00410F31" w:rsidRPr="00410F31" w:rsidRDefault="00410F31" w:rsidP="00FC410A">
            <w:pPr>
              <w:spacing w:line="216" w:lineRule="auto"/>
              <w:rPr>
                <w:sz w:val="16"/>
                <w:szCs w:val="16"/>
                <w:lang w:val="sr-Latn-ME"/>
              </w:rPr>
            </w:pPr>
            <w:r w:rsidRPr="00410F31">
              <w:rPr>
                <w:sz w:val="16"/>
                <w:szCs w:val="16"/>
                <w:lang w:val="sr-Latn-ME"/>
              </w:rPr>
              <w:t>Zdravstvo</w:t>
            </w:r>
          </w:p>
        </w:tc>
      </w:tr>
      <w:tr w:rsidR="00410F31" w:rsidRPr="00410F31" w14:paraId="1ADB71F8" w14:textId="77777777" w:rsidTr="00FC410A">
        <w:trPr>
          <w:trHeight w:val="20"/>
        </w:trPr>
        <w:tc>
          <w:tcPr>
            <w:tcW w:w="1345" w:type="dxa"/>
            <w:vMerge/>
            <w:vAlign w:val="center"/>
          </w:tcPr>
          <w:p w14:paraId="135AA73E" w14:textId="77777777" w:rsidR="00410F31" w:rsidRPr="00410F31" w:rsidRDefault="00410F31" w:rsidP="00FC410A">
            <w:pPr>
              <w:spacing w:line="216" w:lineRule="auto"/>
              <w:rPr>
                <w:sz w:val="16"/>
                <w:szCs w:val="16"/>
                <w:lang w:val="sr-Latn-ME"/>
              </w:rPr>
            </w:pPr>
          </w:p>
        </w:tc>
        <w:tc>
          <w:tcPr>
            <w:tcW w:w="2070" w:type="dxa"/>
            <w:vMerge/>
            <w:vAlign w:val="center"/>
          </w:tcPr>
          <w:p w14:paraId="17CEA09C" w14:textId="77777777" w:rsidR="00410F31" w:rsidRPr="00410F31" w:rsidRDefault="00410F31" w:rsidP="00FC410A">
            <w:pPr>
              <w:spacing w:line="216" w:lineRule="auto"/>
              <w:rPr>
                <w:sz w:val="16"/>
                <w:szCs w:val="16"/>
                <w:lang w:val="sr-Latn-ME"/>
              </w:rPr>
            </w:pPr>
          </w:p>
        </w:tc>
        <w:tc>
          <w:tcPr>
            <w:tcW w:w="1170" w:type="dxa"/>
            <w:vAlign w:val="center"/>
          </w:tcPr>
          <w:p w14:paraId="6CF44527" w14:textId="77777777" w:rsidR="00410F31" w:rsidRPr="00410F31" w:rsidRDefault="00410F31" w:rsidP="00FC410A">
            <w:pPr>
              <w:spacing w:line="216" w:lineRule="auto"/>
              <w:jc w:val="center"/>
              <w:rPr>
                <w:sz w:val="16"/>
                <w:szCs w:val="16"/>
                <w:lang w:val="sr-Latn-ME"/>
              </w:rPr>
            </w:pPr>
            <w:r w:rsidRPr="00410F31">
              <w:rPr>
                <w:sz w:val="16"/>
                <w:szCs w:val="16"/>
                <w:lang w:val="sr-Latn-ME"/>
              </w:rPr>
              <w:t>17.05</w:t>
            </w:r>
          </w:p>
        </w:tc>
        <w:tc>
          <w:tcPr>
            <w:tcW w:w="4765" w:type="dxa"/>
            <w:vAlign w:val="center"/>
          </w:tcPr>
          <w:p w14:paraId="720DEA1E" w14:textId="77777777" w:rsidR="00410F31" w:rsidRPr="00410F31" w:rsidRDefault="00410F31" w:rsidP="00FC410A">
            <w:pPr>
              <w:spacing w:line="216" w:lineRule="auto"/>
              <w:rPr>
                <w:sz w:val="16"/>
                <w:szCs w:val="16"/>
                <w:lang w:val="sr-Latn-ME"/>
              </w:rPr>
            </w:pPr>
            <w:r w:rsidRPr="00410F31">
              <w:rPr>
                <w:sz w:val="16"/>
                <w:szCs w:val="16"/>
                <w:lang w:val="sr-Latn-ME"/>
              </w:rPr>
              <w:t>Reforme</w:t>
            </w:r>
          </w:p>
        </w:tc>
      </w:tr>
      <w:tr w:rsidR="00410F31" w:rsidRPr="00410F31" w14:paraId="2CFD9E58" w14:textId="77777777" w:rsidTr="00FC410A">
        <w:trPr>
          <w:trHeight w:val="20"/>
        </w:trPr>
        <w:tc>
          <w:tcPr>
            <w:tcW w:w="1345" w:type="dxa"/>
            <w:vMerge/>
            <w:vAlign w:val="center"/>
          </w:tcPr>
          <w:p w14:paraId="6FAFEE50" w14:textId="77777777" w:rsidR="00410F31" w:rsidRPr="00410F31" w:rsidRDefault="00410F31" w:rsidP="00FC410A">
            <w:pPr>
              <w:spacing w:line="216" w:lineRule="auto"/>
              <w:rPr>
                <w:sz w:val="16"/>
                <w:szCs w:val="16"/>
                <w:lang w:val="sr-Latn-ME"/>
              </w:rPr>
            </w:pPr>
          </w:p>
        </w:tc>
        <w:tc>
          <w:tcPr>
            <w:tcW w:w="2070" w:type="dxa"/>
            <w:vMerge/>
            <w:vAlign w:val="center"/>
          </w:tcPr>
          <w:p w14:paraId="4B566E3F" w14:textId="77777777" w:rsidR="00410F31" w:rsidRPr="00410F31" w:rsidRDefault="00410F31" w:rsidP="00FC410A">
            <w:pPr>
              <w:spacing w:line="216" w:lineRule="auto"/>
              <w:rPr>
                <w:sz w:val="16"/>
                <w:szCs w:val="16"/>
                <w:lang w:val="sr-Latn-ME"/>
              </w:rPr>
            </w:pPr>
          </w:p>
        </w:tc>
        <w:tc>
          <w:tcPr>
            <w:tcW w:w="1170" w:type="dxa"/>
            <w:vAlign w:val="center"/>
          </w:tcPr>
          <w:p w14:paraId="4DD0320A" w14:textId="77777777" w:rsidR="00410F31" w:rsidRPr="00410F31" w:rsidRDefault="00410F31" w:rsidP="00FC410A">
            <w:pPr>
              <w:spacing w:line="216" w:lineRule="auto"/>
              <w:jc w:val="center"/>
              <w:rPr>
                <w:sz w:val="16"/>
                <w:szCs w:val="16"/>
                <w:lang w:val="sr-Latn-ME"/>
              </w:rPr>
            </w:pPr>
            <w:r w:rsidRPr="00410F31">
              <w:rPr>
                <w:sz w:val="16"/>
                <w:szCs w:val="16"/>
                <w:lang w:val="sr-Latn-ME"/>
              </w:rPr>
              <w:t>17.71</w:t>
            </w:r>
          </w:p>
        </w:tc>
        <w:tc>
          <w:tcPr>
            <w:tcW w:w="4765" w:type="dxa"/>
            <w:vAlign w:val="center"/>
          </w:tcPr>
          <w:p w14:paraId="471C8A97" w14:textId="77777777" w:rsidR="00410F31" w:rsidRPr="00410F31" w:rsidRDefault="00410F31" w:rsidP="00FC410A">
            <w:pPr>
              <w:spacing w:line="216" w:lineRule="auto"/>
              <w:rPr>
                <w:sz w:val="16"/>
                <w:szCs w:val="16"/>
                <w:lang w:val="sr-Latn-ME"/>
              </w:rPr>
            </w:pPr>
            <w:r w:rsidRPr="00410F31">
              <w:rPr>
                <w:sz w:val="16"/>
                <w:szCs w:val="16"/>
                <w:lang w:val="sr-Latn-ME"/>
              </w:rPr>
              <w:t>Socijalna uključenost</w:t>
            </w:r>
          </w:p>
        </w:tc>
      </w:tr>
    </w:tbl>
    <w:p w14:paraId="18B0677E" w14:textId="77777777" w:rsidR="00410F31" w:rsidRPr="002F6D7B" w:rsidRDefault="00410F31" w:rsidP="00410F31">
      <w:pPr>
        <w:spacing w:after="100" w:afterAutospacing="1"/>
        <w:rPr>
          <w:sz w:val="2"/>
          <w:lang w:val="sr-Latn-ME"/>
        </w:rPr>
      </w:pPr>
    </w:p>
    <w:p w14:paraId="427F183A" w14:textId="4789C082" w:rsidR="00410F31" w:rsidRPr="002F6D7B" w:rsidRDefault="00410F31" w:rsidP="00410F31">
      <w:pPr>
        <w:pStyle w:val="Naslov1"/>
        <w:rPr>
          <w:rFonts w:eastAsia="Times New Roman"/>
          <w:lang w:val="sr-Latn-ME"/>
        </w:rPr>
      </w:pPr>
      <w:r w:rsidRPr="002F6D7B">
        <w:rPr>
          <w:rFonts w:eastAsia="Times New Roman"/>
          <w:lang w:val="sr-Latn-ME"/>
        </w:rPr>
        <w:t xml:space="preserve">4. </w:t>
      </w:r>
      <w:r>
        <w:rPr>
          <w:rFonts w:eastAsia="Times New Roman"/>
          <w:lang w:val="sr-Latn-ME"/>
        </w:rPr>
        <w:t>Situaciona analiza</w:t>
      </w:r>
    </w:p>
    <w:p w14:paraId="20D13F8A" w14:textId="0AAB08EE" w:rsidR="00410F31" w:rsidRPr="00C5321D" w:rsidRDefault="00410F31" w:rsidP="00410F31">
      <w:pPr>
        <w:pStyle w:val="Naslov2"/>
        <w:rPr>
          <w:lang w:val="sr-Latn-ME"/>
        </w:rPr>
      </w:pPr>
      <w:r w:rsidRPr="00C5321D">
        <w:rPr>
          <w:rFonts w:eastAsia="Times New Roman" w:cstheme="minorHAnsi"/>
          <w:bCs/>
          <w:lang w:val="sr-Latn-ME"/>
        </w:rPr>
        <w:t>4.</w:t>
      </w:r>
      <w:r w:rsidRPr="00C5321D">
        <w:rPr>
          <w:lang w:val="sr-Latn-ME"/>
        </w:rPr>
        <w:t>1 Prioritetno područje nivo 1</w:t>
      </w:r>
    </w:p>
    <w:p w14:paraId="2EFE7DBD" w14:textId="77777777" w:rsidR="00410F31" w:rsidRPr="002F6D7B" w:rsidRDefault="00410F31" w:rsidP="00410F31">
      <w:pPr>
        <w:rPr>
          <w:lang w:val="sr-Latn-ME"/>
        </w:rPr>
      </w:pPr>
      <w:r w:rsidRPr="002F6D7B">
        <w:rPr>
          <w:lang w:val="sr-Latn-ME"/>
        </w:rPr>
        <w:t xml:space="preserve">Oblast socijalne politike obuhvata zapošljavanje i aktivaciju tržišta rada, socijalnu zaštitu i uključenost, zdravstvene sisteme, podršku u hrani i materijalnu pomoć, kao i horizontalne reforme neophodne za usklađivanje socijalnog modela Crne Gore sa Evropskim stubom socijalnih prava. Crna Gora se suočava sa skupom duboko međusobno povezanih društvenih izazova: visokom nezaposlenošću mladih i dugoročno nezaposlenih, starenjem i smanjenjem stanovništva, </w:t>
      </w:r>
      <w:r>
        <w:rPr>
          <w:lang w:val="sr-Latn-ME"/>
        </w:rPr>
        <w:t>dugotrajnim</w:t>
      </w:r>
      <w:r w:rsidRPr="002F6D7B">
        <w:rPr>
          <w:lang w:val="sr-Latn-ME"/>
        </w:rPr>
        <w:t xml:space="preserve"> siromaštvom i socijalnom isključenošću (posebno među djecom, Romima i osobama sa invaliditetom), regionalnim disparitetima između sjevera i primorja, kao i zdravstvenim sistemom pod pritiskom uslijed nedovoljnih ulaganja i emigracije medicinskog kadra. Ovi izazovi dodatno su pojačani fiskalnim implikacijama nedavnih reformi penzijskog sistema i doprinosa za socijalno osiguranje.</w:t>
      </w:r>
    </w:p>
    <w:p w14:paraId="742A7906" w14:textId="77777777" w:rsidR="00410F31" w:rsidRPr="002F6D7B" w:rsidRDefault="00410F31" w:rsidP="00410F31">
      <w:pPr>
        <w:spacing w:line="259" w:lineRule="auto"/>
        <w:rPr>
          <w:rFonts w:eastAsia="Times New Roman" w:cstheme="minorHAnsi"/>
          <w:sz w:val="16"/>
          <w:lang w:val="sr-Latn-ME"/>
        </w:rPr>
      </w:pPr>
      <w:r w:rsidRPr="002F6D7B">
        <w:rPr>
          <w:rFonts w:eastAsia="Times New Roman" w:cstheme="minorHAnsi"/>
          <w:lang w:val="sr-Latn-ME"/>
        </w:rPr>
        <w:t>U okviru Nacrta regulative o praćenju učinka za Višegodišnji finansijski okvir (MFF) 2028–2034 (Aneks I)</w:t>
      </w:r>
      <w:r w:rsidRPr="002F6D7B">
        <w:rPr>
          <w:rStyle w:val="Referencafusnote"/>
          <w:rFonts w:eastAsia="Times New Roman" w:cstheme="minorHAnsi"/>
          <w:lang w:val="sr-Latn-ME"/>
        </w:rPr>
        <w:footnoteReference w:id="1"/>
      </w:r>
      <w:r w:rsidRPr="002F6D7B">
        <w:rPr>
          <w:rFonts w:eastAsia="Times New Roman" w:cstheme="minorHAnsi"/>
          <w:lang w:val="sr-Latn-ME"/>
        </w:rPr>
        <w:t xml:space="preserve">, Politika oblast 17 „Socijalna politika“ obuhvata pet </w:t>
      </w:r>
      <w:proofErr w:type="spellStart"/>
      <w:r w:rsidRPr="002F6D7B">
        <w:rPr>
          <w:rFonts w:eastAsia="Times New Roman" w:cstheme="minorHAnsi"/>
          <w:lang w:val="sr-Latn-ME"/>
        </w:rPr>
        <w:t>podoblasti</w:t>
      </w:r>
      <w:proofErr w:type="spellEnd"/>
      <w:r w:rsidRPr="002F6D7B">
        <w:rPr>
          <w:rFonts w:eastAsia="Times New Roman" w:cstheme="minorHAnsi"/>
          <w:lang w:val="sr-Latn-ME"/>
        </w:rPr>
        <w:t xml:space="preserve"> na nivou 2: Tržište rada i zapošljavanje (17.68,</w:t>
      </w:r>
      <w:r>
        <w:rPr>
          <w:rFonts w:eastAsia="Times New Roman" w:cstheme="minorHAnsi"/>
          <w:lang w:val="sr-Latn-ME"/>
        </w:rPr>
        <w:t xml:space="preserve"> 10 tematskih jedinica), Pomoć</w:t>
      </w:r>
      <w:r w:rsidRPr="002F6D7B">
        <w:rPr>
          <w:rFonts w:eastAsia="Times New Roman" w:cstheme="minorHAnsi"/>
          <w:lang w:val="sr-Latn-ME"/>
        </w:rPr>
        <w:t xml:space="preserve"> u hrani i materijalna </w:t>
      </w:r>
      <w:r>
        <w:rPr>
          <w:rFonts w:eastAsia="Times New Roman" w:cstheme="minorHAnsi"/>
          <w:lang w:val="sr-Latn-ME"/>
        </w:rPr>
        <w:t>davanja</w:t>
      </w:r>
      <w:r w:rsidRPr="002F6D7B">
        <w:rPr>
          <w:rFonts w:eastAsia="Times New Roman" w:cstheme="minorHAnsi"/>
          <w:lang w:val="sr-Latn-ME"/>
        </w:rPr>
        <w:t xml:space="preserve"> (17.69, 3 tematske jedinice), Zdravstvo (17.70, 11 tematskih jedinica), Reforme (17.05, 9 tematskih jedinica) i Socijalna uključenost (17.71, 13 tematskih jedinica), što ukupno čini 46 tematskih jedinica. Tematske jedinice usmjerene na „treće zemlje“ (npr. čisto kuvanje u trećim zemljama, reproduktivno zdravlje u trećim zemljama, zdravstvena zaštita za migrante u trećim zemljama) nijesu relevantne za Crnu Goru i isključene su iz ove analize. Cjelokupna lista tematskih jedinica objašnjena je u okviru poglavlja 4.3.</w:t>
      </w:r>
    </w:p>
    <w:p w14:paraId="1C71D251" w14:textId="77777777" w:rsidR="00410F31" w:rsidRPr="002F6D7B" w:rsidRDefault="00410F31" w:rsidP="00410F31">
      <w:pPr>
        <w:pStyle w:val="Naslov3"/>
        <w:rPr>
          <w:rFonts w:eastAsia="Times New Roman"/>
          <w:lang w:val="sr-Latn-ME"/>
        </w:rPr>
      </w:pPr>
      <w:r w:rsidRPr="002F6D7B">
        <w:rPr>
          <w:rFonts w:eastAsia="Times New Roman"/>
          <w:lang w:val="sr-Latn-ME"/>
        </w:rPr>
        <w:t>4.1.1 Međunarodni i EU strateški i pravni okvir</w:t>
      </w:r>
    </w:p>
    <w:p w14:paraId="330CD9CB" w14:textId="77777777" w:rsidR="00410F31" w:rsidRPr="002F6D7B" w:rsidRDefault="00410F31" w:rsidP="00410F31">
      <w:pPr>
        <w:spacing w:after="240"/>
        <w:rPr>
          <w:lang w:val="sr-Latn-ME"/>
        </w:rPr>
      </w:pPr>
      <w:r w:rsidRPr="002F6D7B">
        <w:rPr>
          <w:b/>
          <w:lang w:val="sr-Latn-ME"/>
        </w:rPr>
        <w:t>Evropski stub socijalnih prava</w:t>
      </w:r>
      <w:r w:rsidRPr="002F6D7B">
        <w:rPr>
          <w:rStyle w:val="Referencafusnote"/>
          <w:lang w:val="sr-Latn-ME"/>
        </w:rPr>
        <w:footnoteReference w:id="2"/>
      </w:r>
      <w:r w:rsidRPr="002F6D7B">
        <w:rPr>
          <w:lang w:val="sr-Latn-ME"/>
        </w:rPr>
        <w:t xml:space="preserve"> (proglašen 2017. godine, Akcioni plan usvojen 2021. godine) uspostavlja 20 principa kroz tri poglavlja: jednake mogućnosti i pristup tržištu rada, pravične uslove rada, te socijalnu zaštitu i uključenost, i služi kao orijentir za socijalnu politiku EU. Akcioni plan postavlja tri ključna cilja na nivou EU do 2030. godine: najmanje 78% stope zaposlenosti (20–64), najmanje 60% odraslih u obuci godišnje i smanjenje broja osoba izloženih riziku od </w:t>
      </w:r>
      <w:r w:rsidRPr="002F6D7B">
        <w:rPr>
          <w:lang w:val="sr-Latn-ME"/>
        </w:rPr>
        <w:lastRenderedPageBreak/>
        <w:t xml:space="preserve">siromaštva ili socijalne isključenosti za najmanje 15 miliona. Socijalni </w:t>
      </w:r>
      <w:proofErr w:type="spellStart"/>
      <w:r w:rsidRPr="002F6D7B">
        <w:rPr>
          <w:lang w:val="sr-Latn-ME"/>
        </w:rPr>
        <w:t>pregled</w:t>
      </w:r>
      <w:proofErr w:type="spellEnd"/>
      <w:r w:rsidRPr="002F6D7B">
        <w:rPr>
          <w:rStyle w:val="Referencafusnote"/>
          <w:vertAlign w:val="baseline"/>
          <w:lang w:val="sr-Latn-ME"/>
        </w:rPr>
        <w:t xml:space="preserve"> </w:t>
      </w:r>
      <w:r w:rsidRPr="002F6D7B">
        <w:rPr>
          <w:rStyle w:val="Referencafusnote"/>
          <w:lang w:val="sr-Latn-ME"/>
        </w:rPr>
        <w:footnoteReference w:id="3"/>
      </w:r>
      <w:r w:rsidRPr="002F6D7B">
        <w:rPr>
          <w:lang w:val="sr-Latn-ME"/>
        </w:rPr>
        <w:t xml:space="preserve"> </w:t>
      </w:r>
      <w:r>
        <w:rPr>
          <w:lang w:val="sr-Latn-ME"/>
        </w:rPr>
        <w:t>(</w:t>
      </w:r>
      <w:proofErr w:type="spellStart"/>
      <w:r>
        <w:rPr>
          <w:lang w:val="sr-Latn-ME"/>
        </w:rPr>
        <w:t>Social</w:t>
      </w:r>
      <w:proofErr w:type="spellEnd"/>
      <w:r>
        <w:rPr>
          <w:lang w:val="sr-Latn-ME"/>
        </w:rPr>
        <w:t xml:space="preserve"> </w:t>
      </w:r>
      <w:proofErr w:type="spellStart"/>
      <w:r>
        <w:rPr>
          <w:lang w:val="sr-Latn-ME"/>
        </w:rPr>
        <w:t>scoreboard</w:t>
      </w:r>
      <w:proofErr w:type="spellEnd"/>
      <w:r>
        <w:rPr>
          <w:lang w:val="sr-Latn-ME"/>
        </w:rPr>
        <w:t xml:space="preserve">) </w:t>
      </w:r>
      <w:r w:rsidRPr="002F6D7B">
        <w:rPr>
          <w:lang w:val="sr-Latn-ME"/>
        </w:rPr>
        <w:t>prati učinak država članica u odnosu na ove principe.</w:t>
      </w:r>
    </w:p>
    <w:p w14:paraId="0F0BFFC4" w14:textId="77777777" w:rsidR="00410F31" w:rsidRPr="002F6D7B" w:rsidRDefault="00410F31" w:rsidP="00410F31">
      <w:pPr>
        <w:rPr>
          <w:lang w:val="sr-Latn-ME"/>
        </w:rPr>
      </w:pPr>
      <w:r w:rsidRPr="002F6D7B">
        <w:rPr>
          <w:lang w:val="sr-Latn-ME"/>
        </w:rPr>
        <w:t>U oblasti zapošljavanja i tržišta rada, ključni strateški okvir, zakonodavstvo i inicijative EU uključuju: Evropsku strategiju zapošljavanja i proces Evropskog semestra (uključujući preporuke po državama); Garanciju za mlade</w:t>
      </w:r>
      <w:r w:rsidRPr="002F6D7B">
        <w:rPr>
          <w:rStyle w:val="Referencafusnote"/>
          <w:lang w:val="sr-Latn-ME"/>
        </w:rPr>
        <w:footnoteReference w:id="4"/>
      </w:r>
      <w:r w:rsidRPr="002F6D7B">
        <w:rPr>
          <w:lang w:val="sr-Latn-ME"/>
        </w:rPr>
        <w:t xml:space="preserve"> </w:t>
      </w:r>
      <w:r>
        <w:rPr>
          <w:lang w:val="sr-Latn-ME"/>
        </w:rPr>
        <w:t>(ojačane 2020. godine, koji</w:t>
      </w:r>
      <w:r w:rsidRPr="002F6D7B">
        <w:rPr>
          <w:lang w:val="sr-Latn-ME"/>
        </w:rPr>
        <w:t>m se od država članica zahtijeva da obezbijede da svi mladi do 30 godina dobiju ponudu za zaposlenje, obrazovanje, obuku ili pripravnički staž u roku od 4 mjeseca od trenutka kada postanu nezaposleni ili napuste formalno obrazovanje); Evropsku garanciju za djecu</w:t>
      </w:r>
      <w:r w:rsidRPr="002F6D7B">
        <w:rPr>
          <w:rStyle w:val="Referencafusnote"/>
          <w:lang w:val="sr-Latn-ME"/>
        </w:rPr>
        <w:footnoteReference w:id="5"/>
      </w:r>
      <w:r w:rsidRPr="002F6D7B">
        <w:rPr>
          <w:lang w:val="sr-Latn-ME"/>
        </w:rPr>
        <w:t xml:space="preserve"> (2021, koja obezbjeđuje pristup ključnim uslugama za djecu u riziku od siromaštva); Direktivu (EU) 2022/2041 o adekvatnim minimalnim zaradama</w:t>
      </w:r>
      <w:r w:rsidRPr="002F6D7B">
        <w:rPr>
          <w:rStyle w:val="Referencafusnote"/>
          <w:lang w:val="sr-Latn-ME"/>
        </w:rPr>
        <w:footnoteReference w:id="6"/>
      </w:r>
      <w:r w:rsidRPr="002F6D7B">
        <w:rPr>
          <w:lang w:val="sr-Latn-ME"/>
        </w:rPr>
        <w:t>; Direktivu (EU) 2019/1158 o ravnoteži između poslovnog i privatnog života</w:t>
      </w:r>
      <w:r w:rsidRPr="002F6D7B">
        <w:rPr>
          <w:rStyle w:val="Referencafusnote"/>
          <w:lang w:val="sr-Latn-ME"/>
        </w:rPr>
        <w:footnoteReference w:id="7"/>
      </w:r>
      <w:r w:rsidRPr="002F6D7B">
        <w:rPr>
          <w:lang w:val="sr-Latn-ME"/>
        </w:rPr>
        <w:t>; Strategiju EU za rodnu ravnopravnost 2020–2025 i 2026–2030</w:t>
      </w:r>
      <w:r w:rsidRPr="002F6D7B">
        <w:rPr>
          <w:rStyle w:val="Referencafusnote"/>
          <w:lang w:val="sr-Latn-ME"/>
        </w:rPr>
        <w:footnoteReference w:id="8"/>
      </w:r>
      <w:r w:rsidRPr="002F6D7B">
        <w:rPr>
          <w:lang w:val="sr-Latn-ME"/>
        </w:rPr>
        <w:t xml:space="preserve">; kao i Evropsku strategiju za </w:t>
      </w:r>
      <w:proofErr w:type="spellStart"/>
      <w:r w:rsidRPr="002F6D7B">
        <w:rPr>
          <w:lang w:val="sr-Latn-ME"/>
        </w:rPr>
        <w:t>njegu</w:t>
      </w:r>
      <w:proofErr w:type="spellEnd"/>
      <w:r w:rsidRPr="002F6D7B">
        <w:rPr>
          <w:rStyle w:val="Referencafusnote"/>
          <w:lang w:val="sr-Latn-ME"/>
        </w:rPr>
        <w:footnoteReference w:id="9"/>
      </w:r>
      <w:r w:rsidRPr="002F6D7B">
        <w:rPr>
          <w:lang w:val="sr-Latn-ME"/>
        </w:rPr>
        <w:t xml:space="preserve"> (2022, koja se bavi dugotrajnom </w:t>
      </w:r>
      <w:proofErr w:type="spellStart"/>
      <w:r w:rsidRPr="002F6D7B">
        <w:rPr>
          <w:lang w:val="sr-Latn-ME"/>
        </w:rPr>
        <w:t>njegom</w:t>
      </w:r>
      <w:proofErr w:type="spellEnd"/>
      <w:r w:rsidRPr="002F6D7B">
        <w:rPr>
          <w:lang w:val="sr-Latn-ME"/>
        </w:rPr>
        <w:t xml:space="preserve"> i ranim i predškolskim vaspitanjem i obrazovanjem). Evropski socijalni fond plus (ESF+)</w:t>
      </w:r>
      <w:r w:rsidRPr="002F6D7B">
        <w:rPr>
          <w:rStyle w:val="Referencafusnote"/>
          <w:lang w:val="sr-Latn-ME"/>
        </w:rPr>
        <w:footnoteReference w:id="10"/>
      </w:r>
      <w:r w:rsidRPr="002F6D7B">
        <w:rPr>
          <w:lang w:val="sr-Latn-ME"/>
        </w:rPr>
        <w:t xml:space="preserve"> predstavlja glavni finansijski instrument EU za ulaganje u </w:t>
      </w:r>
      <w:proofErr w:type="spellStart"/>
      <w:r w:rsidRPr="002F6D7B">
        <w:rPr>
          <w:lang w:val="sr-Latn-ME"/>
        </w:rPr>
        <w:t>ljude</w:t>
      </w:r>
      <w:proofErr w:type="spellEnd"/>
      <w:r w:rsidRPr="002F6D7B">
        <w:rPr>
          <w:lang w:val="sr-Latn-ME"/>
        </w:rPr>
        <w:t>. Za zemlje kandidate, Operativni program IPA III za zapošljavanje i socijalnu uključenost obezbjeđuje namjenski okvir finansiranja.</w:t>
      </w:r>
    </w:p>
    <w:p w14:paraId="236815CB" w14:textId="77777777" w:rsidR="00410F31" w:rsidRPr="002F6D7B" w:rsidRDefault="00410F31" w:rsidP="00410F31">
      <w:pPr>
        <w:rPr>
          <w:lang w:val="sr-Latn-ME"/>
        </w:rPr>
      </w:pPr>
      <w:r w:rsidRPr="002F6D7B">
        <w:rPr>
          <w:b/>
          <w:lang w:val="sr-Latn-ME"/>
        </w:rPr>
        <w:t xml:space="preserve">Okvir zdravstvene politike EU </w:t>
      </w:r>
      <w:r w:rsidRPr="002F6D7B">
        <w:rPr>
          <w:bCs/>
          <w:lang w:val="sr-Latn-ME"/>
        </w:rPr>
        <w:t>uključuje program EU4Health</w:t>
      </w:r>
      <w:r w:rsidRPr="002F6D7B">
        <w:rPr>
          <w:rStyle w:val="Referencafusnote"/>
          <w:b/>
          <w:vertAlign w:val="baseline"/>
          <w:lang w:val="sr-Latn-ME"/>
        </w:rPr>
        <w:t xml:space="preserve"> </w:t>
      </w:r>
      <w:r w:rsidRPr="002F6D7B">
        <w:rPr>
          <w:rStyle w:val="Referencafusnote"/>
          <w:lang w:val="sr-Latn-ME"/>
        </w:rPr>
        <w:footnoteReference w:id="11"/>
      </w:r>
      <w:r w:rsidRPr="002F6D7B">
        <w:rPr>
          <w:lang w:val="sr-Latn-ME"/>
        </w:rPr>
        <w:t xml:space="preserve"> (2021–2027, 5,3 milijarde eura), inicijative Evropske zdravstvene unije</w:t>
      </w:r>
      <w:r w:rsidRPr="002F6D7B">
        <w:rPr>
          <w:rStyle w:val="Referencafusnote"/>
          <w:vertAlign w:val="baseline"/>
          <w:lang w:val="sr-Latn-ME"/>
        </w:rPr>
        <w:t xml:space="preserve"> </w:t>
      </w:r>
      <w:r w:rsidRPr="002F6D7B">
        <w:rPr>
          <w:rStyle w:val="Referencafusnote"/>
          <w:lang w:val="sr-Latn-ME"/>
        </w:rPr>
        <w:footnoteReference w:id="12"/>
      </w:r>
      <w:r w:rsidRPr="002F6D7B">
        <w:rPr>
          <w:lang w:val="sr-Latn-ME"/>
        </w:rPr>
        <w:t xml:space="preserve">, </w:t>
      </w:r>
      <w:r>
        <w:rPr>
          <w:lang w:val="sr-Latn-ME"/>
        </w:rPr>
        <w:t>i Regulativu</w:t>
      </w:r>
      <w:r w:rsidRPr="002F6D7B">
        <w:rPr>
          <w:lang w:val="sr-Latn-ME"/>
        </w:rPr>
        <w:t xml:space="preserve"> (EU) 2022/2371 o ozbiljnim prekograničnim prijetnjama po zdravlje</w:t>
      </w:r>
      <w:r w:rsidRPr="002F6D7B">
        <w:rPr>
          <w:rStyle w:val="Referencafusnote"/>
          <w:vertAlign w:val="baseline"/>
          <w:lang w:val="sr-Latn-ME"/>
        </w:rPr>
        <w:t xml:space="preserve"> </w:t>
      </w:r>
      <w:r w:rsidRPr="002F6D7B">
        <w:rPr>
          <w:rStyle w:val="Referencafusnote"/>
          <w:lang w:val="sr-Latn-ME"/>
        </w:rPr>
        <w:footnoteReference w:id="13"/>
      </w:r>
      <w:r w:rsidRPr="002F6D7B">
        <w:rPr>
          <w:lang w:val="sr-Latn-ME"/>
        </w:rPr>
        <w:t xml:space="preserve">. </w:t>
      </w:r>
      <w:proofErr w:type="spellStart"/>
      <w:r>
        <w:rPr>
          <w:lang w:val="sr-Latn-ME"/>
        </w:rPr>
        <w:t>Pr</w:t>
      </w:r>
      <w:r w:rsidRPr="002F6D7B">
        <w:rPr>
          <w:lang w:val="sr-Latn-ME"/>
        </w:rPr>
        <w:t>edlog</w:t>
      </w:r>
      <w:proofErr w:type="spellEnd"/>
      <w:r w:rsidRPr="002F6D7B">
        <w:rPr>
          <w:lang w:val="sr-Latn-ME"/>
        </w:rPr>
        <w:t xml:space="preserve"> Evropskog prostora zdravstvenih podataka (EHDS)</w:t>
      </w:r>
      <w:r w:rsidRPr="002F6D7B">
        <w:rPr>
          <w:rStyle w:val="Referencafusnote"/>
          <w:lang w:val="sr-Latn-ME"/>
        </w:rPr>
        <w:footnoteReference w:id="14"/>
      </w:r>
      <w:r w:rsidRPr="002F6D7B">
        <w:rPr>
          <w:lang w:val="sr-Latn-ME"/>
        </w:rPr>
        <w:t xml:space="preserve"> ima za cilj da omogući bezbjednu razmjenu zdravstvenih podataka. Zemlje kandidati se ocjenjuju u okviru Poglavlja 28 (Zaštita potrošača </w:t>
      </w:r>
      <w:r>
        <w:rPr>
          <w:lang w:val="sr-Latn-ME"/>
        </w:rPr>
        <w:t>i zdravlja). Evropski region WHO</w:t>
      </w:r>
      <w:r w:rsidRPr="002F6D7B">
        <w:rPr>
          <w:lang w:val="sr-Latn-ME"/>
        </w:rPr>
        <w:t xml:space="preserve"> pruža dodatne referentne okvire javnih politika i profile zemalja „</w:t>
      </w:r>
      <w:proofErr w:type="spellStart"/>
      <w:r w:rsidRPr="002F6D7B">
        <w:rPr>
          <w:lang w:val="sr-Latn-ME"/>
        </w:rPr>
        <w:t>Health</w:t>
      </w:r>
      <w:proofErr w:type="spellEnd"/>
      <w:r w:rsidRPr="002F6D7B">
        <w:rPr>
          <w:lang w:val="sr-Latn-ME"/>
        </w:rPr>
        <w:t xml:space="preserve"> </w:t>
      </w:r>
      <w:proofErr w:type="spellStart"/>
      <w:r w:rsidRPr="002F6D7B">
        <w:rPr>
          <w:lang w:val="sr-Latn-ME"/>
        </w:rPr>
        <w:t>Systems</w:t>
      </w:r>
      <w:proofErr w:type="spellEnd"/>
      <w:r w:rsidRPr="002F6D7B">
        <w:rPr>
          <w:lang w:val="sr-Latn-ME"/>
        </w:rPr>
        <w:t xml:space="preserve"> in </w:t>
      </w:r>
      <w:proofErr w:type="spellStart"/>
      <w:r w:rsidRPr="002F6D7B">
        <w:rPr>
          <w:lang w:val="sr-Latn-ME"/>
        </w:rPr>
        <w:t>Action</w:t>
      </w:r>
      <w:proofErr w:type="spellEnd"/>
      <w:r w:rsidRPr="002F6D7B">
        <w:rPr>
          <w:lang w:val="sr-Latn-ME"/>
        </w:rPr>
        <w:t>“.</w:t>
      </w:r>
    </w:p>
    <w:p w14:paraId="30BB2F0F" w14:textId="77777777" w:rsidR="00410F31" w:rsidRPr="002F6D7B" w:rsidRDefault="00410F31" w:rsidP="00410F31">
      <w:pPr>
        <w:rPr>
          <w:lang w:val="sr-Latn-ME"/>
        </w:rPr>
      </w:pPr>
      <w:r w:rsidRPr="002F6D7B">
        <w:rPr>
          <w:lang w:val="sr-Latn-ME"/>
        </w:rPr>
        <w:t xml:space="preserve">U oblasti </w:t>
      </w:r>
      <w:r w:rsidRPr="002F6D7B">
        <w:rPr>
          <w:b/>
          <w:bCs/>
          <w:lang w:val="sr-Latn-ME"/>
        </w:rPr>
        <w:t>socijalne zaštite</w:t>
      </w:r>
      <w:r w:rsidRPr="002F6D7B">
        <w:rPr>
          <w:lang w:val="sr-Latn-ME"/>
        </w:rPr>
        <w:t>, Preporuka Savjeta o adekvatnom minimalnom dohotku</w:t>
      </w:r>
      <w:r w:rsidRPr="002F6D7B">
        <w:rPr>
          <w:rStyle w:val="Referencafusnote"/>
          <w:lang w:val="sr-Latn-ME"/>
        </w:rPr>
        <w:footnoteReference w:id="15"/>
      </w:r>
      <w:r w:rsidRPr="002F6D7B">
        <w:rPr>
          <w:lang w:val="sr-Latn-ME"/>
        </w:rPr>
        <w:t xml:space="preserve"> (2023) i Preporuka Savjeta o pristupu socijalnoj zaštiti za radnike i </w:t>
      </w:r>
      <w:proofErr w:type="spellStart"/>
      <w:r w:rsidRPr="002F6D7B">
        <w:rPr>
          <w:lang w:val="sr-Latn-ME"/>
        </w:rPr>
        <w:t>samozapošljene</w:t>
      </w:r>
      <w:proofErr w:type="spellEnd"/>
      <w:r w:rsidRPr="002F6D7B">
        <w:rPr>
          <w:rStyle w:val="Referencafusnote"/>
          <w:lang w:val="sr-Latn-ME"/>
        </w:rPr>
        <w:footnoteReference w:id="16"/>
      </w:r>
      <w:r w:rsidRPr="002F6D7B">
        <w:rPr>
          <w:lang w:val="sr-Latn-ME"/>
        </w:rPr>
        <w:t xml:space="preserve"> (2019) postavljaju standarde. Direktiva (EU) 2019/882 (Evropski akt o pristupačnosti</w:t>
      </w:r>
      <w:r w:rsidRPr="002F6D7B">
        <w:rPr>
          <w:rStyle w:val="Referencafusnote"/>
          <w:lang w:val="sr-Latn-ME"/>
        </w:rPr>
        <w:footnoteReference w:id="17"/>
      </w:r>
      <w:r w:rsidRPr="002F6D7B">
        <w:rPr>
          <w:lang w:val="sr-Latn-ME"/>
        </w:rPr>
        <w:t xml:space="preserve">) uređuje pristupačnost za </w:t>
      </w:r>
      <w:r w:rsidRPr="002F6D7B">
        <w:rPr>
          <w:lang w:val="sr-Latn-ME"/>
        </w:rPr>
        <w:lastRenderedPageBreak/>
        <w:t>osobe sa invaliditetom. Strategija EU za prava osoba sa invaliditetom 2021–2030</w:t>
      </w:r>
      <w:r w:rsidRPr="002F6D7B">
        <w:rPr>
          <w:rStyle w:val="Referencafusnote"/>
          <w:lang w:val="sr-Latn-ME"/>
        </w:rPr>
        <w:footnoteReference w:id="18"/>
      </w:r>
      <w:r w:rsidRPr="002F6D7B">
        <w:rPr>
          <w:lang w:val="sr-Latn-ME"/>
        </w:rPr>
        <w:t xml:space="preserve"> i Strateški okvir EU za Rome 2020–2030</w:t>
      </w:r>
      <w:r w:rsidRPr="002F6D7B">
        <w:rPr>
          <w:rStyle w:val="Referencafusnote"/>
          <w:lang w:val="sr-Latn-ME"/>
        </w:rPr>
        <w:footnoteReference w:id="19"/>
      </w:r>
      <w:r w:rsidRPr="002F6D7B">
        <w:rPr>
          <w:lang w:val="sr-Latn-ME"/>
        </w:rPr>
        <w:t xml:space="preserve"> pružaju smjernice usmjerene na specifične populacione grupe.</w:t>
      </w:r>
    </w:p>
    <w:p w14:paraId="3287A978" w14:textId="77777777" w:rsidR="00410F31" w:rsidRPr="002F6D7B" w:rsidRDefault="00410F31" w:rsidP="00410F31">
      <w:pPr>
        <w:rPr>
          <w:lang w:val="sr-Latn-ME"/>
        </w:rPr>
      </w:pPr>
      <w:r w:rsidRPr="002F6D7B">
        <w:rPr>
          <w:lang w:val="sr-Latn-ME"/>
        </w:rPr>
        <w:t xml:space="preserve">Za zemlje kandidate, usklađenost sa </w:t>
      </w:r>
      <w:r>
        <w:rPr>
          <w:lang w:val="sr-Latn-ME"/>
        </w:rPr>
        <w:t>pravnom tekovinom EU u oblasti socijalne politike</w:t>
      </w:r>
      <w:r w:rsidRPr="002F6D7B">
        <w:rPr>
          <w:lang w:val="sr-Latn-ME"/>
        </w:rPr>
        <w:t xml:space="preserve"> procjenjuje se prvenstveno u okviru Poglavlja 19 (Socijalna politika i zapošljavanje), koje obuhvata radno pravo, bezbjednost i zdravlje na radu, socijalni dijalog, politiku zapošljavanja, ESF, socijalnu uključenost, socijalnu zaštitu i zabranu diskriminacije, kao i Poglavlja 28 (Zaštita potrošača i zdravlja). Crna Gora učestvuje u procesu RCC ESAP (Platforma za zapošljavanje i socijalna pitanja</w:t>
      </w:r>
      <w:r>
        <w:rPr>
          <w:lang w:val="sr-Latn-ME"/>
        </w:rPr>
        <w:t xml:space="preserve"> Regionalnog savjeta za saradnju</w:t>
      </w:r>
      <w:r w:rsidRPr="002F6D7B">
        <w:rPr>
          <w:lang w:val="sr-Latn-ME"/>
        </w:rPr>
        <w:t>)</w:t>
      </w:r>
      <w:r w:rsidRPr="002F6D7B">
        <w:rPr>
          <w:rStyle w:val="Referencafusnote"/>
          <w:lang w:val="sr-Latn-ME"/>
        </w:rPr>
        <w:footnoteReference w:id="20"/>
      </w:r>
      <w:r w:rsidRPr="002F6D7B">
        <w:rPr>
          <w:lang w:val="sr-Latn-ME"/>
        </w:rPr>
        <w:t xml:space="preserve"> koji prati učinak u odnosu na EU socijalne standarde za Zapadni Balkan.</w:t>
      </w:r>
    </w:p>
    <w:p w14:paraId="749F0156" w14:textId="77777777" w:rsidR="00410F31" w:rsidRPr="002F6D7B" w:rsidRDefault="00410F31" w:rsidP="00410F31">
      <w:pPr>
        <w:pStyle w:val="Naslov3"/>
        <w:rPr>
          <w:rFonts w:eastAsia="Times New Roman"/>
          <w:lang w:val="sr-Latn-ME"/>
        </w:rPr>
      </w:pPr>
      <w:r w:rsidRPr="002F6D7B">
        <w:rPr>
          <w:rFonts w:eastAsia="Times New Roman"/>
          <w:lang w:val="sr-Latn-ME"/>
        </w:rPr>
        <w:t>4.1.2 Crnogorski strateški i pravni okvir</w:t>
      </w:r>
    </w:p>
    <w:p w14:paraId="7F7E5F24" w14:textId="77777777" w:rsidR="00410F31" w:rsidRPr="002F6D7B" w:rsidRDefault="00410F31" w:rsidP="00410F31">
      <w:pPr>
        <w:rPr>
          <w:rFonts w:eastAsia="Times New Roman" w:cstheme="minorHAnsi"/>
          <w:bCs/>
          <w:lang w:val="sr-Latn-ME"/>
        </w:rPr>
      </w:pPr>
      <w:r w:rsidRPr="002F6D7B">
        <w:rPr>
          <w:rFonts w:eastAsia="Times New Roman" w:cstheme="minorHAnsi"/>
          <w:b/>
          <w:bCs/>
          <w:lang w:val="sr-Latn-ME"/>
        </w:rPr>
        <w:t xml:space="preserve">Ključno zakonodavstvo </w:t>
      </w:r>
      <w:r w:rsidRPr="002F6D7B">
        <w:rPr>
          <w:rFonts w:eastAsia="Times New Roman" w:cstheme="minorHAnsi"/>
          <w:lang w:val="sr-Latn-ME"/>
        </w:rPr>
        <w:t>u oblasti zapošljavanja i tržišta rada u Crnoj Gori</w:t>
      </w:r>
      <w:r w:rsidRPr="002F6D7B">
        <w:rPr>
          <w:rFonts w:eastAsia="Times New Roman" w:cstheme="minorHAnsi"/>
          <w:bCs/>
          <w:lang w:val="sr-Latn-ME"/>
        </w:rPr>
        <w:t>:</w:t>
      </w:r>
    </w:p>
    <w:p w14:paraId="704E6449" w14:textId="77777777" w:rsidR="00410F31" w:rsidRPr="002F6D7B" w:rsidRDefault="00410F31" w:rsidP="00410F31">
      <w:pPr>
        <w:pStyle w:val="Odlomakpopisa"/>
        <w:numPr>
          <w:ilvl w:val="0"/>
          <w:numId w:val="1"/>
        </w:numPr>
        <w:spacing w:after="0" w:line="240" w:lineRule="auto"/>
        <w:rPr>
          <w:rFonts w:eastAsia="Times New Roman" w:cstheme="minorHAnsi"/>
          <w:lang w:val="sr-Latn-ME"/>
        </w:rPr>
      </w:pPr>
      <w:r w:rsidRPr="002F6D7B">
        <w:rPr>
          <w:rFonts w:eastAsia="Times New Roman" w:cstheme="minorHAnsi"/>
          <w:b/>
          <w:bCs/>
          <w:lang w:val="sr-Latn-ME"/>
        </w:rPr>
        <w:t xml:space="preserve">Zakon o radu </w:t>
      </w:r>
      <w:r w:rsidRPr="002F6D7B">
        <w:rPr>
          <w:rFonts w:eastAsia="Times New Roman" w:cstheme="minorHAnsi"/>
          <w:lang w:val="sr-Latn-ME"/>
        </w:rPr>
        <w:t>(Sl. list CG br. 74/19, 8/21, 59/21, 68/21, 145/21, 77/24, 84/24, 86/24, 122/25, 165/25 i 51/26) – krovni zakon kojim se uređuju radni odnosi u Crnoj Gori. Njime se uređuju prava i obaveze zaposlenih po osnovu rada ili u vezi sa radom, kao i način i postupak njihovog ostvarivanja, kroz ovaj zakon, kolektivne ugovore i individualne ugovore o radu. Nedavne izmjene uvele su više značajnih promjena, uključujući: skraćenje maksimalnog trajanja ugovora o radu na određeno vrijeme sa 36 na 24 mjeseca, s ciljem ograničavanja nesigurnih oblika zaposlenja</w:t>
      </w:r>
      <w:r>
        <w:rPr>
          <w:rFonts w:eastAsia="Times New Roman" w:cstheme="minorHAnsi"/>
          <w:lang w:val="sr-Latn-ME"/>
        </w:rPr>
        <w:t xml:space="preserve"> (</w:t>
      </w:r>
      <w:proofErr w:type="spellStart"/>
      <w:r>
        <w:rPr>
          <w:rFonts w:eastAsia="Times New Roman" w:cstheme="minorHAnsi"/>
          <w:lang w:val="sr-Latn-ME"/>
        </w:rPr>
        <w:t>prekarni</w:t>
      </w:r>
      <w:proofErr w:type="spellEnd"/>
      <w:r>
        <w:rPr>
          <w:rFonts w:eastAsia="Times New Roman" w:cstheme="minorHAnsi"/>
          <w:lang w:val="sr-Latn-ME"/>
        </w:rPr>
        <w:t xml:space="preserve"> radi)</w:t>
      </w:r>
      <w:r w:rsidRPr="002F6D7B">
        <w:rPr>
          <w:rFonts w:eastAsia="Times New Roman" w:cstheme="minorHAnsi"/>
          <w:lang w:val="sr-Latn-ME"/>
        </w:rPr>
        <w:t xml:space="preserve">; povećanje minimalne zarade, pri čemu je minimalna neto zarada utvrđena na 600 € za zaposlene sa nivoima obrazovanja I–V i 800 € za nivo VI i više (iznos minimalne zarade utvrđuje Vlada Crne Gore, na prijedlog Socijalnog savjeta, za period od dvije godine); dalje usklađivanje sa standardima EU u oblasti rada, uključujući jačanje odredbi o uslovima rada, zaštiti zaposlenih i zabrani diskriminacije; unaprjeđenje inspekcije rada, mehanizama sprovođenja i odgovornosti poslodavaca; unaprijeđenu regulaciju fleksibilnih oblika rada (uključujući privremene i </w:t>
      </w:r>
      <w:r>
        <w:rPr>
          <w:rFonts w:eastAsia="Times New Roman" w:cstheme="minorHAnsi"/>
          <w:lang w:val="sr-Latn-ME"/>
        </w:rPr>
        <w:t xml:space="preserve">privremene poslove i druge </w:t>
      </w:r>
      <w:r w:rsidRPr="002F6D7B">
        <w:rPr>
          <w:rFonts w:eastAsia="Times New Roman" w:cstheme="minorHAnsi"/>
          <w:lang w:val="sr-Latn-ME"/>
        </w:rPr>
        <w:t>atipične oblike zaposlenja), s ciljem uspostavljanja ravnoteže između fleksibilnosti tržišta rada i zaštite radnika; mjere za podsticanje formalnog zapošljavanja i smanjenje neprijavljenog rada; garantovanje jednake zarade za jednak rad ili rad jednake vrijednosti za muškarce i žene, kao i za sve zaposlene bez obzira na pol ili druga lična svojstva; uvođenje očinskog odsustva; prestanak radnog odnosa po sili zakona kada zaposleni navrši 67 godina života i ima najmanje 15 godina staža osiguranja, danom dostavljanja konačne odluke zaposlenom</w:t>
      </w:r>
      <w:r>
        <w:rPr>
          <w:rFonts w:eastAsia="Times New Roman" w:cstheme="minorHAnsi"/>
          <w:lang w:val="sr-Latn-ME"/>
        </w:rPr>
        <w:t>,</w:t>
      </w:r>
      <w:r w:rsidRPr="002F6D7B">
        <w:rPr>
          <w:rFonts w:eastAsia="Times New Roman" w:cstheme="minorHAnsi"/>
          <w:lang w:val="sr-Latn-ME"/>
        </w:rPr>
        <w:t xml:space="preserve"> itd.</w:t>
      </w:r>
    </w:p>
    <w:p w14:paraId="0A6A42DA" w14:textId="77777777" w:rsidR="00410F31" w:rsidRPr="002F6D7B" w:rsidRDefault="00410F31" w:rsidP="00410F31">
      <w:pPr>
        <w:pStyle w:val="Odlomakpopisa"/>
        <w:numPr>
          <w:ilvl w:val="0"/>
          <w:numId w:val="1"/>
        </w:numPr>
        <w:spacing w:after="0" w:line="240" w:lineRule="auto"/>
        <w:rPr>
          <w:rFonts w:eastAsia="Times New Roman" w:cstheme="minorHAnsi"/>
          <w:lang w:val="sr-Latn-ME"/>
        </w:rPr>
      </w:pPr>
      <w:r w:rsidRPr="002F6D7B">
        <w:rPr>
          <w:rFonts w:eastAsia="Times New Roman" w:cstheme="minorHAnsi"/>
          <w:b/>
          <w:bCs/>
          <w:lang w:val="sr-Latn-ME"/>
        </w:rPr>
        <w:t xml:space="preserve">Zakon o posredovanju pri zapošljavanju i ostvarivanju prava za vrijeme </w:t>
      </w:r>
      <w:r w:rsidRPr="006B3BB5">
        <w:rPr>
          <w:rFonts w:eastAsia="Times New Roman" w:cstheme="minorHAnsi"/>
          <w:b/>
          <w:lang w:val="sr-Latn-ME"/>
        </w:rPr>
        <w:t>nezaposlenosti</w:t>
      </w:r>
      <w:r w:rsidRPr="002F6D7B">
        <w:rPr>
          <w:rFonts w:eastAsia="Times New Roman" w:cstheme="minorHAnsi"/>
          <w:lang w:val="sr-Latn-ME"/>
        </w:rPr>
        <w:t xml:space="preserve"> (Sl. list CG br. 24/29, 29/25, 3/26) – ovim zakonom uređuju se poslovi u vezi sa zapošljavanjem, prava i obaveze nezaposlenih lica, priprema za zapošljavanje i posredovanje pri zapošljavanju, aktivne politike tržišta rada, postupci za ostvarivanje prava za vrijeme nezaposlenosti, evidencije u oblasti zapošljavanja, kao i druga pitanja od značaja za povećanje zaposlenosti i sprječavanje dugoročne nezaposlenosti u Crnoj Gori.</w:t>
      </w:r>
    </w:p>
    <w:p w14:paraId="29936243" w14:textId="77777777" w:rsidR="00410F31" w:rsidRPr="002F6D7B" w:rsidRDefault="00410F31" w:rsidP="00410F31">
      <w:pPr>
        <w:pStyle w:val="Odlomakpopisa"/>
        <w:numPr>
          <w:ilvl w:val="0"/>
          <w:numId w:val="1"/>
        </w:numPr>
        <w:spacing w:after="0" w:line="240" w:lineRule="auto"/>
        <w:rPr>
          <w:bCs/>
          <w:lang w:val="sr-Latn-ME"/>
        </w:rPr>
      </w:pPr>
      <w:r w:rsidRPr="002F6D7B">
        <w:rPr>
          <w:b/>
          <w:lang w:val="sr-Latn-ME"/>
        </w:rPr>
        <w:t xml:space="preserve">Zakon o profesionalnoj rehabilitaciji i zapošljavanju lica sa invaliditetom </w:t>
      </w:r>
      <w:r w:rsidRPr="002F6D7B">
        <w:rPr>
          <w:bCs/>
          <w:lang w:val="sr-Latn-ME"/>
        </w:rPr>
        <w:t xml:space="preserve">(Sl. list CG br. 49/08, 73/10, 39/11, 55/16, 122/25) – ovim zakonom uređuju se način i postupak ostvarivanja prava na profesionalnu rehabilitaciju lica sa invaliditetom, mjere i podsticaji za njihovo zapošljavanje, način finansiranja, kao i druga pitanja od značaja za profesionalnu rehabilitaciju i zapošljavanje lica sa invaliditetom. Lica sa invaliditetom </w:t>
      </w:r>
      <w:r w:rsidRPr="002F6D7B">
        <w:rPr>
          <w:bCs/>
          <w:lang w:val="sr-Latn-ME"/>
        </w:rPr>
        <w:lastRenderedPageBreak/>
        <w:t>ostvaruju pravo na profesionalnu rehabilitaciju i zapošljavanje na način i pod uslovima propisanim ovim zakonom, kolektivnim ugovorima, ratifikovanim i objavljenim međunarodnim ugovorima i opšteprihvaćenim pravilima međunarodnog prava.</w:t>
      </w:r>
    </w:p>
    <w:p w14:paraId="162D7F9B" w14:textId="77777777" w:rsidR="00410F31" w:rsidRPr="002F6D7B" w:rsidRDefault="00410F31" w:rsidP="00410F31">
      <w:pPr>
        <w:pStyle w:val="Odlomakpopisa"/>
        <w:numPr>
          <w:ilvl w:val="0"/>
          <w:numId w:val="1"/>
        </w:numPr>
        <w:spacing w:after="0" w:line="240" w:lineRule="auto"/>
        <w:rPr>
          <w:rFonts w:eastAsia="Times New Roman" w:cstheme="minorHAnsi"/>
          <w:bCs/>
          <w:lang w:val="sr-Latn-ME"/>
        </w:rPr>
      </w:pPr>
      <w:r w:rsidRPr="002F6D7B">
        <w:rPr>
          <w:rFonts w:eastAsia="Times New Roman" w:cstheme="minorHAnsi"/>
          <w:b/>
          <w:bCs/>
          <w:lang w:val="sr-Latn-ME"/>
        </w:rPr>
        <w:t xml:space="preserve">Zakon o zaštiti i zdravlju na radu </w:t>
      </w:r>
      <w:r w:rsidRPr="002F6D7B">
        <w:rPr>
          <w:rFonts w:eastAsia="Times New Roman" w:cstheme="minorHAnsi"/>
          <w:lang w:val="sr-Latn-ME"/>
        </w:rPr>
        <w:t xml:space="preserve">(Sl. list CG br. 51/26) – zaštita i zdravlje na radu obezbjeđuju se i sprovode primjenom </w:t>
      </w:r>
      <w:proofErr w:type="spellStart"/>
      <w:r w:rsidRPr="002F6D7B">
        <w:rPr>
          <w:rFonts w:eastAsia="Times New Roman" w:cstheme="minorHAnsi"/>
          <w:lang w:val="sr-Latn-ME"/>
        </w:rPr>
        <w:t>savremenih</w:t>
      </w:r>
      <w:proofErr w:type="spellEnd"/>
      <w:r w:rsidRPr="002F6D7B">
        <w:rPr>
          <w:rFonts w:eastAsia="Times New Roman" w:cstheme="minorHAnsi"/>
          <w:lang w:val="sr-Latn-ME"/>
        </w:rPr>
        <w:t xml:space="preserve"> tehničkih i tehnoloških, organizacionih, zdravstvenih, socijalnih i drugih mjera i sredstava zaštite, u skladu sa ovim zakonom, drugim propisima i ratifikovanim i objavljenim međunarodnim ugovorima.</w:t>
      </w:r>
    </w:p>
    <w:p w14:paraId="6A8519EC" w14:textId="77777777" w:rsidR="00410F31" w:rsidRPr="002F6D7B" w:rsidRDefault="00410F31" w:rsidP="00410F31">
      <w:pPr>
        <w:pStyle w:val="Odlomakpopisa"/>
        <w:numPr>
          <w:ilvl w:val="0"/>
          <w:numId w:val="1"/>
        </w:numPr>
        <w:spacing w:after="0" w:line="240" w:lineRule="auto"/>
        <w:rPr>
          <w:rFonts w:eastAsia="Times New Roman" w:cstheme="minorHAnsi"/>
          <w:bCs/>
          <w:lang w:val="sr-Latn-ME"/>
        </w:rPr>
      </w:pPr>
      <w:r w:rsidRPr="002F6D7B">
        <w:rPr>
          <w:rFonts w:eastAsia="Times New Roman" w:cstheme="minorHAnsi"/>
          <w:b/>
          <w:bCs/>
          <w:lang w:val="sr-Latn-ME"/>
        </w:rPr>
        <w:t xml:space="preserve">Zakon o Socijalnom savjetu </w:t>
      </w:r>
      <w:r w:rsidRPr="002F6D7B">
        <w:rPr>
          <w:rFonts w:eastAsia="Times New Roman" w:cstheme="minorHAnsi"/>
          <w:lang w:val="sr-Latn-ME"/>
        </w:rPr>
        <w:t>(Sl. list CG</w:t>
      </w:r>
      <w:r>
        <w:rPr>
          <w:rFonts w:eastAsia="Times New Roman" w:cstheme="minorHAnsi"/>
          <w:lang w:val="sr-Latn-ME"/>
        </w:rPr>
        <w:t>,</w:t>
      </w:r>
      <w:r w:rsidRPr="002F6D7B">
        <w:rPr>
          <w:rFonts w:eastAsia="Times New Roman" w:cstheme="minorHAnsi"/>
          <w:lang w:val="sr-Latn-ME"/>
        </w:rPr>
        <w:t xml:space="preserve"> br. 44/18, 51/26) – uređuje osnivanje, sastav, djelokrug rada i funkcionisanje, kao i finansiranje i druga pitanja od značaja za rad Socijalnog savjeta.</w:t>
      </w:r>
    </w:p>
    <w:p w14:paraId="0F4070EB" w14:textId="77777777" w:rsidR="00410F31" w:rsidRPr="002F6D7B" w:rsidRDefault="00410F31" w:rsidP="00410F31">
      <w:pPr>
        <w:pStyle w:val="Odlomakpopisa"/>
        <w:numPr>
          <w:ilvl w:val="0"/>
          <w:numId w:val="1"/>
        </w:numPr>
        <w:spacing w:after="0" w:line="240" w:lineRule="auto"/>
        <w:rPr>
          <w:rStyle w:val="Naglaeno"/>
          <w:rFonts w:eastAsia="Times New Roman" w:cstheme="minorHAnsi"/>
          <w:b w:val="0"/>
          <w:lang w:val="sr-Latn-ME"/>
        </w:rPr>
      </w:pPr>
      <w:r w:rsidRPr="002F6D7B">
        <w:rPr>
          <w:rStyle w:val="Naglaeno"/>
          <w:lang w:val="sr-Latn-ME"/>
        </w:rPr>
        <w:t xml:space="preserve">Zakon o reprezentativnosti sindikata </w:t>
      </w:r>
      <w:r w:rsidRPr="002F6D7B">
        <w:rPr>
          <w:rStyle w:val="Naglaeno"/>
          <w:b w:val="0"/>
          <w:bCs w:val="0"/>
          <w:lang w:val="sr-Latn-ME"/>
        </w:rPr>
        <w:t>(Sl. list CG</w:t>
      </w:r>
      <w:r>
        <w:rPr>
          <w:rStyle w:val="Naglaeno"/>
          <w:b w:val="0"/>
          <w:bCs w:val="0"/>
          <w:lang w:val="sr-Latn-ME"/>
        </w:rPr>
        <w:t>,</w:t>
      </w:r>
      <w:r w:rsidRPr="002F6D7B">
        <w:rPr>
          <w:rStyle w:val="Naglaeno"/>
          <w:b w:val="0"/>
          <w:bCs w:val="0"/>
          <w:lang w:val="sr-Latn-ME"/>
        </w:rPr>
        <w:t xml:space="preserve"> br. 12/18, 84/24) – reprezentativnost i preispitivanje utvrđene reprezentativnosti sindikalnih organizacija utvrđuju se u skladu sa ovim zakonom. Zaposleni se slobodno organizuju u sindikate po sopstvenom izboru.</w:t>
      </w:r>
    </w:p>
    <w:p w14:paraId="3638965A" w14:textId="77777777" w:rsidR="00410F31" w:rsidRPr="002F6D7B" w:rsidRDefault="00410F31" w:rsidP="00410F31">
      <w:pPr>
        <w:pStyle w:val="Odlomakpopisa"/>
        <w:numPr>
          <w:ilvl w:val="0"/>
          <w:numId w:val="1"/>
        </w:numPr>
        <w:spacing w:after="0" w:line="240" w:lineRule="auto"/>
        <w:rPr>
          <w:rStyle w:val="Naglaeno"/>
          <w:rFonts w:eastAsia="Times New Roman" w:cstheme="minorHAnsi"/>
          <w:b w:val="0"/>
          <w:bCs w:val="0"/>
          <w:lang w:val="sr-Latn-ME"/>
        </w:rPr>
      </w:pPr>
      <w:r w:rsidRPr="002F6D7B">
        <w:rPr>
          <w:rStyle w:val="Naglaeno"/>
          <w:lang w:val="sr-Latn-ME"/>
        </w:rPr>
        <w:t xml:space="preserve">Zakon o zabrani zlostavljanja na radu </w:t>
      </w:r>
      <w:r w:rsidRPr="002F6D7B">
        <w:rPr>
          <w:rStyle w:val="Naglaeno"/>
          <w:b w:val="0"/>
          <w:bCs w:val="0"/>
          <w:lang w:val="sr-Latn-ME"/>
        </w:rPr>
        <w:t>(Sl. list CG</w:t>
      </w:r>
      <w:r>
        <w:rPr>
          <w:rStyle w:val="Naglaeno"/>
          <w:b w:val="0"/>
          <w:bCs w:val="0"/>
          <w:lang w:val="sr-Latn-ME"/>
        </w:rPr>
        <w:t>,</w:t>
      </w:r>
      <w:r w:rsidRPr="002F6D7B">
        <w:rPr>
          <w:rStyle w:val="Naglaeno"/>
          <w:b w:val="0"/>
          <w:bCs w:val="0"/>
          <w:lang w:val="sr-Latn-ME"/>
        </w:rPr>
        <w:t xml:space="preserve"> br. 30/12, 54/16, 84/24) – </w:t>
      </w:r>
      <w:r>
        <w:rPr>
          <w:rStyle w:val="Naglaeno"/>
          <w:b w:val="0"/>
          <w:bCs w:val="0"/>
          <w:lang w:val="sr-Latn-ME"/>
        </w:rPr>
        <w:t>uređuje</w:t>
      </w:r>
      <w:r w:rsidRPr="002F6D7B">
        <w:rPr>
          <w:rStyle w:val="Naglaeno"/>
          <w:b w:val="0"/>
          <w:bCs w:val="0"/>
          <w:lang w:val="sr-Latn-ME"/>
        </w:rPr>
        <w:t xml:space="preserve"> prava, obaveze i odgovornosti poslodavaca i zaposlenih u vezi sa sprječavanjem zlostavljanja na radu i u vezi sa radom (mobing), kao i druga pitanja od značaja za sprječavanje i zaštitu od mobinga.</w:t>
      </w:r>
    </w:p>
    <w:p w14:paraId="33ECD044" w14:textId="77777777" w:rsidR="00410F31" w:rsidRPr="002F6D7B" w:rsidRDefault="00410F31" w:rsidP="00410F31">
      <w:pPr>
        <w:pStyle w:val="Odlomakpopisa"/>
        <w:numPr>
          <w:ilvl w:val="0"/>
          <w:numId w:val="1"/>
        </w:numPr>
        <w:spacing w:after="0" w:line="240" w:lineRule="auto"/>
        <w:rPr>
          <w:rFonts w:eastAsia="Times New Roman" w:cstheme="minorHAnsi"/>
          <w:bCs/>
          <w:lang w:val="sr-Latn-ME"/>
        </w:rPr>
      </w:pPr>
      <w:r w:rsidRPr="002F6D7B">
        <w:rPr>
          <w:rFonts w:eastAsia="Times New Roman" w:cstheme="minorHAnsi"/>
          <w:b/>
          <w:bCs/>
          <w:lang w:val="sr-Latn-ME"/>
        </w:rPr>
        <w:t xml:space="preserve">Zakon o štrajku </w:t>
      </w:r>
      <w:r w:rsidRPr="002F6D7B">
        <w:rPr>
          <w:rFonts w:eastAsia="Times New Roman" w:cstheme="minorHAnsi"/>
          <w:lang w:val="sr-Latn-ME"/>
        </w:rPr>
        <w:t>(Sl. list CG</w:t>
      </w:r>
      <w:r>
        <w:rPr>
          <w:rFonts w:eastAsia="Times New Roman" w:cstheme="minorHAnsi"/>
          <w:lang w:val="sr-Latn-ME"/>
        </w:rPr>
        <w:t>,</w:t>
      </w:r>
      <w:r w:rsidRPr="002F6D7B">
        <w:rPr>
          <w:rFonts w:eastAsia="Times New Roman" w:cstheme="minorHAnsi"/>
          <w:lang w:val="sr-Latn-ME"/>
        </w:rPr>
        <w:t xml:space="preserve"> br. 11/15, 84/24) – uređuje uslove i način organizovanja štrajka, kao i prava, obaveze i odgovornosti zaposlenih i poslodavaca u vezi sa štrajkom.</w:t>
      </w:r>
    </w:p>
    <w:p w14:paraId="1EFE84D1" w14:textId="77777777" w:rsidR="00410F31" w:rsidRPr="002F6D7B" w:rsidRDefault="00410F31" w:rsidP="00410F31">
      <w:pPr>
        <w:rPr>
          <w:rFonts w:eastAsia="Times New Roman" w:cstheme="minorHAnsi"/>
          <w:b/>
          <w:bCs/>
          <w:lang w:val="sr-Latn-ME"/>
        </w:rPr>
      </w:pPr>
    </w:p>
    <w:p w14:paraId="2539FDAD" w14:textId="77777777" w:rsidR="00410F31" w:rsidRPr="002F6D7B" w:rsidRDefault="00410F31" w:rsidP="00410F31">
      <w:pPr>
        <w:rPr>
          <w:rFonts w:eastAsia="Times New Roman" w:cstheme="minorHAnsi"/>
          <w:b/>
          <w:bCs/>
          <w:lang w:val="sr-Latn-ME"/>
        </w:rPr>
      </w:pPr>
      <w:r w:rsidRPr="002F6D7B">
        <w:rPr>
          <w:rFonts w:eastAsia="Times New Roman" w:cstheme="minorHAnsi"/>
          <w:b/>
          <w:bCs/>
          <w:lang w:val="sr-Latn-ME"/>
        </w:rPr>
        <w:t>Ključna strateška dokumenta uključuju:</w:t>
      </w:r>
    </w:p>
    <w:p w14:paraId="0200FD84" w14:textId="77777777" w:rsidR="00410F31" w:rsidRPr="002F6D7B" w:rsidRDefault="00410F31" w:rsidP="00410F31">
      <w:pPr>
        <w:pStyle w:val="Odlomakpopisa"/>
        <w:numPr>
          <w:ilvl w:val="0"/>
          <w:numId w:val="2"/>
        </w:numPr>
        <w:spacing w:after="0" w:line="240" w:lineRule="auto"/>
        <w:rPr>
          <w:rFonts w:eastAsia="Times New Roman" w:cstheme="minorHAnsi"/>
          <w:bCs/>
          <w:lang w:val="sr-Latn-ME"/>
        </w:rPr>
      </w:pPr>
      <w:r w:rsidRPr="002F6D7B">
        <w:rPr>
          <w:rFonts w:eastAsia="Times New Roman" w:cstheme="minorHAnsi"/>
          <w:b/>
          <w:bCs/>
          <w:lang w:val="sr-Latn-ME"/>
        </w:rPr>
        <w:t>Nacionalna strategija zapošljavanja 2021-2025</w:t>
      </w:r>
      <w:r w:rsidRPr="002F6D7B">
        <w:rPr>
          <w:rStyle w:val="Referencafusnote"/>
          <w:rFonts w:eastAsia="Times New Roman" w:cstheme="minorHAnsi"/>
          <w:bCs/>
          <w:lang w:val="sr-Latn-ME"/>
        </w:rPr>
        <w:footnoteReference w:id="21"/>
      </w:r>
      <w:r w:rsidRPr="002F6D7B">
        <w:rPr>
          <w:rFonts w:eastAsia="Times New Roman" w:cstheme="minorHAnsi"/>
          <w:bCs/>
          <w:lang w:val="sr-Latn-ME"/>
        </w:rPr>
        <w:t xml:space="preserve"> - koja identifikuje ključne izazove: visoku nezaposlenost mladih, dugoročnu nezaposlenost, nisku stopu učešća žena, regionalne disparitete, neusklađenost vještina i neformalno zapošljavanje. Nova strategija za period 2026–2030 je u fazi pripreme kako bi se obezbijedio kontinuitet reformi tržišta rada i usklađenost sa aktuelnim ekonomskim i društvenim potrebama.</w:t>
      </w:r>
    </w:p>
    <w:p w14:paraId="7B0A6E2B" w14:textId="77777777" w:rsidR="00410F31" w:rsidRPr="002F6D7B" w:rsidRDefault="00410F31" w:rsidP="00410F31">
      <w:pPr>
        <w:pStyle w:val="Odlomakpopisa"/>
        <w:numPr>
          <w:ilvl w:val="0"/>
          <w:numId w:val="2"/>
        </w:numPr>
        <w:spacing w:after="0" w:line="240" w:lineRule="auto"/>
        <w:rPr>
          <w:rFonts w:eastAsia="Times New Roman" w:cstheme="minorHAnsi"/>
          <w:bCs/>
          <w:lang w:val="sr-Latn-ME"/>
        </w:rPr>
      </w:pPr>
      <w:r w:rsidRPr="002F6D7B">
        <w:rPr>
          <w:rFonts w:eastAsia="Times New Roman" w:cstheme="minorHAnsi"/>
          <w:b/>
          <w:bCs/>
          <w:lang w:val="sr-Latn-ME"/>
        </w:rPr>
        <w:t>Program Garancije za mlade</w:t>
      </w:r>
      <w:r w:rsidRPr="002F6D7B">
        <w:rPr>
          <w:rStyle w:val="Referencafusnote"/>
          <w:rFonts w:eastAsia="Times New Roman" w:cstheme="minorHAnsi"/>
          <w:b/>
          <w:bCs/>
          <w:vertAlign w:val="baseline"/>
          <w:lang w:val="sr-Latn-ME"/>
        </w:rPr>
        <w:t xml:space="preserve"> </w:t>
      </w:r>
      <w:r w:rsidRPr="002F6D7B">
        <w:rPr>
          <w:rStyle w:val="Referencafusnote"/>
          <w:rFonts w:eastAsia="Times New Roman" w:cstheme="minorHAnsi"/>
          <w:bCs/>
          <w:lang w:val="sr-Latn-ME"/>
        </w:rPr>
        <w:footnoteReference w:id="22"/>
      </w:r>
      <w:r w:rsidRPr="002F6D7B">
        <w:rPr>
          <w:rFonts w:eastAsia="Times New Roman" w:cstheme="minorHAnsi"/>
          <w:bCs/>
          <w:lang w:val="sr-Latn-ME"/>
        </w:rPr>
        <w:t xml:space="preserve"> prvi plan implementacije (2024–2026) usvojen i pilotiran u tri opštine (BP, NK, PG).</w:t>
      </w:r>
      <w:r w:rsidRPr="002F6D7B">
        <w:rPr>
          <w:rStyle w:val="Referencafusnote"/>
          <w:rFonts w:eastAsia="Times New Roman" w:cstheme="minorHAnsi"/>
          <w:bCs/>
          <w:lang w:val="sr-Latn-ME"/>
        </w:rPr>
        <w:footnoteReference w:id="23"/>
      </w:r>
      <w:r w:rsidRPr="002F6D7B">
        <w:rPr>
          <w:lang w:val="sr-Latn-ME"/>
        </w:rPr>
        <w:t xml:space="preserve"> Cilj programa je da obezbijedi da mladi (15–29) dobiju kvalitetnu ponudu za zaposlenje, nastavak obrazovanja, obuku ili pripravnički staž u kratkom roku nakon što postanu nezaposleni ili napuste formalno obrazovanje. Program je usmjeren na unaprjeđenje </w:t>
      </w:r>
      <w:proofErr w:type="spellStart"/>
      <w:r w:rsidRPr="002F6D7B">
        <w:rPr>
          <w:lang w:val="sr-Latn-ME"/>
        </w:rPr>
        <w:t>zapošljivosti</w:t>
      </w:r>
      <w:proofErr w:type="spellEnd"/>
      <w:r w:rsidRPr="002F6D7B">
        <w:rPr>
          <w:lang w:val="sr-Latn-ME"/>
        </w:rPr>
        <w:t xml:space="preserve"> mladih, jačanje institucionalne koordinacije i olakšavanje prelaska iz obrazovanja na tržište rada.</w:t>
      </w:r>
    </w:p>
    <w:p w14:paraId="5A3150D2" w14:textId="77777777" w:rsidR="00410F31" w:rsidRPr="002F6D7B" w:rsidRDefault="00410F31" w:rsidP="00410F31">
      <w:pPr>
        <w:pStyle w:val="Odlomakpopisa"/>
        <w:numPr>
          <w:ilvl w:val="0"/>
          <w:numId w:val="2"/>
        </w:numPr>
        <w:spacing w:after="0" w:line="240" w:lineRule="auto"/>
        <w:rPr>
          <w:rFonts w:eastAsia="Times New Roman" w:cstheme="minorHAnsi"/>
          <w:bCs/>
          <w:lang w:val="sr-Latn-ME"/>
        </w:rPr>
      </w:pPr>
      <w:r w:rsidRPr="002F6D7B">
        <w:rPr>
          <w:rFonts w:eastAsia="Times New Roman" w:cstheme="minorHAnsi"/>
          <w:b/>
          <w:bCs/>
          <w:lang w:val="sr-Latn-ME"/>
        </w:rPr>
        <w:t xml:space="preserve">Strategija o migracijama i reintegraciji povratnika 2021–2025 </w:t>
      </w:r>
      <w:r w:rsidRPr="002F6D7B">
        <w:rPr>
          <w:rFonts w:eastAsia="Times New Roman" w:cstheme="minorHAnsi"/>
          <w:lang w:val="sr-Latn-ME"/>
        </w:rPr>
        <w:t>– ključni strateški dokument usmjeren na usklađivanje upravljanja migracijama u Crnoj Gori sa standardima Evropske unije (EU) u okviru procesa pristupanja. Predstavlja prvi dokument koji objedinjuje prethodno odvojene strategije upravljanja migracijama i reintegracije povratnika u jedinstven okvir.</w:t>
      </w:r>
    </w:p>
    <w:p w14:paraId="30F67A1B" w14:textId="77777777" w:rsidR="00410F31" w:rsidRPr="002F6D7B" w:rsidRDefault="00410F31" w:rsidP="00410F31">
      <w:pPr>
        <w:pStyle w:val="Odlomakpopisa"/>
        <w:numPr>
          <w:ilvl w:val="0"/>
          <w:numId w:val="2"/>
        </w:numPr>
        <w:spacing w:after="0" w:line="240" w:lineRule="auto"/>
        <w:rPr>
          <w:rFonts w:eastAsia="Times New Roman" w:cstheme="minorHAnsi"/>
          <w:bCs/>
          <w:lang w:val="sr-Latn-ME"/>
        </w:rPr>
      </w:pPr>
      <w:r w:rsidRPr="002F6D7B">
        <w:rPr>
          <w:rFonts w:eastAsia="Times New Roman" w:cstheme="minorHAnsi"/>
          <w:b/>
          <w:bCs/>
          <w:lang w:val="sr-Latn-ME"/>
        </w:rPr>
        <w:t>Nacionalna strategija održivog razvoja (NSOR) 2030</w:t>
      </w:r>
      <w:r w:rsidRPr="002F6D7B">
        <w:rPr>
          <w:rStyle w:val="Referencafusnote"/>
          <w:rFonts w:eastAsia="Times New Roman" w:cstheme="minorHAnsi"/>
          <w:bCs/>
          <w:lang w:val="sr-Latn-ME"/>
        </w:rPr>
        <w:footnoteReference w:id="24"/>
      </w:r>
      <w:r w:rsidRPr="002F6D7B">
        <w:rPr>
          <w:rFonts w:eastAsia="Times New Roman" w:cstheme="minorHAnsi"/>
          <w:bCs/>
          <w:lang w:val="sr-Latn-ME"/>
        </w:rPr>
        <w:t xml:space="preserve"> – strateški cilj 1.1 odnosi se na demografske trendove; strateški cilj 2.5 odnosi se na </w:t>
      </w:r>
      <w:proofErr w:type="spellStart"/>
      <w:r w:rsidRPr="002F6D7B">
        <w:rPr>
          <w:rFonts w:eastAsia="Times New Roman" w:cstheme="minorHAnsi"/>
          <w:bCs/>
          <w:lang w:val="sr-Latn-ME"/>
        </w:rPr>
        <w:t>zapošljivost</w:t>
      </w:r>
      <w:proofErr w:type="spellEnd"/>
      <w:r w:rsidRPr="002F6D7B">
        <w:rPr>
          <w:rFonts w:eastAsia="Times New Roman" w:cstheme="minorHAnsi"/>
          <w:bCs/>
          <w:lang w:val="sr-Latn-ME"/>
        </w:rPr>
        <w:t xml:space="preserve"> i socijalnu uključenost.</w:t>
      </w:r>
    </w:p>
    <w:p w14:paraId="7AB73446" w14:textId="77777777" w:rsidR="00410F31" w:rsidRPr="002F6D7B" w:rsidRDefault="00410F31" w:rsidP="00410F31">
      <w:pPr>
        <w:rPr>
          <w:rFonts w:eastAsia="Times New Roman" w:cstheme="minorHAnsi"/>
          <w:bCs/>
          <w:lang w:val="sr-Latn-ME"/>
        </w:rPr>
      </w:pPr>
    </w:p>
    <w:p w14:paraId="615D52CB" w14:textId="77777777" w:rsidR="00410F31" w:rsidRDefault="00410F31" w:rsidP="00410F31">
      <w:pPr>
        <w:spacing w:after="240"/>
        <w:rPr>
          <w:rFonts w:eastAsia="Times New Roman" w:cstheme="minorHAnsi"/>
          <w:bCs/>
          <w:lang w:val="sr-Latn-ME"/>
        </w:rPr>
      </w:pPr>
      <w:r w:rsidRPr="002F6D7B">
        <w:rPr>
          <w:rFonts w:eastAsia="Times New Roman" w:cstheme="minorHAnsi"/>
          <w:b/>
          <w:bCs/>
          <w:lang w:val="sr-Latn-ME"/>
        </w:rPr>
        <w:t>Institucionalni okvir</w:t>
      </w:r>
      <w:r w:rsidRPr="002F6D7B">
        <w:rPr>
          <w:rFonts w:eastAsia="Times New Roman" w:cstheme="minorHAnsi"/>
          <w:bCs/>
          <w:lang w:val="sr-Latn-ME"/>
        </w:rPr>
        <w:t xml:space="preserve">: Ministarstvo rada, zapošljavanja i socijalnog dijaloga (uspostavljeno u okviru aktuelne strukture Vlade, što ukazuje na povišen prioritet politike); Zavod za zapošljavanje </w:t>
      </w:r>
      <w:r w:rsidRPr="002F6D7B">
        <w:rPr>
          <w:rFonts w:eastAsia="Times New Roman" w:cstheme="minorHAnsi"/>
          <w:bCs/>
          <w:lang w:val="sr-Latn-ME"/>
        </w:rPr>
        <w:lastRenderedPageBreak/>
        <w:t>Crne Gore (ZZZCG); Fond rada</w:t>
      </w:r>
      <w:r w:rsidRPr="002F6D7B">
        <w:rPr>
          <w:rStyle w:val="Referencafusnote"/>
          <w:rFonts w:eastAsia="Times New Roman" w:cstheme="minorHAnsi"/>
          <w:bCs/>
          <w:lang w:val="sr-Latn-ME"/>
        </w:rPr>
        <w:footnoteReference w:id="25"/>
      </w:r>
      <w:r w:rsidRPr="002F6D7B">
        <w:rPr>
          <w:rFonts w:eastAsia="Times New Roman" w:cstheme="minorHAnsi"/>
          <w:bCs/>
          <w:lang w:val="sr-Latn-ME"/>
        </w:rPr>
        <w:t>; Inspekcija rada (u okviru Uprave za inspekcijske poslove</w:t>
      </w:r>
      <w:r w:rsidRPr="002F6D7B">
        <w:rPr>
          <w:rStyle w:val="Referencafusnote"/>
          <w:rFonts w:eastAsia="Times New Roman" w:cstheme="minorHAnsi"/>
          <w:bCs/>
          <w:lang w:val="sr-Latn-ME"/>
        </w:rPr>
        <w:footnoteReference w:id="26"/>
      </w:r>
      <w:r w:rsidRPr="002F6D7B">
        <w:rPr>
          <w:rFonts w:eastAsia="Times New Roman" w:cstheme="minorHAnsi"/>
          <w:bCs/>
          <w:lang w:val="sr-Latn-ME"/>
        </w:rPr>
        <w:t>); Socijalni savjet (tripartitno tijelo socijalnog dijaloga</w:t>
      </w:r>
      <w:r w:rsidRPr="002F6D7B">
        <w:rPr>
          <w:rStyle w:val="Referencafusnote"/>
          <w:rFonts w:eastAsia="Times New Roman" w:cstheme="minorHAnsi"/>
          <w:bCs/>
          <w:lang w:val="sr-Latn-ME"/>
        </w:rPr>
        <w:footnoteReference w:id="27"/>
      </w:r>
      <w:r>
        <w:rPr>
          <w:rFonts w:eastAsia="Times New Roman" w:cstheme="minorHAnsi"/>
          <w:bCs/>
          <w:lang w:val="sr-Latn-ME"/>
        </w:rPr>
        <w:t>).</w:t>
      </w:r>
      <w:r w:rsidRPr="002F6D7B">
        <w:rPr>
          <w:rFonts w:eastAsia="Times New Roman" w:cstheme="minorHAnsi"/>
          <w:bCs/>
          <w:lang w:val="sr-Latn-ME"/>
        </w:rPr>
        <w:t xml:space="preserve"> </w:t>
      </w:r>
    </w:p>
    <w:p w14:paraId="70A5C896" w14:textId="77777777" w:rsidR="00410F31" w:rsidRPr="002F6D7B" w:rsidRDefault="00410F31" w:rsidP="00410F31">
      <w:pPr>
        <w:spacing w:after="240"/>
        <w:rPr>
          <w:rFonts w:eastAsia="Times New Roman" w:cstheme="minorHAnsi"/>
          <w:b/>
          <w:bCs/>
          <w:lang w:val="sr-Latn-ME"/>
        </w:rPr>
      </w:pPr>
      <w:r w:rsidRPr="008B529D">
        <w:rPr>
          <w:rFonts w:eastAsia="Times New Roman" w:cstheme="minorHAnsi"/>
          <w:b/>
          <w:bCs/>
          <w:lang w:val="sr-Latn-ME"/>
        </w:rPr>
        <w:t xml:space="preserve">Ključno zakonodavstvo u oblasti socijalne zaštite i uključenosti </w:t>
      </w:r>
      <w:r w:rsidRPr="008B529D">
        <w:rPr>
          <w:rFonts w:eastAsia="Times New Roman" w:cstheme="minorHAnsi"/>
          <w:lang w:val="sr-Latn-ME"/>
        </w:rPr>
        <w:t>je</w:t>
      </w:r>
      <w:r w:rsidRPr="002F6D7B">
        <w:rPr>
          <w:rFonts w:eastAsia="Times New Roman" w:cstheme="minorHAnsi"/>
          <w:bCs/>
          <w:lang w:val="sr-Latn-ME"/>
        </w:rPr>
        <w:t>:</w:t>
      </w:r>
    </w:p>
    <w:p w14:paraId="230D1582" w14:textId="77777777" w:rsidR="00410F31" w:rsidRPr="002F6D7B" w:rsidRDefault="00410F31" w:rsidP="00410F31">
      <w:pPr>
        <w:pStyle w:val="Odlomakpopisa"/>
        <w:numPr>
          <w:ilvl w:val="0"/>
          <w:numId w:val="3"/>
        </w:numPr>
        <w:spacing w:after="0" w:line="240" w:lineRule="auto"/>
        <w:rPr>
          <w:rFonts w:eastAsia="Times New Roman" w:cstheme="minorHAnsi"/>
          <w:bCs/>
          <w:lang w:val="sr-Latn-ME"/>
        </w:rPr>
      </w:pPr>
      <w:r w:rsidRPr="002F6D7B">
        <w:rPr>
          <w:rStyle w:val="Naglaeno"/>
          <w:lang w:val="sr-Latn-ME"/>
        </w:rPr>
        <w:t xml:space="preserve">Zakon o socijalnoj i dječjoj zaštiti </w:t>
      </w:r>
      <w:r w:rsidRPr="002F6D7B">
        <w:rPr>
          <w:rStyle w:val="Naglaeno"/>
          <w:b w:val="0"/>
          <w:bCs w:val="0"/>
          <w:lang w:val="sr-Latn-ME"/>
        </w:rPr>
        <w:t xml:space="preserve">(Sl. list CG br. 27/13, 1/15, 42/15, 47/15, 56/16, 66/16, 1/17, 31/17, 42/17, 50/17, 59/21, 145/21, 3/23, 48/24, 84/24, 33/25, 122/25, 160/25, 33/26) – </w:t>
      </w:r>
      <w:r>
        <w:rPr>
          <w:rStyle w:val="Naglaeno"/>
          <w:b w:val="0"/>
          <w:bCs w:val="0"/>
          <w:lang w:val="sr-Latn-ME"/>
        </w:rPr>
        <w:t xml:space="preserve"> </w:t>
      </w:r>
      <w:r w:rsidRPr="002F6D7B">
        <w:rPr>
          <w:rStyle w:val="Naglaeno"/>
          <w:b w:val="0"/>
          <w:bCs w:val="0"/>
          <w:lang w:val="sr-Latn-ME"/>
        </w:rPr>
        <w:t>prava u oblasti socijalne i dječje zaštite, kao i pružanje usluga socijalne i dječje zaštite, ostvaruju se pod uslovima i na način propisan ovim zakonom. Socijalna i dječja zaštita predstavlja djelatnost koja obezbjeđuje i sprovodi mjere i programe namijenjene pojedincima i porodicama suočenim sa nepovoljnim ličnim ili porodičnim okolnostima, uključujući prevenciju, pomoć u zadovoljavanju osnovnih životnih potreba i podršku</w:t>
      </w:r>
      <w:r w:rsidRPr="002F6D7B">
        <w:rPr>
          <w:b/>
          <w:bCs/>
          <w:lang w:val="sr-Latn-ME"/>
        </w:rPr>
        <w:t>.</w:t>
      </w:r>
    </w:p>
    <w:p w14:paraId="47FEEF2C" w14:textId="77777777" w:rsidR="00410F31" w:rsidRPr="002F6D7B" w:rsidRDefault="00410F31" w:rsidP="00410F31">
      <w:pPr>
        <w:pStyle w:val="Odlomakpopisa"/>
        <w:numPr>
          <w:ilvl w:val="0"/>
          <w:numId w:val="3"/>
        </w:numPr>
        <w:spacing w:after="0" w:line="240" w:lineRule="auto"/>
        <w:rPr>
          <w:rFonts w:eastAsia="Times New Roman" w:cstheme="minorHAnsi"/>
          <w:lang w:val="sr-Latn-ME"/>
        </w:rPr>
      </w:pPr>
      <w:r w:rsidRPr="002F6D7B">
        <w:rPr>
          <w:rFonts w:eastAsia="Times New Roman" w:cstheme="minorHAnsi"/>
          <w:b/>
          <w:bCs/>
          <w:lang w:val="sr-Latn-ME"/>
        </w:rPr>
        <w:t xml:space="preserve">Zakon o doprinosima za obavezno socijalno osiguranje </w:t>
      </w:r>
      <w:r w:rsidRPr="002F6D7B">
        <w:rPr>
          <w:rFonts w:eastAsia="Times New Roman" w:cstheme="minorHAnsi"/>
          <w:lang w:val="sr-Latn-ME"/>
        </w:rPr>
        <w:t>(Sl. list CG br. 13/07, 79/08, 86/09, 78/10, 40/11, 14/12, 62/13, 8/15, 22/17, 42/19, 59/21, 145/21, 152/22, 94/24, 160/25) – doprinos za penzijsko i invalidsko osiguranje smanjen je i iznosi 10% i u potpunosti ga snosi zaposleni, dok poslodavac ne učestvuje u ovoj kategoriji. Doprinos za osiguranje od nezaposlenosti iznosi 0,5% na teret zaposlenog i 0,5% na teret poslodavca. Ukupno opterećenje doprinosa iznosi 10,5% za zaposlenog i 0,5% za poslodavca, odnosno 11% bruto zarade. Doprinosi za zdravstveno osiguranje se više ne plaćaju, jer su ukinuti i finansiraju se iz državnog budžeta, dok osnovicu za obračun doprinosa čini bruto zarada zaposlenog.</w:t>
      </w:r>
    </w:p>
    <w:p w14:paraId="1A2A47C0" w14:textId="77777777" w:rsidR="00410F31" w:rsidRPr="002F6D7B" w:rsidRDefault="00410F31" w:rsidP="00410F31">
      <w:pPr>
        <w:pStyle w:val="Odlomakpopisa"/>
        <w:numPr>
          <w:ilvl w:val="0"/>
          <w:numId w:val="3"/>
        </w:numPr>
        <w:spacing w:after="0" w:line="240" w:lineRule="auto"/>
        <w:rPr>
          <w:rFonts w:eastAsia="Times New Roman" w:cstheme="minorHAnsi"/>
          <w:bCs/>
          <w:lang w:val="sr-Latn-ME"/>
        </w:rPr>
      </w:pPr>
      <w:r w:rsidRPr="002F6D7B">
        <w:rPr>
          <w:rFonts w:eastAsia="Times New Roman" w:cstheme="minorHAnsi"/>
          <w:b/>
          <w:bCs/>
          <w:lang w:val="sr-Latn-ME"/>
        </w:rPr>
        <w:t xml:space="preserve">Zakon o penzijskom i invalidskom osiguranju </w:t>
      </w:r>
      <w:r w:rsidRPr="002F6D7B">
        <w:rPr>
          <w:rFonts w:eastAsia="Times New Roman" w:cstheme="minorHAnsi"/>
          <w:lang w:val="sr-Latn-ME"/>
        </w:rPr>
        <w:t>(Sl. list RCG br. 54/03, 39/04, 61/04, 79/04, 81/04, 29/05, 14/07 i 47/07; Sl. list CG br. 12/07, 13/07, 79/08, 14/10, 78/10, 34/11, 39/11, 40/11, 66/12, 36/13, 38/13, 61/13, 6/14, 60/14, 10/15, 44/15, 42/16, 55/16, 80/20, 145/21, 86/22, 99/23, 125/23, 77/24, 11/25, 122/25, 160/25, 14/26) – uređuje obavezno penzijsko i invalidsko osiguranje zasnovano na sistemu tekućeg finansiranja. Ukupna stopa doprinosa iznosi 20,5% (15% na teret zaposlenog i 5,5% na teret poslodavca).</w:t>
      </w:r>
    </w:p>
    <w:p w14:paraId="630F3F47" w14:textId="77777777" w:rsidR="00410F31" w:rsidRPr="002F6D7B" w:rsidRDefault="00410F31" w:rsidP="00410F31">
      <w:pPr>
        <w:pStyle w:val="Odlomakpopisa"/>
        <w:numPr>
          <w:ilvl w:val="0"/>
          <w:numId w:val="3"/>
        </w:numPr>
        <w:spacing w:after="0" w:line="240" w:lineRule="auto"/>
        <w:rPr>
          <w:rFonts w:eastAsia="Times New Roman" w:cstheme="minorHAnsi"/>
          <w:b/>
          <w:bCs/>
          <w:lang w:val="sr-Latn-ME"/>
        </w:rPr>
      </w:pPr>
      <w:r w:rsidRPr="002F6D7B">
        <w:rPr>
          <w:rStyle w:val="Naglaeno"/>
          <w:lang w:val="sr-Latn-ME"/>
        </w:rPr>
        <w:t xml:space="preserve">Zakon o zaštiti jednakosti i zabrani diskriminacije </w:t>
      </w:r>
      <w:r w:rsidRPr="002F6D7B">
        <w:rPr>
          <w:rStyle w:val="Naglaeno"/>
          <w:b w:val="0"/>
          <w:bCs w:val="0"/>
          <w:lang w:val="sr-Latn-ME"/>
        </w:rPr>
        <w:t xml:space="preserve">(Sl. list CG br. 2/26) – ovim zakonom uređuju se zaštita i unaprjeđenje jednakosti radi stvaranja uslova za </w:t>
      </w:r>
      <w:proofErr w:type="spellStart"/>
      <w:r w:rsidRPr="002F6D7B">
        <w:rPr>
          <w:rStyle w:val="Naglaeno"/>
          <w:b w:val="0"/>
          <w:bCs w:val="0"/>
          <w:lang w:val="sr-Latn-ME"/>
        </w:rPr>
        <w:t>obezbjeđivanje</w:t>
      </w:r>
      <w:proofErr w:type="spellEnd"/>
      <w:r w:rsidRPr="002F6D7B">
        <w:rPr>
          <w:rStyle w:val="Naglaeno"/>
          <w:b w:val="0"/>
          <w:bCs w:val="0"/>
          <w:lang w:val="sr-Latn-ME"/>
        </w:rPr>
        <w:t xml:space="preserve"> jednakih mogućnosti, kao i zaštita od diskriminacije po osnovu rasnog ili etničkog porijekla, boje kože, nacionalne ili socijalne pripadnosti, jezika, vjere ili uvjerenja, političkog ili drugog mišljenja, pola ili polnih karakteristika i/ili promjene pola, roda ili rodnog identiteta, seksualne orijentacije, genetskih karakteristika, zdravstvenog stanja, invaliditeta, starosti, imovnog stanja, bračnog ili porodičnog statusa, životnog partnerstva, pripadnosti grupi, političkoj partiji ili drugoj organizaciji, kao i drugih ličnih svojstava.</w:t>
      </w:r>
    </w:p>
    <w:p w14:paraId="5AFB7F47" w14:textId="77777777" w:rsidR="00410F31" w:rsidRPr="002F6D7B" w:rsidRDefault="00410F31" w:rsidP="00410F31">
      <w:pPr>
        <w:pStyle w:val="Odlomakpopisa"/>
        <w:rPr>
          <w:rFonts w:eastAsia="Times New Roman" w:cstheme="minorHAnsi"/>
          <w:bCs/>
          <w:lang w:val="sr-Latn-ME"/>
        </w:rPr>
      </w:pPr>
    </w:p>
    <w:p w14:paraId="7D4EA3A0" w14:textId="77777777" w:rsidR="00410F31" w:rsidRPr="002F6D7B" w:rsidRDefault="00410F31" w:rsidP="00410F31">
      <w:pPr>
        <w:spacing w:after="240"/>
        <w:rPr>
          <w:rFonts w:eastAsia="Times New Roman" w:cstheme="minorHAnsi"/>
          <w:bCs/>
          <w:lang w:val="sr-Latn-ME"/>
        </w:rPr>
      </w:pPr>
      <w:r w:rsidRPr="002F6D7B">
        <w:rPr>
          <w:rFonts w:eastAsia="Times New Roman" w:cstheme="minorHAnsi"/>
          <w:b/>
          <w:bCs/>
          <w:lang w:val="sr-Latn-ME"/>
        </w:rPr>
        <w:t>Ključna strateška dokumenta</w:t>
      </w:r>
      <w:r w:rsidRPr="002F6D7B">
        <w:rPr>
          <w:rFonts w:eastAsia="Times New Roman" w:cstheme="minorHAnsi"/>
          <w:bCs/>
          <w:lang w:val="sr-Latn-ME"/>
        </w:rPr>
        <w:t>:</w:t>
      </w:r>
    </w:p>
    <w:p w14:paraId="4CE8335A" w14:textId="77777777" w:rsidR="00410F31" w:rsidRPr="002F6D7B" w:rsidRDefault="00410F31" w:rsidP="00410F31">
      <w:pPr>
        <w:pStyle w:val="Odlomakpopisa"/>
        <w:numPr>
          <w:ilvl w:val="0"/>
          <w:numId w:val="4"/>
        </w:numPr>
        <w:spacing w:after="0" w:line="240" w:lineRule="auto"/>
        <w:rPr>
          <w:rFonts w:eastAsia="Times New Roman" w:cstheme="minorHAnsi"/>
          <w:bCs/>
          <w:lang w:val="sr-Latn-ME"/>
        </w:rPr>
      </w:pPr>
      <w:r w:rsidRPr="002F6D7B">
        <w:rPr>
          <w:rFonts w:eastAsia="Times New Roman" w:cstheme="minorHAnsi"/>
          <w:b/>
          <w:bCs/>
          <w:lang w:val="sr-Latn-ME"/>
        </w:rPr>
        <w:t>Strategija razvoja sistema socijalne i dječje zaštite 2025–2028</w:t>
      </w:r>
      <w:r w:rsidRPr="002F6D7B">
        <w:rPr>
          <w:rFonts w:eastAsia="Times New Roman" w:cstheme="minorHAnsi"/>
          <w:bCs/>
          <w:vertAlign w:val="superscript"/>
          <w:lang w:val="sr-Latn-ME"/>
        </w:rPr>
        <w:footnoteReference w:id="28"/>
      </w:r>
      <w:r w:rsidRPr="002F6D7B">
        <w:rPr>
          <w:rFonts w:eastAsia="Times New Roman" w:cstheme="minorHAnsi"/>
          <w:bCs/>
          <w:lang w:val="sr-Latn-ME"/>
        </w:rPr>
        <w:t xml:space="preserve"> – ključni reformski dokument za sistem socijalne zaštite, sa fokusom na </w:t>
      </w:r>
      <w:proofErr w:type="spellStart"/>
      <w:r w:rsidRPr="002F6D7B">
        <w:rPr>
          <w:rFonts w:eastAsia="Times New Roman" w:cstheme="minorHAnsi"/>
          <w:bCs/>
          <w:lang w:val="sr-Latn-ME"/>
        </w:rPr>
        <w:t>deinstitucionalizaciju</w:t>
      </w:r>
      <w:proofErr w:type="spellEnd"/>
      <w:r w:rsidRPr="002F6D7B">
        <w:rPr>
          <w:rFonts w:eastAsia="Times New Roman" w:cstheme="minorHAnsi"/>
          <w:bCs/>
          <w:lang w:val="sr-Latn-ME"/>
        </w:rPr>
        <w:t>, razvoj usluga zasnovanih na zajednici i jačanje centara za socijalni rad; ima za cilj unapr</w:t>
      </w:r>
      <w:r>
        <w:rPr>
          <w:rFonts w:eastAsia="Times New Roman" w:cstheme="minorHAnsi"/>
          <w:bCs/>
          <w:lang w:val="sr-Latn-ME"/>
        </w:rPr>
        <w:t>j</w:t>
      </w:r>
      <w:r w:rsidRPr="002F6D7B">
        <w:rPr>
          <w:rFonts w:eastAsia="Times New Roman" w:cstheme="minorHAnsi"/>
          <w:bCs/>
          <w:lang w:val="sr-Latn-ME"/>
        </w:rPr>
        <w:t>eđenje dostupnosti i kvaliteta usluga; konstatuje da izdvajanja za socijalnu zaštitu iznose 18% ukupnog budžeta, ali da je samo 25% propisanih davanja usmjereno na materijalno ugroženo stanovništvo. Ključni cilj: najmanje 3 socijalne usluge po opštini do 2027. godine.</w:t>
      </w:r>
    </w:p>
    <w:p w14:paraId="0306D1D9" w14:textId="77777777" w:rsidR="00410F31" w:rsidRPr="002F6D7B" w:rsidRDefault="00410F31" w:rsidP="00410F31">
      <w:pPr>
        <w:pStyle w:val="Odlomakpopisa"/>
        <w:numPr>
          <w:ilvl w:val="0"/>
          <w:numId w:val="4"/>
        </w:numPr>
        <w:spacing w:after="240" w:line="240" w:lineRule="auto"/>
        <w:rPr>
          <w:rFonts w:eastAsia="Times New Roman" w:cstheme="minorHAnsi"/>
          <w:bCs/>
          <w:lang w:val="sr-Latn-ME"/>
        </w:rPr>
      </w:pPr>
      <w:r w:rsidRPr="002F6D7B">
        <w:rPr>
          <w:rFonts w:eastAsia="Times New Roman" w:cstheme="minorHAnsi"/>
          <w:b/>
          <w:bCs/>
          <w:lang w:val="sr-Latn-ME"/>
        </w:rPr>
        <w:lastRenderedPageBreak/>
        <w:t xml:space="preserve">Strategija </w:t>
      </w:r>
      <w:proofErr w:type="spellStart"/>
      <w:r w:rsidRPr="002F6D7B">
        <w:rPr>
          <w:rFonts w:eastAsia="Times New Roman" w:cstheme="minorHAnsi"/>
          <w:b/>
          <w:bCs/>
          <w:lang w:val="sr-Latn-ME"/>
        </w:rPr>
        <w:t>deinstitucionalizacije</w:t>
      </w:r>
      <w:proofErr w:type="spellEnd"/>
      <w:r w:rsidRPr="002F6D7B">
        <w:rPr>
          <w:rFonts w:eastAsia="Times New Roman" w:cstheme="minorHAnsi"/>
          <w:b/>
          <w:bCs/>
          <w:lang w:val="sr-Latn-ME"/>
        </w:rPr>
        <w:t xml:space="preserve"> 2025–2028</w:t>
      </w:r>
      <w:r w:rsidRPr="002F6D7B">
        <w:rPr>
          <w:vertAlign w:val="superscript"/>
          <w:lang w:val="sr-Latn-ME"/>
        </w:rPr>
        <w:footnoteReference w:id="29"/>
      </w:r>
      <w:r w:rsidRPr="002F6D7B">
        <w:rPr>
          <w:rFonts w:eastAsia="Times New Roman" w:cstheme="minorHAnsi"/>
          <w:bCs/>
          <w:vertAlign w:val="superscript"/>
          <w:lang w:val="sr-Latn-ME"/>
        </w:rPr>
        <w:t xml:space="preserve"> </w:t>
      </w:r>
      <w:r w:rsidRPr="002F6D7B">
        <w:rPr>
          <w:rFonts w:eastAsia="Times New Roman" w:cstheme="minorHAnsi"/>
          <w:bCs/>
          <w:lang w:val="sr-Latn-ME"/>
        </w:rPr>
        <w:t>– prelazak sa institucionalne na brigu zasnovanu na zajednici, odnosno pomjeranje sa institucionalizacije (velikih ustanova) ka uslugama u zajednici. Cilj je zadržavanje djece i ranjivih odraslih u njihovim lokalnim zajednicama kroz dnevne centre i „podržano stanovanje“, umjesto dugotrajnog boravka u velikim ustanovama.</w:t>
      </w:r>
    </w:p>
    <w:p w14:paraId="37AD369E" w14:textId="77777777" w:rsidR="00410F31" w:rsidRPr="002F6D7B" w:rsidRDefault="00410F31" w:rsidP="00410F31">
      <w:pPr>
        <w:pStyle w:val="Odlomakpopisa"/>
        <w:numPr>
          <w:ilvl w:val="0"/>
          <w:numId w:val="4"/>
        </w:numPr>
        <w:spacing w:after="240" w:line="240" w:lineRule="auto"/>
        <w:rPr>
          <w:rFonts w:eastAsia="Times New Roman" w:cstheme="minorHAnsi"/>
          <w:bCs/>
          <w:lang w:val="sr-Latn-ME"/>
        </w:rPr>
      </w:pPr>
      <w:r w:rsidRPr="002F6D7B">
        <w:rPr>
          <w:rFonts w:eastAsia="Times New Roman" w:cstheme="minorHAnsi"/>
          <w:b/>
          <w:bCs/>
          <w:lang w:val="sr-Latn-ME"/>
        </w:rPr>
        <w:t>Strategija za prevenciju i zaštitu djece od nasilja 2025–2029</w:t>
      </w:r>
      <w:r w:rsidRPr="002F6D7B">
        <w:rPr>
          <w:rStyle w:val="Referencafusnote"/>
          <w:rFonts w:eastAsia="Times New Roman" w:cstheme="minorHAnsi"/>
          <w:bCs/>
          <w:lang w:val="sr-Latn-ME"/>
        </w:rPr>
        <w:footnoteReference w:id="30"/>
      </w:r>
      <w:r w:rsidRPr="002F6D7B">
        <w:rPr>
          <w:rFonts w:eastAsia="Times New Roman" w:cstheme="minorHAnsi"/>
          <w:bCs/>
          <w:lang w:val="sr-Latn-ME"/>
        </w:rPr>
        <w:t xml:space="preserve"> - </w:t>
      </w:r>
      <w:r w:rsidRPr="002F6D7B">
        <w:rPr>
          <w:lang w:val="sr-Latn-ME"/>
        </w:rPr>
        <w:t>jačanje politike „nulte tolerancije“ prema nasilju nad maloljetnicima.</w:t>
      </w:r>
    </w:p>
    <w:p w14:paraId="0B151B81" w14:textId="77777777" w:rsidR="00410F31" w:rsidRPr="002F6D7B" w:rsidRDefault="00410F31" w:rsidP="00410F31">
      <w:pPr>
        <w:pStyle w:val="Odlomakpopisa"/>
        <w:numPr>
          <w:ilvl w:val="0"/>
          <w:numId w:val="4"/>
        </w:numPr>
        <w:spacing w:after="240" w:line="240" w:lineRule="auto"/>
        <w:rPr>
          <w:lang w:val="sr-Latn-ME"/>
        </w:rPr>
      </w:pPr>
      <w:r w:rsidRPr="002F6D7B">
        <w:rPr>
          <w:rFonts w:eastAsia="Times New Roman" w:cstheme="minorHAnsi"/>
          <w:b/>
          <w:bCs/>
          <w:lang w:val="sr-Latn-ME"/>
        </w:rPr>
        <w:t xml:space="preserve">Strategija </w:t>
      </w:r>
      <w:r>
        <w:rPr>
          <w:rFonts w:eastAsia="Times New Roman" w:cstheme="minorHAnsi"/>
          <w:b/>
          <w:bCs/>
          <w:lang w:val="sr-Latn-ME"/>
        </w:rPr>
        <w:t>socijalne inkluzije</w:t>
      </w:r>
      <w:r w:rsidRPr="002F6D7B">
        <w:rPr>
          <w:rFonts w:eastAsia="Times New Roman" w:cstheme="minorHAnsi"/>
          <w:b/>
          <w:bCs/>
          <w:lang w:val="sr-Latn-ME"/>
        </w:rPr>
        <w:t xml:space="preserve"> Roma i Egipćana 2021–2025</w:t>
      </w:r>
      <w:r w:rsidRPr="002F6D7B">
        <w:rPr>
          <w:rStyle w:val="Referencafusnote"/>
          <w:rFonts w:eastAsia="Times New Roman" w:cstheme="minorHAnsi"/>
          <w:bCs/>
          <w:lang w:val="sr-Latn-ME"/>
        </w:rPr>
        <w:footnoteReference w:id="31"/>
      </w:r>
      <w:r w:rsidRPr="002F6D7B">
        <w:rPr>
          <w:rFonts w:eastAsia="Times New Roman" w:cstheme="minorHAnsi"/>
          <w:bCs/>
          <w:lang w:val="sr-Latn-ME"/>
        </w:rPr>
        <w:t xml:space="preserve"> - </w:t>
      </w:r>
      <w:r w:rsidRPr="002F6D7B">
        <w:rPr>
          <w:lang w:val="sr-Latn-ME"/>
        </w:rPr>
        <w:t xml:space="preserve">nacionalni okvir za smanjenje socioekonomskog jaza između ovih zajednica i opšte populacije. Razvijena je od strane Ministarstva ljudskih i manjinskih prava radi usklađivanja sa Strateškim okvirom EU za Rome (2020–2030) i </w:t>
      </w:r>
      <w:proofErr w:type="spellStart"/>
      <w:r w:rsidRPr="002F6D7B">
        <w:rPr>
          <w:lang w:val="sr-Latn-ME"/>
        </w:rPr>
        <w:t>Poznanjskom</w:t>
      </w:r>
      <w:proofErr w:type="spellEnd"/>
      <w:r w:rsidRPr="002F6D7B">
        <w:rPr>
          <w:lang w:val="sr-Latn-ME"/>
        </w:rPr>
        <w:t xml:space="preserve"> deklaracijom iz 2019. godine. Novi okvir za period 2026–2030 je u fazi izrade, sa fokusom na jednakost, obrazovanje, zapošljavanje, stanovanje i zdravstvenu zaštitu. Ova inicijativa ima za cilj suzbijanje </w:t>
      </w:r>
      <w:proofErr w:type="spellStart"/>
      <w:r w:rsidRPr="002F6D7B">
        <w:rPr>
          <w:lang w:val="sr-Latn-ME"/>
        </w:rPr>
        <w:t>anticiganizma</w:t>
      </w:r>
      <w:proofErr w:type="spellEnd"/>
      <w:r w:rsidRPr="002F6D7B">
        <w:rPr>
          <w:lang w:val="sr-Latn-ME"/>
        </w:rPr>
        <w:t xml:space="preserve"> i unaprjeđenje </w:t>
      </w:r>
      <w:proofErr w:type="spellStart"/>
      <w:r w:rsidRPr="002F6D7B">
        <w:rPr>
          <w:lang w:val="sr-Latn-ME"/>
        </w:rPr>
        <w:t>socio</w:t>
      </w:r>
      <w:proofErr w:type="spellEnd"/>
      <w:r w:rsidRPr="002F6D7B">
        <w:rPr>
          <w:lang w:val="sr-Latn-ME"/>
        </w:rPr>
        <w:t xml:space="preserve">-ekonomskih uslova, uz prateći Akcioni plan za period 2026–2027 radi </w:t>
      </w:r>
      <w:proofErr w:type="spellStart"/>
      <w:r w:rsidRPr="002F6D7B">
        <w:rPr>
          <w:lang w:val="sr-Latn-ME"/>
        </w:rPr>
        <w:t>obezbjeđivanja</w:t>
      </w:r>
      <w:proofErr w:type="spellEnd"/>
      <w:r w:rsidRPr="002F6D7B">
        <w:rPr>
          <w:lang w:val="sr-Latn-ME"/>
        </w:rPr>
        <w:t xml:space="preserve"> praktične implementacije. </w:t>
      </w:r>
    </w:p>
    <w:p w14:paraId="43CCCEA6" w14:textId="77777777" w:rsidR="00410F31" w:rsidRPr="002F6D7B" w:rsidRDefault="00410F31" w:rsidP="00410F31">
      <w:pPr>
        <w:pStyle w:val="Odlomakpopisa"/>
        <w:numPr>
          <w:ilvl w:val="0"/>
          <w:numId w:val="4"/>
        </w:numPr>
        <w:spacing w:after="240" w:line="240" w:lineRule="auto"/>
        <w:rPr>
          <w:rFonts w:eastAsia="Times New Roman" w:cstheme="minorHAnsi"/>
          <w:bCs/>
          <w:lang w:val="sr-Latn-ME"/>
        </w:rPr>
      </w:pPr>
      <w:r>
        <w:rPr>
          <w:rFonts w:eastAsia="Times New Roman" w:cstheme="minorHAnsi"/>
          <w:b/>
          <w:bCs/>
          <w:lang w:val="sr-Latn-ME"/>
        </w:rPr>
        <w:t>Nacionalna strategija rodne</w:t>
      </w:r>
      <w:r w:rsidRPr="002F6D7B">
        <w:rPr>
          <w:rFonts w:eastAsia="Times New Roman" w:cstheme="minorHAnsi"/>
          <w:b/>
          <w:bCs/>
          <w:lang w:val="sr-Latn-ME"/>
        </w:rPr>
        <w:t xml:space="preserve"> ravnopravnost</w:t>
      </w:r>
      <w:r>
        <w:rPr>
          <w:rFonts w:eastAsia="Times New Roman" w:cstheme="minorHAnsi"/>
          <w:b/>
          <w:bCs/>
          <w:lang w:val="sr-Latn-ME"/>
        </w:rPr>
        <w:t>i</w:t>
      </w:r>
      <w:r w:rsidRPr="002F6D7B">
        <w:rPr>
          <w:rFonts w:eastAsia="Times New Roman" w:cstheme="minorHAnsi"/>
          <w:b/>
          <w:bCs/>
          <w:lang w:val="sr-Latn-ME"/>
        </w:rPr>
        <w:t xml:space="preserve"> 2025-2029</w:t>
      </w:r>
      <w:r w:rsidRPr="002F6D7B">
        <w:rPr>
          <w:rStyle w:val="Referencafusnote"/>
          <w:rFonts w:eastAsia="Times New Roman" w:cstheme="minorHAnsi"/>
          <w:bCs/>
          <w:lang w:val="sr-Latn-ME"/>
        </w:rPr>
        <w:footnoteReference w:id="32"/>
      </w:r>
      <w:r w:rsidRPr="002F6D7B">
        <w:rPr>
          <w:rFonts w:eastAsia="Times New Roman" w:cstheme="minorHAnsi"/>
          <w:bCs/>
          <w:lang w:val="sr-Latn-ME"/>
        </w:rPr>
        <w:t xml:space="preserve"> - </w:t>
      </w:r>
      <w:r w:rsidRPr="002F6D7B">
        <w:rPr>
          <w:lang w:val="sr-Latn-ME"/>
        </w:rPr>
        <w:t>osnovni strateški okvir za smanjenje rodne nejednakosti i usklađivanje sa</w:t>
      </w:r>
      <w:r>
        <w:rPr>
          <w:lang w:val="sr-Latn-ME"/>
        </w:rPr>
        <w:t xml:space="preserve"> standardima EU</w:t>
      </w:r>
      <w:r w:rsidRPr="002F6D7B">
        <w:rPr>
          <w:lang w:val="sr-Latn-ME"/>
        </w:rPr>
        <w:t>. Njen centralni cilj je unaprjeđenje nivoa rodne ravnopravnosti kroz tri operativna cilja: unaprjeđenje primjene normativnog okvira, smanjenje stereotipa u obrazovanju i medijima, te povećanje učešća žena u donošenju odluka i pristupu resursima.</w:t>
      </w:r>
    </w:p>
    <w:p w14:paraId="23208548" w14:textId="77777777" w:rsidR="00410F31" w:rsidRPr="002F6D7B" w:rsidRDefault="00410F31" w:rsidP="00410F31">
      <w:pPr>
        <w:spacing w:after="240"/>
        <w:rPr>
          <w:rFonts w:eastAsia="Times New Roman" w:cstheme="minorHAnsi"/>
          <w:bCs/>
          <w:lang w:val="sr-Latn-ME"/>
        </w:rPr>
      </w:pPr>
      <w:r w:rsidRPr="002F6D7B">
        <w:rPr>
          <w:rFonts w:eastAsia="Times New Roman" w:cstheme="minorHAnsi"/>
          <w:b/>
          <w:bCs/>
          <w:lang w:val="sr-Latn-ME"/>
        </w:rPr>
        <w:t xml:space="preserve">Napomena: </w:t>
      </w:r>
      <w:r w:rsidRPr="002F6D7B">
        <w:rPr>
          <w:rFonts w:eastAsia="Times New Roman" w:cstheme="minorHAnsi"/>
          <w:bCs/>
          <w:lang w:val="sr-Latn-ME"/>
        </w:rPr>
        <w:t xml:space="preserve">mjere koje se odnose na zapošljavanje mladih i vještine preklapaju se sa politikom oblast 6 „Obrazovanje i vještine“ (PA6). Aktivacija zapošljavanja mladih (Garancija za mlade, smanjenje NEET stope) obrađuje se ovdje u okviru socijalne politike, dok se reforma obrazovnog sistema, stručno obrazovanje i osposobljavanje, kao i </w:t>
      </w:r>
      <w:proofErr w:type="spellStart"/>
      <w:r w:rsidRPr="002F6D7B">
        <w:rPr>
          <w:rFonts w:eastAsia="Times New Roman" w:cstheme="minorHAnsi"/>
          <w:bCs/>
          <w:lang w:val="sr-Latn-ME"/>
        </w:rPr>
        <w:t>cjeloživotno</w:t>
      </w:r>
      <w:proofErr w:type="spellEnd"/>
      <w:r w:rsidRPr="002F6D7B">
        <w:rPr>
          <w:rFonts w:eastAsia="Times New Roman" w:cstheme="minorHAnsi"/>
          <w:bCs/>
          <w:lang w:val="sr-Latn-ME"/>
        </w:rPr>
        <w:t xml:space="preserve"> učenje, razmatraju u okviru PA6.</w:t>
      </w:r>
    </w:p>
    <w:p w14:paraId="31A5DFDE" w14:textId="77777777" w:rsidR="00410F31" w:rsidRPr="002F6D7B" w:rsidRDefault="00410F31" w:rsidP="00410F31">
      <w:pPr>
        <w:spacing w:after="240"/>
        <w:rPr>
          <w:rFonts w:eastAsia="Times New Roman" w:cstheme="minorHAnsi"/>
          <w:bCs/>
          <w:lang w:val="sr-Latn-ME"/>
        </w:rPr>
      </w:pPr>
      <w:r w:rsidRPr="002F6D7B">
        <w:rPr>
          <w:rFonts w:eastAsia="Times New Roman" w:cstheme="minorHAnsi"/>
          <w:b/>
          <w:bCs/>
          <w:lang w:val="sr-Latn-ME"/>
        </w:rPr>
        <w:t>Institucionalni okvir:</w:t>
      </w:r>
      <w:r w:rsidRPr="002F6D7B">
        <w:rPr>
          <w:rFonts w:eastAsia="Times New Roman" w:cstheme="minorHAnsi"/>
          <w:bCs/>
          <w:lang w:val="sr-Latn-ME"/>
        </w:rPr>
        <w:t xml:space="preserve"> Ministarstvo socijalnog staranja, brige o porodici i demografije</w:t>
      </w:r>
      <w:r w:rsidRPr="002F6D7B">
        <w:rPr>
          <w:rStyle w:val="Referencafusnote"/>
          <w:rFonts w:eastAsia="Times New Roman" w:cstheme="minorHAnsi"/>
          <w:bCs/>
          <w:lang w:val="sr-Latn-ME"/>
        </w:rPr>
        <w:footnoteReference w:id="33"/>
      </w:r>
      <w:r w:rsidRPr="002F6D7B">
        <w:rPr>
          <w:rFonts w:eastAsia="Times New Roman" w:cstheme="minorHAnsi"/>
          <w:bCs/>
          <w:lang w:val="sr-Latn-ME"/>
        </w:rPr>
        <w:t xml:space="preserve">, </w:t>
      </w:r>
      <w:r w:rsidRPr="002F6D7B">
        <w:rPr>
          <w:lang w:val="sr-Latn-ME"/>
        </w:rPr>
        <w:t xml:space="preserve">mreža centara za socijalni rad i brojne institucije u oblasti socijalne zaštite; </w:t>
      </w:r>
      <w:r>
        <w:rPr>
          <w:lang w:val="sr-Latn-ME"/>
        </w:rPr>
        <w:t xml:space="preserve">kao i </w:t>
      </w:r>
      <w:r w:rsidRPr="002F6D7B">
        <w:rPr>
          <w:lang w:val="sr-Latn-ME"/>
        </w:rPr>
        <w:t>Ministarstvo ljudskih i manjinskih prava</w:t>
      </w:r>
      <w:r>
        <w:rPr>
          <w:lang w:val="sr-Latn-ME"/>
        </w:rPr>
        <w:t>.</w:t>
      </w:r>
    </w:p>
    <w:p w14:paraId="438A10C7" w14:textId="77777777" w:rsidR="00410F31" w:rsidRPr="002F6D7B" w:rsidRDefault="00410F31" w:rsidP="00410F31">
      <w:pPr>
        <w:spacing w:after="240"/>
        <w:rPr>
          <w:rFonts w:eastAsia="Times New Roman" w:cstheme="minorHAnsi"/>
          <w:bCs/>
          <w:lang w:val="sr-Latn-ME"/>
        </w:rPr>
      </w:pPr>
      <w:r w:rsidRPr="002F6D7B">
        <w:rPr>
          <w:rFonts w:eastAsia="Times New Roman" w:cstheme="minorHAnsi"/>
          <w:b/>
          <w:bCs/>
          <w:lang w:val="sr-Latn-ME"/>
        </w:rPr>
        <w:t xml:space="preserve">Ključno zakonodavstvo i strategije </w:t>
      </w:r>
      <w:r w:rsidRPr="002F6D7B">
        <w:rPr>
          <w:rFonts w:eastAsia="Times New Roman" w:cstheme="minorHAnsi"/>
          <w:lang w:val="sr-Latn-ME"/>
        </w:rPr>
        <w:t xml:space="preserve">u oblasti </w:t>
      </w:r>
      <w:r w:rsidRPr="002F6D7B">
        <w:rPr>
          <w:rFonts w:eastAsia="Times New Roman" w:cstheme="minorHAnsi"/>
          <w:b/>
          <w:bCs/>
          <w:lang w:val="sr-Latn-ME"/>
        </w:rPr>
        <w:t>zdravstva</w:t>
      </w:r>
      <w:r w:rsidRPr="002F6D7B">
        <w:rPr>
          <w:rFonts w:eastAsia="Times New Roman" w:cstheme="minorHAnsi"/>
          <w:lang w:val="sr-Latn-ME"/>
        </w:rPr>
        <w:t xml:space="preserve"> su</w:t>
      </w:r>
      <w:r w:rsidRPr="002F6D7B">
        <w:rPr>
          <w:rFonts w:eastAsia="Times New Roman" w:cstheme="minorHAnsi"/>
          <w:bCs/>
          <w:lang w:val="sr-Latn-ME"/>
        </w:rPr>
        <w:t xml:space="preserve">: </w:t>
      </w:r>
    </w:p>
    <w:p w14:paraId="22B286EC" w14:textId="77777777" w:rsidR="00410F31" w:rsidRPr="002F6D7B" w:rsidRDefault="00410F31" w:rsidP="00410F31">
      <w:pPr>
        <w:pStyle w:val="Odlomakpopisa"/>
        <w:numPr>
          <w:ilvl w:val="0"/>
          <w:numId w:val="5"/>
        </w:numPr>
        <w:spacing w:after="240" w:line="240" w:lineRule="auto"/>
        <w:rPr>
          <w:rFonts w:eastAsia="Times New Roman" w:cstheme="minorHAnsi"/>
          <w:bCs/>
          <w:lang w:val="sr-Latn-ME"/>
        </w:rPr>
      </w:pPr>
      <w:r w:rsidRPr="002F6D7B">
        <w:rPr>
          <w:rFonts w:eastAsia="Times New Roman" w:cstheme="minorHAnsi"/>
          <w:b/>
          <w:bCs/>
          <w:lang w:val="sr-Latn-ME"/>
        </w:rPr>
        <w:t xml:space="preserve">Zakon o zdravstvenoj zaštiti </w:t>
      </w:r>
      <w:r w:rsidRPr="002F6D7B">
        <w:rPr>
          <w:rFonts w:eastAsia="Times New Roman" w:cstheme="minorHAnsi"/>
          <w:lang w:val="sr-Latn-ME"/>
        </w:rPr>
        <w:t>(Sl. list CG br. 91/25, 121/25, 31/26) – uređuje organizaciju, sprovođenje i pružanje zdravstvene zaštite, prava i obaveze građana u ostvarivanju zdravstvene zaštite, društvenu odgovornost za zdravlje stanovništva, prava i dužnosti zdravstvenih radnika i saradnika, kontrolu kvaliteta zdravstvene zaštite, kao i druga pitanja od značaja za funkcionisanje sistema zdravstvene zaštite.</w:t>
      </w:r>
    </w:p>
    <w:p w14:paraId="35EEE367" w14:textId="77777777" w:rsidR="00410F31" w:rsidRPr="002F6D7B" w:rsidRDefault="00410F31" w:rsidP="00410F31">
      <w:pPr>
        <w:pStyle w:val="Odlomakpopisa"/>
        <w:numPr>
          <w:ilvl w:val="0"/>
          <w:numId w:val="5"/>
        </w:numPr>
        <w:spacing w:after="240" w:line="240" w:lineRule="auto"/>
        <w:rPr>
          <w:rFonts w:eastAsia="Times New Roman" w:cstheme="minorHAnsi"/>
          <w:bCs/>
          <w:lang w:val="sr-Latn-ME"/>
        </w:rPr>
      </w:pPr>
      <w:r w:rsidRPr="002F6D7B">
        <w:rPr>
          <w:rFonts w:eastAsia="Times New Roman" w:cstheme="minorHAnsi"/>
          <w:b/>
          <w:bCs/>
          <w:lang w:val="sr-Latn-ME"/>
        </w:rPr>
        <w:t xml:space="preserve">Zakon o obaveznom zdravstvenom osiguranju </w:t>
      </w:r>
      <w:r w:rsidRPr="002F6D7B">
        <w:rPr>
          <w:rFonts w:eastAsia="Times New Roman" w:cstheme="minorHAnsi"/>
          <w:lang w:val="sr-Latn-ME"/>
        </w:rPr>
        <w:t>(Sl. list CG br. 145/21, 48/24) – zdravstveni sistem je transformisan iz modela zasnovanog na doprinosima u sistem koji se u potpunosti finansira iz poreza. Osiguranje je i dalje obavezno i univerzalno.</w:t>
      </w:r>
    </w:p>
    <w:p w14:paraId="2896ADD4" w14:textId="77777777" w:rsidR="00410F31" w:rsidRPr="002F6D7B" w:rsidRDefault="00410F31" w:rsidP="00410F31">
      <w:pPr>
        <w:pStyle w:val="Odlomakpopisa"/>
        <w:numPr>
          <w:ilvl w:val="0"/>
          <w:numId w:val="5"/>
        </w:numPr>
        <w:spacing w:after="240" w:line="240" w:lineRule="auto"/>
        <w:rPr>
          <w:rFonts w:eastAsia="Times New Roman" w:cstheme="minorHAnsi"/>
          <w:bCs/>
          <w:lang w:val="sr-Latn-ME"/>
        </w:rPr>
      </w:pPr>
      <w:r w:rsidRPr="002F6D7B">
        <w:rPr>
          <w:rFonts w:eastAsia="Times New Roman" w:cstheme="minorHAnsi"/>
          <w:b/>
          <w:bCs/>
          <w:lang w:val="sr-Latn-ME"/>
        </w:rPr>
        <w:t>Strategija razvoja zdravstva 2023–2027</w:t>
      </w:r>
      <w:r w:rsidRPr="002F6D7B">
        <w:rPr>
          <w:rStyle w:val="Referencafusnote"/>
          <w:rFonts w:eastAsia="Times New Roman" w:cstheme="minorHAnsi"/>
          <w:bCs/>
          <w:lang w:val="sr-Latn-ME"/>
        </w:rPr>
        <w:footnoteReference w:id="34"/>
      </w:r>
      <w:r w:rsidRPr="002F6D7B">
        <w:rPr>
          <w:rFonts w:eastAsia="Times New Roman" w:cstheme="minorHAnsi"/>
          <w:bCs/>
          <w:lang w:val="sr-Latn-ME"/>
        </w:rPr>
        <w:t xml:space="preserve"> - ključni strateški dokument koji usmjerava reforme nacionalnog zdravstvenog sistema, sa ciljem unaprjeđenja dostupnosti, kvaliteta i efikasnosti zdravstvene zaštite uz </w:t>
      </w:r>
      <w:proofErr w:type="spellStart"/>
      <w:r w:rsidRPr="002F6D7B">
        <w:rPr>
          <w:rFonts w:eastAsia="Times New Roman" w:cstheme="minorHAnsi"/>
          <w:bCs/>
          <w:lang w:val="sr-Latn-ME"/>
        </w:rPr>
        <w:t>obezbjeđivanje</w:t>
      </w:r>
      <w:proofErr w:type="spellEnd"/>
      <w:r w:rsidRPr="002F6D7B">
        <w:rPr>
          <w:rFonts w:eastAsia="Times New Roman" w:cstheme="minorHAnsi"/>
          <w:bCs/>
          <w:lang w:val="sr-Latn-ME"/>
        </w:rPr>
        <w:t xml:space="preserve"> univerzalne pokrivenosti za sve građane. Fokusira se na jačanje primarne zdravstvene zaštite, modernizaciju </w:t>
      </w:r>
      <w:r w:rsidRPr="002F6D7B">
        <w:rPr>
          <w:rFonts w:eastAsia="Times New Roman" w:cstheme="minorHAnsi"/>
          <w:bCs/>
          <w:lang w:val="sr-Latn-ME"/>
        </w:rPr>
        <w:lastRenderedPageBreak/>
        <w:t xml:space="preserve">infrastrukture, unaprjeđenje ljudskih resursa i razvoj digitalnih zdravstvenih sistema. Strategija takođe naglašava unaprjeđenje upravljanja, donošenje odluka zasnovano na podacima i spremnost za vanredne situacije u javnom zdravlju, uz implementaciju kroz koordinisane akcione planove na nivou institucija. Predstavlja okvir za infrastrukturni program finansiran od strane </w:t>
      </w:r>
      <w:r>
        <w:rPr>
          <w:rFonts w:eastAsia="Times New Roman" w:cstheme="minorHAnsi"/>
          <w:bCs/>
          <w:lang w:val="sr-Latn-ME"/>
        </w:rPr>
        <w:t>Banke za razvoj Savjeta Evrope (CEB)</w:t>
      </w:r>
      <w:r w:rsidRPr="002F6D7B">
        <w:rPr>
          <w:rFonts w:eastAsia="Times New Roman" w:cstheme="minorHAnsi"/>
          <w:bCs/>
          <w:lang w:val="sr-Latn-ME"/>
        </w:rPr>
        <w:t>.</w:t>
      </w:r>
    </w:p>
    <w:p w14:paraId="37975577" w14:textId="77777777" w:rsidR="00410F31" w:rsidRPr="002F6D7B" w:rsidRDefault="00410F31" w:rsidP="00410F31">
      <w:pPr>
        <w:spacing w:after="240"/>
        <w:rPr>
          <w:rFonts w:eastAsia="Times New Roman" w:cstheme="minorHAnsi"/>
          <w:b/>
          <w:bCs/>
          <w:lang w:val="sr-Latn-ME"/>
        </w:rPr>
      </w:pPr>
      <w:r w:rsidRPr="002F6D7B">
        <w:rPr>
          <w:rFonts w:eastAsia="Times New Roman" w:cstheme="minorHAnsi"/>
          <w:b/>
          <w:bCs/>
          <w:lang w:val="sr-Latn-ME"/>
        </w:rPr>
        <w:t>Demografija (horizontalna oblast)</w:t>
      </w:r>
    </w:p>
    <w:p w14:paraId="43B67997" w14:textId="77777777" w:rsidR="00410F31" w:rsidRPr="002F6D7B" w:rsidRDefault="00410F31" w:rsidP="00410F31">
      <w:pPr>
        <w:spacing w:after="240"/>
        <w:rPr>
          <w:rFonts w:eastAsia="Times New Roman" w:cstheme="minorHAnsi"/>
          <w:bCs/>
          <w:lang w:val="sr-Latn-ME"/>
        </w:rPr>
      </w:pPr>
      <w:r w:rsidRPr="002F6D7B">
        <w:rPr>
          <w:rFonts w:eastAsia="Times New Roman" w:cstheme="minorHAnsi"/>
          <w:bCs/>
          <w:lang w:val="sr-Latn-ME"/>
        </w:rPr>
        <w:t>Crna Gora se suočava sa složenim demografskim izazovima: ukupno stanovništvo iznosi približno 623.327 (MONSTAT, januar 2025); ukupna stopa fertiliteta iznosila je 1,8 u 2024. godini (relativno visoka za region, ali ispod nivoa proste reprodukcije); stanovništvo stari (</w:t>
      </w:r>
      <w:proofErr w:type="spellStart"/>
      <w:r w:rsidRPr="002F6D7B">
        <w:rPr>
          <w:rFonts w:eastAsia="Times New Roman" w:cstheme="minorHAnsi"/>
          <w:bCs/>
          <w:lang w:val="sr-Latn-ME"/>
        </w:rPr>
        <w:t>udio</w:t>
      </w:r>
      <w:proofErr w:type="spellEnd"/>
      <w:r w:rsidRPr="002F6D7B">
        <w:rPr>
          <w:rFonts w:eastAsia="Times New Roman" w:cstheme="minorHAnsi"/>
          <w:bCs/>
          <w:lang w:val="sr-Latn-ME"/>
        </w:rPr>
        <w:t xml:space="preserve"> populacije starije od 65 godina projektovan je da se udvostruči do 2035. godine); prisutna je unutrašnja migracija sa sjevera ka primorju i Podgorici; kao i emigracija mladih i obrazovanih </w:t>
      </w:r>
      <w:proofErr w:type="spellStart"/>
      <w:r w:rsidRPr="002F6D7B">
        <w:rPr>
          <w:rFonts w:eastAsia="Times New Roman" w:cstheme="minorHAnsi"/>
          <w:bCs/>
          <w:lang w:val="sr-Latn-ME"/>
        </w:rPr>
        <w:t>ljudi</w:t>
      </w:r>
      <w:proofErr w:type="spellEnd"/>
      <w:r w:rsidRPr="002F6D7B">
        <w:rPr>
          <w:rFonts w:eastAsia="Times New Roman" w:cstheme="minorHAnsi"/>
          <w:bCs/>
          <w:lang w:val="sr-Latn-ME"/>
        </w:rPr>
        <w:t>. Prosječna starost napuštanja roditeljskog doma iznosi 32,8 godina. Popis stanovništva iz 2023. godine potvrdio je pad broja stanovnika i strukturno starenje. Strateški cilj 1.1 NSOR 2030 odnosi se na demografske trendove, ali je implementacija spora, a finansijski podsticaji za rađanje imaju ograničen efekat. Ne postoji posebna nacionalna strategija stanovništva.</w:t>
      </w:r>
    </w:p>
    <w:p w14:paraId="4A637B02" w14:textId="6D80A286" w:rsidR="00410F31" w:rsidRPr="002F6D7B" w:rsidRDefault="00410F31" w:rsidP="00410F31">
      <w:pPr>
        <w:pStyle w:val="Naslov3"/>
        <w:rPr>
          <w:rFonts w:eastAsia="Times New Roman"/>
          <w:lang w:val="sr-Latn-ME"/>
        </w:rPr>
      </w:pPr>
      <w:r w:rsidRPr="002F6D7B">
        <w:rPr>
          <w:rFonts w:eastAsia="Times New Roman"/>
          <w:lang w:val="sr-Latn-ME"/>
        </w:rPr>
        <w:t>Planirane i tekuće reforme</w:t>
      </w:r>
    </w:p>
    <w:p w14:paraId="02B41F20" w14:textId="57B3CDE2" w:rsidR="00410F31" w:rsidRPr="002F6D7B" w:rsidRDefault="00410F31" w:rsidP="00410F31">
      <w:pPr>
        <w:pStyle w:val="Naslov4"/>
        <w:rPr>
          <w:rFonts w:eastAsia="Times New Roman"/>
          <w:lang w:val="sr-Latn-ME"/>
        </w:rPr>
      </w:pPr>
      <w:r w:rsidRPr="002F6D7B">
        <w:rPr>
          <w:rFonts w:eastAsia="Times New Roman"/>
          <w:lang w:val="sr-Latn-ME"/>
        </w:rPr>
        <w:t>Tržište rada i zapošljavanje</w:t>
      </w:r>
    </w:p>
    <w:p w14:paraId="531AC8B2"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sidRPr="002F6D7B">
        <w:rPr>
          <w:rFonts w:eastAsia="Times New Roman" w:cstheme="minorHAnsi"/>
          <w:bCs/>
          <w:lang w:val="sr-Latn-ME"/>
        </w:rPr>
        <w:t>Usvajanje nove Nacionalne strategije zapošljavanja 2026–2030;</w:t>
      </w:r>
    </w:p>
    <w:p w14:paraId="459225BD"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sidRPr="002F6D7B">
        <w:rPr>
          <w:rFonts w:eastAsia="Times New Roman" w:cstheme="minorHAnsi"/>
          <w:bCs/>
          <w:lang w:val="sr-Latn-ME"/>
        </w:rPr>
        <w:t xml:space="preserve">Proširenje Programa Garancije za mlade </w:t>
      </w:r>
      <w:proofErr w:type="spellStart"/>
      <w:r>
        <w:rPr>
          <w:rFonts w:eastAsia="Times New Roman" w:cstheme="minorHAnsi"/>
          <w:bCs/>
          <w:lang w:val="sr-Latn-ME"/>
        </w:rPr>
        <w:t>preko</w:t>
      </w:r>
      <w:proofErr w:type="spellEnd"/>
      <w:r w:rsidRPr="002F6D7B">
        <w:rPr>
          <w:rFonts w:eastAsia="Times New Roman" w:cstheme="minorHAnsi"/>
          <w:bCs/>
          <w:lang w:val="sr-Latn-ME"/>
        </w:rPr>
        <w:t xml:space="preserve"> tri pilot opštine;</w:t>
      </w:r>
    </w:p>
    <w:p w14:paraId="12BEA2AC"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Pr>
          <w:rFonts w:eastAsia="Times New Roman" w:cstheme="minorHAnsi"/>
          <w:bCs/>
          <w:lang w:val="sr-Latn-ME"/>
        </w:rPr>
        <w:t>Reformska agenda</w:t>
      </w:r>
      <w:r w:rsidRPr="002F6D7B">
        <w:rPr>
          <w:rFonts w:eastAsia="Times New Roman" w:cstheme="minorHAnsi"/>
          <w:bCs/>
          <w:lang w:val="sr-Latn-ME"/>
        </w:rPr>
        <w:t xml:space="preserve"> 2024–2027</w:t>
      </w:r>
      <w:r w:rsidRPr="002F6D7B">
        <w:rPr>
          <w:rStyle w:val="Referencafusnote"/>
          <w:rFonts w:eastAsia="Times New Roman" w:cstheme="minorHAnsi"/>
          <w:bCs/>
          <w:lang w:val="sr-Latn-ME"/>
        </w:rPr>
        <w:footnoteReference w:id="35"/>
      </w:r>
      <w:r w:rsidRPr="002F6D7B">
        <w:rPr>
          <w:rFonts w:eastAsia="Times New Roman" w:cstheme="minorHAnsi"/>
          <w:bCs/>
          <w:lang w:val="sr-Latn-ME"/>
        </w:rPr>
        <w:t xml:space="preserve"> - ključni koraci u oblasti aktivacije tržišta rada, dostojanstvenog rada i smanjenja neformalne ekonomije;</w:t>
      </w:r>
    </w:p>
    <w:p w14:paraId="36736040"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sidRPr="002F6D7B">
        <w:rPr>
          <w:rFonts w:eastAsia="Times New Roman" w:cstheme="minorHAnsi"/>
          <w:bCs/>
          <w:lang w:val="sr-Latn-ME"/>
        </w:rPr>
        <w:t>Jačanje aktivnih politika tržišta rada (ALMP) i kapaciteta Zavoda za zapošljavanje;</w:t>
      </w:r>
    </w:p>
    <w:p w14:paraId="034040D5"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sidRPr="002F6D7B">
        <w:rPr>
          <w:rFonts w:eastAsia="Times New Roman" w:cstheme="minorHAnsi"/>
          <w:bCs/>
          <w:lang w:val="sr-Latn-ME"/>
        </w:rPr>
        <w:t>Rješavanje neusklađenosti vještina kroz usklađivanje sa politikom oblast 6 „Obrazovanje i vještine“ (PA6);</w:t>
      </w:r>
    </w:p>
    <w:p w14:paraId="5303ED17"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r w:rsidRPr="002F6D7B">
        <w:rPr>
          <w:rFonts w:eastAsia="Times New Roman" w:cstheme="minorHAnsi"/>
          <w:bCs/>
          <w:lang w:val="sr-Latn-ME"/>
        </w:rPr>
        <w:t>Podrška učešću žena na tržištu rada kroz proširenje usluga brige o djeci/rano i predškolsko obrazovanje i fleksibilne oblike rada;</w:t>
      </w:r>
    </w:p>
    <w:p w14:paraId="58AB70A9" w14:textId="77777777" w:rsidR="00410F31" w:rsidRPr="002F6D7B" w:rsidRDefault="00410F31" w:rsidP="00410F31">
      <w:pPr>
        <w:pStyle w:val="Odlomakpopisa"/>
        <w:numPr>
          <w:ilvl w:val="0"/>
          <w:numId w:val="6"/>
        </w:numPr>
        <w:spacing w:line="259" w:lineRule="auto"/>
        <w:rPr>
          <w:rFonts w:eastAsia="Times New Roman" w:cstheme="minorHAnsi"/>
          <w:bCs/>
          <w:lang w:val="sr-Latn-ME"/>
        </w:rPr>
      </w:pPr>
      <w:proofErr w:type="spellStart"/>
      <w:r w:rsidRPr="002F6D7B">
        <w:rPr>
          <w:lang w:val="sr-Latn-ME"/>
        </w:rPr>
        <w:t>Obezbjeđivanje</w:t>
      </w:r>
      <w:proofErr w:type="spellEnd"/>
      <w:r w:rsidRPr="002F6D7B">
        <w:rPr>
          <w:lang w:val="sr-Latn-ME"/>
        </w:rPr>
        <w:t xml:space="preserve"> sprovođenja Godišnjeg akcionog plana IPA 2024 za podršku zapošljavanju i socijalnoj politici u Crnoj Gori, zajedno sa Višegodišnjim operativnim programom „Zapošljavanje i socijalna uključenost“ za period 2024–2027 u oblasti zapošljavanja.</w:t>
      </w:r>
    </w:p>
    <w:p w14:paraId="440DE40D" w14:textId="27EE3C08" w:rsidR="00410F31" w:rsidRPr="002F6D7B" w:rsidRDefault="00410F31" w:rsidP="00410F31">
      <w:pPr>
        <w:pStyle w:val="Naslov4"/>
        <w:rPr>
          <w:rFonts w:eastAsia="Times New Roman"/>
          <w:lang w:val="sr-Latn-ME"/>
        </w:rPr>
      </w:pPr>
      <w:r w:rsidRPr="002F6D7B">
        <w:rPr>
          <w:rFonts w:eastAsia="Times New Roman"/>
          <w:lang w:val="sr-Latn-ME"/>
        </w:rPr>
        <w:t>Socijalna zaštita i uključenost</w:t>
      </w:r>
    </w:p>
    <w:p w14:paraId="63F2ACB3"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t xml:space="preserve">Sprovođenje seta novih strateških dokumenata: socijalna i dječja zaštita, </w:t>
      </w:r>
      <w:proofErr w:type="spellStart"/>
      <w:r w:rsidRPr="002F6D7B">
        <w:rPr>
          <w:rFonts w:eastAsia="Times New Roman" w:cstheme="minorHAnsi"/>
          <w:bCs/>
          <w:lang w:val="sr-Latn-ME"/>
        </w:rPr>
        <w:t>deinstitucionalizacija</w:t>
      </w:r>
      <w:proofErr w:type="spellEnd"/>
      <w:r w:rsidRPr="002F6D7B">
        <w:rPr>
          <w:rFonts w:eastAsia="Times New Roman" w:cstheme="minorHAnsi"/>
          <w:bCs/>
          <w:lang w:val="sr-Latn-ME"/>
        </w:rPr>
        <w:t>, prevencija i zaštita djece od nasilja;</w:t>
      </w:r>
    </w:p>
    <w:p w14:paraId="6FD83108"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t>Ostvarivanje cilja od najmanje 3 socijalne usluge zasnovane na zajednici po opštini do 2027. godine;</w:t>
      </w:r>
    </w:p>
    <w:p w14:paraId="53DDF039"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lang w:val="sr-Latn-ME"/>
        </w:rPr>
        <w:t>Socijalna davanja su „nedovoljno usmjerena“ i ne dopiru efikasno do siromašnih, pri čemu samo ograničen dio davanja dospijeva do najsiromašnijih domaćinstava</w:t>
      </w:r>
      <w:r w:rsidRPr="002F6D7B">
        <w:rPr>
          <w:rStyle w:val="Referencafusnote"/>
          <w:lang w:val="sr-Latn-ME"/>
        </w:rPr>
        <w:footnoteReference w:id="36"/>
      </w:r>
      <w:r w:rsidRPr="002F6D7B">
        <w:rPr>
          <w:rFonts w:eastAsia="Times New Roman" w:cstheme="minorHAnsi"/>
          <w:bCs/>
          <w:lang w:val="sr-Latn-ME"/>
        </w:rPr>
        <w:t xml:space="preserve">; </w:t>
      </w:r>
      <w:r w:rsidRPr="002F6D7B">
        <w:rPr>
          <w:lang w:val="sr-Latn-ME"/>
        </w:rPr>
        <w:t xml:space="preserve">stoga su reforme u ovoj oblasti neophodne radi unaprjeđenja preciznosti ciljanja, </w:t>
      </w:r>
      <w:proofErr w:type="spellStart"/>
      <w:r w:rsidRPr="002F6D7B">
        <w:rPr>
          <w:lang w:val="sr-Latn-ME"/>
        </w:rPr>
        <w:t>obezbjeđivanja</w:t>
      </w:r>
      <w:proofErr w:type="spellEnd"/>
      <w:r w:rsidRPr="002F6D7B">
        <w:rPr>
          <w:lang w:val="sr-Latn-ME"/>
        </w:rPr>
        <w:t xml:space="preserve"> da podrška stigne do najranjivijih grupa i jačanja ukupne efikasnosti i održivosti sistema socijalne zaštite</w:t>
      </w:r>
      <w:r>
        <w:rPr>
          <w:lang w:val="sr-Latn-ME"/>
        </w:rPr>
        <w:t>;</w:t>
      </w:r>
    </w:p>
    <w:p w14:paraId="04559F57"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lastRenderedPageBreak/>
        <w:t xml:space="preserve">Rješavanje održivosti penzijskog sistema </w:t>
      </w:r>
      <w:proofErr w:type="spellStart"/>
      <w:r w:rsidRPr="002F6D7B">
        <w:rPr>
          <w:rFonts w:eastAsia="Times New Roman" w:cstheme="minorHAnsi"/>
          <w:bCs/>
          <w:lang w:val="sr-Latn-ME"/>
        </w:rPr>
        <w:t>usljed</w:t>
      </w:r>
      <w:proofErr w:type="spellEnd"/>
      <w:r w:rsidRPr="002F6D7B">
        <w:rPr>
          <w:rFonts w:eastAsia="Times New Roman" w:cstheme="minorHAnsi"/>
          <w:bCs/>
          <w:lang w:val="sr-Latn-ME"/>
        </w:rPr>
        <w:t xml:space="preserve"> smanjenja doprinosa i demografskih pritisaka, posebno starenja stanovništva; rastući </w:t>
      </w:r>
      <w:proofErr w:type="spellStart"/>
      <w:r w:rsidRPr="002F6D7B">
        <w:rPr>
          <w:rFonts w:eastAsia="Times New Roman" w:cstheme="minorHAnsi"/>
          <w:bCs/>
          <w:lang w:val="sr-Latn-ME"/>
        </w:rPr>
        <w:t>udio</w:t>
      </w:r>
      <w:proofErr w:type="spellEnd"/>
      <w:r w:rsidRPr="002F6D7B">
        <w:rPr>
          <w:rFonts w:eastAsia="Times New Roman" w:cstheme="minorHAnsi"/>
          <w:bCs/>
          <w:lang w:val="sr-Latn-ME"/>
        </w:rPr>
        <w:t xml:space="preserve"> starijih osoba i smanjenje radno sposobnog stanovništva dodatno opterećuju sistem zasnovan na tekućem finansiranju; potrebne su reforme radi </w:t>
      </w:r>
      <w:proofErr w:type="spellStart"/>
      <w:r w:rsidRPr="002F6D7B">
        <w:rPr>
          <w:rFonts w:eastAsia="Times New Roman" w:cstheme="minorHAnsi"/>
          <w:bCs/>
          <w:lang w:val="sr-Latn-ME"/>
        </w:rPr>
        <w:t>obezbjeđivanja</w:t>
      </w:r>
      <w:proofErr w:type="spellEnd"/>
      <w:r w:rsidRPr="002F6D7B">
        <w:rPr>
          <w:rFonts w:eastAsia="Times New Roman" w:cstheme="minorHAnsi"/>
          <w:bCs/>
          <w:lang w:val="sr-Latn-ME"/>
        </w:rPr>
        <w:t xml:space="preserve"> dugoročne finansijske održivosti, uključujući mjere za uravnoteženje doprinosa i davanja, produženje radnog vijeka i prilagođavanje sistema demografskim trendovima;</w:t>
      </w:r>
    </w:p>
    <w:p w14:paraId="63CE7DE8"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t>Dalji razvoj platforme e-</w:t>
      </w:r>
      <w:proofErr w:type="spellStart"/>
      <w:r w:rsidRPr="002F6D7B">
        <w:rPr>
          <w:rFonts w:eastAsia="Times New Roman" w:cstheme="minorHAnsi"/>
          <w:bCs/>
          <w:lang w:val="sr-Latn-ME"/>
        </w:rPr>
        <w:t>Social</w:t>
      </w:r>
      <w:proofErr w:type="spellEnd"/>
      <w:r w:rsidRPr="002F6D7B">
        <w:rPr>
          <w:rStyle w:val="Referencafusnote"/>
          <w:rFonts w:eastAsia="Times New Roman" w:cstheme="minorHAnsi"/>
          <w:bCs/>
          <w:lang w:val="sr-Latn-ME"/>
        </w:rPr>
        <w:footnoteReference w:id="37"/>
      </w:r>
      <w:r w:rsidRPr="002F6D7B">
        <w:rPr>
          <w:rFonts w:eastAsia="Times New Roman" w:cstheme="minorHAnsi"/>
          <w:bCs/>
          <w:lang w:val="sr-Latn-ME"/>
        </w:rPr>
        <w:t xml:space="preserve"> za upravljanje socijalnim davanjima;</w:t>
      </w:r>
    </w:p>
    <w:p w14:paraId="03C11B0E"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t xml:space="preserve">Sprovođenje nacionalnog akcionog plana za Evropsku garanciju za djecu kroz izradu Nacionalnog akcionog plana za Garanciju za djecu u Crnoj Gori, u cilju suzbijanja dječjeg siromaštva i socijalne isključenosti, uz usklađivanje sa prioritetima pristupanja EU; fokus na jačanju prava djece, </w:t>
      </w:r>
      <w:proofErr w:type="spellStart"/>
      <w:r w:rsidRPr="002F6D7B">
        <w:rPr>
          <w:rFonts w:eastAsia="Times New Roman" w:cstheme="minorHAnsi"/>
          <w:bCs/>
          <w:lang w:val="sr-Latn-ME"/>
        </w:rPr>
        <w:t>deinstitucionalizaciji</w:t>
      </w:r>
      <w:proofErr w:type="spellEnd"/>
      <w:r w:rsidRPr="002F6D7B">
        <w:rPr>
          <w:rFonts w:eastAsia="Times New Roman" w:cstheme="minorHAnsi"/>
          <w:bCs/>
          <w:lang w:val="sr-Latn-ME"/>
        </w:rPr>
        <w:t xml:space="preserve">, unaprjeđenju usluga socijalne i dječje zaštite, razvoju ranih intervencija i </w:t>
      </w:r>
      <w:proofErr w:type="spellStart"/>
      <w:r w:rsidRPr="002F6D7B">
        <w:rPr>
          <w:rFonts w:eastAsia="Times New Roman" w:cstheme="minorHAnsi"/>
          <w:bCs/>
          <w:lang w:val="sr-Latn-ME"/>
        </w:rPr>
        <w:t>obezbjeđivanju</w:t>
      </w:r>
      <w:proofErr w:type="spellEnd"/>
      <w:r w:rsidRPr="002F6D7B">
        <w:rPr>
          <w:rFonts w:eastAsia="Times New Roman" w:cstheme="minorHAnsi"/>
          <w:bCs/>
          <w:lang w:val="sr-Latn-ME"/>
        </w:rPr>
        <w:t xml:space="preserve"> </w:t>
      </w:r>
      <w:proofErr w:type="spellStart"/>
      <w:r w:rsidRPr="002F6D7B">
        <w:rPr>
          <w:rFonts w:eastAsia="Times New Roman" w:cstheme="minorHAnsi"/>
          <w:bCs/>
          <w:lang w:val="sr-Latn-ME"/>
        </w:rPr>
        <w:t>inkluzivnog</w:t>
      </w:r>
      <w:proofErr w:type="spellEnd"/>
      <w:r w:rsidRPr="002F6D7B">
        <w:rPr>
          <w:rFonts w:eastAsia="Times New Roman" w:cstheme="minorHAnsi"/>
          <w:bCs/>
          <w:lang w:val="sr-Latn-ME"/>
        </w:rPr>
        <w:t xml:space="preserve"> obrazovanja, uz podršku UNICEF-a;</w:t>
      </w:r>
    </w:p>
    <w:p w14:paraId="22379F89"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r w:rsidRPr="002F6D7B">
        <w:rPr>
          <w:rFonts w:eastAsia="Times New Roman" w:cstheme="minorHAnsi"/>
          <w:bCs/>
          <w:lang w:val="sr-Latn-ME"/>
        </w:rPr>
        <w:t>Izrada nove Strategije za socijalnu uključenost Roma i Egipćana (</w:t>
      </w:r>
      <w:proofErr w:type="spellStart"/>
      <w:r w:rsidRPr="002F6D7B">
        <w:rPr>
          <w:rFonts w:eastAsia="Times New Roman" w:cstheme="minorHAnsi"/>
          <w:bCs/>
          <w:lang w:val="sr-Latn-ME"/>
        </w:rPr>
        <w:t>nasljednice</w:t>
      </w:r>
      <w:proofErr w:type="spellEnd"/>
      <w:r w:rsidRPr="002F6D7B">
        <w:rPr>
          <w:rFonts w:eastAsia="Times New Roman" w:cstheme="minorHAnsi"/>
          <w:bCs/>
          <w:lang w:val="sr-Latn-ME"/>
        </w:rPr>
        <w:t xml:space="preserve"> strategije za period 2021–2025);</w:t>
      </w:r>
    </w:p>
    <w:p w14:paraId="4AF00E21" w14:textId="77777777" w:rsidR="00410F31" w:rsidRPr="002F6D7B" w:rsidRDefault="00410F31" w:rsidP="00410F31">
      <w:pPr>
        <w:pStyle w:val="Odlomakpopisa"/>
        <w:numPr>
          <w:ilvl w:val="0"/>
          <w:numId w:val="7"/>
        </w:numPr>
        <w:spacing w:line="259" w:lineRule="auto"/>
        <w:rPr>
          <w:rFonts w:eastAsia="Times New Roman" w:cstheme="minorHAnsi"/>
          <w:bCs/>
          <w:lang w:val="sr-Latn-ME"/>
        </w:rPr>
      </w:pPr>
      <w:proofErr w:type="spellStart"/>
      <w:r w:rsidRPr="002F6D7B">
        <w:rPr>
          <w:lang w:val="sr-Latn-ME"/>
        </w:rPr>
        <w:t>Obezbjeđivanje</w:t>
      </w:r>
      <w:proofErr w:type="spellEnd"/>
      <w:r w:rsidRPr="002F6D7B">
        <w:rPr>
          <w:lang w:val="sr-Latn-ME"/>
        </w:rPr>
        <w:t xml:space="preserve"> sprovođenja Godišnjeg akcionog plana IPA 2024 za podršku zapošljavanju i socijalnoj politici u Crnoj Gori, zajedno sa Višegodišnjim operativnim programom „Zapošljavanje i socijalna uključenost“ za period 2024–2027 u oblasti socijalne politike.</w:t>
      </w:r>
    </w:p>
    <w:p w14:paraId="765AED23" w14:textId="7981CC14" w:rsidR="00410F31" w:rsidRPr="002F6D7B" w:rsidRDefault="00410F31" w:rsidP="00410F31">
      <w:pPr>
        <w:pStyle w:val="Naslov4"/>
        <w:rPr>
          <w:rFonts w:eastAsia="Times New Roman"/>
          <w:lang w:val="sr-Latn-ME"/>
        </w:rPr>
      </w:pPr>
      <w:r w:rsidRPr="002F6D7B">
        <w:rPr>
          <w:rFonts w:eastAsia="Times New Roman"/>
          <w:lang w:val="sr-Latn-ME"/>
        </w:rPr>
        <w:t>Zdravstvo</w:t>
      </w:r>
    </w:p>
    <w:p w14:paraId="19486029"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t xml:space="preserve">Sprovođenje Strategije razvoja zdravstva 2023–2027 i infrastrukturnog programa finansiranog od strane CEB-a (bolnica u </w:t>
      </w:r>
      <w:proofErr w:type="spellStart"/>
      <w:r w:rsidRPr="002F6D7B">
        <w:rPr>
          <w:rFonts w:eastAsia="Times New Roman" w:cstheme="minorHAnsi"/>
          <w:bCs/>
          <w:lang w:val="sr-Latn-ME"/>
        </w:rPr>
        <w:t>Pljevljima</w:t>
      </w:r>
      <w:proofErr w:type="spellEnd"/>
      <w:r w:rsidRPr="002F6D7B">
        <w:rPr>
          <w:rFonts w:eastAsia="Times New Roman" w:cstheme="minorHAnsi"/>
          <w:bCs/>
          <w:lang w:val="sr-Latn-ME"/>
        </w:rPr>
        <w:t>, dom zdravlja u Podgorici, Klinika za hematologiju);</w:t>
      </w:r>
    </w:p>
    <w:p w14:paraId="089DD5E5" w14:textId="77777777" w:rsidR="00410F31" w:rsidRPr="002F6D7B" w:rsidRDefault="00410F31" w:rsidP="00410F31">
      <w:pPr>
        <w:pStyle w:val="Odlomakpopisa"/>
        <w:numPr>
          <w:ilvl w:val="1"/>
          <w:numId w:val="8"/>
        </w:numPr>
        <w:spacing w:after="240" w:line="240" w:lineRule="auto"/>
        <w:rPr>
          <w:rFonts w:eastAsia="Times New Roman" w:cstheme="minorHAnsi"/>
          <w:bCs/>
          <w:lang w:val="sr-Latn-ME"/>
        </w:rPr>
      </w:pPr>
      <w:r w:rsidRPr="002F6D7B">
        <w:rPr>
          <w:rFonts w:eastAsia="Times New Roman" w:cstheme="minorHAnsi"/>
          <w:b/>
          <w:bCs/>
          <w:lang w:val="sr-Latn-ME"/>
        </w:rPr>
        <w:t xml:space="preserve">Kredit CEB-a od 83 miliona eura </w:t>
      </w:r>
      <w:r w:rsidRPr="002F6D7B">
        <w:rPr>
          <w:rFonts w:eastAsia="Times New Roman" w:cstheme="minorHAnsi"/>
          <w:bCs/>
          <w:lang w:val="sr-Latn-ME"/>
        </w:rPr>
        <w:t>(odobren april 2025, potpisan oktobar 2025)</w:t>
      </w:r>
      <w:r w:rsidRPr="002F6D7B">
        <w:rPr>
          <w:rStyle w:val="Referencafusnote"/>
          <w:rFonts w:eastAsia="Times New Roman" w:cstheme="minorHAnsi"/>
          <w:bCs/>
          <w:lang w:val="sr-Latn-ME"/>
        </w:rPr>
        <w:footnoteReference w:id="38"/>
      </w:r>
      <w:r w:rsidRPr="002F6D7B">
        <w:rPr>
          <w:rFonts w:eastAsia="Times New Roman" w:cstheme="minorHAnsi"/>
          <w:bCs/>
          <w:lang w:val="sr-Latn-ME"/>
        </w:rPr>
        <w:t xml:space="preserve"> - finansiranje: nove Opšte bolnice u </w:t>
      </w:r>
      <w:proofErr w:type="spellStart"/>
      <w:r w:rsidRPr="002F6D7B">
        <w:rPr>
          <w:rFonts w:eastAsia="Times New Roman" w:cstheme="minorHAnsi"/>
          <w:bCs/>
          <w:lang w:val="sr-Latn-ME"/>
        </w:rPr>
        <w:t>Pljevljima</w:t>
      </w:r>
      <w:proofErr w:type="spellEnd"/>
      <w:r w:rsidRPr="002F6D7B">
        <w:rPr>
          <w:rFonts w:eastAsia="Times New Roman" w:cstheme="minorHAnsi"/>
          <w:bCs/>
          <w:lang w:val="sr-Latn-ME"/>
        </w:rPr>
        <w:t xml:space="preserve"> (zamjena </w:t>
      </w:r>
      <w:proofErr w:type="spellStart"/>
      <w:r w:rsidRPr="002F6D7B">
        <w:rPr>
          <w:rFonts w:eastAsia="Times New Roman" w:cstheme="minorHAnsi"/>
          <w:bCs/>
          <w:lang w:val="sr-Latn-ME"/>
        </w:rPr>
        <w:t>zastarjelih</w:t>
      </w:r>
      <w:proofErr w:type="spellEnd"/>
      <w:r w:rsidRPr="002F6D7B">
        <w:rPr>
          <w:rFonts w:eastAsia="Times New Roman" w:cstheme="minorHAnsi"/>
          <w:bCs/>
          <w:lang w:val="sr-Latn-ME"/>
        </w:rPr>
        <w:t xml:space="preserve"> kapaciteta na sjeveru), Doma zdravlja City Kvart u Podgorici, Klinike za hematologiju u Kliničkom centru Crne Gore, kao i </w:t>
      </w:r>
      <w:proofErr w:type="spellStart"/>
      <w:r w:rsidRPr="002F6D7B">
        <w:rPr>
          <w:rFonts w:eastAsia="Times New Roman" w:cstheme="minorHAnsi"/>
          <w:bCs/>
          <w:lang w:val="sr-Latn-ME"/>
        </w:rPr>
        <w:t>savremene</w:t>
      </w:r>
      <w:proofErr w:type="spellEnd"/>
      <w:r w:rsidRPr="002F6D7B">
        <w:rPr>
          <w:rFonts w:eastAsia="Times New Roman" w:cstheme="minorHAnsi"/>
          <w:bCs/>
          <w:lang w:val="sr-Latn-ME"/>
        </w:rPr>
        <w:t xml:space="preserve"> dijagnostičke opreme (MRI, CT, PET-CT skeneri) za više od 30 javnih zdravstvenih ustanova.</w:t>
      </w:r>
    </w:p>
    <w:p w14:paraId="2A23733B" w14:textId="77777777" w:rsidR="00410F31" w:rsidRPr="002F6D7B" w:rsidRDefault="00410F31" w:rsidP="00410F31">
      <w:pPr>
        <w:pStyle w:val="Odlomakpopisa"/>
        <w:numPr>
          <w:ilvl w:val="1"/>
          <w:numId w:val="8"/>
        </w:numPr>
        <w:spacing w:after="240" w:line="240" w:lineRule="auto"/>
        <w:rPr>
          <w:rFonts w:eastAsia="Times New Roman" w:cstheme="minorHAnsi"/>
          <w:bCs/>
          <w:lang w:val="sr-Latn-ME"/>
        </w:rPr>
      </w:pPr>
      <w:r w:rsidRPr="002F6D7B">
        <w:rPr>
          <w:rFonts w:eastAsia="Times New Roman" w:cstheme="minorHAnsi"/>
          <w:b/>
          <w:bCs/>
          <w:lang w:val="sr-Latn-ME"/>
        </w:rPr>
        <w:t>Kredit EBRD-a od 12 miliona eura (2024)</w:t>
      </w:r>
      <w:r w:rsidRPr="002F6D7B">
        <w:rPr>
          <w:rFonts w:eastAsia="Times New Roman" w:cstheme="minorHAnsi"/>
          <w:lang w:val="sr-Latn-ME"/>
        </w:rPr>
        <w:t xml:space="preserve"> za energetsku efikasnost i renoviranje tri bolnička objekta, uz podršku </w:t>
      </w:r>
      <w:proofErr w:type="spellStart"/>
      <w:r w:rsidRPr="002F6D7B">
        <w:rPr>
          <w:rFonts w:eastAsia="Times New Roman" w:cstheme="minorHAnsi"/>
          <w:lang w:val="sr-Latn-ME"/>
        </w:rPr>
        <w:t>grant</w:t>
      </w:r>
      <w:proofErr w:type="spellEnd"/>
      <w:r w:rsidRPr="002F6D7B">
        <w:rPr>
          <w:rFonts w:eastAsia="Times New Roman" w:cstheme="minorHAnsi"/>
          <w:lang w:val="sr-Latn-ME"/>
        </w:rPr>
        <w:t>-a EU od 2 miliona eura u okviru REEP-a</w:t>
      </w:r>
      <w:r w:rsidRPr="002F6D7B">
        <w:rPr>
          <w:rStyle w:val="Referencafusnote"/>
          <w:rFonts w:eastAsia="Times New Roman" w:cstheme="minorHAnsi"/>
          <w:bCs/>
          <w:lang w:val="sr-Latn-ME"/>
        </w:rPr>
        <w:footnoteReference w:id="39"/>
      </w:r>
    </w:p>
    <w:p w14:paraId="2D086B63" w14:textId="77777777" w:rsidR="00410F31" w:rsidRPr="002F6D7B" w:rsidRDefault="00410F31" w:rsidP="00410F31">
      <w:pPr>
        <w:pStyle w:val="Odlomakpopisa"/>
        <w:numPr>
          <w:ilvl w:val="1"/>
          <w:numId w:val="8"/>
        </w:numPr>
        <w:spacing w:after="240" w:line="240" w:lineRule="auto"/>
        <w:rPr>
          <w:rFonts w:eastAsia="Times New Roman" w:cstheme="minorHAnsi"/>
          <w:bCs/>
          <w:lang w:val="sr-Latn-ME"/>
        </w:rPr>
      </w:pPr>
      <w:r w:rsidRPr="002F6D7B">
        <w:rPr>
          <w:rFonts w:eastAsia="Times New Roman" w:cstheme="minorHAnsi"/>
          <w:b/>
          <w:bCs/>
          <w:lang w:val="sr-Latn-ME"/>
        </w:rPr>
        <w:t xml:space="preserve">Investicioni ciklus Ministarstva zdravlja: </w:t>
      </w:r>
      <w:r w:rsidRPr="002F6D7B">
        <w:rPr>
          <w:rFonts w:eastAsia="Times New Roman" w:cstheme="minorHAnsi"/>
          <w:lang w:val="sr-Latn-ME"/>
        </w:rPr>
        <w:t>26,1 milion eura realizovanih projekata u 2024; 47,3 miliona eura ugovorenih; 17,6 miliona eura u novim tenderima za 2025</w:t>
      </w:r>
      <w:r w:rsidRPr="002F6D7B">
        <w:rPr>
          <w:rStyle w:val="Referencafusnote"/>
          <w:rFonts w:eastAsia="Times New Roman" w:cstheme="minorHAnsi"/>
          <w:bCs/>
          <w:lang w:val="sr-Latn-ME"/>
        </w:rPr>
        <w:footnoteReference w:id="40"/>
      </w:r>
    </w:p>
    <w:p w14:paraId="370C7D59" w14:textId="77777777" w:rsidR="00410F31" w:rsidRPr="002F6D7B" w:rsidRDefault="00410F31" w:rsidP="00410F31">
      <w:pPr>
        <w:pStyle w:val="Odlomakpopisa"/>
        <w:numPr>
          <w:ilvl w:val="1"/>
          <w:numId w:val="8"/>
        </w:numPr>
        <w:spacing w:after="240" w:line="240" w:lineRule="auto"/>
        <w:rPr>
          <w:rFonts w:eastAsia="Times New Roman" w:cstheme="minorHAnsi"/>
          <w:bCs/>
          <w:lang w:val="sr-Latn-ME"/>
        </w:rPr>
      </w:pPr>
      <w:r w:rsidRPr="002F6D7B">
        <w:rPr>
          <w:rFonts w:eastAsia="Times New Roman" w:cstheme="minorHAnsi"/>
          <w:b/>
          <w:bCs/>
          <w:lang w:val="sr-Latn-ME"/>
        </w:rPr>
        <w:t xml:space="preserve">Operativni centar za javno zdravlje (PHEOC) </w:t>
      </w:r>
      <w:r w:rsidRPr="002F6D7B">
        <w:rPr>
          <w:rFonts w:eastAsia="Times New Roman" w:cstheme="minorHAnsi"/>
          <w:lang w:val="sr-Latn-ME"/>
        </w:rPr>
        <w:t>– prvi na Balkanu, izgrađen u Institutu za javno zdravlje u Podgorici, finansiran od strane EU (3 miliona eura, IPA</w:t>
      </w:r>
      <w:r w:rsidRPr="002F6D7B">
        <w:rPr>
          <w:rFonts w:eastAsia="Times New Roman" w:cstheme="minorHAnsi"/>
          <w:bCs/>
          <w:lang w:val="sr-Latn-ME"/>
        </w:rPr>
        <w:t>)</w:t>
      </w:r>
      <w:r w:rsidRPr="002F6D7B">
        <w:rPr>
          <w:rStyle w:val="Referencafusnote"/>
          <w:rFonts w:eastAsia="Times New Roman" w:cstheme="minorHAnsi"/>
          <w:bCs/>
          <w:lang w:val="sr-Latn-ME"/>
        </w:rPr>
        <w:footnoteReference w:id="41"/>
      </w:r>
    </w:p>
    <w:p w14:paraId="753184A3" w14:textId="77777777" w:rsidR="00410F31" w:rsidRPr="002F6D7B" w:rsidRDefault="00410F31" w:rsidP="00410F31">
      <w:pPr>
        <w:pStyle w:val="Odlomakpopisa"/>
        <w:numPr>
          <w:ilvl w:val="1"/>
          <w:numId w:val="8"/>
        </w:numPr>
        <w:spacing w:after="240" w:line="240" w:lineRule="auto"/>
        <w:rPr>
          <w:rFonts w:eastAsia="Times New Roman" w:cstheme="minorHAnsi"/>
          <w:bCs/>
          <w:lang w:val="sr-Latn-ME"/>
        </w:rPr>
      </w:pPr>
      <w:r w:rsidRPr="002F6D7B">
        <w:rPr>
          <w:rFonts w:eastAsia="Times New Roman" w:cstheme="minorHAnsi"/>
          <w:b/>
          <w:bCs/>
          <w:lang w:val="sr-Latn-ME"/>
        </w:rPr>
        <w:t xml:space="preserve">Integrisani zdravstveni informacioni sistem (IHIS) </w:t>
      </w:r>
      <w:r w:rsidRPr="002F6D7B">
        <w:rPr>
          <w:rFonts w:eastAsia="Times New Roman" w:cstheme="minorHAnsi"/>
          <w:lang w:val="sr-Latn-ME"/>
        </w:rPr>
        <w:t>– uz podršku UNDP-a, završena informatizacija zdravstvenih ustanova, uključujući Klinički centar Crne Gore</w:t>
      </w:r>
      <w:r w:rsidRPr="002F6D7B">
        <w:rPr>
          <w:rStyle w:val="Referencafusnote"/>
          <w:rFonts w:eastAsia="Times New Roman" w:cstheme="minorHAnsi"/>
          <w:b/>
          <w:bCs/>
          <w:vertAlign w:val="baseline"/>
          <w:lang w:val="sr-Latn-ME"/>
        </w:rPr>
        <w:t xml:space="preserve"> </w:t>
      </w:r>
      <w:r w:rsidRPr="002F6D7B">
        <w:rPr>
          <w:rStyle w:val="Referencafusnote"/>
          <w:rFonts w:eastAsia="Times New Roman" w:cstheme="minorHAnsi"/>
          <w:bCs/>
          <w:lang w:val="sr-Latn-ME"/>
        </w:rPr>
        <w:footnoteReference w:id="42"/>
      </w:r>
    </w:p>
    <w:p w14:paraId="07BA6218"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t xml:space="preserve">Modernizacija dijagnostičke opreme u više od 30 javnih zdravstvenih ustanova; </w:t>
      </w:r>
    </w:p>
    <w:p w14:paraId="1451F662"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t>Rješavanje emigracije medicinskog kadra i nedostatka zdravstvenih radnika;</w:t>
      </w:r>
    </w:p>
    <w:p w14:paraId="2765C1E7"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lastRenderedPageBreak/>
        <w:t>Jačanje primarne zdravstvene zaštite i zdravstvenih usluga zasnovanih na zajednici;</w:t>
      </w:r>
    </w:p>
    <w:p w14:paraId="05CC8C85"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t xml:space="preserve">Operacionalizacija PHEOC-a i jačanje spremnosti za vanredne situacije u zdravstvu; </w:t>
      </w:r>
    </w:p>
    <w:p w14:paraId="13377661" w14:textId="77777777" w:rsidR="00410F31" w:rsidRPr="002F6D7B" w:rsidRDefault="00410F31" w:rsidP="00410F31">
      <w:pPr>
        <w:pStyle w:val="Odlomakpopisa"/>
        <w:numPr>
          <w:ilvl w:val="0"/>
          <w:numId w:val="8"/>
        </w:numPr>
        <w:spacing w:line="259" w:lineRule="auto"/>
        <w:rPr>
          <w:rFonts w:eastAsia="Times New Roman" w:cstheme="minorHAnsi"/>
          <w:bCs/>
          <w:lang w:val="sr-Latn-ME"/>
        </w:rPr>
      </w:pPr>
      <w:r w:rsidRPr="002F6D7B">
        <w:rPr>
          <w:rFonts w:eastAsia="Times New Roman" w:cstheme="minorHAnsi"/>
          <w:bCs/>
          <w:lang w:val="sr-Latn-ME"/>
        </w:rPr>
        <w:t xml:space="preserve">Unaprjeđenje digitalizacije zdravstvenog sistema (održivost i interoperabilnost IHIS-a). </w:t>
      </w:r>
    </w:p>
    <w:p w14:paraId="51C51338" w14:textId="037F1EEB" w:rsidR="00410F31" w:rsidRPr="002F6D7B" w:rsidRDefault="00410F31" w:rsidP="00410F31">
      <w:pPr>
        <w:pStyle w:val="Naslov4"/>
        <w:rPr>
          <w:rFonts w:eastAsia="Times New Roman"/>
          <w:lang w:val="sr-Latn-ME"/>
        </w:rPr>
      </w:pPr>
      <w:r w:rsidRPr="002F6D7B">
        <w:rPr>
          <w:rFonts w:eastAsia="Times New Roman"/>
          <w:lang w:val="sr-Latn-ME"/>
        </w:rPr>
        <w:t>Demografska politika</w:t>
      </w:r>
    </w:p>
    <w:p w14:paraId="107F3D17" w14:textId="77777777" w:rsidR="00410F31" w:rsidRPr="002F6D7B" w:rsidRDefault="00410F31" w:rsidP="00410F31">
      <w:pPr>
        <w:pStyle w:val="Odlomakpopisa"/>
        <w:numPr>
          <w:ilvl w:val="0"/>
          <w:numId w:val="9"/>
        </w:numPr>
        <w:spacing w:line="259" w:lineRule="auto"/>
        <w:rPr>
          <w:rFonts w:eastAsia="Times New Roman" w:cstheme="minorHAnsi"/>
          <w:bCs/>
          <w:lang w:val="sr-Latn-ME"/>
        </w:rPr>
      </w:pPr>
      <w:r w:rsidRPr="002F6D7B">
        <w:rPr>
          <w:rFonts w:eastAsia="Times New Roman" w:cstheme="minorHAnsi"/>
          <w:bCs/>
          <w:lang w:val="sr-Latn-ME"/>
        </w:rPr>
        <w:t xml:space="preserve">Izrada sveobuhvatne nacionalne strategije stanovništva koja integriše dimenzije zapošljavanja, obrazovanja, zdravstva, rodne ravnopravnosti i regionalnog razvoja (u skladu sa preporukama </w:t>
      </w:r>
      <w:proofErr w:type="spellStart"/>
      <w:r>
        <w:rPr>
          <w:rFonts w:eastAsia="Times New Roman" w:cstheme="minorHAnsi"/>
          <w:bCs/>
          <w:lang w:val="sr-Latn-ME"/>
        </w:rPr>
        <w:t>analiize</w:t>
      </w:r>
      <w:proofErr w:type="spellEnd"/>
      <w:r>
        <w:rPr>
          <w:rFonts w:eastAsia="Times New Roman" w:cstheme="minorHAnsi"/>
          <w:bCs/>
          <w:lang w:val="sr-Latn-ME"/>
        </w:rPr>
        <w:t xml:space="preserve"> </w:t>
      </w:r>
      <w:r w:rsidRPr="002F6D7B">
        <w:rPr>
          <w:rFonts w:eastAsia="Times New Roman" w:cstheme="minorHAnsi"/>
          <w:bCs/>
          <w:lang w:val="sr-Latn-ME"/>
        </w:rPr>
        <w:t>NSOR-a</w:t>
      </w:r>
      <w:r>
        <w:rPr>
          <w:rFonts w:eastAsia="Times New Roman" w:cstheme="minorHAnsi"/>
          <w:bCs/>
          <w:lang w:val="sr-Latn-ME"/>
        </w:rPr>
        <w:t xml:space="preserve"> u oblasti demografije</w:t>
      </w:r>
      <w:r w:rsidRPr="002F6D7B">
        <w:rPr>
          <w:rFonts w:eastAsia="Times New Roman" w:cstheme="minorHAnsi"/>
          <w:bCs/>
          <w:lang w:val="sr-Latn-ME"/>
        </w:rPr>
        <w:t>);</w:t>
      </w:r>
    </w:p>
    <w:p w14:paraId="7C57447D" w14:textId="77777777" w:rsidR="00410F31" w:rsidRPr="002F6D7B" w:rsidRDefault="00410F31" w:rsidP="00410F31">
      <w:pPr>
        <w:pStyle w:val="Odlomakpopisa"/>
        <w:numPr>
          <w:ilvl w:val="0"/>
          <w:numId w:val="9"/>
        </w:numPr>
        <w:spacing w:line="259" w:lineRule="auto"/>
        <w:rPr>
          <w:rFonts w:eastAsia="Times New Roman" w:cstheme="minorHAnsi"/>
          <w:bCs/>
          <w:lang w:val="sr-Latn-ME"/>
        </w:rPr>
      </w:pPr>
      <w:r w:rsidRPr="002F6D7B">
        <w:rPr>
          <w:rFonts w:eastAsia="Times New Roman" w:cstheme="minorHAnsi"/>
          <w:bCs/>
          <w:lang w:val="sr-Latn-ME"/>
        </w:rPr>
        <w:t>Jačanje politika podrške porodici izvan jednokratnih finansijskih podsticaja (briga o djeci, ravnoteža između poslovnog i privatnog života).</w:t>
      </w:r>
    </w:p>
    <w:p w14:paraId="3E5A06D8" w14:textId="77777777" w:rsidR="00410F31" w:rsidRDefault="00410F31" w:rsidP="00410F31">
      <w:pPr>
        <w:pStyle w:val="Naslov3"/>
        <w:rPr>
          <w:rFonts w:eastAsia="Times New Roman"/>
          <w:lang w:val="sr-Latn-ME"/>
        </w:rPr>
      </w:pPr>
      <w:r w:rsidRPr="002F6D7B">
        <w:rPr>
          <w:rFonts w:eastAsia="Times New Roman"/>
          <w:lang w:val="sr-Latn-ME"/>
        </w:rPr>
        <w:t xml:space="preserve">Veze sa </w:t>
      </w:r>
      <w:r>
        <w:rPr>
          <w:rFonts w:eastAsia="Times New Roman"/>
          <w:lang w:val="sr-Latn-ME"/>
        </w:rPr>
        <w:t>Program ekonomskih reformi</w:t>
      </w:r>
      <w:r w:rsidRPr="002F6D7B">
        <w:rPr>
          <w:rFonts w:eastAsia="Times New Roman"/>
          <w:lang w:val="sr-Latn-ME"/>
        </w:rPr>
        <w:t xml:space="preserve"> i </w:t>
      </w:r>
      <w:r>
        <w:rPr>
          <w:rFonts w:eastAsia="Times New Roman"/>
          <w:lang w:val="sr-Latn-ME"/>
        </w:rPr>
        <w:t>Reformskom agendom</w:t>
      </w:r>
    </w:p>
    <w:p w14:paraId="3AEB64E6" w14:textId="7F035829" w:rsidR="00410F31" w:rsidRPr="002F6D7B" w:rsidRDefault="00410F31" w:rsidP="00410F31">
      <w:pPr>
        <w:spacing w:line="259" w:lineRule="auto"/>
        <w:rPr>
          <w:rFonts w:eastAsia="Times New Roman" w:cstheme="minorHAnsi"/>
          <w:bCs/>
          <w:lang w:val="sr-Latn-ME"/>
        </w:rPr>
      </w:pPr>
      <w:r>
        <w:rPr>
          <w:rFonts w:eastAsia="Times New Roman" w:cstheme="minorHAnsi"/>
          <w:lang w:val="sr-Latn-ME"/>
        </w:rPr>
        <w:t>Reformska agenda</w:t>
      </w:r>
      <w:r w:rsidRPr="002F6D7B">
        <w:rPr>
          <w:rFonts w:eastAsia="Times New Roman" w:cstheme="minorHAnsi"/>
          <w:lang w:val="sr-Latn-ME"/>
        </w:rPr>
        <w:t xml:space="preserve"> 2024–2027 uključuje reformu socijalne zaštite, Garanciju za mlade i ključne korake u modernizaciji zdravstvenog sistema. </w:t>
      </w:r>
      <w:r>
        <w:rPr>
          <w:rFonts w:eastAsia="Times New Roman" w:cstheme="minorHAnsi"/>
          <w:lang w:val="sr-Latn-ME"/>
        </w:rPr>
        <w:t xml:space="preserve">PER </w:t>
      </w:r>
      <w:r w:rsidRPr="002F6D7B">
        <w:rPr>
          <w:rFonts w:eastAsia="Times New Roman" w:cstheme="minorHAnsi"/>
          <w:lang w:val="sr-Latn-ME"/>
        </w:rPr>
        <w:t xml:space="preserve"> 2026–2028 razmatra fiskalne implikacije smanjenja doprinosa za penzijsko osiguranje i održivost socijalne potrošnje. Izvještaj Evropske komisije za Crnu Goru za 2025. godinu</w:t>
      </w:r>
      <w:r w:rsidRPr="002F6D7B">
        <w:rPr>
          <w:rStyle w:val="Referencafusnote"/>
          <w:rFonts w:eastAsia="Times New Roman" w:cstheme="minorHAnsi"/>
          <w:bCs/>
          <w:lang w:val="sr-Latn-ME"/>
        </w:rPr>
        <w:footnoteReference w:id="43"/>
      </w:r>
      <w:r w:rsidRPr="002F6D7B">
        <w:rPr>
          <w:rFonts w:eastAsia="Times New Roman" w:cstheme="minorHAnsi"/>
          <w:bCs/>
          <w:lang w:val="sr-Latn-ME"/>
        </w:rPr>
        <w:t xml:space="preserve"> ocjenjuje Poglavlje 19 (Socijalna politika i zapošljavanje) i Poglavlje 28 (Zaštita potrošača i javno zdravlje). </w:t>
      </w:r>
    </w:p>
    <w:p w14:paraId="738A9E33" w14:textId="2739E2EC" w:rsidR="00410F31" w:rsidRPr="00804DDE" w:rsidRDefault="00410F31" w:rsidP="00410F31">
      <w:pPr>
        <w:pStyle w:val="Naslov2"/>
        <w:rPr>
          <w:rFonts w:eastAsia="Times New Roman"/>
          <w:lang w:val="sr-Latn-ME"/>
        </w:rPr>
      </w:pPr>
      <w:r w:rsidRPr="00804DDE">
        <w:rPr>
          <w:rFonts w:eastAsia="Times New Roman"/>
          <w:lang w:val="sr-Latn-ME"/>
        </w:rPr>
        <w:t>Ključni indikatori</w:t>
      </w:r>
    </w:p>
    <w:p w14:paraId="27E3F1C8" w14:textId="77777777" w:rsidR="00410F31" w:rsidRPr="002F6D7B" w:rsidRDefault="00410F31" w:rsidP="00410F31">
      <w:pPr>
        <w:rPr>
          <w:sz w:val="12"/>
          <w:lang w:val="sr-Latn-ME"/>
        </w:rPr>
      </w:pPr>
    </w:p>
    <w:tbl>
      <w:tblPr>
        <w:tblStyle w:val="Reetkatablice"/>
        <w:tblW w:w="5000" w:type="pct"/>
        <w:jc w:val="center"/>
        <w:tblLook w:val="04A0" w:firstRow="1" w:lastRow="0" w:firstColumn="1" w:lastColumn="0" w:noHBand="0" w:noVBand="1"/>
      </w:tblPr>
      <w:tblGrid>
        <w:gridCol w:w="2847"/>
        <w:gridCol w:w="1270"/>
        <w:gridCol w:w="1424"/>
        <w:gridCol w:w="1593"/>
        <w:gridCol w:w="1928"/>
      </w:tblGrid>
      <w:tr w:rsidR="00410F31" w:rsidRPr="00410F31" w14:paraId="6E63F708" w14:textId="77777777" w:rsidTr="00410F31">
        <w:trPr>
          <w:trHeight w:val="432"/>
          <w:jc w:val="center"/>
        </w:trPr>
        <w:tc>
          <w:tcPr>
            <w:tcW w:w="1572" w:type="pct"/>
            <w:shd w:val="clear" w:color="auto" w:fill="83CAEB" w:themeFill="accent1" w:themeFillTint="66"/>
            <w:vAlign w:val="center"/>
            <w:hideMark/>
          </w:tcPr>
          <w:p w14:paraId="6EBF44D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Indikator</w:t>
            </w:r>
          </w:p>
        </w:tc>
        <w:tc>
          <w:tcPr>
            <w:tcW w:w="695" w:type="pct"/>
            <w:shd w:val="clear" w:color="auto" w:fill="83CAEB" w:themeFill="accent1" w:themeFillTint="66"/>
            <w:vAlign w:val="center"/>
            <w:hideMark/>
          </w:tcPr>
          <w:p w14:paraId="3AC00AD9"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Crna Gora</w:t>
            </w:r>
          </w:p>
        </w:tc>
        <w:tc>
          <w:tcPr>
            <w:tcW w:w="787" w:type="pct"/>
            <w:shd w:val="clear" w:color="auto" w:fill="83CAEB" w:themeFill="accent1" w:themeFillTint="66"/>
            <w:vAlign w:val="center"/>
            <w:hideMark/>
          </w:tcPr>
          <w:p w14:paraId="746D09A9"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EU-27 / NATO prosjek</w:t>
            </w:r>
          </w:p>
        </w:tc>
        <w:tc>
          <w:tcPr>
            <w:tcW w:w="880" w:type="pct"/>
            <w:shd w:val="clear" w:color="auto" w:fill="83CAEB" w:themeFill="accent1" w:themeFillTint="66"/>
            <w:vAlign w:val="center"/>
            <w:hideMark/>
          </w:tcPr>
          <w:p w14:paraId="161888A4"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Target/Mjerilo</w:t>
            </w:r>
          </w:p>
        </w:tc>
        <w:tc>
          <w:tcPr>
            <w:tcW w:w="1065" w:type="pct"/>
            <w:shd w:val="clear" w:color="auto" w:fill="83CAEB" w:themeFill="accent1" w:themeFillTint="66"/>
            <w:vAlign w:val="center"/>
            <w:hideMark/>
          </w:tcPr>
          <w:p w14:paraId="463EB2F3"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Godina/Izvor</w:t>
            </w:r>
          </w:p>
        </w:tc>
      </w:tr>
      <w:tr w:rsidR="00410F31" w:rsidRPr="00410F31" w14:paraId="7FE9D2EC" w14:textId="77777777" w:rsidTr="00410F31">
        <w:trPr>
          <w:trHeight w:val="206"/>
          <w:jc w:val="center"/>
        </w:trPr>
        <w:tc>
          <w:tcPr>
            <w:tcW w:w="1572" w:type="pct"/>
            <w:hideMark/>
          </w:tcPr>
          <w:p w14:paraId="0C08D72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Stopa nezaposlenosti (15-64)</w:t>
            </w:r>
          </w:p>
        </w:tc>
        <w:tc>
          <w:tcPr>
            <w:tcW w:w="695" w:type="pct"/>
            <w:hideMark/>
          </w:tcPr>
          <w:p w14:paraId="4A33E17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11.60%</w:t>
            </w:r>
          </w:p>
        </w:tc>
        <w:tc>
          <w:tcPr>
            <w:tcW w:w="787" w:type="pct"/>
            <w:hideMark/>
          </w:tcPr>
          <w:p w14:paraId="435E7A30"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~6.0%</w:t>
            </w:r>
          </w:p>
        </w:tc>
        <w:tc>
          <w:tcPr>
            <w:tcW w:w="880" w:type="pct"/>
            <w:hideMark/>
          </w:tcPr>
          <w:p w14:paraId="1A824DF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13F6D8D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 LFS</w:t>
            </w:r>
          </w:p>
        </w:tc>
      </w:tr>
      <w:tr w:rsidR="00410F31" w:rsidRPr="00410F31" w14:paraId="35633752" w14:textId="77777777" w:rsidTr="00410F31">
        <w:trPr>
          <w:trHeight w:val="161"/>
          <w:jc w:val="center"/>
        </w:trPr>
        <w:tc>
          <w:tcPr>
            <w:tcW w:w="1572" w:type="pct"/>
            <w:hideMark/>
          </w:tcPr>
          <w:p w14:paraId="484D9C9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Nezaposlenost mladih (15–24)</w:t>
            </w:r>
          </w:p>
        </w:tc>
        <w:tc>
          <w:tcPr>
            <w:tcW w:w="695" w:type="pct"/>
            <w:hideMark/>
          </w:tcPr>
          <w:p w14:paraId="647E6763"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26.00%</w:t>
            </w:r>
          </w:p>
        </w:tc>
        <w:tc>
          <w:tcPr>
            <w:tcW w:w="787" w:type="pct"/>
            <w:hideMark/>
          </w:tcPr>
          <w:p w14:paraId="605122D2"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~14.5%</w:t>
            </w:r>
          </w:p>
        </w:tc>
        <w:tc>
          <w:tcPr>
            <w:tcW w:w="880" w:type="pct"/>
            <w:hideMark/>
          </w:tcPr>
          <w:p w14:paraId="23B1B4A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736CF0E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 LFS</w:t>
            </w:r>
          </w:p>
        </w:tc>
      </w:tr>
      <w:tr w:rsidR="00410F31" w:rsidRPr="00410F31" w14:paraId="4241750A" w14:textId="77777777" w:rsidTr="00410F31">
        <w:trPr>
          <w:trHeight w:val="58"/>
          <w:jc w:val="center"/>
        </w:trPr>
        <w:tc>
          <w:tcPr>
            <w:tcW w:w="1572" w:type="pct"/>
            <w:hideMark/>
          </w:tcPr>
          <w:p w14:paraId="3A4E177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NEET stopa (15–24)</w:t>
            </w:r>
          </w:p>
        </w:tc>
        <w:tc>
          <w:tcPr>
            <w:tcW w:w="695" w:type="pct"/>
            <w:hideMark/>
          </w:tcPr>
          <w:p w14:paraId="60E5E493"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14.20%</w:t>
            </w:r>
          </w:p>
        </w:tc>
        <w:tc>
          <w:tcPr>
            <w:tcW w:w="787" w:type="pct"/>
            <w:hideMark/>
          </w:tcPr>
          <w:p w14:paraId="6E7EC0C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~11.2%</w:t>
            </w:r>
          </w:p>
        </w:tc>
        <w:tc>
          <w:tcPr>
            <w:tcW w:w="880" w:type="pct"/>
            <w:hideMark/>
          </w:tcPr>
          <w:p w14:paraId="0FB68948"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68BD53B7"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 LFS</w:t>
            </w:r>
          </w:p>
        </w:tc>
      </w:tr>
      <w:tr w:rsidR="00410F31" w:rsidRPr="00410F31" w14:paraId="78590636" w14:textId="77777777" w:rsidTr="00410F31">
        <w:trPr>
          <w:trHeight w:val="170"/>
          <w:jc w:val="center"/>
        </w:trPr>
        <w:tc>
          <w:tcPr>
            <w:tcW w:w="1572" w:type="pct"/>
            <w:hideMark/>
          </w:tcPr>
          <w:p w14:paraId="6433C723"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xml:space="preserve">Dugoročna nezaposlenost </w:t>
            </w:r>
          </w:p>
          <w:p w14:paraId="316B86F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ukupno)</w:t>
            </w:r>
          </w:p>
        </w:tc>
        <w:tc>
          <w:tcPr>
            <w:tcW w:w="695" w:type="pct"/>
            <w:hideMark/>
          </w:tcPr>
          <w:p w14:paraId="0526B31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74.50%</w:t>
            </w:r>
          </w:p>
        </w:tc>
        <w:tc>
          <w:tcPr>
            <w:tcW w:w="787" w:type="pct"/>
            <w:hideMark/>
          </w:tcPr>
          <w:p w14:paraId="38B133A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~37%</w:t>
            </w:r>
          </w:p>
        </w:tc>
        <w:tc>
          <w:tcPr>
            <w:tcW w:w="880" w:type="pct"/>
            <w:hideMark/>
          </w:tcPr>
          <w:p w14:paraId="01174D49"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75FCA529"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 LFS</w:t>
            </w:r>
          </w:p>
        </w:tc>
      </w:tr>
      <w:tr w:rsidR="00410F31" w:rsidRPr="00410F31" w14:paraId="24D3B9D0" w14:textId="77777777" w:rsidTr="00410F31">
        <w:trPr>
          <w:trHeight w:val="58"/>
          <w:jc w:val="center"/>
        </w:trPr>
        <w:tc>
          <w:tcPr>
            <w:tcW w:w="1572" w:type="pct"/>
            <w:hideMark/>
          </w:tcPr>
          <w:p w14:paraId="0A5035C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Stopa zaposlenosti (20–64)</w:t>
            </w:r>
          </w:p>
        </w:tc>
        <w:tc>
          <w:tcPr>
            <w:tcW w:w="695" w:type="pct"/>
            <w:hideMark/>
          </w:tcPr>
          <w:p w14:paraId="422C36B6"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~58%</w:t>
            </w:r>
          </w:p>
        </w:tc>
        <w:tc>
          <w:tcPr>
            <w:tcW w:w="787" w:type="pct"/>
            <w:hideMark/>
          </w:tcPr>
          <w:p w14:paraId="353BC40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~75.3%</w:t>
            </w:r>
          </w:p>
        </w:tc>
        <w:tc>
          <w:tcPr>
            <w:tcW w:w="880" w:type="pct"/>
            <w:hideMark/>
          </w:tcPr>
          <w:p w14:paraId="50DC0733" w14:textId="77777777" w:rsidR="00410F31" w:rsidRPr="00410F31" w:rsidRDefault="00410F31" w:rsidP="00FC410A">
            <w:pPr>
              <w:ind w:right="-198" w:hanging="108"/>
              <w:jc w:val="center"/>
              <w:rPr>
                <w:rFonts w:eastAsia="Times New Roman" w:cstheme="minorHAnsi"/>
                <w:sz w:val="16"/>
                <w:szCs w:val="16"/>
                <w:lang w:val="sr-Latn-ME"/>
              </w:rPr>
            </w:pPr>
            <w:r w:rsidRPr="00410F31">
              <w:rPr>
                <w:rFonts w:eastAsia="Times New Roman" w:cstheme="minorHAnsi"/>
                <w:sz w:val="16"/>
                <w:szCs w:val="16"/>
                <w:lang w:val="sr-Latn-ME"/>
              </w:rPr>
              <w:t>78% (cilj EU 2030)</w:t>
            </w:r>
          </w:p>
        </w:tc>
        <w:tc>
          <w:tcPr>
            <w:tcW w:w="1065" w:type="pct"/>
            <w:hideMark/>
          </w:tcPr>
          <w:p w14:paraId="240D1462"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w:t>
            </w:r>
            <w:proofErr w:type="spellStart"/>
            <w:r w:rsidRPr="00410F31">
              <w:rPr>
                <w:rFonts w:eastAsia="Times New Roman" w:cstheme="minorHAnsi"/>
                <w:sz w:val="16"/>
                <w:szCs w:val="16"/>
                <w:lang w:val="sr-Latn-ME"/>
              </w:rPr>
              <w:t>Eurostat</w:t>
            </w:r>
            <w:proofErr w:type="spellEnd"/>
          </w:p>
        </w:tc>
      </w:tr>
      <w:tr w:rsidR="00410F31" w:rsidRPr="00410F31" w14:paraId="2BE63FD1" w14:textId="77777777" w:rsidTr="00410F31">
        <w:trPr>
          <w:trHeight w:val="58"/>
          <w:jc w:val="center"/>
        </w:trPr>
        <w:tc>
          <w:tcPr>
            <w:tcW w:w="1572" w:type="pct"/>
            <w:hideMark/>
          </w:tcPr>
          <w:p w14:paraId="698C1B9B"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Stopa rizika od siromaštva (AROP</w:t>
            </w:r>
          </w:p>
        </w:tc>
        <w:tc>
          <w:tcPr>
            <w:tcW w:w="695" w:type="pct"/>
            <w:hideMark/>
          </w:tcPr>
          <w:p w14:paraId="3F0BE83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20.30%</w:t>
            </w:r>
          </w:p>
        </w:tc>
        <w:tc>
          <w:tcPr>
            <w:tcW w:w="787" w:type="pct"/>
            <w:hideMark/>
          </w:tcPr>
          <w:p w14:paraId="46D971AF"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~16.0%</w:t>
            </w:r>
          </w:p>
        </w:tc>
        <w:tc>
          <w:tcPr>
            <w:tcW w:w="880" w:type="pct"/>
            <w:hideMark/>
          </w:tcPr>
          <w:p w14:paraId="1EEB144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3B75A922"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2022, EU-SILC</w:t>
            </w:r>
          </w:p>
        </w:tc>
      </w:tr>
      <w:tr w:rsidR="00410F31" w:rsidRPr="00410F31" w14:paraId="73542BD6" w14:textId="77777777" w:rsidTr="00410F31">
        <w:trPr>
          <w:trHeight w:val="449"/>
          <w:jc w:val="center"/>
        </w:trPr>
        <w:tc>
          <w:tcPr>
            <w:tcW w:w="1572" w:type="pct"/>
            <w:hideMark/>
          </w:tcPr>
          <w:p w14:paraId="3B2AECD3"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Stopa rizika od siromaštva ili socijalne isključenosti (AROPE)</w:t>
            </w:r>
          </w:p>
        </w:tc>
        <w:tc>
          <w:tcPr>
            <w:tcW w:w="695" w:type="pct"/>
            <w:hideMark/>
          </w:tcPr>
          <w:p w14:paraId="78CC2175"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~28%</w:t>
            </w:r>
          </w:p>
        </w:tc>
        <w:tc>
          <w:tcPr>
            <w:tcW w:w="787" w:type="pct"/>
            <w:hideMark/>
          </w:tcPr>
          <w:p w14:paraId="4A2C784B"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~21.4%</w:t>
            </w:r>
          </w:p>
        </w:tc>
        <w:tc>
          <w:tcPr>
            <w:tcW w:w="880" w:type="pct"/>
            <w:hideMark/>
          </w:tcPr>
          <w:p w14:paraId="270FB994"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cilj EU -15miliona</w:t>
            </w:r>
          </w:p>
        </w:tc>
        <w:tc>
          <w:tcPr>
            <w:tcW w:w="1065" w:type="pct"/>
            <w:hideMark/>
          </w:tcPr>
          <w:p w14:paraId="214F1E9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2022, EU-SILC</w:t>
            </w:r>
          </w:p>
        </w:tc>
      </w:tr>
      <w:tr w:rsidR="00410F31" w:rsidRPr="00410F31" w14:paraId="07A8D70E" w14:textId="77777777" w:rsidTr="00410F31">
        <w:trPr>
          <w:trHeight w:val="305"/>
          <w:jc w:val="center"/>
        </w:trPr>
        <w:tc>
          <w:tcPr>
            <w:tcW w:w="1572" w:type="pct"/>
            <w:hideMark/>
          </w:tcPr>
          <w:p w14:paraId="7F22B36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Uticaj socijalnih transfera na smanjenje siromaštva</w:t>
            </w:r>
          </w:p>
        </w:tc>
        <w:tc>
          <w:tcPr>
            <w:tcW w:w="695" w:type="pct"/>
            <w:hideMark/>
          </w:tcPr>
          <w:p w14:paraId="7149E151"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Slab (bez penzija)</w:t>
            </w:r>
          </w:p>
        </w:tc>
        <w:tc>
          <w:tcPr>
            <w:tcW w:w="787" w:type="pct"/>
            <w:hideMark/>
          </w:tcPr>
          <w:p w14:paraId="3A55CB59"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~33% smanjenje</w:t>
            </w:r>
          </w:p>
        </w:tc>
        <w:tc>
          <w:tcPr>
            <w:tcW w:w="880" w:type="pct"/>
            <w:hideMark/>
          </w:tcPr>
          <w:p w14:paraId="0866F6F8"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711D2F34"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2022, ESSPROS/RCC</w:t>
            </w:r>
          </w:p>
        </w:tc>
      </w:tr>
      <w:tr w:rsidR="00410F31" w:rsidRPr="00410F31" w14:paraId="3903ED0D" w14:textId="77777777" w:rsidTr="00410F31">
        <w:trPr>
          <w:trHeight w:val="215"/>
          <w:jc w:val="center"/>
        </w:trPr>
        <w:tc>
          <w:tcPr>
            <w:tcW w:w="1572" w:type="pct"/>
            <w:hideMark/>
          </w:tcPr>
          <w:p w14:paraId="734EDC9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xml:space="preserve">S80/S20 odnos </w:t>
            </w:r>
            <w:proofErr w:type="spellStart"/>
            <w:r w:rsidRPr="00410F31">
              <w:rPr>
                <w:rFonts w:eastAsia="Times New Roman" w:cstheme="minorHAnsi"/>
                <w:sz w:val="16"/>
                <w:szCs w:val="16"/>
                <w:lang w:val="sr-Latn-ME"/>
              </w:rPr>
              <w:t>dohodovnih</w:t>
            </w:r>
            <w:proofErr w:type="spellEnd"/>
            <w:r w:rsidRPr="00410F31">
              <w:rPr>
                <w:rFonts w:eastAsia="Times New Roman" w:cstheme="minorHAnsi"/>
                <w:sz w:val="16"/>
                <w:szCs w:val="16"/>
                <w:lang w:val="sr-Latn-ME"/>
              </w:rPr>
              <w:t xml:space="preserve"> </w:t>
            </w:r>
            <w:proofErr w:type="spellStart"/>
            <w:r w:rsidRPr="00410F31">
              <w:rPr>
                <w:rFonts w:eastAsia="Times New Roman" w:cstheme="minorHAnsi"/>
                <w:sz w:val="16"/>
                <w:szCs w:val="16"/>
                <w:lang w:val="sr-Latn-ME"/>
              </w:rPr>
              <w:t>kvintila</w:t>
            </w:r>
            <w:proofErr w:type="spellEnd"/>
          </w:p>
        </w:tc>
        <w:tc>
          <w:tcPr>
            <w:tcW w:w="695" w:type="pct"/>
            <w:hideMark/>
          </w:tcPr>
          <w:p w14:paraId="3372A3DE" w14:textId="77777777" w:rsidR="00410F31" w:rsidRPr="00410F31" w:rsidRDefault="00410F31" w:rsidP="00FC410A">
            <w:pPr>
              <w:ind w:left="-108" w:right="-288" w:hanging="90"/>
              <w:jc w:val="center"/>
              <w:rPr>
                <w:rFonts w:eastAsia="Times New Roman" w:cstheme="minorHAnsi"/>
                <w:sz w:val="16"/>
                <w:szCs w:val="16"/>
                <w:lang w:val="sr-Latn-ME"/>
              </w:rPr>
            </w:pPr>
            <w:r w:rsidRPr="00410F31">
              <w:rPr>
                <w:rFonts w:eastAsia="Times New Roman" w:cstheme="minorHAnsi"/>
                <w:sz w:val="16"/>
                <w:szCs w:val="16"/>
                <w:lang w:val="sr-Latn-ME"/>
              </w:rPr>
              <w:t>Visok (među najvišima u WB6)</w:t>
            </w:r>
          </w:p>
        </w:tc>
        <w:tc>
          <w:tcPr>
            <w:tcW w:w="787" w:type="pct"/>
            <w:hideMark/>
          </w:tcPr>
          <w:p w14:paraId="500548E6"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~4.7</w:t>
            </w:r>
          </w:p>
        </w:tc>
        <w:tc>
          <w:tcPr>
            <w:tcW w:w="880" w:type="pct"/>
            <w:hideMark/>
          </w:tcPr>
          <w:p w14:paraId="75CA83C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752F7762"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2022, EU-SILC</w:t>
            </w:r>
          </w:p>
        </w:tc>
      </w:tr>
      <w:tr w:rsidR="00410F31" w:rsidRPr="00410F31" w14:paraId="45D71DE7" w14:textId="77777777" w:rsidTr="00410F31">
        <w:trPr>
          <w:trHeight w:val="242"/>
          <w:jc w:val="center"/>
        </w:trPr>
        <w:tc>
          <w:tcPr>
            <w:tcW w:w="1572" w:type="pct"/>
            <w:hideMark/>
          </w:tcPr>
          <w:p w14:paraId="66A9EEB3"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Ukupna stopa fertiliteta</w:t>
            </w:r>
          </w:p>
        </w:tc>
        <w:tc>
          <w:tcPr>
            <w:tcW w:w="695" w:type="pct"/>
            <w:hideMark/>
          </w:tcPr>
          <w:p w14:paraId="20374735"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1.7-2.0</w:t>
            </w:r>
          </w:p>
        </w:tc>
        <w:tc>
          <w:tcPr>
            <w:tcW w:w="787" w:type="pct"/>
            <w:hideMark/>
          </w:tcPr>
          <w:p w14:paraId="03B3919A"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~1.46</w:t>
            </w:r>
          </w:p>
        </w:tc>
        <w:tc>
          <w:tcPr>
            <w:tcW w:w="880" w:type="pct"/>
            <w:hideMark/>
          </w:tcPr>
          <w:p w14:paraId="1AE5702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Nivo proste reprodukcije: 2.1</w:t>
            </w:r>
          </w:p>
        </w:tc>
        <w:tc>
          <w:tcPr>
            <w:tcW w:w="1065" w:type="pct"/>
            <w:hideMark/>
          </w:tcPr>
          <w:p w14:paraId="6F0C4C46"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2023, MONSTAT</w:t>
            </w:r>
          </w:p>
        </w:tc>
      </w:tr>
      <w:tr w:rsidR="00410F31" w:rsidRPr="00410F31" w14:paraId="6EFBC64F" w14:textId="77777777" w:rsidTr="00410F31">
        <w:trPr>
          <w:trHeight w:val="98"/>
          <w:jc w:val="center"/>
        </w:trPr>
        <w:tc>
          <w:tcPr>
            <w:tcW w:w="1572" w:type="pct"/>
            <w:hideMark/>
          </w:tcPr>
          <w:p w14:paraId="68A30626"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Stanovništvo (Popis 2023)</w:t>
            </w:r>
          </w:p>
        </w:tc>
        <w:tc>
          <w:tcPr>
            <w:tcW w:w="695" w:type="pct"/>
            <w:hideMark/>
          </w:tcPr>
          <w:p w14:paraId="512FDAD6"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~623,633</w:t>
            </w:r>
          </w:p>
          <w:p w14:paraId="33EB2753"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 xml:space="preserve">(rizik </w:t>
            </w:r>
            <w:proofErr w:type="spellStart"/>
            <w:r w:rsidRPr="00410F31">
              <w:rPr>
                <w:rFonts w:eastAsia="Times New Roman" w:cstheme="minorHAnsi"/>
                <w:sz w:val="16"/>
                <w:szCs w:val="16"/>
                <w:lang w:val="sr-Latn-ME"/>
              </w:rPr>
              <w:t>smajenja</w:t>
            </w:r>
            <w:proofErr w:type="spellEnd"/>
            <w:r w:rsidRPr="00410F31">
              <w:rPr>
                <w:rFonts w:eastAsia="Times New Roman" w:cstheme="minorHAnsi"/>
                <w:sz w:val="16"/>
                <w:szCs w:val="16"/>
                <w:lang w:val="sr-Latn-ME"/>
              </w:rPr>
              <w:t>)</w:t>
            </w:r>
          </w:p>
        </w:tc>
        <w:tc>
          <w:tcPr>
            <w:tcW w:w="787" w:type="pct"/>
            <w:hideMark/>
          </w:tcPr>
          <w:p w14:paraId="5F505DFD"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29328DA6"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1370F1D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2023, MONSTAT</w:t>
            </w:r>
          </w:p>
        </w:tc>
      </w:tr>
      <w:tr w:rsidR="00410F31" w:rsidRPr="00410F31" w14:paraId="50B4EE9E" w14:textId="77777777" w:rsidTr="00410F31">
        <w:trPr>
          <w:trHeight w:val="413"/>
          <w:jc w:val="center"/>
        </w:trPr>
        <w:tc>
          <w:tcPr>
            <w:tcW w:w="1572" w:type="pct"/>
            <w:hideMark/>
          </w:tcPr>
          <w:p w14:paraId="4BF3BDC8" w14:textId="77777777" w:rsidR="00410F31" w:rsidRPr="00410F31" w:rsidRDefault="00410F31" w:rsidP="00FC410A">
            <w:pPr>
              <w:rPr>
                <w:rFonts w:eastAsia="Times New Roman" w:cstheme="minorHAnsi"/>
                <w:sz w:val="16"/>
                <w:szCs w:val="16"/>
                <w:lang w:val="sr-Latn-ME"/>
              </w:rPr>
            </w:pPr>
            <w:proofErr w:type="spellStart"/>
            <w:r w:rsidRPr="00410F31">
              <w:rPr>
                <w:rFonts w:eastAsia="Times New Roman" w:cstheme="minorHAnsi"/>
                <w:sz w:val="16"/>
                <w:szCs w:val="16"/>
                <w:lang w:val="sr-Latn-ME"/>
              </w:rPr>
              <w:t>Udio</w:t>
            </w:r>
            <w:proofErr w:type="spellEnd"/>
            <w:r w:rsidRPr="00410F31">
              <w:rPr>
                <w:rFonts w:eastAsia="Times New Roman" w:cstheme="minorHAnsi"/>
                <w:sz w:val="16"/>
                <w:szCs w:val="16"/>
                <w:lang w:val="sr-Latn-ME"/>
              </w:rPr>
              <w:t xml:space="preserve"> stanovništva 65+</w:t>
            </w:r>
          </w:p>
        </w:tc>
        <w:tc>
          <w:tcPr>
            <w:tcW w:w="695" w:type="pct"/>
            <w:hideMark/>
          </w:tcPr>
          <w:p w14:paraId="60C48FE0"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~17% (udvostručenje do 2035*)</w:t>
            </w:r>
          </w:p>
        </w:tc>
        <w:tc>
          <w:tcPr>
            <w:tcW w:w="787" w:type="pct"/>
            <w:hideMark/>
          </w:tcPr>
          <w:p w14:paraId="6FD065A1"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~21.3%</w:t>
            </w:r>
          </w:p>
        </w:tc>
        <w:tc>
          <w:tcPr>
            <w:tcW w:w="880" w:type="pct"/>
            <w:hideMark/>
          </w:tcPr>
          <w:p w14:paraId="28D7C8DA"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7941144E"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2023, MONSTAT</w:t>
            </w:r>
          </w:p>
        </w:tc>
      </w:tr>
      <w:tr w:rsidR="00410F31" w:rsidRPr="00410F31" w14:paraId="056875CE" w14:textId="77777777" w:rsidTr="00410F31">
        <w:trPr>
          <w:trHeight w:val="58"/>
          <w:jc w:val="center"/>
        </w:trPr>
        <w:tc>
          <w:tcPr>
            <w:tcW w:w="1572" w:type="pct"/>
            <w:hideMark/>
          </w:tcPr>
          <w:p w14:paraId="48330E05"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Minimalna neto zarada</w:t>
            </w:r>
          </w:p>
        </w:tc>
        <w:tc>
          <w:tcPr>
            <w:tcW w:w="695" w:type="pct"/>
            <w:hideMark/>
          </w:tcPr>
          <w:p w14:paraId="69ADC1D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€600/€800</w:t>
            </w:r>
          </w:p>
        </w:tc>
        <w:tc>
          <w:tcPr>
            <w:tcW w:w="787" w:type="pct"/>
            <w:hideMark/>
          </w:tcPr>
          <w:p w14:paraId="49F3124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0D110337"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Direktiva2022/2041</w:t>
            </w:r>
          </w:p>
        </w:tc>
        <w:tc>
          <w:tcPr>
            <w:tcW w:w="1065" w:type="pct"/>
            <w:hideMark/>
          </w:tcPr>
          <w:p w14:paraId="60B50B27"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xml:space="preserve">oktobar 2024, </w:t>
            </w:r>
          </w:p>
          <w:p w14:paraId="1C79BD86"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Zakon o radu</w:t>
            </w:r>
          </w:p>
        </w:tc>
      </w:tr>
      <w:tr w:rsidR="00410F31" w:rsidRPr="00410F31" w14:paraId="1E7F18D0" w14:textId="77777777" w:rsidTr="00410F31">
        <w:trPr>
          <w:trHeight w:val="431"/>
          <w:jc w:val="center"/>
        </w:trPr>
        <w:tc>
          <w:tcPr>
            <w:tcW w:w="1572" w:type="pct"/>
            <w:hideMark/>
          </w:tcPr>
          <w:p w14:paraId="137C153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Doprinos za penzijsko i invalidsko osiguranje</w:t>
            </w:r>
          </w:p>
        </w:tc>
        <w:tc>
          <w:tcPr>
            <w:tcW w:w="695" w:type="pct"/>
            <w:hideMark/>
          </w:tcPr>
          <w:p w14:paraId="1A459281"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10% (sa 20.5%)</w:t>
            </w:r>
          </w:p>
        </w:tc>
        <w:tc>
          <w:tcPr>
            <w:tcW w:w="787" w:type="pct"/>
            <w:hideMark/>
          </w:tcPr>
          <w:p w14:paraId="7A121DF3"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2413F13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2C1A4B5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xml:space="preserve">oktobar 2024, </w:t>
            </w:r>
          </w:p>
          <w:p w14:paraId="07C7FE9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Zakon o PIO</w:t>
            </w:r>
          </w:p>
        </w:tc>
      </w:tr>
      <w:tr w:rsidR="00410F31" w:rsidRPr="00410F31" w14:paraId="22CF47A7" w14:textId="77777777" w:rsidTr="00410F31">
        <w:trPr>
          <w:trHeight w:val="296"/>
          <w:jc w:val="center"/>
        </w:trPr>
        <w:tc>
          <w:tcPr>
            <w:tcW w:w="1572" w:type="pct"/>
            <w:hideMark/>
          </w:tcPr>
          <w:p w14:paraId="0CE7A641"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Ukupan broj korisnika penzija</w:t>
            </w:r>
          </w:p>
        </w:tc>
        <w:tc>
          <w:tcPr>
            <w:tcW w:w="695" w:type="pct"/>
            <w:hideMark/>
          </w:tcPr>
          <w:p w14:paraId="2DE1B20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131,824</w:t>
            </w:r>
          </w:p>
        </w:tc>
        <w:tc>
          <w:tcPr>
            <w:tcW w:w="787" w:type="pct"/>
            <w:hideMark/>
          </w:tcPr>
          <w:p w14:paraId="46787D88"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177497F6"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6EF66BC4"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 xml:space="preserve">septembar 2025, </w:t>
            </w:r>
          </w:p>
          <w:p w14:paraId="7E912F44"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Fond PIO</w:t>
            </w:r>
          </w:p>
        </w:tc>
      </w:tr>
      <w:tr w:rsidR="00410F31" w:rsidRPr="00410F31" w14:paraId="617F5E92" w14:textId="77777777" w:rsidTr="00410F31">
        <w:trPr>
          <w:trHeight w:val="251"/>
          <w:jc w:val="center"/>
        </w:trPr>
        <w:tc>
          <w:tcPr>
            <w:tcW w:w="1572" w:type="pct"/>
            <w:hideMark/>
          </w:tcPr>
          <w:p w14:paraId="04FCA691"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Minimalna penzija</w:t>
            </w:r>
          </w:p>
        </w:tc>
        <w:tc>
          <w:tcPr>
            <w:tcW w:w="695" w:type="pct"/>
            <w:hideMark/>
          </w:tcPr>
          <w:p w14:paraId="6B8EB46E"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€ 450</w:t>
            </w:r>
          </w:p>
        </w:tc>
        <w:tc>
          <w:tcPr>
            <w:tcW w:w="787" w:type="pct"/>
            <w:hideMark/>
          </w:tcPr>
          <w:p w14:paraId="5CACE329"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6F9377D4"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0768FB5A"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decembar 2023, Zakon o PIO</w:t>
            </w:r>
          </w:p>
        </w:tc>
      </w:tr>
      <w:tr w:rsidR="00410F31" w:rsidRPr="00410F31" w14:paraId="5B196282" w14:textId="77777777" w:rsidTr="00410F31">
        <w:trPr>
          <w:trHeight w:val="449"/>
          <w:jc w:val="center"/>
        </w:trPr>
        <w:tc>
          <w:tcPr>
            <w:tcW w:w="1572" w:type="pct"/>
            <w:hideMark/>
          </w:tcPr>
          <w:p w14:paraId="6E5BEDB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Javna potrošnja za zdravstvo (% javne potrošnje)</w:t>
            </w:r>
          </w:p>
        </w:tc>
        <w:tc>
          <w:tcPr>
            <w:tcW w:w="695" w:type="pct"/>
            <w:hideMark/>
          </w:tcPr>
          <w:p w14:paraId="57BA734B"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14.40%</w:t>
            </w:r>
          </w:p>
        </w:tc>
        <w:tc>
          <w:tcPr>
            <w:tcW w:w="787" w:type="pct"/>
            <w:hideMark/>
          </w:tcPr>
          <w:p w14:paraId="26E5F5EA"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~15%</w:t>
            </w:r>
          </w:p>
        </w:tc>
        <w:tc>
          <w:tcPr>
            <w:tcW w:w="880" w:type="pct"/>
            <w:hideMark/>
          </w:tcPr>
          <w:p w14:paraId="5F17DA89"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vAlign w:val="center"/>
            <w:hideMark/>
          </w:tcPr>
          <w:p w14:paraId="3127B361" w14:textId="77777777" w:rsidR="00410F31" w:rsidRPr="00410F31" w:rsidRDefault="00410F31" w:rsidP="00FC410A">
            <w:pPr>
              <w:jc w:val="left"/>
              <w:rPr>
                <w:rFonts w:eastAsia="Times New Roman" w:cstheme="minorHAnsi"/>
                <w:sz w:val="16"/>
                <w:szCs w:val="16"/>
                <w:lang w:val="sr-Latn-ME"/>
              </w:rPr>
            </w:pPr>
            <w:r w:rsidRPr="00410F31">
              <w:rPr>
                <w:rFonts w:eastAsia="Times New Roman" w:cstheme="minorHAnsi"/>
                <w:sz w:val="16"/>
                <w:szCs w:val="16"/>
                <w:lang w:val="sr-Latn-ME"/>
              </w:rPr>
              <w:t>2021, WHO/Euro</w:t>
            </w:r>
          </w:p>
        </w:tc>
      </w:tr>
      <w:tr w:rsidR="00410F31" w:rsidRPr="00410F31" w14:paraId="34B2D499" w14:textId="77777777" w:rsidTr="00410F31">
        <w:trPr>
          <w:trHeight w:val="305"/>
          <w:jc w:val="center"/>
        </w:trPr>
        <w:tc>
          <w:tcPr>
            <w:tcW w:w="1572" w:type="pct"/>
            <w:hideMark/>
          </w:tcPr>
          <w:p w14:paraId="77E4FFFF"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Izdaci „iz džepa“ za zdravstvenu zaštitu – lična izdvajanja za zdravstvenu zaštitu  (% ukupno)</w:t>
            </w:r>
          </w:p>
        </w:tc>
        <w:tc>
          <w:tcPr>
            <w:tcW w:w="695" w:type="pct"/>
            <w:vAlign w:val="center"/>
            <w:hideMark/>
          </w:tcPr>
          <w:p w14:paraId="273DD39F"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~38%</w:t>
            </w:r>
          </w:p>
        </w:tc>
        <w:tc>
          <w:tcPr>
            <w:tcW w:w="787" w:type="pct"/>
            <w:vAlign w:val="center"/>
            <w:hideMark/>
          </w:tcPr>
          <w:p w14:paraId="09EC4984"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~15%</w:t>
            </w:r>
          </w:p>
        </w:tc>
        <w:tc>
          <w:tcPr>
            <w:tcW w:w="880" w:type="pct"/>
            <w:hideMark/>
          </w:tcPr>
          <w:p w14:paraId="48CCFCC2"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vAlign w:val="center"/>
            <w:hideMark/>
          </w:tcPr>
          <w:p w14:paraId="7B0973F7" w14:textId="77777777" w:rsidR="00410F31" w:rsidRPr="00410F31" w:rsidRDefault="00410F31" w:rsidP="00FC410A">
            <w:pPr>
              <w:jc w:val="left"/>
              <w:rPr>
                <w:rFonts w:eastAsia="Times New Roman" w:cstheme="minorHAnsi"/>
                <w:sz w:val="16"/>
                <w:szCs w:val="16"/>
                <w:lang w:val="sr-Latn-ME"/>
              </w:rPr>
            </w:pPr>
            <w:r w:rsidRPr="00410F31">
              <w:rPr>
                <w:rFonts w:eastAsia="Times New Roman" w:cstheme="minorHAnsi"/>
                <w:sz w:val="16"/>
                <w:szCs w:val="16"/>
                <w:lang w:val="sr-Latn-ME"/>
              </w:rPr>
              <w:t>2021, WHO/Euro</w:t>
            </w:r>
          </w:p>
        </w:tc>
      </w:tr>
      <w:tr w:rsidR="00410F31" w:rsidRPr="00410F31" w14:paraId="7DCADD82" w14:textId="77777777" w:rsidTr="00410F31">
        <w:trPr>
          <w:trHeight w:val="809"/>
          <w:jc w:val="center"/>
        </w:trPr>
        <w:tc>
          <w:tcPr>
            <w:tcW w:w="1572" w:type="pct"/>
            <w:hideMark/>
          </w:tcPr>
          <w:p w14:paraId="4B92D3D0"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lastRenderedPageBreak/>
              <w:t>Investicije u zdravstvenu infrastrukturu (2024)</w:t>
            </w:r>
          </w:p>
        </w:tc>
        <w:tc>
          <w:tcPr>
            <w:tcW w:w="695" w:type="pct"/>
            <w:hideMark/>
          </w:tcPr>
          <w:p w14:paraId="5AD4B16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 xml:space="preserve">26,1 </w:t>
            </w:r>
            <w:proofErr w:type="spellStart"/>
            <w:r w:rsidRPr="00410F31">
              <w:rPr>
                <w:rFonts w:eastAsia="Times New Roman" w:cstheme="minorHAnsi"/>
                <w:sz w:val="16"/>
                <w:szCs w:val="16"/>
                <w:lang w:val="sr-Latn-ME"/>
              </w:rPr>
              <w:t>mil</w:t>
            </w:r>
            <w:proofErr w:type="spellEnd"/>
            <w:r w:rsidRPr="00410F31">
              <w:rPr>
                <w:rFonts w:eastAsia="Times New Roman" w:cstheme="minorHAnsi"/>
                <w:sz w:val="16"/>
                <w:szCs w:val="16"/>
                <w:lang w:val="sr-Latn-ME"/>
              </w:rPr>
              <w:t xml:space="preserve"> € realizovano; 47,3 </w:t>
            </w:r>
            <w:proofErr w:type="spellStart"/>
            <w:r w:rsidRPr="00410F31">
              <w:rPr>
                <w:rFonts w:eastAsia="Times New Roman" w:cstheme="minorHAnsi"/>
                <w:sz w:val="16"/>
                <w:szCs w:val="16"/>
                <w:lang w:val="sr-Latn-ME"/>
              </w:rPr>
              <w:t>mil</w:t>
            </w:r>
            <w:proofErr w:type="spellEnd"/>
            <w:r w:rsidRPr="00410F31">
              <w:rPr>
                <w:rFonts w:eastAsia="Times New Roman" w:cstheme="minorHAnsi"/>
                <w:sz w:val="16"/>
                <w:szCs w:val="16"/>
                <w:lang w:val="sr-Latn-ME"/>
              </w:rPr>
              <w:t xml:space="preserve"> € ugovoreno</w:t>
            </w:r>
          </w:p>
        </w:tc>
        <w:tc>
          <w:tcPr>
            <w:tcW w:w="787" w:type="pct"/>
            <w:hideMark/>
          </w:tcPr>
          <w:p w14:paraId="2CA7546D"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2A5EAB6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0CE30F33"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Ministarstvo zdravlja</w:t>
            </w:r>
          </w:p>
        </w:tc>
      </w:tr>
      <w:tr w:rsidR="00410F31" w:rsidRPr="00410F31" w14:paraId="44BCE8DD" w14:textId="77777777" w:rsidTr="00410F31">
        <w:trPr>
          <w:trHeight w:val="260"/>
          <w:jc w:val="center"/>
        </w:trPr>
        <w:tc>
          <w:tcPr>
            <w:tcW w:w="1572" w:type="pct"/>
            <w:hideMark/>
          </w:tcPr>
          <w:p w14:paraId="6AA0B717"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Izdvajanja za socijalnu zaštitu (% budžeta)</w:t>
            </w:r>
          </w:p>
        </w:tc>
        <w:tc>
          <w:tcPr>
            <w:tcW w:w="695" w:type="pct"/>
            <w:vAlign w:val="center"/>
            <w:hideMark/>
          </w:tcPr>
          <w:p w14:paraId="329CD8BB"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18%</w:t>
            </w:r>
          </w:p>
        </w:tc>
        <w:tc>
          <w:tcPr>
            <w:tcW w:w="787" w:type="pct"/>
            <w:hideMark/>
          </w:tcPr>
          <w:p w14:paraId="46333C93"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36A7A78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1065" w:type="pct"/>
            <w:hideMark/>
          </w:tcPr>
          <w:p w14:paraId="58D37F06"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Strategija2025-2028</w:t>
            </w:r>
          </w:p>
        </w:tc>
      </w:tr>
      <w:tr w:rsidR="00410F31" w:rsidRPr="00410F31" w14:paraId="48A4CFC8" w14:textId="77777777" w:rsidTr="00410F31">
        <w:trPr>
          <w:trHeight w:val="58"/>
          <w:jc w:val="center"/>
        </w:trPr>
        <w:tc>
          <w:tcPr>
            <w:tcW w:w="1572" w:type="pct"/>
            <w:hideMark/>
          </w:tcPr>
          <w:p w14:paraId="1E3E3E67"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Stopa ranog napuštanja školovanja</w:t>
            </w:r>
          </w:p>
        </w:tc>
        <w:tc>
          <w:tcPr>
            <w:tcW w:w="695" w:type="pct"/>
            <w:vAlign w:val="center"/>
            <w:hideMark/>
          </w:tcPr>
          <w:p w14:paraId="54ECC045"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4.90%</w:t>
            </w:r>
          </w:p>
        </w:tc>
        <w:tc>
          <w:tcPr>
            <w:tcW w:w="787" w:type="pct"/>
            <w:vAlign w:val="center"/>
            <w:hideMark/>
          </w:tcPr>
          <w:p w14:paraId="19990284"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~9.5%</w:t>
            </w:r>
          </w:p>
        </w:tc>
        <w:tc>
          <w:tcPr>
            <w:tcW w:w="880" w:type="pct"/>
            <w:hideMark/>
          </w:tcPr>
          <w:p w14:paraId="1E024790"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&lt;9% (cilj EU)</w:t>
            </w:r>
          </w:p>
        </w:tc>
        <w:tc>
          <w:tcPr>
            <w:tcW w:w="1065" w:type="pct"/>
            <w:hideMark/>
          </w:tcPr>
          <w:p w14:paraId="58802F56"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2024, MONSTAT</w:t>
            </w:r>
          </w:p>
        </w:tc>
      </w:tr>
      <w:tr w:rsidR="00410F31" w:rsidRPr="00410F31" w14:paraId="092803A5" w14:textId="77777777" w:rsidTr="00410F31">
        <w:trPr>
          <w:trHeight w:val="350"/>
          <w:jc w:val="center"/>
        </w:trPr>
        <w:tc>
          <w:tcPr>
            <w:tcW w:w="1572" w:type="pct"/>
            <w:vAlign w:val="center"/>
            <w:hideMark/>
          </w:tcPr>
          <w:p w14:paraId="75C407D1" w14:textId="77777777" w:rsidR="00410F31" w:rsidRPr="00410F31" w:rsidRDefault="00410F31" w:rsidP="00FC410A">
            <w:pPr>
              <w:jc w:val="left"/>
              <w:rPr>
                <w:rFonts w:eastAsia="Times New Roman" w:cstheme="minorHAnsi"/>
                <w:sz w:val="16"/>
                <w:szCs w:val="16"/>
                <w:lang w:val="sr-Latn-ME"/>
              </w:rPr>
            </w:pPr>
            <w:r w:rsidRPr="00410F31">
              <w:rPr>
                <w:rFonts w:eastAsia="Times New Roman" w:cstheme="minorHAnsi"/>
                <w:sz w:val="16"/>
                <w:szCs w:val="16"/>
                <w:lang w:val="sr-Latn-ME"/>
              </w:rPr>
              <w:t>Status Poglavlja 19</w:t>
            </w:r>
          </w:p>
        </w:tc>
        <w:tc>
          <w:tcPr>
            <w:tcW w:w="695" w:type="pct"/>
            <w:hideMark/>
          </w:tcPr>
          <w:p w14:paraId="7C6CC6CC"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Određeni nivo pripremljenosti</w:t>
            </w:r>
          </w:p>
        </w:tc>
        <w:tc>
          <w:tcPr>
            <w:tcW w:w="787" w:type="pct"/>
            <w:hideMark/>
          </w:tcPr>
          <w:p w14:paraId="74137345" w14:textId="77777777" w:rsidR="00410F31" w:rsidRPr="00410F31" w:rsidRDefault="00410F31" w:rsidP="00FC410A">
            <w:pPr>
              <w:jc w:val="center"/>
              <w:rPr>
                <w:rFonts w:eastAsia="Times New Roman" w:cstheme="minorHAnsi"/>
                <w:sz w:val="16"/>
                <w:szCs w:val="16"/>
                <w:lang w:val="sr-Latn-ME"/>
              </w:rPr>
            </w:pPr>
            <w:r w:rsidRPr="00410F31">
              <w:rPr>
                <w:rFonts w:eastAsia="Times New Roman" w:cstheme="minorHAnsi"/>
                <w:sz w:val="16"/>
                <w:szCs w:val="16"/>
                <w:lang w:val="sr-Latn-ME"/>
              </w:rPr>
              <w:t>-</w:t>
            </w:r>
          </w:p>
        </w:tc>
        <w:tc>
          <w:tcPr>
            <w:tcW w:w="880" w:type="pct"/>
            <w:hideMark/>
          </w:tcPr>
          <w:p w14:paraId="293A2550" w14:textId="77777777" w:rsidR="00410F31" w:rsidRPr="00410F31" w:rsidRDefault="00410F31" w:rsidP="00FC410A">
            <w:pPr>
              <w:jc w:val="center"/>
              <w:rPr>
                <w:rFonts w:eastAsia="Times New Roman" w:cstheme="minorHAnsi"/>
                <w:sz w:val="16"/>
                <w:szCs w:val="16"/>
                <w:lang w:val="sr-Latn-ME"/>
              </w:rPr>
            </w:pPr>
            <w:proofErr w:type="spellStart"/>
            <w:r w:rsidRPr="00410F31">
              <w:rPr>
                <w:rFonts w:eastAsia="Times New Roman" w:cstheme="minorHAnsi"/>
                <w:sz w:val="16"/>
                <w:szCs w:val="16"/>
                <w:lang w:val="sr-Latn-ME"/>
              </w:rPr>
              <w:t>Zatvarajuća</w:t>
            </w:r>
            <w:proofErr w:type="spellEnd"/>
            <w:r w:rsidRPr="00410F31">
              <w:rPr>
                <w:rFonts w:eastAsia="Times New Roman" w:cstheme="minorHAnsi"/>
                <w:sz w:val="16"/>
                <w:szCs w:val="16"/>
                <w:lang w:val="sr-Latn-ME"/>
              </w:rPr>
              <w:t xml:space="preserve"> mjerila</w:t>
            </w:r>
          </w:p>
        </w:tc>
        <w:tc>
          <w:tcPr>
            <w:tcW w:w="1065" w:type="pct"/>
            <w:hideMark/>
          </w:tcPr>
          <w:p w14:paraId="36B642A8" w14:textId="77777777" w:rsidR="00410F31" w:rsidRPr="00410F31" w:rsidRDefault="00410F31" w:rsidP="00FC410A">
            <w:pPr>
              <w:rPr>
                <w:rFonts w:eastAsia="Times New Roman" w:cstheme="minorHAnsi"/>
                <w:sz w:val="16"/>
                <w:szCs w:val="16"/>
                <w:lang w:val="sr-Latn-ME"/>
              </w:rPr>
            </w:pPr>
            <w:r w:rsidRPr="00410F31">
              <w:rPr>
                <w:rFonts w:eastAsia="Times New Roman" w:cstheme="minorHAnsi"/>
                <w:sz w:val="16"/>
                <w:szCs w:val="16"/>
                <w:lang w:val="sr-Latn-ME"/>
              </w:rPr>
              <w:t>2025, Izvještaj EK</w:t>
            </w:r>
          </w:p>
        </w:tc>
      </w:tr>
    </w:tbl>
    <w:p w14:paraId="5F2097E6" w14:textId="77777777" w:rsidR="00410F31" w:rsidRDefault="00410F31" w:rsidP="00410F31">
      <w:pPr>
        <w:rPr>
          <w:rFonts w:eastAsia="Times New Roman" w:cstheme="minorHAnsi"/>
          <w:b/>
          <w:bCs/>
          <w:lang w:val="sr-Latn-ME"/>
        </w:rPr>
      </w:pPr>
    </w:p>
    <w:p w14:paraId="00702CEC" w14:textId="387EC810" w:rsidR="00410F31" w:rsidRPr="00804DDE" w:rsidRDefault="00410F31" w:rsidP="00410F31">
      <w:pPr>
        <w:pStyle w:val="Naslov2"/>
        <w:rPr>
          <w:rFonts w:eastAsia="Times New Roman"/>
          <w:lang w:val="sr-Latn-ME"/>
        </w:rPr>
      </w:pPr>
      <w:r w:rsidRPr="00804DDE">
        <w:rPr>
          <w:rFonts w:eastAsia="Times New Roman"/>
          <w:lang w:val="sr-Latn-ME"/>
        </w:rPr>
        <w:t xml:space="preserve">Tematske </w:t>
      </w:r>
      <w:proofErr w:type="spellStart"/>
      <w:r>
        <w:rPr>
          <w:rFonts w:eastAsia="Times New Roman"/>
          <w:lang w:val="sr-Latn-ME"/>
        </w:rPr>
        <w:t>cjelilne</w:t>
      </w:r>
      <w:proofErr w:type="spellEnd"/>
    </w:p>
    <w:tbl>
      <w:tblPr>
        <w:tblStyle w:val="Reetkatablice"/>
        <w:tblW w:w="5000" w:type="pct"/>
        <w:jc w:val="center"/>
        <w:tblLook w:val="04A0" w:firstRow="1" w:lastRow="0" w:firstColumn="1" w:lastColumn="0" w:noHBand="0" w:noVBand="1"/>
      </w:tblPr>
      <w:tblGrid>
        <w:gridCol w:w="1620"/>
        <w:gridCol w:w="7442"/>
      </w:tblGrid>
      <w:tr w:rsidR="00410F31" w:rsidRPr="00410F31" w14:paraId="0502DFF4" w14:textId="77777777" w:rsidTr="00410F31">
        <w:trPr>
          <w:jc w:val="center"/>
        </w:trPr>
        <w:tc>
          <w:tcPr>
            <w:tcW w:w="894" w:type="pct"/>
            <w:shd w:val="clear" w:color="auto" w:fill="83CAEB" w:themeFill="accent1" w:themeFillTint="66"/>
          </w:tcPr>
          <w:p w14:paraId="1AF5DE6A" w14:textId="77777777" w:rsidR="00410F31" w:rsidRPr="00410F31" w:rsidRDefault="00410F31" w:rsidP="00FC410A">
            <w:pPr>
              <w:rPr>
                <w:rFonts w:eastAsia="Times New Roman" w:cstheme="minorHAnsi"/>
                <w:b/>
                <w:bCs/>
                <w:sz w:val="16"/>
                <w:szCs w:val="16"/>
                <w:lang w:val="sr-Latn-ME"/>
              </w:rPr>
            </w:pPr>
            <w:r w:rsidRPr="00410F31">
              <w:rPr>
                <w:rFonts w:eastAsia="Times New Roman" w:cstheme="minorHAnsi"/>
                <w:b/>
                <w:bCs/>
                <w:sz w:val="16"/>
                <w:szCs w:val="16"/>
                <w:lang w:val="sr-Latn-ME"/>
              </w:rPr>
              <w:t>Kod tematske cjeline</w:t>
            </w:r>
          </w:p>
        </w:tc>
        <w:tc>
          <w:tcPr>
            <w:tcW w:w="4106" w:type="pct"/>
            <w:shd w:val="clear" w:color="auto" w:fill="83CAEB" w:themeFill="accent1" w:themeFillTint="66"/>
            <w:vAlign w:val="center"/>
          </w:tcPr>
          <w:p w14:paraId="65623E74" w14:textId="77777777" w:rsidR="00410F31" w:rsidRPr="00410F31" w:rsidRDefault="00410F31" w:rsidP="00FC410A">
            <w:pPr>
              <w:rPr>
                <w:rFonts w:eastAsia="Times New Roman" w:cstheme="minorHAnsi"/>
                <w:b/>
                <w:bCs/>
                <w:sz w:val="16"/>
                <w:szCs w:val="16"/>
                <w:lang w:val="sr-Latn-ME"/>
              </w:rPr>
            </w:pPr>
            <w:r w:rsidRPr="00410F31">
              <w:rPr>
                <w:rFonts w:eastAsia="Times New Roman" w:cstheme="minorHAnsi"/>
                <w:b/>
                <w:bCs/>
                <w:sz w:val="16"/>
                <w:szCs w:val="16"/>
                <w:lang w:val="sr-Latn-ME"/>
              </w:rPr>
              <w:t>Naziv tematskih cjelina</w:t>
            </w:r>
          </w:p>
        </w:tc>
      </w:tr>
      <w:tr w:rsidR="00410F31" w:rsidRPr="00410F31" w14:paraId="63E56E9B" w14:textId="77777777" w:rsidTr="00410F31">
        <w:trPr>
          <w:jc w:val="center"/>
        </w:trPr>
        <w:tc>
          <w:tcPr>
            <w:tcW w:w="894" w:type="pct"/>
          </w:tcPr>
          <w:p w14:paraId="5A565820" w14:textId="77777777" w:rsidR="00410F31" w:rsidRPr="00410F31" w:rsidRDefault="00410F31" w:rsidP="00FC410A">
            <w:pPr>
              <w:rPr>
                <w:rFonts w:eastAsia="Times New Roman" w:cstheme="minorHAnsi"/>
                <w:b/>
                <w:bCs/>
                <w:sz w:val="16"/>
                <w:szCs w:val="16"/>
                <w:lang w:val="sr-Latn-ME"/>
              </w:rPr>
            </w:pPr>
          </w:p>
        </w:tc>
        <w:tc>
          <w:tcPr>
            <w:tcW w:w="4106" w:type="pct"/>
            <w:shd w:val="clear" w:color="auto" w:fill="D9D9D9" w:themeFill="background1" w:themeFillShade="D9"/>
          </w:tcPr>
          <w:p w14:paraId="3D7F9E37" w14:textId="77777777" w:rsidR="00410F31" w:rsidRPr="00410F31" w:rsidRDefault="00410F31" w:rsidP="00FC410A">
            <w:pPr>
              <w:rPr>
                <w:rFonts w:eastAsia="Times New Roman" w:cstheme="minorHAnsi"/>
                <w:b/>
                <w:bCs/>
                <w:sz w:val="16"/>
                <w:szCs w:val="16"/>
                <w:lang w:val="sr-Latn-ME"/>
              </w:rPr>
            </w:pPr>
            <w:r w:rsidRPr="00410F31">
              <w:rPr>
                <w:rFonts w:eastAsia="Times New Roman" w:cstheme="minorHAnsi"/>
                <w:b/>
                <w:bCs/>
                <w:sz w:val="16"/>
                <w:szCs w:val="16"/>
                <w:lang w:val="sr-Latn-ME"/>
              </w:rPr>
              <w:t>17.68 Tržište rada i zapošljavanje</w:t>
            </w:r>
          </w:p>
        </w:tc>
      </w:tr>
      <w:tr w:rsidR="00410F31" w:rsidRPr="00410F31" w14:paraId="028727B2" w14:textId="77777777" w:rsidTr="00410F31">
        <w:trPr>
          <w:jc w:val="center"/>
        </w:trPr>
        <w:tc>
          <w:tcPr>
            <w:tcW w:w="894" w:type="pct"/>
            <w:vAlign w:val="center"/>
          </w:tcPr>
          <w:p w14:paraId="73D12D3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438</w:t>
            </w:r>
          </w:p>
        </w:tc>
        <w:tc>
          <w:tcPr>
            <w:tcW w:w="4106" w:type="pct"/>
            <w:vAlign w:val="center"/>
          </w:tcPr>
          <w:p w14:paraId="3AC068F4" w14:textId="77777777" w:rsidR="00410F31" w:rsidRPr="00410F31" w:rsidRDefault="00410F31" w:rsidP="00FC410A">
            <w:pPr>
              <w:rPr>
                <w:color w:val="000000"/>
                <w:sz w:val="16"/>
                <w:szCs w:val="16"/>
                <w:lang w:val="sr-Latn-ME"/>
              </w:rPr>
            </w:pPr>
            <w:r w:rsidRPr="00410F31">
              <w:rPr>
                <w:color w:val="000000"/>
                <w:sz w:val="16"/>
                <w:szCs w:val="16"/>
                <w:lang w:val="sr-Latn-ME"/>
              </w:rPr>
              <w:t>Unaprjeđenje pristupa zapošljavanju</w:t>
            </w:r>
          </w:p>
        </w:tc>
      </w:tr>
      <w:tr w:rsidR="00410F31" w:rsidRPr="00410F31" w14:paraId="06B549D0" w14:textId="77777777" w:rsidTr="00410F31">
        <w:trPr>
          <w:jc w:val="center"/>
        </w:trPr>
        <w:tc>
          <w:tcPr>
            <w:tcW w:w="894" w:type="pct"/>
            <w:vAlign w:val="center"/>
          </w:tcPr>
          <w:p w14:paraId="160A7CFB"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439</w:t>
            </w:r>
          </w:p>
        </w:tc>
        <w:tc>
          <w:tcPr>
            <w:tcW w:w="4106" w:type="pct"/>
            <w:vAlign w:val="center"/>
          </w:tcPr>
          <w:p w14:paraId="2B696E32" w14:textId="77777777" w:rsidR="00410F31" w:rsidRPr="00410F31" w:rsidRDefault="00410F31" w:rsidP="00FC410A">
            <w:pPr>
              <w:rPr>
                <w:color w:val="000000"/>
                <w:sz w:val="16"/>
                <w:szCs w:val="16"/>
                <w:lang w:val="sr-Latn-ME"/>
              </w:rPr>
            </w:pPr>
            <w:r w:rsidRPr="00410F31">
              <w:rPr>
                <w:color w:val="000000"/>
                <w:sz w:val="16"/>
                <w:szCs w:val="16"/>
                <w:lang w:val="sr-Latn-ME"/>
              </w:rPr>
              <w:t>Modernizacija i jačanje institucija tržišta rada</w:t>
            </w:r>
          </w:p>
        </w:tc>
      </w:tr>
      <w:tr w:rsidR="00410F31" w:rsidRPr="00410F31" w14:paraId="3AC9FE57" w14:textId="77777777" w:rsidTr="00410F31">
        <w:trPr>
          <w:jc w:val="center"/>
        </w:trPr>
        <w:tc>
          <w:tcPr>
            <w:tcW w:w="894" w:type="pct"/>
            <w:vAlign w:val="center"/>
          </w:tcPr>
          <w:p w14:paraId="73DD554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440</w:t>
            </w:r>
          </w:p>
        </w:tc>
        <w:tc>
          <w:tcPr>
            <w:tcW w:w="4106" w:type="pct"/>
            <w:vAlign w:val="center"/>
          </w:tcPr>
          <w:p w14:paraId="0D1D5EC9" w14:textId="77777777" w:rsidR="00410F31" w:rsidRPr="00410F31" w:rsidRDefault="00410F31" w:rsidP="00FC410A">
            <w:pPr>
              <w:rPr>
                <w:color w:val="000000"/>
                <w:sz w:val="16"/>
                <w:szCs w:val="16"/>
                <w:lang w:val="sr-Latn-ME"/>
              </w:rPr>
            </w:pPr>
            <w:r w:rsidRPr="00410F31">
              <w:rPr>
                <w:color w:val="000000"/>
                <w:sz w:val="16"/>
                <w:szCs w:val="16"/>
                <w:lang w:val="sr-Latn-ME"/>
              </w:rPr>
              <w:t>Promocija učešća žena i rodne ravnopravnosti na tržištu rada*</w:t>
            </w:r>
          </w:p>
        </w:tc>
      </w:tr>
      <w:tr w:rsidR="00410F31" w:rsidRPr="00410F31" w14:paraId="0C2FBDFA" w14:textId="77777777" w:rsidTr="00410F31">
        <w:trPr>
          <w:jc w:val="center"/>
        </w:trPr>
        <w:tc>
          <w:tcPr>
            <w:tcW w:w="894" w:type="pct"/>
            <w:vAlign w:val="center"/>
          </w:tcPr>
          <w:p w14:paraId="722F27B8"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441</w:t>
            </w:r>
          </w:p>
        </w:tc>
        <w:tc>
          <w:tcPr>
            <w:tcW w:w="4106" w:type="pct"/>
            <w:vAlign w:val="center"/>
          </w:tcPr>
          <w:p w14:paraId="1613AF10" w14:textId="77777777" w:rsidR="00410F31" w:rsidRPr="00410F31" w:rsidRDefault="00410F31" w:rsidP="00FC410A">
            <w:pPr>
              <w:rPr>
                <w:color w:val="000000"/>
                <w:sz w:val="16"/>
                <w:szCs w:val="16"/>
                <w:lang w:val="sr-Latn-ME"/>
              </w:rPr>
            </w:pPr>
            <w:r w:rsidRPr="00410F31">
              <w:rPr>
                <w:color w:val="000000"/>
                <w:sz w:val="16"/>
                <w:szCs w:val="16"/>
                <w:lang w:val="sr-Latn-ME"/>
              </w:rPr>
              <w:t>Povećanje učešća državljana trećih zemalja na tržištu rada</w:t>
            </w:r>
          </w:p>
        </w:tc>
      </w:tr>
      <w:tr w:rsidR="00410F31" w:rsidRPr="00410F31" w14:paraId="550D58E6" w14:textId="77777777" w:rsidTr="00410F31">
        <w:trPr>
          <w:jc w:val="center"/>
        </w:trPr>
        <w:tc>
          <w:tcPr>
            <w:tcW w:w="894" w:type="pct"/>
            <w:vAlign w:val="center"/>
          </w:tcPr>
          <w:p w14:paraId="1E97C609"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442</w:t>
            </w:r>
          </w:p>
        </w:tc>
        <w:tc>
          <w:tcPr>
            <w:tcW w:w="4106" w:type="pct"/>
            <w:vAlign w:val="center"/>
          </w:tcPr>
          <w:p w14:paraId="3F95132C" w14:textId="77777777" w:rsidR="00410F31" w:rsidRPr="00410F31" w:rsidRDefault="00410F31" w:rsidP="00FC410A">
            <w:pPr>
              <w:rPr>
                <w:color w:val="000000"/>
                <w:sz w:val="16"/>
                <w:szCs w:val="16"/>
                <w:lang w:val="sr-Latn-ME"/>
              </w:rPr>
            </w:pPr>
            <w:proofErr w:type="spellStart"/>
            <w:r w:rsidRPr="00410F31">
              <w:rPr>
                <w:color w:val="000000"/>
                <w:sz w:val="16"/>
                <w:szCs w:val="16"/>
                <w:lang w:val="sr-Latn-ME"/>
              </w:rPr>
              <w:t>Socio</w:t>
            </w:r>
            <w:proofErr w:type="spellEnd"/>
            <w:r w:rsidRPr="00410F31">
              <w:rPr>
                <w:color w:val="000000"/>
                <w:sz w:val="16"/>
                <w:szCs w:val="16"/>
                <w:lang w:val="sr-Latn-ME"/>
              </w:rPr>
              <w:t>-ekonomska podrška izbjeglicama u trećim zemljama</w:t>
            </w:r>
          </w:p>
        </w:tc>
      </w:tr>
      <w:tr w:rsidR="00410F31" w:rsidRPr="00410F31" w14:paraId="0A0A2014" w14:textId="77777777" w:rsidTr="00410F31">
        <w:trPr>
          <w:jc w:val="center"/>
        </w:trPr>
        <w:tc>
          <w:tcPr>
            <w:tcW w:w="894" w:type="pct"/>
            <w:vAlign w:val="center"/>
          </w:tcPr>
          <w:p w14:paraId="7C18483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443</w:t>
            </w:r>
          </w:p>
        </w:tc>
        <w:tc>
          <w:tcPr>
            <w:tcW w:w="4106" w:type="pct"/>
            <w:vAlign w:val="center"/>
          </w:tcPr>
          <w:p w14:paraId="4A967B6F" w14:textId="77777777" w:rsidR="00410F31" w:rsidRPr="00410F31" w:rsidRDefault="00410F31" w:rsidP="00FC410A">
            <w:pPr>
              <w:rPr>
                <w:color w:val="000000"/>
                <w:sz w:val="16"/>
                <w:szCs w:val="16"/>
                <w:lang w:val="sr-Latn-ME"/>
              </w:rPr>
            </w:pPr>
            <w:r w:rsidRPr="00410F31">
              <w:rPr>
                <w:color w:val="000000"/>
                <w:sz w:val="16"/>
                <w:szCs w:val="16"/>
                <w:lang w:val="sr-Latn-ME"/>
              </w:rPr>
              <w:t>Specifična podrška zapošljavanju mladih</w:t>
            </w:r>
          </w:p>
        </w:tc>
      </w:tr>
      <w:tr w:rsidR="00410F31" w:rsidRPr="00410F31" w14:paraId="1D98856A" w14:textId="77777777" w:rsidTr="00410F31">
        <w:trPr>
          <w:jc w:val="center"/>
        </w:trPr>
        <w:tc>
          <w:tcPr>
            <w:tcW w:w="894" w:type="pct"/>
            <w:vAlign w:val="center"/>
          </w:tcPr>
          <w:p w14:paraId="417D4F12"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446</w:t>
            </w:r>
          </w:p>
        </w:tc>
        <w:tc>
          <w:tcPr>
            <w:tcW w:w="4106" w:type="pct"/>
            <w:vAlign w:val="center"/>
          </w:tcPr>
          <w:p w14:paraId="7F4F3B07" w14:textId="77777777" w:rsidR="00410F31" w:rsidRPr="00410F31" w:rsidRDefault="00410F31" w:rsidP="00FC410A">
            <w:pPr>
              <w:rPr>
                <w:color w:val="000000"/>
                <w:sz w:val="16"/>
                <w:szCs w:val="16"/>
                <w:lang w:val="sr-Latn-ME"/>
              </w:rPr>
            </w:pPr>
            <w:r w:rsidRPr="00410F31">
              <w:rPr>
                <w:color w:val="000000"/>
                <w:sz w:val="16"/>
                <w:szCs w:val="16"/>
                <w:lang w:val="sr-Latn-ME"/>
              </w:rPr>
              <w:t>Prilagođavanje radnika, preduzeća i preduzetnika promjenama</w:t>
            </w:r>
          </w:p>
        </w:tc>
      </w:tr>
      <w:tr w:rsidR="00410F31" w:rsidRPr="00410F31" w14:paraId="26B648A4" w14:textId="77777777" w:rsidTr="00410F31">
        <w:trPr>
          <w:jc w:val="center"/>
        </w:trPr>
        <w:tc>
          <w:tcPr>
            <w:tcW w:w="894" w:type="pct"/>
            <w:vAlign w:val="center"/>
          </w:tcPr>
          <w:p w14:paraId="7F42EF5F"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447</w:t>
            </w:r>
          </w:p>
        </w:tc>
        <w:tc>
          <w:tcPr>
            <w:tcW w:w="4106" w:type="pct"/>
            <w:vAlign w:val="center"/>
          </w:tcPr>
          <w:p w14:paraId="45E614BC" w14:textId="77777777" w:rsidR="00410F31" w:rsidRPr="00410F31" w:rsidRDefault="00410F31" w:rsidP="00FC410A">
            <w:pPr>
              <w:rPr>
                <w:color w:val="000000"/>
                <w:sz w:val="16"/>
                <w:szCs w:val="16"/>
                <w:lang w:val="sr-Latn-ME"/>
              </w:rPr>
            </w:pPr>
            <w:r w:rsidRPr="00410F31">
              <w:rPr>
                <w:color w:val="000000"/>
                <w:sz w:val="16"/>
                <w:szCs w:val="16"/>
                <w:lang w:val="sr-Latn-ME"/>
              </w:rPr>
              <w:t>Samozapošljavanje i pokretanje biznisa</w:t>
            </w:r>
          </w:p>
        </w:tc>
      </w:tr>
      <w:tr w:rsidR="00410F31" w:rsidRPr="00410F31" w14:paraId="7E8AC23A" w14:textId="77777777" w:rsidTr="00410F31">
        <w:trPr>
          <w:jc w:val="center"/>
        </w:trPr>
        <w:tc>
          <w:tcPr>
            <w:tcW w:w="894" w:type="pct"/>
            <w:vAlign w:val="center"/>
          </w:tcPr>
          <w:p w14:paraId="3A0D74F9"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448</w:t>
            </w:r>
          </w:p>
        </w:tc>
        <w:tc>
          <w:tcPr>
            <w:tcW w:w="4106" w:type="pct"/>
            <w:vAlign w:val="center"/>
          </w:tcPr>
          <w:p w14:paraId="314D538B" w14:textId="77777777" w:rsidR="00410F31" w:rsidRPr="00410F31" w:rsidRDefault="00410F31" w:rsidP="00FC410A">
            <w:pPr>
              <w:rPr>
                <w:color w:val="000000"/>
                <w:sz w:val="16"/>
                <w:szCs w:val="16"/>
                <w:lang w:val="sr-Latn-ME"/>
              </w:rPr>
            </w:pPr>
            <w:r w:rsidRPr="00410F31">
              <w:rPr>
                <w:color w:val="000000"/>
                <w:sz w:val="16"/>
                <w:szCs w:val="16"/>
                <w:lang w:val="sr-Latn-ME"/>
              </w:rPr>
              <w:t>Zaštita i zdravlje na radu</w:t>
            </w:r>
          </w:p>
        </w:tc>
      </w:tr>
      <w:tr w:rsidR="00410F31" w:rsidRPr="00410F31" w14:paraId="5A6F9272" w14:textId="77777777" w:rsidTr="00410F31">
        <w:trPr>
          <w:jc w:val="center"/>
        </w:trPr>
        <w:tc>
          <w:tcPr>
            <w:tcW w:w="894" w:type="pct"/>
            <w:vAlign w:val="center"/>
          </w:tcPr>
          <w:p w14:paraId="2C4A16E5"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449</w:t>
            </w:r>
          </w:p>
        </w:tc>
        <w:tc>
          <w:tcPr>
            <w:tcW w:w="4106" w:type="pct"/>
            <w:vAlign w:val="center"/>
          </w:tcPr>
          <w:p w14:paraId="315D115B" w14:textId="77777777" w:rsidR="00410F31" w:rsidRPr="00410F31" w:rsidRDefault="00410F31" w:rsidP="00FC410A">
            <w:pPr>
              <w:rPr>
                <w:color w:val="000000"/>
                <w:sz w:val="16"/>
                <w:szCs w:val="16"/>
                <w:lang w:val="sr-Latn-ME"/>
              </w:rPr>
            </w:pPr>
            <w:r w:rsidRPr="00410F31">
              <w:rPr>
                <w:color w:val="000000"/>
                <w:sz w:val="16"/>
                <w:szCs w:val="16"/>
                <w:lang w:val="sr-Latn-ME"/>
              </w:rPr>
              <w:t>Podrška socijalnim partnerima</w:t>
            </w:r>
          </w:p>
        </w:tc>
      </w:tr>
      <w:tr w:rsidR="00410F31" w:rsidRPr="00410F31" w14:paraId="1F5B2DA1" w14:textId="77777777" w:rsidTr="00410F31">
        <w:trPr>
          <w:jc w:val="center"/>
        </w:trPr>
        <w:tc>
          <w:tcPr>
            <w:tcW w:w="894" w:type="pct"/>
          </w:tcPr>
          <w:p w14:paraId="0551F6B6" w14:textId="77777777" w:rsidR="00410F31" w:rsidRPr="00410F31" w:rsidRDefault="00410F31" w:rsidP="00FC410A">
            <w:pPr>
              <w:rPr>
                <w:rFonts w:eastAsia="Times New Roman" w:cstheme="minorHAnsi"/>
                <w:b/>
                <w:bCs/>
                <w:sz w:val="16"/>
                <w:szCs w:val="16"/>
                <w:lang w:val="sr-Latn-ME"/>
              </w:rPr>
            </w:pPr>
          </w:p>
        </w:tc>
        <w:tc>
          <w:tcPr>
            <w:tcW w:w="4106" w:type="pct"/>
            <w:shd w:val="clear" w:color="auto" w:fill="D9D9D9" w:themeFill="background1" w:themeFillShade="D9"/>
            <w:vAlign w:val="center"/>
          </w:tcPr>
          <w:p w14:paraId="347248AF" w14:textId="77777777" w:rsidR="00410F31" w:rsidRPr="00410F31" w:rsidRDefault="00410F31" w:rsidP="00FC410A">
            <w:pPr>
              <w:rPr>
                <w:rFonts w:cstheme="minorHAnsi"/>
                <w:b/>
                <w:bCs/>
                <w:color w:val="000000"/>
                <w:sz w:val="16"/>
                <w:szCs w:val="16"/>
                <w:lang w:val="sr-Latn-ME"/>
              </w:rPr>
            </w:pPr>
            <w:r w:rsidRPr="00410F31">
              <w:rPr>
                <w:rFonts w:cstheme="minorHAnsi"/>
                <w:b/>
                <w:sz w:val="16"/>
                <w:szCs w:val="16"/>
                <w:lang w:val="sr-Latn-ME"/>
              </w:rPr>
              <w:t>17.69 Pomoć u hrani i materijalna davanja</w:t>
            </w:r>
          </w:p>
        </w:tc>
      </w:tr>
      <w:tr w:rsidR="00410F31" w:rsidRPr="00410F31" w14:paraId="4AE48F5C" w14:textId="77777777" w:rsidTr="00410F31">
        <w:trPr>
          <w:jc w:val="center"/>
        </w:trPr>
        <w:tc>
          <w:tcPr>
            <w:tcW w:w="894" w:type="pct"/>
            <w:vAlign w:val="center"/>
          </w:tcPr>
          <w:p w14:paraId="07F23AFB"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450</w:t>
            </w:r>
          </w:p>
        </w:tc>
        <w:tc>
          <w:tcPr>
            <w:tcW w:w="4106" w:type="pct"/>
            <w:vAlign w:val="center"/>
          </w:tcPr>
          <w:p w14:paraId="72CD5937" w14:textId="77777777" w:rsidR="00410F31" w:rsidRPr="00410F31" w:rsidRDefault="00410F31" w:rsidP="00FC410A">
            <w:pPr>
              <w:rPr>
                <w:color w:val="000000"/>
                <w:sz w:val="16"/>
                <w:szCs w:val="16"/>
                <w:lang w:val="sr-Latn-ME"/>
              </w:rPr>
            </w:pPr>
            <w:r w:rsidRPr="00410F31">
              <w:rPr>
                <w:color w:val="000000"/>
                <w:sz w:val="16"/>
                <w:szCs w:val="16"/>
                <w:lang w:val="sr-Latn-ME"/>
              </w:rPr>
              <w:t xml:space="preserve">Rješavanje materijalne </w:t>
            </w:r>
            <w:proofErr w:type="spellStart"/>
            <w:r w:rsidRPr="00410F31">
              <w:rPr>
                <w:color w:val="000000"/>
                <w:sz w:val="16"/>
                <w:szCs w:val="16"/>
                <w:lang w:val="sr-Latn-ME"/>
              </w:rPr>
              <w:t>deprivacije</w:t>
            </w:r>
            <w:proofErr w:type="spellEnd"/>
            <w:r w:rsidRPr="00410F31">
              <w:rPr>
                <w:color w:val="000000"/>
                <w:sz w:val="16"/>
                <w:szCs w:val="16"/>
                <w:lang w:val="sr-Latn-ME"/>
              </w:rPr>
              <w:t xml:space="preserve"> putem pomoći u hrani i/ili materijalne pomoći za najugroženije, uključujući prateće mjere (ne u slučaju katastrofa)</w:t>
            </w:r>
          </w:p>
        </w:tc>
      </w:tr>
      <w:tr w:rsidR="00410F31" w:rsidRPr="00410F31" w14:paraId="3B29D92D" w14:textId="77777777" w:rsidTr="00410F31">
        <w:trPr>
          <w:jc w:val="center"/>
        </w:trPr>
        <w:tc>
          <w:tcPr>
            <w:tcW w:w="894" w:type="pct"/>
            <w:vAlign w:val="center"/>
          </w:tcPr>
          <w:p w14:paraId="3D5CAA58"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451</w:t>
            </w:r>
          </w:p>
        </w:tc>
        <w:tc>
          <w:tcPr>
            <w:tcW w:w="4106" w:type="pct"/>
            <w:vAlign w:val="center"/>
          </w:tcPr>
          <w:p w14:paraId="26FFB75B" w14:textId="77777777" w:rsidR="00410F31" w:rsidRPr="00410F31" w:rsidRDefault="00410F31" w:rsidP="00FC410A">
            <w:pPr>
              <w:rPr>
                <w:color w:val="000000"/>
                <w:sz w:val="16"/>
                <w:szCs w:val="16"/>
                <w:lang w:val="sr-Latn-ME"/>
              </w:rPr>
            </w:pPr>
            <w:r w:rsidRPr="00410F31">
              <w:rPr>
                <w:color w:val="000000"/>
                <w:sz w:val="16"/>
                <w:szCs w:val="16"/>
                <w:lang w:val="sr-Latn-ME"/>
              </w:rPr>
              <w:t>Programi sigurnosti hrane za domaćinstva</w:t>
            </w:r>
          </w:p>
        </w:tc>
      </w:tr>
      <w:tr w:rsidR="00410F31" w:rsidRPr="00410F31" w14:paraId="1A044FF6" w14:textId="77777777" w:rsidTr="00410F31">
        <w:trPr>
          <w:jc w:val="center"/>
        </w:trPr>
        <w:tc>
          <w:tcPr>
            <w:tcW w:w="894" w:type="pct"/>
            <w:vAlign w:val="center"/>
          </w:tcPr>
          <w:p w14:paraId="4F7D794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452</w:t>
            </w:r>
          </w:p>
        </w:tc>
        <w:tc>
          <w:tcPr>
            <w:tcW w:w="4106" w:type="pct"/>
            <w:vAlign w:val="center"/>
          </w:tcPr>
          <w:p w14:paraId="1BA1674A" w14:textId="77777777" w:rsidR="00410F31" w:rsidRPr="00410F31" w:rsidRDefault="00410F31" w:rsidP="00FC410A">
            <w:pPr>
              <w:rPr>
                <w:color w:val="000000"/>
                <w:sz w:val="16"/>
                <w:szCs w:val="16"/>
                <w:lang w:val="sr-Latn-ME"/>
              </w:rPr>
            </w:pPr>
            <w:r w:rsidRPr="00410F31">
              <w:rPr>
                <w:color w:val="000000"/>
                <w:sz w:val="16"/>
                <w:szCs w:val="16"/>
                <w:lang w:val="sr-Latn-ME"/>
              </w:rPr>
              <w:t xml:space="preserve">Usluge za borbu protiv pothranjenosti (zaostajanje u rastu, mršavost, nedostatak </w:t>
            </w:r>
            <w:proofErr w:type="spellStart"/>
            <w:r w:rsidRPr="00410F31">
              <w:rPr>
                <w:color w:val="000000"/>
                <w:sz w:val="16"/>
                <w:szCs w:val="16"/>
                <w:lang w:val="sr-Latn-ME"/>
              </w:rPr>
              <w:t>mikronutrijenata</w:t>
            </w:r>
            <w:proofErr w:type="spellEnd"/>
            <w:r w:rsidRPr="00410F31">
              <w:rPr>
                <w:color w:val="000000"/>
                <w:sz w:val="16"/>
                <w:szCs w:val="16"/>
                <w:lang w:val="sr-Latn-ME"/>
              </w:rPr>
              <w:t>, gojaznost)</w:t>
            </w:r>
          </w:p>
        </w:tc>
      </w:tr>
      <w:tr w:rsidR="00410F31" w:rsidRPr="00410F31" w14:paraId="7F995E60" w14:textId="77777777" w:rsidTr="00410F31">
        <w:trPr>
          <w:jc w:val="center"/>
        </w:trPr>
        <w:tc>
          <w:tcPr>
            <w:tcW w:w="894" w:type="pct"/>
          </w:tcPr>
          <w:p w14:paraId="327C4E2F" w14:textId="77777777" w:rsidR="00410F31" w:rsidRPr="00410F31" w:rsidRDefault="00410F31" w:rsidP="00FC410A">
            <w:pPr>
              <w:rPr>
                <w:rFonts w:eastAsia="Times New Roman" w:cstheme="minorHAnsi"/>
                <w:b/>
                <w:bCs/>
                <w:sz w:val="16"/>
                <w:szCs w:val="16"/>
                <w:lang w:val="sr-Latn-ME"/>
              </w:rPr>
            </w:pPr>
          </w:p>
        </w:tc>
        <w:tc>
          <w:tcPr>
            <w:tcW w:w="4106" w:type="pct"/>
            <w:shd w:val="clear" w:color="auto" w:fill="D9D9D9" w:themeFill="background1" w:themeFillShade="D9"/>
            <w:vAlign w:val="center"/>
          </w:tcPr>
          <w:p w14:paraId="65D0354B" w14:textId="77777777" w:rsidR="00410F31" w:rsidRPr="00410F31" w:rsidRDefault="00410F31" w:rsidP="00FC410A">
            <w:pPr>
              <w:rPr>
                <w:rFonts w:cstheme="minorHAnsi"/>
                <w:b/>
                <w:sz w:val="16"/>
                <w:szCs w:val="16"/>
                <w:lang w:val="sr-Latn-ME"/>
              </w:rPr>
            </w:pPr>
            <w:r w:rsidRPr="00410F31">
              <w:rPr>
                <w:rFonts w:cstheme="minorHAnsi"/>
                <w:b/>
                <w:sz w:val="16"/>
                <w:szCs w:val="16"/>
                <w:lang w:val="sr-Latn-ME"/>
              </w:rPr>
              <w:t>17.70 Zdravstvo</w:t>
            </w:r>
          </w:p>
        </w:tc>
      </w:tr>
      <w:tr w:rsidR="00410F31" w:rsidRPr="00410F31" w14:paraId="582F34CD" w14:textId="77777777" w:rsidTr="00410F31">
        <w:trPr>
          <w:jc w:val="center"/>
        </w:trPr>
        <w:tc>
          <w:tcPr>
            <w:tcW w:w="894" w:type="pct"/>
            <w:vAlign w:val="center"/>
          </w:tcPr>
          <w:p w14:paraId="39C68ACD"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453</w:t>
            </w:r>
          </w:p>
        </w:tc>
        <w:tc>
          <w:tcPr>
            <w:tcW w:w="4106" w:type="pct"/>
            <w:vAlign w:val="center"/>
          </w:tcPr>
          <w:p w14:paraId="10C7B31E"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Učinak zdravstvenih sistema (isključujući infrastrukturu i digitalizaciju)</w:t>
            </w:r>
          </w:p>
        </w:tc>
      </w:tr>
      <w:tr w:rsidR="00410F31" w:rsidRPr="00410F31" w14:paraId="74DD3E1A" w14:textId="77777777" w:rsidTr="00410F31">
        <w:trPr>
          <w:jc w:val="center"/>
        </w:trPr>
        <w:tc>
          <w:tcPr>
            <w:tcW w:w="894" w:type="pct"/>
            <w:vAlign w:val="center"/>
          </w:tcPr>
          <w:p w14:paraId="2609917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454</w:t>
            </w:r>
          </w:p>
        </w:tc>
        <w:tc>
          <w:tcPr>
            <w:tcW w:w="4106" w:type="pct"/>
            <w:vAlign w:val="center"/>
          </w:tcPr>
          <w:p w14:paraId="581D3DEB"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Digitalizacija u zdravstvu</w:t>
            </w:r>
          </w:p>
        </w:tc>
      </w:tr>
      <w:tr w:rsidR="00410F31" w:rsidRPr="00410F31" w14:paraId="220198F1" w14:textId="77777777" w:rsidTr="00410F31">
        <w:trPr>
          <w:jc w:val="center"/>
        </w:trPr>
        <w:tc>
          <w:tcPr>
            <w:tcW w:w="894" w:type="pct"/>
            <w:vAlign w:val="center"/>
          </w:tcPr>
          <w:p w14:paraId="66A4749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455</w:t>
            </w:r>
          </w:p>
        </w:tc>
        <w:tc>
          <w:tcPr>
            <w:tcW w:w="4106" w:type="pct"/>
            <w:vAlign w:val="center"/>
          </w:tcPr>
          <w:p w14:paraId="4E18A1BC"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Promocija zdravlja i prevencija bolesti, isključujući uticaje klimatskih promjena na zdravlje</w:t>
            </w:r>
          </w:p>
        </w:tc>
      </w:tr>
      <w:tr w:rsidR="00410F31" w:rsidRPr="00410F31" w14:paraId="28404E4A" w14:textId="77777777" w:rsidTr="00410F31">
        <w:trPr>
          <w:jc w:val="center"/>
        </w:trPr>
        <w:tc>
          <w:tcPr>
            <w:tcW w:w="894" w:type="pct"/>
            <w:vAlign w:val="center"/>
          </w:tcPr>
          <w:p w14:paraId="325521C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456</w:t>
            </w:r>
          </w:p>
        </w:tc>
        <w:tc>
          <w:tcPr>
            <w:tcW w:w="4106" w:type="pct"/>
            <w:vAlign w:val="center"/>
          </w:tcPr>
          <w:p w14:paraId="06FCB88B"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Mjere usmjerene na klimatsku otpornost zdravstvenih usluga</w:t>
            </w:r>
          </w:p>
        </w:tc>
      </w:tr>
      <w:tr w:rsidR="00410F31" w:rsidRPr="00410F31" w14:paraId="264AB39D" w14:textId="77777777" w:rsidTr="00410F31">
        <w:trPr>
          <w:jc w:val="center"/>
        </w:trPr>
        <w:tc>
          <w:tcPr>
            <w:tcW w:w="894" w:type="pct"/>
            <w:vAlign w:val="center"/>
          </w:tcPr>
          <w:p w14:paraId="460843A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457</w:t>
            </w:r>
          </w:p>
        </w:tc>
        <w:tc>
          <w:tcPr>
            <w:tcW w:w="4106" w:type="pct"/>
            <w:vAlign w:val="center"/>
          </w:tcPr>
          <w:p w14:paraId="46181E2E"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Prevencija zdravstvenih uticaja izazvanih klimatskim promjenama</w:t>
            </w:r>
          </w:p>
        </w:tc>
      </w:tr>
      <w:tr w:rsidR="00410F31" w:rsidRPr="00410F31" w14:paraId="3952931C" w14:textId="77777777" w:rsidTr="00410F31">
        <w:trPr>
          <w:jc w:val="center"/>
        </w:trPr>
        <w:tc>
          <w:tcPr>
            <w:tcW w:w="894" w:type="pct"/>
            <w:vAlign w:val="center"/>
          </w:tcPr>
          <w:p w14:paraId="1AD94CE7"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458</w:t>
            </w:r>
          </w:p>
        </w:tc>
        <w:tc>
          <w:tcPr>
            <w:tcW w:w="4106" w:type="pct"/>
            <w:vAlign w:val="center"/>
          </w:tcPr>
          <w:p w14:paraId="1D67FC9B"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Osnovna sanitarna infrastruktura u trećim zemljama</w:t>
            </w:r>
          </w:p>
        </w:tc>
      </w:tr>
      <w:tr w:rsidR="00410F31" w:rsidRPr="00410F31" w14:paraId="0B5B8911" w14:textId="77777777" w:rsidTr="00410F31">
        <w:trPr>
          <w:jc w:val="center"/>
        </w:trPr>
        <w:tc>
          <w:tcPr>
            <w:tcW w:w="894" w:type="pct"/>
            <w:vAlign w:val="center"/>
          </w:tcPr>
          <w:p w14:paraId="2FE279FB"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459</w:t>
            </w:r>
          </w:p>
        </w:tc>
        <w:tc>
          <w:tcPr>
            <w:tcW w:w="4106" w:type="pct"/>
            <w:vAlign w:val="center"/>
          </w:tcPr>
          <w:p w14:paraId="1E6E5FBD"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Proizvodnja uređaja za čisto kuvanje u trećim zemljama</w:t>
            </w:r>
          </w:p>
        </w:tc>
      </w:tr>
      <w:tr w:rsidR="00410F31" w:rsidRPr="00410F31" w14:paraId="3AA6F115" w14:textId="77777777" w:rsidTr="00410F31">
        <w:trPr>
          <w:jc w:val="center"/>
        </w:trPr>
        <w:tc>
          <w:tcPr>
            <w:tcW w:w="894" w:type="pct"/>
            <w:vAlign w:val="center"/>
          </w:tcPr>
          <w:p w14:paraId="51A5F584"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460</w:t>
            </w:r>
          </w:p>
        </w:tc>
        <w:tc>
          <w:tcPr>
            <w:tcW w:w="4106" w:type="pct"/>
            <w:vAlign w:val="center"/>
          </w:tcPr>
          <w:p w14:paraId="66C8A676"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Reproduktivno zdravlje u trećim zemljama*</w:t>
            </w:r>
          </w:p>
        </w:tc>
      </w:tr>
      <w:tr w:rsidR="00410F31" w:rsidRPr="00410F31" w14:paraId="4F4A1C82" w14:textId="77777777" w:rsidTr="00410F31">
        <w:trPr>
          <w:jc w:val="center"/>
        </w:trPr>
        <w:tc>
          <w:tcPr>
            <w:tcW w:w="894" w:type="pct"/>
            <w:vAlign w:val="center"/>
          </w:tcPr>
          <w:p w14:paraId="317B81E7"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461</w:t>
            </w:r>
          </w:p>
        </w:tc>
        <w:tc>
          <w:tcPr>
            <w:tcW w:w="4106" w:type="pct"/>
            <w:vAlign w:val="center"/>
          </w:tcPr>
          <w:p w14:paraId="6A335B80"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Zdravstvena zaštita za migrante u trećim zemljama</w:t>
            </w:r>
          </w:p>
        </w:tc>
      </w:tr>
      <w:tr w:rsidR="00410F31" w:rsidRPr="00410F31" w14:paraId="79224649" w14:textId="77777777" w:rsidTr="00410F31">
        <w:trPr>
          <w:jc w:val="center"/>
        </w:trPr>
        <w:tc>
          <w:tcPr>
            <w:tcW w:w="894" w:type="pct"/>
            <w:vAlign w:val="center"/>
          </w:tcPr>
          <w:p w14:paraId="69348D5A"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462</w:t>
            </w:r>
          </w:p>
        </w:tc>
        <w:tc>
          <w:tcPr>
            <w:tcW w:w="4106" w:type="pct"/>
            <w:vAlign w:val="center"/>
          </w:tcPr>
          <w:p w14:paraId="201FA5A4"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Zdravstvena infrastruktura – razvoj i izgradnja novih zgrada sa nultom ili gotovo nultom emisijom</w:t>
            </w:r>
          </w:p>
        </w:tc>
      </w:tr>
      <w:tr w:rsidR="00410F31" w:rsidRPr="00410F31" w14:paraId="3DD0CA66" w14:textId="77777777" w:rsidTr="00410F31">
        <w:trPr>
          <w:jc w:val="center"/>
        </w:trPr>
        <w:tc>
          <w:tcPr>
            <w:tcW w:w="894" w:type="pct"/>
            <w:vAlign w:val="center"/>
          </w:tcPr>
          <w:p w14:paraId="32EF6A3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463</w:t>
            </w:r>
          </w:p>
        </w:tc>
        <w:tc>
          <w:tcPr>
            <w:tcW w:w="4106" w:type="pct"/>
            <w:vAlign w:val="center"/>
          </w:tcPr>
          <w:p w14:paraId="25C97D18" w14:textId="77777777" w:rsidR="00410F31" w:rsidRPr="00410F31" w:rsidRDefault="00410F31" w:rsidP="00FC410A">
            <w:pPr>
              <w:jc w:val="left"/>
              <w:rPr>
                <w:rFonts w:eastAsia="Times New Roman" w:cstheme="minorHAnsi"/>
                <w:bCs/>
                <w:sz w:val="16"/>
                <w:szCs w:val="16"/>
                <w:lang w:val="sr-Latn-ME"/>
              </w:rPr>
            </w:pPr>
            <w:r w:rsidRPr="00410F31">
              <w:rPr>
                <w:rFonts w:eastAsia="Times New Roman" w:cstheme="minorHAnsi"/>
                <w:bCs/>
                <w:sz w:val="16"/>
                <w:szCs w:val="16"/>
                <w:lang w:val="sr-Latn-ME"/>
              </w:rPr>
              <w:t>Zdravstvena infrastruktura – razvoj i izgradnja drugih tipova objekata</w:t>
            </w:r>
          </w:p>
        </w:tc>
      </w:tr>
      <w:tr w:rsidR="00410F31" w:rsidRPr="00410F31" w14:paraId="6E627EF5" w14:textId="77777777" w:rsidTr="00410F31">
        <w:trPr>
          <w:jc w:val="center"/>
        </w:trPr>
        <w:tc>
          <w:tcPr>
            <w:tcW w:w="894" w:type="pct"/>
          </w:tcPr>
          <w:p w14:paraId="0DF18C3D" w14:textId="77777777" w:rsidR="00410F31" w:rsidRPr="00410F31" w:rsidRDefault="00410F31" w:rsidP="00FC410A">
            <w:pPr>
              <w:rPr>
                <w:rFonts w:eastAsia="Times New Roman" w:cstheme="minorHAnsi"/>
                <w:b/>
                <w:bCs/>
                <w:sz w:val="16"/>
                <w:szCs w:val="16"/>
                <w:lang w:val="sr-Latn-ME"/>
              </w:rPr>
            </w:pPr>
          </w:p>
        </w:tc>
        <w:tc>
          <w:tcPr>
            <w:tcW w:w="4106" w:type="pct"/>
            <w:shd w:val="clear" w:color="auto" w:fill="D9D9D9" w:themeFill="background1" w:themeFillShade="D9"/>
            <w:vAlign w:val="center"/>
          </w:tcPr>
          <w:p w14:paraId="069DCA31" w14:textId="77777777" w:rsidR="00410F31" w:rsidRPr="00410F31" w:rsidRDefault="00410F31" w:rsidP="00FC410A">
            <w:pPr>
              <w:rPr>
                <w:rFonts w:cstheme="minorHAnsi"/>
                <w:b/>
                <w:sz w:val="16"/>
                <w:szCs w:val="16"/>
                <w:lang w:val="sr-Latn-ME"/>
              </w:rPr>
            </w:pPr>
            <w:r w:rsidRPr="00410F31">
              <w:rPr>
                <w:rFonts w:cstheme="minorHAnsi"/>
                <w:b/>
                <w:sz w:val="16"/>
                <w:szCs w:val="16"/>
                <w:lang w:val="sr-Latn-ME"/>
              </w:rPr>
              <w:t>17.05 Reforme</w:t>
            </w:r>
          </w:p>
        </w:tc>
      </w:tr>
      <w:tr w:rsidR="00410F31" w:rsidRPr="00410F31" w14:paraId="535D8595" w14:textId="77777777" w:rsidTr="00410F31">
        <w:trPr>
          <w:jc w:val="center"/>
        </w:trPr>
        <w:tc>
          <w:tcPr>
            <w:tcW w:w="894" w:type="pct"/>
            <w:vAlign w:val="center"/>
          </w:tcPr>
          <w:p w14:paraId="53AD6FF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464</w:t>
            </w:r>
          </w:p>
        </w:tc>
        <w:tc>
          <w:tcPr>
            <w:tcW w:w="4106" w:type="pct"/>
            <w:vAlign w:val="center"/>
          </w:tcPr>
          <w:p w14:paraId="3FAC62F7"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Aktivne politike tržišta rada</w:t>
            </w:r>
          </w:p>
        </w:tc>
      </w:tr>
      <w:tr w:rsidR="00410F31" w:rsidRPr="00410F31" w14:paraId="4A7F375E" w14:textId="77777777" w:rsidTr="00410F31">
        <w:trPr>
          <w:jc w:val="center"/>
        </w:trPr>
        <w:tc>
          <w:tcPr>
            <w:tcW w:w="894" w:type="pct"/>
            <w:vAlign w:val="center"/>
          </w:tcPr>
          <w:p w14:paraId="45DA7587"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465</w:t>
            </w:r>
          </w:p>
        </w:tc>
        <w:tc>
          <w:tcPr>
            <w:tcW w:w="4106" w:type="pct"/>
            <w:vAlign w:val="center"/>
          </w:tcPr>
          <w:p w14:paraId="68DB920F"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Funkcionisanje tržišta rada</w:t>
            </w:r>
          </w:p>
        </w:tc>
      </w:tr>
      <w:tr w:rsidR="00410F31" w:rsidRPr="00410F31" w14:paraId="201CB264" w14:textId="77777777" w:rsidTr="00410F31">
        <w:trPr>
          <w:jc w:val="center"/>
        </w:trPr>
        <w:tc>
          <w:tcPr>
            <w:tcW w:w="894" w:type="pct"/>
            <w:vAlign w:val="center"/>
          </w:tcPr>
          <w:p w14:paraId="0D7BFCE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466</w:t>
            </w:r>
          </w:p>
        </w:tc>
        <w:tc>
          <w:tcPr>
            <w:tcW w:w="4106" w:type="pct"/>
            <w:vAlign w:val="center"/>
          </w:tcPr>
          <w:p w14:paraId="68A1BEAC"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Rodna ravnopravnost, zabrana diskriminacije, jednake mogućnosti i zastupljenost</w:t>
            </w:r>
          </w:p>
        </w:tc>
      </w:tr>
      <w:tr w:rsidR="00410F31" w:rsidRPr="00410F31" w14:paraId="6614C3DD" w14:textId="77777777" w:rsidTr="00410F31">
        <w:trPr>
          <w:jc w:val="center"/>
        </w:trPr>
        <w:tc>
          <w:tcPr>
            <w:tcW w:w="894" w:type="pct"/>
            <w:vAlign w:val="center"/>
          </w:tcPr>
          <w:p w14:paraId="07F45B02"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467</w:t>
            </w:r>
          </w:p>
        </w:tc>
        <w:tc>
          <w:tcPr>
            <w:tcW w:w="4106" w:type="pct"/>
            <w:vAlign w:val="center"/>
          </w:tcPr>
          <w:p w14:paraId="44540370"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Zdravstvo</w:t>
            </w:r>
          </w:p>
        </w:tc>
      </w:tr>
      <w:tr w:rsidR="00410F31" w:rsidRPr="00410F31" w14:paraId="0AEE8F39" w14:textId="77777777" w:rsidTr="00410F31">
        <w:trPr>
          <w:jc w:val="center"/>
        </w:trPr>
        <w:tc>
          <w:tcPr>
            <w:tcW w:w="894" w:type="pct"/>
            <w:vAlign w:val="center"/>
          </w:tcPr>
          <w:p w14:paraId="45AAEFDE"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468</w:t>
            </w:r>
          </w:p>
        </w:tc>
        <w:tc>
          <w:tcPr>
            <w:tcW w:w="4106" w:type="pct"/>
            <w:vAlign w:val="center"/>
          </w:tcPr>
          <w:p w14:paraId="49C0F7C8"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Stanovanje</w:t>
            </w:r>
          </w:p>
        </w:tc>
      </w:tr>
      <w:tr w:rsidR="00410F31" w:rsidRPr="00410F31" w14:paraId="4AE96BBE" w14:textId="77777777" w:rsidTr="00410F31">
        <w:trPr>
          <w:jc w:val="center"/>
        </w:trPr>
        <w:tc>
          <w:tcPr>
            <w:tcW w:w="894" w:type="pct"/>
            <w:vAlign w:val="center"/>
          </w:tcPr>
          <w:p w14:paraId="7CF92FD5"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469</w:t>
            </w:r>
          </w:p>
        </w:tc>
        <w:tc>
          <w:tcPr>
            <w:tcW w:w="4106" w:type="pct"/>
            <w:vAlign w:val="center"/>
          </w:tcPr>
          <w:p w14:paraId="7EACEC12"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Dugotrajna njega</w:t>
            </w:r>
          </w:p>
        </w:tc>
      </w:tr>
      <w:tr w:rsidR="00410F31" w:rsidRPr="00410F31" w14:paraId="4434B73E" w14:textId="77777777" w:rsidTr="00410F31">
        <w:trPr>
          <w:jc w:val="center"/>
        </w:trPr>
        <w:tc>
          <w:tcPr>
            <w:tcW w:w="894" w:type="pct"/>
            <w:vAlign w:val="center"/>
          </w:tcPr>
          <w:p w14:paraId="77D745F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470</w:t>
            </w:r>
          </w:p>
        </w:tc>
        <w:tc>
          <w:tcPr>
            <w:tcW w:w="4106" w:type="pct"/>
            <w:vAlign w:val="center"/>
          </w:tcPr>
          <w:p w14:paraId="18A31A4D"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Penzijski sistemi i aktivno starenje</w:t>
            </w:r>
          </w:p>
        </w:tc>
      </w:tr>
      <w:tr w:rsidR="00410F31" w:rsidRPr="00410F31" w14:paraId="2B1015EF" w14:textId="77777777" w:rsidTr="00410F31">
        <w:trPr>
          <w:jc w:val="center"/>
        </w:trPr>
        <w:tc>
          <w:tcPr>
            <w:tcW w:w="894" w:type="pct"/>
            <w:vAlign w:val="center"/>
          </w:tcPr>
          <w:p w14:paraId="3566930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471</w:t>
            </w:r>
          </w:p>
        </w:tc>
        <w:tc>
          <w:tcPr>
            <w:tcW w:w="4106" w:type="pct"/>
            <w:vAlign w:val="center"/>
          </w:tcPr>
          <w:p w14:paraId="3B2239CC"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Siromaštvo, socijalna uključenost i socijalna zaštita</w:t>
            </w:r>
          </w:p>
        </w:tc>
      </w:tr>
      <w:tr w:rsidR="00410F31" w:rsidRPr="00410F31" w14:paraId="6EB2AA89" w14:textId="77777777" w:rsidTr="00410F31">
        <w:trPr>
          <w:jc w:val="center"/>
        </w:trPr>
        <w:tc>
          <w:tcPr>
            <w:tcW w:w="894" w:type="pct"/>
            <w:vAlign w:val="center"/>
          </w:tcPr>
          <w:p w14:paraId="23264EF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472</w:t>
            </w:r>
          </w:p>
        </w:tc>
        <w:tc>
          <w:tcPr>
            <w:tcW w:w="4106" w:type="pct"/>
            <w:vAlign w:val="center"/>
          </w:tcPr>
          <w:p w14:paraId="0FB004BE"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Zarade i određivanje zarada</w:t>
            </w:r>
          </w:p>
        </w:tc>
      </w:tr>
      <w:tr w:rsidR="00410F31" w:rsidRPr="00410F31" w14:paraId="10805946" w14:textId="77777777" w:rsidTr="00410F31">
        <w:trPr>
          <w:jc w:val="center"/>
        </w:trPr>
        <w:tc>
          <w:tcPr>
            <w:tcW w:w="894" w:type="pct"/>
          </w:tcPr>
          <w:p w14:paraId="57454ED7" w14:textId="77777777" w:rsidR="00410F31" w:rsidRPr="00410F31" w:rsidRDefault="00410F31" w:rsidP="00FC410A">
            <w:pPr>
              <w:rPr>
                <w:rFonts w:eastAsia="Times New Roman" w:cstheme="minorHAnsi"/>
                <w:b/>
                <w:bCs/>
                <w:sz w:val="16"/>
                <w:szCs w:val="16"/>
                <w:lang w:val="sr-Latn-ME"/>
              </w:rPr>
            </w:pPr>
          </w:p>
        </w:tc>
        <w:tc>
          <w:tcPr>
            <w:tcW w:w="4106" w:type="pct"/>
            <w:shd w:val="clear" w:color="auto" w:fill="D9D9D9" w:themeFill="background1" w:themeFillShade="D9"/>
            <w:vAlign w:val="center"/>
          </w:tcPr>
          <w:p w14:paraId="18EE7EBA" w14:textId="77777777" w:rsidR="00410F31" w:rsidRPr="00410F31" w:rsidRDefault="00410F31" w:rsidP="00FC410A">
            <w:pPr>
              <w:rPr>
                <w:rFonts w:cstheme="minorHAnsi"/>
                <w:b/>
                <w:sz w:val="16"/>
                <w:szCs w:val="16"/>
                <w:lang w:val="sr-Latn-ME"/>
              </w:rPr>
            </w:pPr>
            <w:r w:rsidRPr="00410F31">
              <w:rPr>
                <w:rFonts w:cstheme="minorHAnsi"/>
                <w:b/>
                <w:sz w:val="16"/>
                <w:szCs w:val="16"/>
                <w:lang w:val="sr-Latn-ME"/>
              </w:rPr>
              <w:t>17.71 Socijalna uključenost</w:t>
            </w:r>
          </w:p>
        </w:tc>
      </w:tr>
      <w:tr w:rsidR="00410F31" w:rsidRPr="00410F31" w14:paraId="6D094971" w14:textId="77777777" w:rsidTr="00410F31">
        <w:trPr>
          <w:jc w:val="center"/>
        </w:trPr>
        <w:tc>
          <w:tcPr>
            <w:tcW w:w="894" w:type="pct"/>
            <w:vAlign w:val="center"/>
          </w:tcPr>
          <w:p w14:paraId="26ED92A5"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476</w:t>
            </w:r>
          </w:p>
        </w:tc>
        <w:tc>
          <w:tcPr>
            <w:tcW w:w="4106" w:type="pct"/>
            <w:vAlign w:val="center"/>
          </w:tcPr>
          <w:p w14:paraId="031F90F9"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Socijalna uključenost mladih</w:t>
            </w:r>
          </w:p>
        </w:tc>
      </w:tr>
      <w:tr w:rsidR="00410F31" w:rsidRPr="00410F31" w14:paraId="58A5130C" w14:textId="77777777" w:rsidTr="00410F31">
        <w:trPr>
          <w:jc w:val="center"/>
        </w:trPr>
        <w:tc>
          <w:tcPr>
            <w:tcW w:w="894" w:type="pct"/>
            <w:vAlign w:val="center"/>
          </w:tcPr>
          <w:p w14:paraId="18535B9B"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477</w:t>
            </w:r>
          </w:p>
        </w:tc>
        <w:tc>
          <w:tcPr>
            <w:tcW w:w="4106" w:type="pct"/>
            <w:vAlign w:val="center"/>
          </w:tcPr>
          <w:p w14:paraId="50EE14E9"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Socijalna integracija, uključujući pristup kvalitetnim uslugama za državljane trećih zemalja</w:t>
            </w:r>
          </w:p>
        </w:tc>
      </w:tr>
      <w:tr w:rsidR="00410F31" w:rsidRPr="00410F31" w14:paraId="1F43729D" w14:textId="77777777" w:rsidTr="00410F31">
        <w:trPr>
          <w:jc w:val="center"/>
        </w:trPr>
        <w:tc>
          <w:tcPr>
            <w:tcW w:w="894" w:type="pct"/>
            <w:vAlign w:val="center"/>
          </w:tcPr>
          <w:p w14:paraId="4FD89C7C"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478</w:t>
            </w:r>
          </w:p>
        </w:tc>
        <w:tc>
          <w:tcPr>
            <w:tcW w:w="4106" w:type="pct"/>
            <w:vAlign w:val="center"/>
          </w:tcPr>
          <w:p w14:paraId="43F814D1"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Mjere za socijalnu uključenost i pristup kvalitetnim uslugama za osobe sa invaliditetom</w:t>
            </w:r>
          </w:p>
        </w:tc>
      </w:tr>
      <w:tr w:rsidR="00410F31" w:rsidRPr="00410F31" w14:paraId="6DAF7235" w14:textId="77777777" w:rsidTr="00410F31">
        <w:trPr>
          <w:jc w:val="center"/>
        </w:trPr>
        <w:tc>
          <w:tcPr>
            <w:tcW w:w="894" w:type="pct"/>
            <w:vAlign w:val="center"/>
          </w:tcPr>
          <w:p w14:paraId="7990BEF5"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479</w:t>
            </w:r>
          </w:p>
        </w:tc>
        <w:tc>
          <w:tcPr>
            <w:tcW w:w="4106" w:type="pct"/>
            <w:vAlign w:val="center"/>
          </w:tcPr>
          <w:p w14:paraId="40FAB99C"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Mjere za suzbijanje dječjeg siromaštva</w:t>
            </w:r>
          </w:p>
        </w:tc>
      </w:tr>
      <w:tr w:rsidR="00410F31" w:rsidRPr="00410F31" w14:paraId="0D72C847" w14:textId="77777777" w:rsidTr="00410F31">
        <w:trPr>
          <w:jc w:val="center"/>
        </w:trPr>
        <w:tc>
          <w:tcPr>
            <w:tcW w:w="894" w:type="pct"/>
            <w:vAlign w:val="center"/>
          </w:tcPr>
          <w:p w14:paraId="7EBD419A"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480</w:t>
            </w:r>
          </w:p>
        </w:tc>
        <w:tc>
          <w:tcPr>
            <w:tcW w:w="4106" w:type="pct"/>
            <w:vAlign w:val="center"/>
          </w:tcPr>
          <w:p w14:paraId="3D8AB5F2"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Mjere za socijalnu uključenost, uključujući pristup kvalitetnim uslugama za marginalizovane zajednice kao što su Romi</w:t>
            </w:r>
          </w:p>
        </w:tc>
      </w:tr>
      <w:tr w:rsidR="00410F31" w:rsidRPr="00410F31" w14:paraId="1F17608B" w14:textId="77777777" w:rsidTr="00410F31">
        <w:trPr>
          <w:jc w:val="center"/>
        </w:trPr>
        <w:tc>
          <w:tcPr>
            <w:tcW w:w="894" w:type="pct"/>
            <w:vAlign w:val="center"/>
          </w:tcPr>
          <w:p w14:paraId="077A0A96"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481</w:t>
            </w:r>
          </w:p>
        </w:tc>
        <w:tc>
          <w:tcPr>
            <w:tcW w:w="4106" w:type="pct"/>
            <w:vAlign w:val="center"/>
          </w:tcPr>
          <w:p w14:paraId="6FF4D835"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Dugotrajna njega, uključujući pružanje porodičnih i usluga u zajednici (isključujući infrastrukturu)*</w:t>
            </w:r>
          </w:p>
        </w:tc>
      </w:tr>
      <w:tr w:rsidR="00410F31" w:rsidRPr="00410F31" w14:paraId="1AFB6AC2" w14:textId="77777777" w:rsidTr="00410F31">
        <w:trPr>
          <w:jc w:val="center"/>
        </w:trPr>
        <w:tc>
          <w:tcPr>
            <w:tcW w:w="894" w:type="pct"/>
            <w:vAlign w:val="center"/>
          </w:tcPr>
          <w:p w14:paraId="5EDF6E9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482</w:t>
            </w:r>
          </w:p>
        </w:tc>
        <w:tc>
          <w:tcPr>
            <w:tcW w:w="4106" w:type="pct"/>
            <w:vAlign w:val="center"/>
          </w:tcPr>
          <w:p w14:paraId="3CA181C0"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Mjere za socijalnu integraciju, uključujući pristup uslugama za osobe u riziku od siromaštva ili socijalne isključenosti</w:t>
            </w:r>
          </w:p>
        </w:tc>
      </w:tr>
      <w:tr w:rsidR="00410F31" w:rsidRPr="00410F31" w14:paraId="09EF124B" w14:textId="77777777" w:rsidTr="00410F31">
        <w:trPr>
          <w:jc w:val="center"/>
        </w:trPr>
        <w:tc>
          <w:tcPr>
            <w:tcW w:w="894" w:type="pct"/>
            <w:vAlign w:val="center"/>
          </w:tcPr>
          <w:p w14:paraId="3A3B5D4F"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483</w:t>
            </w:r>
          </w:p>
        </w:tc>
        <w:tc>
          <w:tcPr>
            <w:tcW w:w="4106" w:type="pct"/>
            <w:vAlign w:val="center"/>
          </w:tcPr>
          <w:p w14:paraId="12776875"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 xml:space="preserve">Mjere za rješavanje </w:t>
            </w:r>
            <w:proofErr w:type="spellStart"/>
            <w:r w:rsidRPr="00410F31">
              <w:rPr>
                <w:rFonts w:cstheme="minorHAnsi"/>
                <w:bCs/>
                <w:color w:val="000000"/>
                <w:sz w:val="16"/>
                <w:szCs w:val="16"/>
                <w:lang w:val="sr-Latn-ME"/>
              </w:rPr>
              <w:t>beskućništva</w:t>
            </w:r>
            <w:proofErr w:type="spellEnd"/>
          </w:p>
        </w:tc>
      </w:tr>
      <w:tr w:rsidR="00410F31" w:rsidRPr="00410F31" w14:paraId="44C53E3B" w14:textId="77777777" w:rsidTr="00410F31">
        <w:trPr>
          <w:jc w:val="center"/>
        </w:trPr>
        <w:tc>
          <w:tcPr>
            <w:tcW w:w="894" w:type="pct"/>
            <w:vAlign w:val="center"/>
          </w:tcPr>
          <w:p w14:paraId="339D8D28"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484</w:t>
            </w:r>
          </w:p>
        </w:tc>
        <w:tc>
          <w:tcPr>
            <w:tcW w:w="4106" w:type="pct"/>
            <w:vAlign w:val="center"/>
          </w:tcPr>
          <w:p w14:paraId="3E3CFD11"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Podrška socijalnoj ekonomiji i socijalnim preduzećima</w:t>
            </w:r>
          </w:p>
        </w:tc>
      </w:tr>
      <w:tr w:rsidR="00410F31" w:rsidRPr="00410F31" w14:paraId="4148B942" w14:textId="77777777" w:rsidTr="00410F31">
        <w:trPr>
          <w:jc w:val="center"/>
        </w:trPr>
        <w:tc>
          <w:tcPr>
            <w:tcW w:w="894" w:type="pct"/>
            <w:vAlign w:val="center"/>
          </w:tcPr>
          <w:p w14:paraId="5DF13B18"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485</w:t>
            </w:r>
          </w:p>
        </w:tc>
        <w:tc>
          <w:tcPr>
            <w:tcW w:w="4106" w:type="pct"/>
            <w:vAlign w:val="center"/>
          </w:tcPr>
          <w:p w14:paraId="0A74E382"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Podrška neformalnim/polu-formalnim finansijskim posrednicima u trećim zemljama</w:t>
            </w:r>
          </w:p>
        </w:tc>
      </w:tr>
      <w:tr w:rsidR="00410F31" w:rsidRPr="00410F31" w14:paraId="3E36DD0A" w14:textId="77777777" w:rsidTr="00410F31">
        <w:trPr>
          <w:jc w:val="center"/>
        </w:trPr>
        <w:tc>
          <w:tcPr>
            <w:tcW w:w="894" w:type="pct"/>
            <w:vAlign w:val="center"/>
          </w:tcPr>
          <w:p w14:paraId="1DF7FA50"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lastRenderedPageBreak/>
              <w:t>486</w:t>
            </w:r>
          </w:p>
        </w:tc>
        <w:tc>
          <w:tcPr>
            <w:tcW w:w="4106" w:type="pct"/>
            <w:vAlign w:val="center"/>
          </w:tcPr>
          <w:p w14:paraId="4D4A80AA"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 xml:space="preserve">Ostala socijalna infrastruktura (uključujući predškolske ustanove i centre za </w:t>
            </w:r>
            <w:proofErr w:type="spellStart"/>
            <w:r w:rsidRPr="00410F31">
              <w:rPr>
                <w:rFonts w:cstheme="minorHAnsi"/>
                <w:bCs/>
                <w:color w:val="000000"/>
                <w:sz w:val="16"/>
                <w:szCs w:val="16"/>
                <w:lang w:val="sr-Latn-ME"/>
              </w:rPr>
              <w:t>njegu</w:t>
            </w:r>
            <w:proofErr w:type="spellEnd"/>
            <w:r w:rsidRPr="00410F31">
              <w:rPr>
                <w:rFonts w:cstheme="minorHAnsi"/>
                <w:bCs/>
                <w:color w:val="000000"/>
                <w:sz w:val="16"/>
                <w:szCs w:val="16"/>
                <w:lang w:val="sr-Latn-ME"/>
              </w:rPr>
              <w:t>) – razvoj i izgradnja novih zgrada sa nultom ili gotovo nultom emisijom*</w:t>
            </w:r>
          </w:p>
        </w:tc>
      </w:tr>
      <w:tr w:rsidR="00410F31" w:rsidRPr="00410F31" w14:paraId="15395F24" w14:textId="77777777" w:rsidTr="00410F31">
        <w:trPr>
          <w:jc w:val="center"/>
        </w:trPr>
        <w:tc>
          <w:tcPr>
            <w:tcW w:w="894" w:type="pct"/>
            <w:vAlign w:val="center"/>
          </w:tcPr>
          <w:p w14:paraId="59CA95F5"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487</w:t>
            </w:r>
          </w:p>
        </w:tc>
        <w:tc>
          <w:tcPr>
            <w:tcW w:w="4106" w:type="pct"/>
            <w:vAlign w:val="center"/>
          </w:tcPr>
          <w:p w14:paraId="4BE7C33A"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 xml:space="preserve">Ostala socijalna infrastruktura (uključujući predškolske ustanove i centre za </w:t>
            </w:r>
            <w:proofErr w:type="spellStart"/>
            <w:r w:rsidRPr="00410F31">
              <w:rPr>
                <w:rFonts w:cstheme="minorHAnsi"/>
                <w:bCs/>
                <w:color w:val="000000"/>
                <w:sz w:val="16"/>
                <w:szCs w:val="16"/>
                <w:lang w:val="sr-Latn-ME"/>
              </w:rPr>
              <w:t>njegu</w:t>
            </w:r>
            <w:proofErr w:type="spellEnd"/>
            <w:r w:rsidRPr="00410F31">
              <w:rPr>
                <w:rFonts w:cstheme="minorHAnsi"/>
                <w:bCs/>
                <w:color w:val="000000"/>
                <w:sz w:val="16"/>
                <w:szCs w:val="16"/>
                <w:lang w:val="sr-Latn-ME"/>
              </w:rPr>
              <w:t>) – razvoj i izgradnja drugih tipova objekata*</w:t>
            </w:r>
          </w:p>
        </w:tc>
      </w:tr>
      <w:tr w:rsidR="00410F31" w:rsidRPr="00410F31" w14:paraId="39CD95A6" w14:textId="77777777" w:rsidTr="00410F31">
        <w:trPr>
          <w:jc w:val="center"/>
        </w:trPr>
        <w:tc>
          <w:tcPr>
            <w:tcW w:w="894" w:type="pct"/>
            <w:vAlign w:val="center"/>
          </w:tcPr>
          <w:p w14:paraId="55039E1A"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488</w:t>
            </w:r>
          </w:p>
        </w:tc>
        <w:tc>
          <w:tcPr>
            <w:tcW w:w="4106" w:type="pct"/>
            <w:vAlign w:val="center"/>
          </w:tcPr>
          <w:p w14:paraId="06D523DD" w14:textId="77777777" w:rsidR="00410F31" w:rsidRPr="00410F31" w:rsidRDefault="00410F31" w:rsidP="00FC410A">
            <w:pPr>
              <w:rPr>
                <w:rFonts w:cstheme="minorHAnsi"/>
                <w:bCs/>
                <w:color w:val="000000"/>
                <w:sz w:val="16"/>
                <w:szCs w:val="16"/>
                <w:lang w:val="sr-Latn-ME"/>
              </w:rPr>
            </w:pPr>
            <w:r w:rsidRPr="00410F31">
              <w:rPr>
                <w:rFonts w:cstheme="minorHAnsi"/>
                <w:bCs/>
                <w:color w:val="000000"/>
                <w:sz w:val="16"/>
                <w:szCs w:val="16"/>
                <w:lang w:val="sr-Latn-ME"/>
              </w:rPr>
              <w:t>Direktna novčana podrška domaćinstvima za rješavanje specifičnih ranjivosti korisnika u vezi sa uticajem ETS2</w:t>
            </w:r>
          </w:p>
        </w:tc>
      </w:tr>
    </w:tbl>
    <w:p w14:paraId="1EF2DC45" w14:textId="77777777" w:rsidR="00410F31" w:rsidRPr="002F6D7B" w:rsidRDefault="00410F31" w:rsidP="00410F31">
      <w:pPr>
        <w:rPr>
          <w:rFonts w:eastAsia="Times New Roman" w:cstheme="minorHAnsi"/>
          <w:b/>
          <w:bCs/>
          <w:lang w:val="sr-Latn-ME"/>
        </w:rPr>
      </w:pPr>
    </w:p>
    <w:p w14:paraId="65F90A2C" w14:textId="77777777" w:rsidR="00410F31" w:rsidRPr="002F6D7B" w:rsidRDefault="00410F31" w:rsidP="00410F31">
      <w:pPr>
        <w:rPr>
          <w:rFonts w:eastAsia="Times New Roman" w:cstheme="minorHAnsi"/>
          <w:bCs/>
          <w:lang w:val="sr-Latn-ME"/>
        </w:rPr>
      </w:pPr>
      <w:r w:rsidRPr="002F6D7B">
        <w:rPr>
          <w:rFonts w:eastAsia="Times New Roman" w:cstheme="minorHAnsi"/>
          <w:b/>
          <w:bCs/>
          <w:lang w:val="sr-Latn-ME"/>
        </w:rPr>
        <w:t xml:space="preserve">Napomena: </w:t>
      </w:r>
      <w:r w:rsidRPr="002F6D7B">
        <w:rPr>
          <w:rFonts w:eastAsia="Times New Roman" w:cstheme="minorHAnsi"/>
          <w:bCs/>
          <w:lang w:val="sr-Latn-ME"/>
        </w:rPr>
        <w:t>Tematske jedinice 17.68.442 (</w:t>
      </w:r>
      <w:proofErr w:type="spellStart"/>
      <w:r w:rsidRPr="002F6D7B">
        <w:rPr>
          <w:rFonts w:eastAsia="Times New Roman" w:cstheme="minorHAnsi"/>
          <w:bCs/>
          <w:lang w:val="sr-Latn-ME"/>
        </w:rPr>
        <w:t>socio</w:t>
      </w:r>
      <w:proofErr w:type="spellEnd"/>
      <w:r w:rsidRPr="002F6D7B">
        <w:rPr>
          <w:rFonts w:eastAsia="Times New Roman" w:cstheme="minorHAnsi"/>
          <w:bCs/>
          <w:lang w:val="sr-Latn-ME"/>
        </w:rPr>
        <w:t>-ekonomska podrška izbjeglicama u trećim zemljama), 17.69.451–452 (sigurnost hrane/pothranjenost u trećim zemljama), 17.70.457–461 (sanitarni uslovi, kuvanje, reproduktivno zdravlje, zdravstvena zaštita za migrante u trećim zemljama, infrastruktura u trećim zemljama), kao i 17.71.477 i 17.71.485 (podrška neformalnim finansijskim posrednicima u trećim zemljama) isključene su</w:t>
      </w:r>
      <w:r>
        <w:rPr>
          <w:rFonts w:eastAsia="Times New Roman" w:cstheme="minorHAnsi"/>
          <w:bCs/>
          <w:lang w:val="sr-Latn-ME"/>
        </w:rPr>
        <w:t xml:space="preserve"> iz dalje analize, jer ni</w:t>
      </w:r>
      <w:r w:rsidRPr="002F6D7B">
        <w:rPr>
          <w:rFonts w:eastAsia="Times New Roman" w:cstheme="minorHAnsi"/>
          <w:bCs/>
          <w:lang w:val="sr-Latn-ME"/>
        </w:rPr>
        <w:t>su relevantne za Crnu Goru.</w:t>
      </w:r>
    </w:p>
    <w:p w14:paraId="39181E5D" w14:textId="70959F7C" w:rsidR="00410F31" w:rsidRPr="002F6D7B" w:rsidRDefault="00410F31" w:rsidP="00410F31">
      <w:pPr>
        <w:pStyle w:val="Naslov2"/>
        <w:rPr>
          <w:rFonts w:eastAsia="Times New Roman"/>
          <w:lang w:val="sr-Latn-ME"/>
        </w:rPr>
      </w:pPr>
      <w:r w:rsidRPr="002F6D7B">
        <w:rPr>
          <w:rFonts w:eastAsia="Times New Roman"/>
          <w:lang w:val="sr-Latn-ME"/>
        </w:rPr>
        <w:t>Indikativna lista razvojnih izazova</w:t>
      </w:r>
    </w:p>
    <w:tbl>
      <w:tblPr>
        <w:tblStyle w:val="Reetkatablice"/>
        <w:tblW w:w="5000" w:type="pct"/>
        <w:tblLook w:val="04A0" w:firstRow="1" w:lastRow="0" w:firstColumn="1" w:lastColumn="0" w:noHBand="0" w:noVBand="1"/>
      </w:tblPr>
      <w:tblGrid>
        <w:gridCol w:w="1365"/>
        <w:gridCol w:w="1711"/>
        <w:gridCol w:w="5986"/>
      </w:tblGrid>
      <w:tr w:rsidR="00410F31" w:rsidRPr="00410F31" w14:paraId="54458F6C" w14:textId="77777777" w:rsidTr="00410F31">
        <w:tc>
          <w:tcPr>
            <w:tcW w:w="753" w:type="pct"/>
            <w:shd w:val="clear" w:color="auto" w:fill="83CAEB" w:themeFill="accent1" w:themeFillTint="66"/>
            <w:vAlign w:val="center"/>
          </w:tcPr>
          <w:p w14:paraId="7343EDDA" w14:textId="77777777" w:rsidR="00410F31" w:rsidRPr="00410F31" w:rsidRDefault="00410F31" w:rsidP="00FC410A">
            <w:pPr>
              <w:ind w:right="-108"/>
              <w:jc w:val="center"/>
              <w:rPr>
                <w:rFonts w:eastAsia="Times New Roman" w:cstheme="minorHAnsi"/>
                <w:b/>
                <w:bCs/>
                <w:sz w:val="16"/>
                <w:szCs w:val="16"/>
                <w:lang w:val="sr-Latn-ME"/>
              </w:rPr>
            </w:pPr>
            <w:r w:rsidRPr="00410F31">
              <w:rPr>
                <w:rFonts w:eastAsia="Times New Roman" w:cstheme="minorHAnsi"/>
                <w:b/>
                <w:bCs/>
                <w:sz w:val="16"/>
                <w:szCs w:val="16"/>
                <w:lang w:val="sr-Latn-ME"/>
              </w:rPr>
              <w:t>Kod razvojnog izazova</w:t>
            </w:r>
          </w:p>
        </w:tc>
        <w:tc>
          <w:tcPr>
            <w:tcW w:w="944" w:type="pct"/>
            <w:shd w:val="clear" w:color="auto" w:fill="83CAEB" w:themeFill="accent1" w:themeFillTint="66"/>
            <w:vAlign w:val="center"/>
          </w:tcPr>
          <w:p w14:paraId="1008C141"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Naziv razvojnog izazova</w:t>
            </w:r>
          </w:p>
        </w:tc>
        <w:tc>
          <w:tcPr>
            <w:tcW w:w="3303" w:type="pct"/>
            <w:shd w:val="clear" w:color="auto" w:fill="83CAEB" w:themeFill="accent1" w:themeFillTint="66"/>
            <w:vAlign w:val="center"/>
          </w:tcPr>
          <w:p w14:paraId="3AEA943C" w14:textId="77777777" w:rsidR="00410F31" w:rsidRPr="00410F31" w:rsidRDefault="00410F31" w:rsidP="00FC410A">
            <w:pPr>
              <w:jc w:val="center"/>
              <w:rPr>
                <w:rFonts w:eastAsia="Times New Roman" w:cstheme="minorHAnsi"/>
                <w:b/>
                <w:bCs/>
                <w:sz w:val="16"/>
                <w:szCs w:val="16"/>
                <w:lang w:val="sr-Latn-ME"/>
              </w:rPr>
            </w:pPr>
            <w:r w:rsidRPr="00410F31">
              <w:rPr>
                <w:rFonts w:eastAsia="Times New Roman" w:cstheme="minorHAnsi"/>
                <w:b/>
                <w:bCs/>
                <w:sz w:val="16"/>
                <w:szCs w:val="16"/>
                <w:lang w:val="sr-Latn-ME"/>
              </w:rPr>
              <w:t>Obrazloženje (do 500 karaktera)</w:t>
            </w:r>
          </w:p>
        </w:tc>
      </w:tr>
      <w:tr w:rsidR="00410F31" w:rsidRPr="00410F31" w14:paraId="12C90508" w14:textId="77777777" w:rsidTr="00410F31">
        <w:tc>
          <w:tcPr>
            <w:tcW w:w="753" w:type="pct"/>
          </w:tcPr>
          <w:p w14:paraId="0B9C02F8" w14:textId="77777777" w:rsidR="00410F31" w:rsidRPr="00410F31" w:rsidRDefault="00410F31" w:rsidP="00FC410A">
            <w:pPr>
              <w:rPr>
                <w:rStyle w:val="Naglaeno"/>
                <w:rFonts w:cstheme="minorHAnsi"/>
                <w:b w:val="0"/>
                <w:bCs w:val="0"/>
                <w:sz w:val="16"/>
                <w:szCs w:val="16"/>
                <w:lang w:val="sr-Latn-ME"/>
              </w:rPr>
            </w:pPr>
            <w:r w:rsidRPr="00410F31">
              <w:rPr>
                <w:rStyle w:val="Naglaeno"/>
                <w:rFonts w:cstheme="minorHAnsi"/>
                <w:b w:val="0"/>
                <w:bCs w:val="0"/>
                <w:sz w:val="16"/>
                <w:szCs w:val="16"/>
                <w:lang w:val="sr-Latn-ME"/>
              </w:rPr>
              <w:t>DC1</w:t>
            </w:r>
          </w:p>
          <w:p w14:paraId="7B2AAAAC" w14:textId="77777777" w:rsidR="00410F31" w:rsidRPr="00410F31" w:rsidRDefault="00410F31" w:rsidP="00FC410A">
            <w:pPr>
              <w:rPr>
                <w:b/>
                <w:sz w:val="16"/>
                <w:szCs w:val="16"/>
                <w:lang w:val="sr-Latn-ME"/>
              </w:rPr>
            </w:pPr>
          </w:p>
        </w:tc>
        <w:tc>
          <w:tcPr>
            <w:tcW w:w="944" w:type="pct"/>
          </w:tcPr>
          <w:p w14:paraId="2EE28CBC"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Slab učinak tržišta rada i strukturna nezaposlenost (438, 439, 464, 465)</w:t>
            </w:r>
          </w:p>
        </w:tc>
        <w:tc>
          <w:tcPr>
            <w:tcW w:w="3303" w:type="pct"/>
          </w:tcPr>
          <w:p w14:paraId="443DD2B3" w14:textId="77777777" w:rsidR="00410F31" w:rsidRPr="00410F31" w:rsidRDefault="00410F31" w:rsidP="00FC410A">
            <w:pPr>
              <w:rPr>
                <w:sz w:val="16"/>
                <w:szCs w:val="16"/>
                <w:lang w:val="sr-Latn-ME"/>
              </w:rPr>
            </w:pPr>
            <w:r w:rsidRPr="00410F31">
              <w:rPr>
                <w:rFonts w:cstheme="minorHAnsi"/>
                <w:sz w:val="16"/>
                <w:szCs w:val="16"/>
                <w:lang w:val="sr-Latn-ME"/>
              </w:rPr>
              <w:t>Iako se stopa nezaposlenosti u posljednjim godinama kontinuirano smanjuje (u februaru 2026. iznosila je 9%), dugoročna nezaposlenost je visoko zastupljena u evidenciji Zavoda za zapošljavanje (u 2025. godini ukupno 20.204 lica, odnosno 71,39% ukupnog broja nezaposlenih, tražilo je posao duže od jedne godine; od toga je 16.537 lica (58,44%) bilo nezaposleno duže od tri godine, a 12.165 (42,99%) duže od pet godina</w:t>
            </w:r>
            <w:r w:rsidRPr="00410F31">
              <w:rPr>
                <w:rStyle w:val="Referencafusnote"/>
                <w:rFonts w:cstheme="minorHAnsi"/>
                <w:sz w:val="16"/>
                <w:szCs w:val="16"/>
                <w:lang w:val="sr-Latn-ME"/>
              </w:rPr>
              <w:footnoteReference w:id="44"/>
            </w:r>
            <w:r w:rsidRPr="00410F31">
              <w:rPr>
                <w:rFonts w:cstheme="minorHAnsi"/>
                <w:sz w:val="16"/>
                <w:szCs w:val="16"/>
                <w:lang w:val="sr-Latn-ME"/>
              </w:rPr>
              <w:t>), što ukazuje na strukturne neefikasnosti tržišta rada. Slabe politike aktivacije i ograničeni institucionalni kapaciteti otežavaju prelazak u zaposlenje, posebno za ranjive grupe i dugoročno nezaposlene.</w:t>
            </w:r>
          </w:p>
        </w:tc>
      </w:tr>
      <w:tr w:rsidR="00410F31" w:rsidRPr="00410F31" w14:paraId="7316EDD8" w14:textId="77777777" w:rsidTr="00410F31">
        <w:tc>
          <w:tcPr>
            <w:tcW w:w="753" w:type="pct"/>
          </w:tcPr>
          <w:p w14:paraId="44D2BBE1" w14:textId="77777777" w:rsidR="00410F31" w:rsidRPr="00410F31" w:rsidRDefault="00410F31" w:rsidP="00FC410A">
            <w:pPr>
              <w:rPr>
                <w:sz w:val="16"/>
                <w:szCs w:val="16"/>
                <w:lang w:val="sr-Latn-ME"/>
              </w:rPr>
            </w:pPr>
            <w:r w:rsidRPr="00410F31">
              <w:rPr>
                <w:sz w:val="16"/>
                <w:szCs w:val="16"/>
                <w:lang w:val="sr-Latn-ME"/>
              </w:rPr>
              <w:t>RI2</w:t>
            </w:r>
          </w:p>
          <w:p w14:paraId="637E7483" w14:textId="77777777" w:rsidR="00410F31" w:rsidRPr="00410F31" w:rsidRDefault="00410F31" w:rsidP="00FC410A">
            <w:pPr>
              <w:rPr>
                <w:b/>
                <w:sz w:val="16"/>
                <w:szCs w:val="16"/>
                <w:lang w:val="sr-Latn-ME"/>
              </w:rPr>
            </w:pPr>
          </w:p>
        </w:tc>
        <w:tc>
          <w:tcPr>
            <w:tcW w:w="944" w:type="pct"/>
          </w:tcPr>
          <w:p w14:paraId="0548B443"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Niska stopa zaposlenosti i učešća radne snage (</w:t>
            </w:r>
            <w:r w:rsidRPr="00410F31">
              <w:rPr>
                <w:sz w:val="16"/>
                <w:szCs w:val="16"/>
                <w:lang w:val="sr-Latn-ME"/>
              </w:rPr>
              <w:t>438, 440, 443, 446)</w:t>
            </w:r>
          </w:p>
        </w:tc>
        <w:tc>
          <w:tcPr>
            <w:tcW w:w="3303" w:type="pct"/>
          </w:tcPr>
          <w:p w14:paraId="51382CAE" w14:textId="77777777" w:rsidR="00410F31" w:rsidRPr="00410F31" w:rsidRDefault="00410F31" w:rsidP="00FC410A">
            <w:pPr>
              <w:rPr>
                <w:sz w:val="16"/>
                <w:szCs w:val="16"/>
                <w:lang w:val="sr-Latn-ME"/>
              </w:rPr>
            </w:pPr>
            <w:r w:rsidRPr="00410F31">
              <w:rPr>
                <w:rFonts w:eastAsia="Times New Roman" w:cstheme="minorHAnsi"/>
                <w:sz w:val="16"/>
                <w:szCs w:val="16"/>
                <w:lang w:val="sr-Latn-ME"/>
              </w:rPr>
              <w:t xml:space="preserve">Stopa zaposlenosti (~53% u 2025. godini) i dalje je znatno ispod cilja EU (78%), uz nisko učešće žena i mladih. Ograničenja uključuju nedovoljno razvijene usluge brige o djeci, neusklađenost vještina i ograničene fleksibilne oblike rada, što ograničava </w:t>
            </w:r>
            <w:proofErr w:type="spellStart"/>
            <w:r w:rsidRPr="00410F31">
              <w:rPr>
                <w:rFonts w:eastAsia="Times New Roman" w:cstheme="minorHAnsi"/>
                <w:sz w:val="16"/>
                <w:szCs w:val="16"/>
                <w:lang w:val="sr-Latn-ME"/>
              </w:rPr>
              <w:t>inkluzivno</w:t>
            </w:r>
            <w:proofErr w:type="spellEnd"/>
            <w:r w:rsidRPr="00410F31">
              <w:rPr>
                <w:rFonts w:eastAsia="Times New Roman" w:cstheme="minorHAnsi"/>
                <w:sz w:val="16"/>
                <w:szCs w:val="16"/>
                <w:lang w:val="sr-Latn-ME"/>
              </w:rPr>
              <w:t xml:space="preserve"> učešće na tržištu rada.</w:t>
            </w:r>
          </w:p>
        </w:tc>
      </w:tr>
      <w:tr w:rsidR="00410F31" w:rsidRPr="00410F31" w14:paraId="10B69C76" w14:textId="77777777" w:rsidTr="00410F31">
        <w:tc>
          <w:tcPr>
            <w:tcW w:w="753" w:type="pct"/>
          </w:tcPr>
          <w:p w14:paraId="51AF611E" w14:textId="77777777" w:rsidR="00410F31" w:rsidRPr="00410F31" w:rsidRDefault="00410F31" w:rsidP="00FC410A">
            <w:pPr>
              <w:pStyle w:val="Naslov3"/>
              <w:rPr>
                <w:rStyle w:val="Naglaeno"/>
                <w:rFonts w:cstheme="minorHAnsi"/>
                <w:bCs w:val="0"/>
                <w:sz w:val="16"/>
                <w:szCs w:val="16"/>
                <w:lang w:val="sr-Latn-ME"/>
              </w:rPr>
            </w:pPr>
            <w:r w:rsidRPr="00410F31">
              <w:rPr>
                <w:rStyle w:val="Naglaeno"/>
                <w:rFonts w:cstheme="minorHAnsi"/>
                <w:sz w:val="16"/>
                <w:szCs w:val="16"/>
                <w:lang w:val="sr-Latn-ME"/>
              </w:rPr>
              <w:t>RI3</w:t>
            </w:r>
          </w:p>
          <w:p w14:paraId="502D9A3C" w14:textId="77777777" w:rsidR="00410F31" w:rsidRPr="00410F31" w:rsidRDefault="00410F31" w:rsidP="00FC410A">
            <w:pPr>
              <w:rPr>
                <w:bCs/>
                <w:sz w:val="16"/>
                <w:szCs w:val="16"/>
                <w:lang w:val="sr-Latn-ME"/>
              </w:rPr>
            </w:pPr>
          </w:p>
        </w:tc>
        <w:tc>
          <w:tcPr>
            <w:tcW w:w="944" w:type="pct"/>
          </w:tcPr>
          <w:p w14:paraId="0082BD94"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Neadekvatno ciljane i nedovoljno efikasne mjere socijalne zaštite (</w:t>
            </w:r>
            <w:r w:rsidRPr="00410F31">
              <w:rPr>
                <w:rStyle w:val="Naglaeno"/>
                <w:rFonts w:cstheme="minorHAnsi"/>
                <w:b w:val="0"/>
                <w:sz w:val="16"/>
                <w:szCs w:val="16"/>
                <w:lang w:val="sr-Latn-ME"/>
              </w:rPr>
              <w:t>471, 482, 488)</w:t>
            </w:r>
          </w:p>
        </w:tc>
        <w:tc>
          <w:tcPr>
            <w:tcW w:w="3303" w:type="pct"/>
          </w:tcPr>
          <w:p w14:paraId="32AF78B6" w14:textId="77777777" w:rsidR="00410F31" w:rsidRPr="00410F31" w:rsidRDefault="00410F31" w:rsidP="00FC410A">
            <w:pPr>
              <w:rPr>
                <w:sz w:val="16"/>
                <w:szCs w:val="16"/>
                <w:lang w:val="sr-Latn-ME"/>
              </w:rPr>
            </w:pPr>
            <w:r w:rsidRPr="00410F31">
              <w:rPr>
                <w:rFonts w:cstheme="minorHAnsi"/>
                <w:sz w:val="16"/>
                <w:szCs w:val="16"/>
                <w:lang w:val="sr-Latn-ME"/>
              </w:rPr>
              <w:t>Izdvajanja za socijalnu zaštitu su relativno visoka (18% budžeta), ali slabo usmjerena. Samo ograničen dio davanja dopire do najsiromašnijih domaćinstava, što smanjuje efikasnost sistema u smanjenju siromaštva i socijalne isključenosti.</w:t>
            </w:r>
          </w:p>
        </w:tc>
      </w:tr>
      <w:tr w:rsidR="00410F31" w:rsidRPr="00410F31" w14:paraId="46568C86" w14:textId="77777777" w:rsidTr="00410F31">
        <w:tc>
          <w:tcPr>
            <w:tcW w:w="753" w:type="pct"/>
          </w:tcPr>
          <w:p w14:paraId="489D1EA4" w14:textId="77777777" w:rsidR="00410F31" w:rsidRPr="00410F31" w:rsidRDefault="00410F31" w:rsidP="00FC410A">
            <w:pPr>
              <w:rPr>
                <w:sz w:val="16"/>
                <w:szCs w:val="16"/>
                <w:lang w:val="sr-Latn-ME"/>
              </w:rPr>
            </w:pPr>
            <w:r w:rsidRPr="00410F31">
              <w:rPr>
                <w:sz w:val="16"/>
                <w:szCs w:val="16"/>
                <w:lang w:val="sr-Latn-ME"/>
              </w:rPr>
              <w:t>RI4</w:t>
            </w:r>
          </w:p>
          <w:p w14:paraId="4EAD4B83" w14:textId="77777777" w:rsidR="00410F31" w:rsidRPr="00410F31" w:rsidRDefault="00410F31" w:rsidP="00FC410A">
            <w:pPr>
              <w:rPr>
                <w:sz w:val="16"/>
                <w:szCs w:val="16"/>
                <w:lang w:val="sr-Latn-ME"/>
              </w:rPr>
            </w:pPr>
          </w:p>
        </w:tc>
        <w:tc>
          <w:tcPr>
            <w:tcW w:w="944" w:type="pct"/>
          </w:tcPr>
          <w:p w14:paraId="6936BF26" w14:textId="77777777" w:rsidR="00410F31" w:rsidRPr="00410F31" w:rsidRDefault="00410F31" w:rsidP="00FC410A">
            <w:pPr>
              <w:rPr>
                <w:rStyle w:val="Naglaeno"/>
                <w:rFonts w:cstheme="minorHAnsi"/>
                <w:b w:val="0"/>
                <w:bCs w:val="0"/>
                <w:sz w:val="16"/>
                <w:szCs w:val="16"/>
                <w:lang w:val="sr-Latn-ME"/>
              </w:rPr>
            </w:pPr>
            <w:r w:rsidRPr="00410F31">
              <w:rPr>
                <w:rStyle w:val="Naglaeno"/>
                <w:rFonts w:cstheme="minorHAnsi"/>
                <w:b w:val="0"/>
                <w:bCs w:val="0"/>
                <w:sz w:val="16"/>
                <w:szCs w:val="16"/>
                <w:lang w:val="sr-Latn-ME"/>
              </w:rPr>
              <w:t>Visok rizik od siromaštva i socijalne isključenosti</w:t>
            </w:r>
          </w:p>
          <w:p w14:paraId="744FF77B" w14:textId="77777777" w:rsidR="00410F31" w:rsidRPr="00410F31" w:rsidRDefault="00410F31" w:rsidP="00FC410A">
            <w:pPr>
              <w:rPr>
                <w:sz w:val="16"/>
                <w:szCs w:val="16"/>
                <w:lang w:val="sr-Latn-ME"/>
              </w:rPr>
            </w:pPr>
            <w:r w:rsidRPr="00410F31">
              <w:rPr>
                <w:rStyle w:val="Naglaeno"/>
                <w:rFonts w:cstheme="minorHAnsi"/>
                <w:b w:val="0"/>
                <w:sz w:val="16"/>
                <w:szCs w:val="16"/>
              </w:rPr>
              <w:t>(</w:t>
            </w:r>
            <w:r w:rsidRPr="00410F31">
              <w:rPr>
                <w:sz w:val="16"/>
                <w:szCs w:val="16"/>
                <w:lang w:val="sr-Latn-ME"/>
              </w:rPr>
              <w:t>471, 479, 480, 482)</w:t>
            </w:r>
          </w:p>
        </w:tc>
        <w:tc>
          <w:tcPr>
            <w:tcW w:w="3303" w:type="pct"/>
          </w:tcPr>
          <w:p w14:paraId="3AD6325A" w14:textId="77777777" w:rsidR="00410F31" w:rsidRPr="00410F31" w:rsidRDefault="00410F31" w:rsidP="00FC410A">
            <w:pPr>
              <w:rPr>
                <w:sz w:val="16"/>
                <w:szCs w:val="16"/>
                <w:lang w:val="sr-Latn-ME"/>
              </w:rPr>
            </w:pPr>
            <w:r w:rsidRPr="00410F31">
              <w:rPr>
                <w:rFonts w:cstheme="minorHAnsi"/>
                <w:sz w:val="16"/>
                <w:szCs w:val="16"/>
                <w:lang w:val="sr-Latn-ME"/>
              </w:rPr>
              <w:t>Oko 29,2% stanovništva nalazi se u riziku od siromaštva ili socijalne isključenosti (AROPE, EU SILC 2024). Ranjive grupe – uključujući djecu, Rome i osobe sa invaliditetom – suočavaju se sa sistemskim barijerama u pristupu uslugama, obrazovanju i zapošljavanju, što produbljuje nejednakosti i socijalnu fragmentaciju.</w:t>
            </w:r>
          </w:p>
        </w:tc>
      </w:tr>
      <w:tr w:rsidR="00410F31" w:rsidRPr="00410F31" w14:paraId="69980CF3" w14:textId="77777777" w:rsidTr="00410F31">
        <w:tc>
          <w:tcPr>
            <w:tcW w:w="753" w:type="pct"/>
          </w:tcPr>
          <w:p w14:paraId="0159C4C1" w14:textId="77777777" w:rsidR="00410F31" w:rsidRPr="00410F31" w:rsidRDefault="00410F31" w:rsidP="00FC410A">
            <w:pPr>
              <w:rPr>
                <w:rStyle w:val="Naglaeno"/>
                <w:rFonts w:cstheme="minorHAnsi"/>
                <w:b w:val="0"/>
                <w:bCs w:val="0"/>
                <w:sz w:val="16"/>
                <w:szCs w:val="16"/>
                <w:lang w:val="sr-Latn-ME"/>
              </w:rPr>
            </w:pPr>
            <w:r w:rsidRPr="00410F31">
              <w:rPr>
                <w:rStyle w:val="Naglaeno"/>
                <w:rFonts w:cstheme="minorHAnsi"/>
                <w:b w:val="0"/>
                <w:bCs w:val="0"/>
                <w:sz w:val="16"/>
                <w:szCs w:val="16"/>
                <w:lang w:val="sr-Latn-ME"/>
              </w:rPr>
              <w:t>RI5</w:t>
            </w:r>
          </w:p>
          <w:p w14:paraId="6BDDCBF2" w14:textId="77777777" w:rsidR="00410F31" w:rsidRPr="00410F31" w:rsidRDefault="00410F31" w:rsidP="00FC410A">
            <w:pPr>
              <w:rPr>
                <w:b/>
                <w:sz w:val="16"/>
                <w:szCs w:val="16"/>
                <w:lang w:val="sr-Latn-ME"/>
              </w:rPr>
            </w:pPr>
            <w:r w:rsidRPr="00410F31">
              <w:rPr>
                <w:rStyle w:val="Naglaeno"/>
                <w:rFonts w:cstheme="minorHAnsi"/>
                <w:b w:val="0"/>
                <w:bCs w:val="0"/>
                <w:sz w:val="16"/>
                <w:szCs w:val="16"/>
                <w:lang w:val="sr-Latn-ME"/>
              </w:rPr>
              <w:t xml:space="preserve"> </w:t>
            </w:r>
          </w:p>
        </w:tc>
        <w:tc>
          <w:tcPr>
            <w:tcW w:w="944" w:type="pct"/>
          </w:tcPr>
          <w:p w14:paraId="36E5E6B8"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Demografski pad i starenje stanovništva (470, 469)</w:t>
            </w:r>
          </w:p>
        </w:tc>
        <w:tc>
          <w:tcPr>
            <w:tcW w:w="3303" w:type="pct"/>
          </w:tcPr>
          <w:p w14:paraId="2CD10420" w14:textId="77777777" w:rsidR="00410F31" w:rsidRPr="00410F31" w:rsidRDefault="00410F31" w:rsidP="00FC410A">
            <w:pPr>
              <w:rPr>
                <w:sz w:val="16"/>
                <w:szCs w:val="16"/>
                <w:lang w:val="sr-Latn-ME"/>
              </w:rPr>
            </w:pPr>
            <w:r w:rsidRPr="00410F31">
              <w:rPr>
                <w:rFonts w:cstheme="minorHAnsi"/>
                <w:sz w:val="16"/>
                <w:szCs w:val="16"/>
                <w:lang w:val="sr-Latn-ME"/>
              </w:rPr>
              <w:t xml:space="preserve">Pad broja stanovnika, starenje i emigracija smanjuju ponudu radne snage i povećavaju </w:t>
            </w:r>
            <w:proofErr w:type="spellStart"/>
            <w:r w:rsidRPr="00410F31">
              <w:rPr>
                <w:rFonts w:cstheme="minorHAnsi"/>
                <w:sz w:val="16"/>
                <w:szCs w:val="16"/>
                <w:lang w:val="sr-Latn-ME"/>
              </w:rPr>
              <w:t>zavisničke</w:t>
            </w:r>
            <w:proofErr w:type="spellEnd"/>
            <w:r w:rsidRPr="00410F31">
              <w:rPr>
                <w:rFonts w:cstheme="minorHAnsi"/>
                <w:sz w:val="16"/>
                <w:szCs w:val="16"/>
                <w:lang w:val="sr-Latn-ME"/>
              </w:rPr>
              <w:t xml:space="preserve"> odnose. Rastući </w:t>
            </w:r>
            <w:proofErr w:type="spellStart"/>
            <w:r w:rsidRPr="00410F31">
              <w:rPr>
                <w:rFonts w:cstheme="minorHAnsi"/>
                <w:sz w:val="16"/>
                <w:szCs w:val="16"/>
                <w:lang w:val="sr-Latn-ME"/>
              </w:rPr>
              <w:t>udio</w:t>
            </w:r>
            <w:proofErr w:type="spellEnd"/>
            <w:r w:rsidRPr="00410F31">
              <w:rPr>
                <w:rFonts w:cstheme="minorHAnsi"/>
                <w:sz w:val="16"/>
                <w:szCs w:val="16"/>
                <w:lang w:val="sr-Latn-ME"/>
              </w:rPr>
              <w:t xml:space="preserve"> starijih osoba vrši pritisak na penzijski sistem, dugotrajnu </w:t>
            </w:r>
            <w:proofErr w:type="spellStart"/>
            <w:r w:rsidRPr="00410F31">
              <w:rPr>
                <w:rFonts w:cstheme="minorHAnsi"/>
                <w:sz w:val="16"/>
                <w:szCs w:val="16"/>
                <w:lang w:val="sr-Latn-ME"/>
              </w:rPr>
              <w:t>njegu</w:t>
            </w:r>
            <w:proofErr w:type="spellEnd"/>
            <w:r w:rsidRPr="00410F31">
              <w:rPr>
                <w:rFonts w:cstheme="minorHAnsi"/>
                <w:sz w:val="16"/>
                <w:szCs w:val="16"/>
                <w:lang w:val="sr-Latn-ME"/>
              </w:rPr>
              <w:t xml:space="preserve"> i zdravstvene usluge.</w:t>
            </w:r>
          </w:p>
        </w:tc>
      </w:tr>
      <w:tr w:rsidR="00410F31" w:rsidRPr="00410F31" w14:paraId="1D0E26AC" w14:textId="77777777" w:rsidTr="00410F31">
        <w:tc>
          <w:tcPr>
            <w:tcW w:w="753" w:type="pct"/>
          </w:tcPr>
          <w:p w14:paraId="0935B181" w14:textId="77777777" w:rsidR="00410F31" w:rsidRPr="00410F31" w:rsidRDefault="00410F31" w:rsidP="00FC410A">
            <w:pPr>
              <w:rPr>
                <w:sz w:val="16"/>
                <w:szCs w:val="16"/>
                <w:lang w:val="sr-Latn-ME"/>
              </w:rPr>
            </w:pPr>
            <w:r w:rsidRPr="00410F31">
              <w:rPr>
                <w:sz w:val="16"/>
                <w:szCs w:val="16"/>
                <w:lang w:val="sr-Latn-ME"/>
              </w:rPr>
              <w:t>RI6</w:t>
            </w:r>
          </w:p>
          <w:p w14:paraId="6BE75290" w14:textId="77777777" w:rsidR="00410F31" w:rsidRPr="00410F31" w:rsidRDefault="00410F31" w:rsidP="00FC410A">
            <w:pPr>
              <w:ind w:right="-108"/>
              <w:rPr>
                <w:b/>
                <w:sz w:val="16"/>
                <w:szCs w:val="16"/>
                <w:lang w:val="sr-Latn-ME"/>
              </w:rPr>
            </w:pPr>
            <w:r w:rsidRPr="00410F31">
              <w:rPr>
                <w:sz w:val="16"/>
                <w:szCs w:val="16"/>
                <w:lang w:val="sr-Latn-ME"/>
              </w:rPr>
              <w:t xml:space="preserve"> </w:t>
            </w:r>
          </w:p>
        </w:tc>
        <w:tc>
          <w:tcPr>
            <w:tcW w:w="944" w:type="pct"/>
          </w:tcPr>
          <w:p w14:paraId="24576110"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Neodrživ penzijski i sistem socijalnog osiguranja (470)</w:t>
            </w:r>
          </w:p>
        </w:tc>
        <w:tc>
          <w:tcPr>
            <w:tcW w:w="3303" w:type="pct"/>
          </w:tcPr>
          <w:p w14:paraId="47337B4D" w14:textId="77777777" w:rsidR="00410F31" w:rsidRPr="00410F31" w:rsidRDefault="00410F31" w:rsidP="00FC410A">
            <w:pPr>
              <w:rPr>
                <w:sz w:val="16"/>
                <w:szCs w:val="16"/>
                <w:lang w:val="sr-Latn-ME"/>
              </w:rPr>
            </w:pPr>
            <w:r w:rsidRPr="00410F31">
              <w:rPr>
                <w:rFonts w:cstheme="minorHAnsi"/>
                <w:sz w:val="16"/>
                <w:szCs w:val="16"/>
                <w:lang w:val="sr-Latn-ME"/>
              </w:rPr>
              <w:t xml:space="preserve">Penzijski sistem suočava se sa rizicima održivosti </w:t>
            </w:r>
            <w:proofErr w:type="spellStart"/>
            <w:r w:rsidRPr="00410F31">
              <w:rPr>
                <w:rFonts w:cstheme="minorHAnsi"/>
                <w:sz w:val="16"/>
                <w:szCs w:val="16"/>
                <w:lang w:val="sr-Latn-ME"/>
              </w:rPr>
              <w:t>usljed</w:t>
            </w:r>
            <w:proofErr w:type="spellEnd"/>
            <w:r w:rsidRPr="00410F31">
              <w:rPr>
                <w:rFonts w:cstheme="minorHAnsi"/>
                <w:sz w:val="16"/>
                <w:szCs w:val="16"/>
                <w:lang w:val="sr-Latn-ME"/>
              </w:rPr>
              <w:t xml:space="preserve"> smanjenih stopa doprinosa i demografskih pritisaka. Smanjenje radno sposobnog stanovništva i rast broja korisnika ugrožavaju dugoročnu fiskalnu stabilnost i adekvatnost penzija.</w:t>
            </w:r>
          </w:p>
        </w:tc>
      </w:tr>
      <w:tr w:rsidR="00410F31" w:rsidRPr="00410F31" w14:paraId="246F61C7" w14:textId="77777777" w:rsidTr="00410F31">
        <w:tc>
          <w:tcPr>
            <w:tcW w:w="753" w:type="pct"/>
          </w:tcPr>
          <w:p w14:paraId="42EE44F7" w14:textId="77777777" w:rsidR="00410F31" w:rsidRPr="00410F31" w:rsidRDefault="00410F31" w:rsidP="00FC410A">
            <w:pPr>
              <w:rPr>
                <w:bCs/>
                <w:sz w:val="16"/>
                <w:szCs w:val="16"/>
                <w:lang w:val="sr-Latn-ME"/>
              </w:rPr>
            </w:pPr>
            <w:r w:rsidRPr="00410F31">
              <w:rPr>
                <w:bCs/>
                <w:sz w:val="16"/>
                <w:szCs w:val="16"/>
                <w:lang w:val="sr-Latn-ME"/>
              </w:rPr>
              <w:t>RI7</w:t>
            </w:r>
          </w:p>
          <w:p w14:paraId="49D87F36" w14:textId="77777777" w:rsidR="00410F31" w:rsidRPr="00410F31" w:rsidRDefault="00410F31" w:rsidP="00FC410A">
            <w:pPr>
              <w:rPr>
                <w:bCs/>
                <w:sz w:val="16"/>
                <w:szCs w:val="16"/>
                <w:lang w:val="sr-Latn-ME"/>
              </w:rPr>
            </w:pPr>
          </w:p>
        </w:tc>
        <w:tc>
          <w:tcPr>
            <w:tcW w:w="944" w:type="pct"/>
          </w:tcPr>
          <w:p w14:paraId="11951F66"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Neefikasnosti zdravstvenog sistema i nedostatak kadra (</w:t>
            </w:r>
            <w:r w:rsidRPr="00410F31">
              <w:rPr>
                <w:bCs/>
                <w:sz w:val="16"/>
                <w:szCs w:val="16"/>
                <w:lang w:val="sr-Latn-ME"/>
              </w:rPr>
              <w:t>453, 462, 463, 467)</w:t>
            </w:r>
          </w:p>
        </w:tc>
        <w:tc>
          <w:tcPr>
            <w:tcW w:w="3303" w:type="pct"/>
          </w:tcPr>
          <w:p w14:paraId="20E24B4C" w14:textId="77777777" w:rsidR="00410F31" w:rsidRPr="00410F31" w:rsidRDefault="00410F31" w:rsidP="00FC410A">
            <w:pPr>
              <w:rPr>
                <w:sz w:val="16"/>
                <w:szCs w:val="16"/>
                <w:lang w:val="sr-Latn-ME"/>
              </w:rPr>
            </w:pPr>
            <w:r w:rsidRPr="00410F31">
              <w:rPr>
                <w:rFonts w:cstheme="minorHAnsi"/>
                <w:sz w:val="16"/>
                <w:szCs w:val="16"/>
                <w:lang w:val="sr-Latn-ME"/>
              </w:rPr>
              <w:t xml:space="preserve">Zdravstveni sistem ograničen je nedovoljnim ulaganjima, visokim izdacima iz džepa (~38%) i emigracijom medicinskog kadra. Nedostaci u infrastrukturi i kadrovski </w:t>
            </w:r>
            <w:proofErr w:type="spellStart"/>
            <w:r w:rsidRPr="00410F31">
              <w:rPr>
                <w:rFonts w:cstheme="minorHAnsi"/>
                <w:sz w:val="16"/>
                <w:szCs w:val="16"/>
                <w:lang w:val="sr-Latn-ME"/>
              </w:rPr>
              <w:t>manjkovi</w:t>
            </w:r>
            <w:proofErr w:type="spellEnd"/>
            <w:r w:rsidRPr="00410F31">
              <w:rPr>
                <w:rFonts w:cstheme="minorHAnsi"/>
                <w:sz w:val="16"/>
                <w:szCs w:val="16"/>
                <w:lang w:val="sr-Latn-ME"/>
              </w:rPr>
              <w:t xml:space="preserve"> ograničavaju kvalitet i dostupnost usluga, posebno u slabije razvijenim regionima.</w:t>
            </w:r>
          </w:p>
        </w:tc>
      </w:tr>
      <w:tr w:rsidR="00410F31" w:rsidRPr="00410F31" w14:paraId="12EB94C8" w14:textId="77777777" w:rsidTr="00410F31">
        <w:tc>
          <w:tcPr>
            <w:tcW w:w="753" w:type="pct"/>
          </w:tcPr>
          <w:p w14:paraId="6006C77D" w14:textId="77777777" w:rsidR="00410F31" w:rsidRPr="00410F31" w:rsidRDefault="00410F31" w:rsidP="00FC410A">
            <w:pPr>
              <w:rPr>
                <w:bCs/>
                <w:sz w:val="16"/>
                <w:szCs w:val="16"/>
                <w:lang w:val="sr-Latn-ME"/>
              </w:rPr>
            </w:pPr>
            <w:r w:rsidRPr="00410F31">
              <w:rPr>
                <w:bCs/>
                <w:sz w:val="16"/>
                <w:szCs w:val="16"/>
                <w:lang w:val="sr-Latn-ME"/>
              </w:rPr>
              <w:t>RI8</w:t>
            </w:r>
          </w:p>
          <w:p w14:paraId="7F1FE916" w14:textId="77777777" w:rsidR="00410F31" w:rsidRPr="00410F31" w:rsidRDefault="00410F31" w:rsidP="00FC410A">
            <w:pPr>
              <w:rPr>
                <w:bCs/>
                <w:sz w:val="16"/>
                <w:szCs w:val="16"/>
                <w:lang w:val="sr-Latn-ME"/>
              </w:rPr>
            </w:pPr>
            <w:r w:rsidRPr="00410F31">
              <w:rPr>
                <w:bCs/>
                <w:sz w:val="16"/>
                <w:szCs w:val="16"/>
                <w:lang w:val="sr-Latn-ME"/>
              </w:rPr>
              <w:t xml:space="preserve"> </w:t>
            </w:r>
          </w:p>
        </w:tc>
        <w:tc>
          <w:tcPr>
            <w:tcW w:w="944" w:type="pct"/>
          </w:tcPr>
          <w:p w14:paraId="063DF9AA"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Regionalni dispariteti u pristupu uslugama i prilikama (</w:t>
            </w:r>
            <w:r w:rsidRPr="00410F31">
              <w:rPr>
                <w:bCs/>
                <w:sz w:val="16"/>
                <w:szCs w:val="16"/>
                <w:lang w:val="sr-Latn-ME"/>
              </w:rPr>
              <w:t>438, 471, 482)</w:t>
            </w:r>
          </w:p>
        </w:tc>
        <w:tc>
          <w:tcPr>
            <w:tcW w:w="3303" w:type="pct"/>
          </w:tcPr>
          <w:p w14:paraId="129FAE3A" w14:textId="77777777" w:rsidR="00410F31" w:rsidRPr="00410F31" w:rsidRDefault="00410F31" w:rsidP="00FC410A">
            <w:pPr>
              <w:rPr>
                <w:sz w:val="16"/>
                <w:szCs w:val="16"/>
                <w:lang w:val="sr-Latn-ME"/>
              </w:rPr>
            </w:pPr>
            <w:r w:rsidRPr="00410F31">
              <w:rPr>
                <w:rFonts w:cstheme="minorHAnsi"/>
                <w:sz w:val="16"/>
                <w:szCs w:val="16"/>
                <w:lang w:val="sr-Latn-ME"/>
              </w:rPr>
              <w:t>Značajne regionalne razlike i dalje postoje između sjevera i razvijenijih regiona (primorje i Podgorica), utičući na zapošljavanje, pristup zdravstvenoj zaštiti i socijalnim uslugama. Unutrašnje migracije dodatno produbljuju teritorijalne neravnoteže.</w:t>
            </w:r>
          </w:p>
        </w:tc>
      </w:tr>
      <w:tr w:rsidR="00410F31" w:rsidRPr="00410F31" w14:paraId="16FB0796" w14:textId="77777777" w:rsidTr="00410F31">
        <w:tc>
          <w:tcPr>
            <w:tcW w:w="753" w:type="pct"/>
          </w:tcPr>
          <w:p w14:paraId="72B7687D" w14:textId="77777777" w:rsidR="00410F31" w:rsidRPr="00410F31" w:rsidRDefault="00410F31" w:rsidP="00FC410A">
            <w:pPr>
              <w:rPr>
                <w:b/>
                <w:sz w:val="16"/>
                <w:szCs w:val="16"/>
                <w:lang w:val="sr-Latn-ME"/>
              </w:rPr>
            </w:pPr>
            <w:r w:rsidRPr="00410F31">
              <w:rPr>
                <w:rStyle w:val="Naglaeno"/>
                <w:b w:val="0"/>
                <w:bCs w:val="0"/>
                <w:sz w:val="16"/>
                <w:szCs w:val="16"/>
                <w:lang w:val="sr-Latn-ME"/>
              </w:rPr>
              <w:t>RI9</w:t>
            </w:r>
            <w:r w:rsidRPr="00410F31">
              <w:rPr>
                <w:sz w:val="16"/>
                <w:szCs w:val="16"/>
                <w:lang w:val="sr-Latn-ME"/>
              </w:rPr>
              <w:br/>
            </w:r>
          </w:p>
        </w:tc>
        <w:tc>
          <w:tcPr>
            <w:tcW w:w="944" w:type="pct"/>
          </w:tcPr>
          <w:p w14:paraId="01306738"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Nedovoljno razvijene socijalne usluge u zajednici (</w:t>
            </w:r>
            <w:r w:rsidRPr="00410F31">
              <w:rPr>
                <w:sz w:val="16"/>
                <w:szCs w:val="16"/>
                <w:lang w:val="sr-Latn-ME"/>
              </w:rPr>
              <w:t>481, 482, 486, 487)</w:t>
            </w:r>
          </w:p>
        </w:tc>
        <w:tc>
          <w:tcPr>
            <w:tcW w:w="3303" w:type="pct"/>
          </w:tcPr>
          <w:p w14:paraId="38F480B9" w14:textId="77777777" w:rsidR="00410F31" w:rsidRPr="00410F31" w:rsidRDefault="00410F31" w:rsidP="00FC410A">
            <w:pPr>
              <w:rPr>
                <w:sz w:val="16"/>
                <w:szCs w:val="16"/>
                <w:lang w:val="sr-Latn-ME"/>
              </w:rPr>
            </w:pPr>
            <w:r w:rsidRPr="00410F31">
              <w:rPr>
                <w:rFonts w:cstheme="minorHAnsi"/>
                <w:sz w:val="16"/>
                <w:szCs w:val="16"/>
                <w:lang w:val="sr-Latn-ME"/>
              </w:rPr>
              <w:t xml:space="preserve">Sistem socijalne zaštite i dalje se u velikoj mjeri oslanja na institucionalni smještaj, uz ograničenu dostupnost usluga u zajednici. Tekuće reforme </w:t>
            </w:r>
            <w:proofErr w:type="spellStart"/>
            <w:r w:rsidRPr="00410F31">
              <w:rPr>
                <w:rFonts w:cstheme="minorHAnsi"/>
                <w:sz w:val="16"/>
                <w:szCs w:val="16"/>
                <w:lang w:val="sr-Latn-ME"/>
              </w:rPr>
              <w:t>deinstitucionalizacije</w:t>
            </w:r>
            <w:proofErr w:type="spellEnd"/>
            <w:r w:rsidRPr="00410F31">
              <w:rPr>
                <w:rFonts w:cstheme="minorHAnsi"/>
                <w:sz w:val="16"/>
                <w:szCs w:val="16"/>
                <w:lang w:val="sr-Latn-ME"/>
              </w:rPr>
              <w:t xml:space="preserve"> zahtijevaju dalje širenje kako bi se obezbijedila dostupnost, inkluzija i lokalno pružanje usluga.</w:t>
            </w:r>
          </w:p>
        </w:tc>
      </w:tr>
      <w:tr w:rsidR="00410F31" w:rsidRPr="00410F31" w14:paraId="34F421E3" w14:textId="77777777" w:rsidTr="00410F31">
        <w:tc>
          <w:tcPr>
            <w:tcW w:w="753" w:type="pct"/>
          </w:tcPr>
          <w:p w14:paraId="375EC448" w14:textId="77777777" w:rsidR="00410F31" w:rsidRPr="00410F31" w:rsidRDefault="00410F31" w:rsidP="00FC410A">
            <w:pPr>
              <w:rPr>
                <w:bCs/>
                <w:sz w:val="16"/>
                <w:szCs w:val="16"/>
                <w:lang w:val="sr-Latn-ME"/>
              </w:rPr>
            </w:pPr>
            <w:r w:rsidRPr="00410F31">
              <w:rPr>
                <w:bCs/>
                <w:sz w:val="16"/>
                <w:szCs w:val="16"/>
                <w:lang w:val="sr-Latn-ME"/>
              </w:rPr>
              <w:t>RI10</w:t>
            </w:r>
          </w:p>
          <w:p w14:paraId="499CE03D" w14:textId="77777777" w:rsidR="00410F31" w:rsidRPr="00410F31" w:rsidRDefault="00410F31" w:rsidP="00FC410A">
            <w:pPr>
              <w:rPr>
                <w:bCs/>
                <w:sz w:val="16"/>
                <w:szCs w:val="16"/>
                <w:lang w:val="sr-Latn-ME"/>
              </w:rPr>
            </w:pPr>
          </w:p>
        </w:tc>
        <w:tc>
          <w:tcPr>
            <w:tcW w:w="944" w:type="pct"/>
          </w:tcPr>
          <w:p w14:paraId="22535516" w14:textId="77777777" w:rsidR="00410F31" w:rsidRPr="00410F31" w:rsidRDefault="00410F31" w:rsidP="00FC410A">
            <w:pPr>
              <w:rPr>
                <w:sz w:val="16"/>
                <w:szCs w:val="16"/>
                <w:lang w:val="sr-Latn-ME"/>
              </w:rPr>
            </w:pPr>
            <w:r w:rsidRPr="00410F31">
              <w:rPr>
                <w:rStyle w:val="Naglaeno"/>
                <w:rFonts w:cstheme="minorHAnsi"/>
                <w:b w:val="0"/>
                <w:bCs w:val="0"/>
                <w:sz w:val="16"/>
                <w:szCs w:val="16"/>
                <w:lang w:val="sr-Latn-ME"/>
              </w:rPr>
              <w:t>Slaba koordinacija politika i kapacitet za implementaciju (</w:t>
            </w:r>
            <w:r w:rsidRPr="00410F31">
              <w:rPr>
                <w:bCs/>
                <w:sz w:val="16"/>
                <w:szCs w:val="16"/>
                <w:lang w:val="sr-Latn-ME"/>
              </w:rPr>
              <w:t>465, 466, 467, 471)</w:t>
            </w:r>
          </w:p>
        </w:tc>
        <w:tc>
          <w:tcPr>
            <w:tcW w:w="3303" w:type="pct"/>
          </w:tcPr>
          <w:p w14:paraId="71F3E70F" w14:textId="77777777" w:rsidR="00410F31" w:rsidRPr="00410F31" w:rsidRDefault="00410F31" w:rsidP="00FC410A">
            <w:pPr>
              <w:rPr>
                <w:sz w:val="16"/>
                <w:szCs w:val="16"/>
                <w:lang w:val="sr-Latn-ME"/>
              </w:rPr>
            </w:pPr>
            <w:r w:rsidRPr="00410F31">
              <w:rPr>
                <w:rFonts w:cstheme="minorHAnsi"/>
                <w:sz w:val="16"/>
                <w:szCs w:val="16"/>
                <w:lang w:val="sr-Latn-ME"/>
              </w:rPr>
              <w:t xml:space="preserve">Uprkos formalnoj usklađenosti sa EU okvirima, postoje značajni nedostaci u implementaciji zbog ograničenih administrativnih kapaciteta, </w:t>
            </w:r>
            <w:proofErr w:type="spellStart"/>
            <w:r w:rsidRPr="00410F31">
              <w:rPr>
                <w:rFonts w:cstheme="minorHAnsi"/>
                <w:sz w:val="16"/>
                <w:szCs w:val="16"/>
                <w:lang w:val="sr-Latn-ME"/>
              </w:rPr>
              <w:t>fragmentisanog</w:t>
            </w:r>
            <w:proofErr w:type="spellEnd"/>
            <w:r w:rsidRPr="00410F31">
              <w:rPr>
                <w:rFonts w:cstheme="minorHAnsi"/>
                <w:sz w:val="16"/>
                <w:szCs w:val="16"/>
                <w:lang w:val="sr-Latn-ME"/>
              </w:rPr>
              <w:t xml:space="preserve"> upravljanja i nedovoljne </w:t>
            </w:r>
            <w:proofErr w:type="spellStart"/>
            <w:r w:rsidRPr="00410F31">
              <w:rPr>
                <w:rFonts w:cstheme="minorHAnsi"/>
                <w:sz w:val="16"/>
                <w:szCs w:val="16"/>
                <w:lang w:val="sr-Latn-ME"/>
              </w:rPr>
              <w:t>međusektorske</w:t>
            </w:r>
            <w:proofErr w:type="spellEnd"/>
            <w:r w:rsidRPr="00410F31">
              <w:rPr>
                <w:rFonts w:cstheme="minorHAnsi"/>
                <w:sz w:val="16"/>
                <w:szCs w:val="16"/>
                <w:lang w:val="sr-Latn-ME"/>
              </w:rPr>
              <w:t xml:space="preserve"> koordinacije između politika zapošljavanja, zdravstva i socijalne zaštite.</w:t>
            </w:r>
          </w:p>
        </w:tc>
      </w:tr>
    </w:tbl>
    <w:p w14:paraId="14C4C9A0" w14:textId="0646A497" w:rsidR="00410F31" w:rsidRDefault="00410F31" w:rsidP="00410F31">
      <w:pPr>
        <w:rPr>
          <w:lang w:val="sr-Latn-ME"/>
        </w:rPr>
      </w:pPr>
    </w:p>
    <w:p w14:paraId="41619BE3" w14:textId="010CA0D1" w:rsidR="00410F31" w:rsidRPr="00410F31" w:rsidRDefault="00410F31" w:rsidP="00410F31">
      <w:pPr>
        <w:pStyle w:val="Naslov1"/>
        <w:rPr>
          <w:rFonts w:eastAsia="Times New Roman" w:cstheme="minorHAnsi"/>
          <w:sz w:val="20"/>
          <w:szCs w:val="20"/>
          <w:lang w:val="sr-Latn-ME"/>
        </w:rPr>
      </w:pPr>
      <w:r>
        <w:rPr>
          <w:rFonts w:eastAsia="Times New Roman"/>
          <w:lang w:val="sr-Latn-ME"/>
        </w:rPr>
        <w:lastRenderedPageBreak/>
        <w:t>R</w:t>
      </w:r>
      <w:r w:rsidRPr="00410F31">
        <w:rPr>
          <w:rFonts w:eastAsia="Times New Roman"/>
          <w:lang w:val="sr-Latn-ME"/>
        </w:rPr>
        <w:t>eference</w:t>
      </w:r>
    </w:p>
    <w:p w14:paraId="58A631CD"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Banka za razvoj Savjeta Evrope. (2025, april). CEB odobrila kredit od 83 miliona eura za jačanje zdravstvenog sistema Crne Gore. https://coebank.org/en/news-and-publications/news/ceb-approves-83-million-euros-loan-to-strengthen-montenegro-healthcare-system/</w:t>
      </w:r>
    </w:p>
    <w:p w14:paraId="7AD16A3F"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 xml:space="preserve">Savjet Evropske unije. (2019). Preporuka Savjeta o pristupu socijalnoj zaštiti za radnike i </w:t>
      </w:r>
      <w:proofErr w:type="spellStart"/>
      <w:r w:rsidRPr="002F6D7B">
        <w:rPr>
          <w:rFonts w:eastAsia="Times New Roman" w:cstheme="minorHAnsi"/>
          <w:sz w:val="20"/>
          <w:szCs w:val="20"/>
          <w:lang w:val="sr-Latn-ME"/>
        </w:rPr>
        <w:t>samozapošljene</w:t>
      </w:r>
      <w:proofErr w:type="spellEnd"/>
      <w:r w:rsidRPr="002F6D7B">
        <w:rPr>
          <w:rFonts w:eastAsia="Times New Roman" w:cstheme="minorHAnsi"/>
          <w:sz w:val="20"/>
          <w:szCs w:val="20"/>
          <w:lang w:val="sr-Latn-ME"/>
        </w:rPr>
        <w:t>. https://eur-lex.europa.eu/legal-content/EN/TXT/?uri=CELEX%3A32019H1115%2801%29</w:t>
      </w:r>
    </w:p>
    <w:p w14:paraId="4EE5FED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Savjet Evropske unije. (2020). Preporuka Savjeta o ojačanoj Garanciji za mlade. https://eur-lex.europa.eu/legal-content/EN/TXT/?uri=uriserv:OJ.C_.2020.372.01.0001.01.ENG</w:t>
      </w:r>
    </w:p>
    <w:p w14:paraId="686ED6B9"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Savjet Evropske unije. (2021). Preporuka Savjeta (EU) 2021/1004 o uspostavljanju Evropske garancije za djecu. https://eur-lex.europa.eu/legal-content/EN/TXT/?uri=CELEX%3A32021H1004</w:t>
      </w:r>
    </w:p>
    <w:p w14:paraId="7F3055C3"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Savjet Evropske unije. (2023). Preporuka Savjeta o adekvatnom minimalnom dohotku koji obezbjeđuje aktivnu uključenost. https://eur-lex.europa.eu/legal-content/EN/TXT/?uri=oj:JOC_2023_041_R_0001</w:t>
      </w:r>
    </w:p>
    <w:p w14:paraId="7C5722E1"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Zavod za zapošljavanje Crne Gore. (2025). Prijedlog Nacionalne strategije zapošljavanja 2021–2025 sa akcionim planom za 2021. godinu. https://www.zzzcg.me/wp-content/uploads/2025/08/predlog-nacionalne-strategije-zaposljavanja-2021-2025-s-predlogom-akcionog-plana-zaposljavanja-za-2021-godinu.pdf</w:t>
      </w:r>
    </w:p>
    <w:p w14:paraId="35E21A7C"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banka za obnovu i razvoj. (2024). EBRD pomaže transformaciju tri bolnice u Crnoj Gori. https://www.ebrd.com/home/news-and-events/news/2024/ebrd-helps-transform-three-hospitals-in-montenegro.html</w:t>
      </w:r>
    </w:p>
    <w:p w14:paraId="3E1ECD8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(2017). Evropski stub socijalnih prava. https://ec.europa.eu/social/main.jsp?catId=1606&amp;langId=en</w:t>
      </w:r>
    </w:p>
    <w:p w14:paraId="3EC09781"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(2020). Strateški okvir EU za Rome za jednakost, uključenost i učešće 2020–2030. https://commission.europa.eu/system/files/2021-01/eu_roma_strategic_framework_for_equality_inclusion_and_participation_for_2020_-_2030_0.pdf</w:t>
      </w:r>
    </w:p>
    <w:p w14:paraId="7D80FE4F"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(2020). Strategija za rodnu ravnopravnost 2020–2025. https://commission.europa.eu/strategy-and-policy/policies/justice-and-fundamental-rights/gender-equality/gender-equality-strategy_en</w:t>
      </w:r>
    </w:p>
    <w:p w14:paraId="58A923B8"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(2021). Strategija za prava osoba sa invaliditetom 2021–2030. https://commission.europa.eu/strategy-and-policy/policies/justice-and-fundamental-rights/disability/union-equality-strategy-rights-persons-disabilities-2021-2030_en</w:t>
      </w:r>
    </w:p>
    <w:p w14:paraId="6BCC2FF8"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 xml:space="preserve">Evropska komisija. (2022). Evropska strategija za </w:t>
      </w:r>
      <w:proofErr w:type="spellStart"/>
      <w:r w:rsidRPr="002F6D7B">
        <w:rPr>
          <w:rFonts w:eastAsia="Times New Roman" w:cstheme="minorHAnsi"/>
          <w:sz w:val="20"/>
          <w:szCs w:val="20"/>
          <w:lang w:val="sr-Latn-ME"/>
        </w:rPr>
        <w:t>njegu</w:t>
      </w:r>
      <w:proofErr w:type="spellEnd"/>
      <w:r w:rsidRPr="002F6D7B">
        <w:rPr>
          <w:rFonts w:eastAsia="Times New Roman" w:cstheme="minorHAnsi"/>
          <w:sz w:val="20"/>
          <w:szCs w:val="20"/>
          <w:lang w:val="sr-Latn-ME"/>
        </w:rPr>
        <w:t>. https://employment-social-affairs.ec.europa.eu/news/european-care-strategy-caregivers-and-care-receivers-2022-09-07_en</w:t>
      </w:r>
    </w:p>
    <w:p w14:paraId="13592D0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(2025). Izvještaj o Crnoj Gori za 2025. godinu. https://enlargement.ec.europa.eu/montenegro-report-2025_en</w:t>
      </w:r>
    </w:p>
    <w:p w14:paraId="5F219A7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 xml:space="preserve">Evropska komisija. (2025). Prijedlog uredbe o uspostavljanju okvira za praćenje budžetske potrošnje i učinka (COM(2025) 545 </w:t>
      </w:r>
      <w:proofErr w:type="spellStart"/>
      <w:r w:rsidRPr="002F6D7B">
        <w:rPr>
          <w:rFonts w:eastAsia="Times New Roman" w:cstheme="minorHAnsi"/>
          <w:sz w:val="20"/>
          <w:szCs w:val="20"/>
          <w:lang w:val="sr-Latn-ME"/>
        </w:rPr>
        <w:t>final</w:t>
      </w:r>
      <w:proofErr w:type="spellEnd"/>
      <w:r w:rsidRPr="002F6D7B">
        <w:rPr>
          <w:rFonts w:eastAsia="Times New Roman" w:cstheme="minorHAnsi"/>
          <w:sz w:val="20"/>
          <w:szCs w:val="20"/>
          <w:lang w:val="sr-Latn-ME"/>
        </w:rPr>
        <w:t>, Aneks I). https://eur-lex.europa.eu/legal-content/EN/TXT/?uri=CELEX%3A52025PC0545</w:t>
      </w:r>
    </w:p>
    <w:p w14:paraId="2730C704"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(bez datuma). Program EU4Health 2021–2027: Vizija za zdraviju Evropsku uniju. https://health.ec.europa.eu/funding/eu4health-programme-2021-2027-vision-healthier-european-union_en</w:t>
      </w:r>
    </w:p>
    <w:p w14:paraId="154FA5D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(bez datuma). Evropski prostor zdravstvenih podataka. https://health.ec.europa.eu/ehealth-digital-health-and-care/european-health-data-space_en</w:t>
      </w:r>
    </w:p>
    <w:p w14:paraId="2B9AFF14"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komisija. (bez datuma). Evropska zdravstvena unija. https://commission.europa.eu/topics/public-health/european-health-union_en</w:t>
      </w:r>
    </w:p>
    <w:p w14:paraId="74387C6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unija. (2019). Direktiva (EU) 2019/1158 o ravnoteži između poslovnog i privatnog života za roditelje i staratelje. https://eur-lex.europa.eu/eli/dir/2019/1158/oj</w:t>
      </w:r>
    </w:p>
    <w:p w14:paraId="360968F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unija. (2019). Direktiva (EU) 2019/882 o zahtjevima pristupačnosti za proizvode i usluge. https://eur-lex.europa.eu/eli/dir/2019/882/oj</w:t>
      </w:r>
    </w:p>
    <w:p w14:paraId="220C94C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unija. (2021). Uredba (EU) 2021/1057 o uspostavljanju Evropskog socijalnog fonda plus (ESF+). https://eur-lex.europa.eu/eli/reg/2021/1057/oj</w:t>
      </w:r>
    </w:p>
    <w:p w14:paraId="57B4C0A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lastRenderedPageBreak/>
        <w:t>Evropska unija. (2022). Direktiva (EU) 2022/2041 o adekvatnim minimalnim zaradama u Evropskoj uniji. https://eur-lex.europa.eu/eli/dir/2022/2041/oj</w:t>
      </w:r>
    </w:p>
    <w:p w14:paraId="4C50AEFF"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Evropska unija. (2022). Uredba (EU) 2022/2371 o ozbiljnim prekograničnim prijetnjama po zdravlje. https://eur-lex.europa.eu/eli/reg/2022/2371/oj/eng</w:t>
      </w:r>
    </w:p>
    <w:p w14:paraId="4E565A08"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Ministarstvo pravde, ljudskih i manjinskih prava. (2021). Strategija za socijalnu uključenost Roma i Egipćana u Crnoj Gori 2021–2025. https://www.rcc.int/romaintegration2020/files/admin/docs/44094b7464e18540b569501bb1974d66.pdf</w:t>
      </w:r>
    </w:p>
    <w:p w14:paraId="61C8C63D"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(2016). Nacionalna strategija održivog razvoja do 2030. godine. https://www.gov.me/dokumenta/cc23d020-f8b5-452e-ac91-b8b565fe2982</w:t>
      </w:r>
    </w:p>
    <w:p w14:paraId="6E69EA20"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(2024). Agenda reformi Crne Gore 2024–2027. https://reform-monitor.org/wp-content/uploads/2025/05/Reform-agenda-Montenegro_.pdf</w:t>
      </w:r>
    </w:p>
    <w:p w14:paraId="7047B0E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(2024). Zakon o zaštiti i zdravlju na radu. https://www.gov.me/dokumenta/1ae24d63-e98e-4d90-b019-a896e8e64f77</w:t>
      </w:r>
    </w:p>
    <w:p w14:paraId="095A81B0"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(2013). Zakon o reprezentativnosti sindikata. https://www.gov.me/dokumenta/2009f166-80c1-429c-afd0-4b432349b581</w:t>
      </w:r>
    </w:p>
    <w:p w14:paraId="702DE279"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(2023). Strategija razvoja zdravstva. https://www.gov.me/dokumenta/2414cd07-7fce-41bd-9df1-11eeaba307e7</w:t>
      </w:r>
    </w:p>
    <w:p w14:paraId="2B563C3C"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(2020). Strategija o migracijama i reintegraciji povratnika u Crnoj Gori za period 2021–2025. https://www.gov.me/dokumenta/38214cec-7412-498d-9f8e-484e02ee1c78</w:t>
      </w:r>
    </w:p>
    <w:p w14:paraId="2651A270"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(2020). Nacionalna strategija rodne ravnopravnosti 2021–2025 sa akcionim planom 2021–2022. https://www.gov.me/dokumenta/41e3ee6a-757a-4684-9763-9fee5e933afd</w:t>
      </w:r>
    </w:p>
    <w:p w14:paraId="24D177F5"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(2021). Zakon o obaveznom zdravstvenom osiguranju iz 2022. godine. https://www.gov.me/dokumenta/4cfecb11-3771-4382-8af7-39124295e3d1</w:t>
      </w:r>
    </w:p>
    <w:p w14:paraId="12F3C09B"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(2025). Strategija za prevenciju i zaštitu djece od nasilja 2025-2029. godine sa Akcionim planom 2025-2026. https://www.gov.me/dokumenta/515a0cbe-e735-4db6-b875-db35d1ef9c57</w:t>
      </w:r>
    </w:p>
    <w:p w14:paraId="2C30C28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(2015). Zakon o štrajku. https://www.gov.me/dokumenta/617035f4-fba8-4f35-a28b-e7b27c491aa0</w:t>
      </w:r>
    </w:p>
    <w:p w14:paraId="65A405D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(2026). Zakon o penzijskom i invalidskom osiguranju. https://www.gov.me/dokumenta/a1f3755c-e110-43a8-84f1-9d427c31bb30</w:t>
      </w:r>
    </w:p>
    <w:p w14:paraId="6081F86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 xml:space="preserve">Vlada Crne Gore. (2025). Strategija </w:t>
      </w:r>
      <w:proofErr w:type="spellStart"/>
      <w:r w:rsidRPr="002F6D7B">
        <w:rPr>
          <w:rFonts w:eastAsia="Times New Roman" w:cstheme="minorHAnsi"/>
          <w:sz w:val="20"/>
          <w:szCs w:val="20"/>
          <w:lang w:val="sr-Latn-ME"/>
        </w:rPr>
        <w:t>deinstitucionalizacije</w:t>
      </w:r>
      <w:proofErr w:type="spellEnd"/>
      <w:r w:rsidRPr="002F6D7B">
        <w:rPr>
          <w:rFonts w:eastAsia="Times New Roman" w:cstheme="minorHAnsi"/>
          <w:sz w:val="20"/>
          <w:szCs w:val="20"/>
          <w:lang w:val="sr-Latn-ME"/>
        </w:rPr>
        <w:t xml:space="preserve"> za period 2025-2028. godine sa Akcionim planom za 2025. https://www.gov.me/dokumenta/ae125913-ef38-4dd2-bc90-3e8d38a18a62</w:t>
      </w:r>
    </w:p>
    <w:p w14:paraId="752370B0"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(2023). Zakon o socijalnoj i dječjoj zaštiti. https://www.gov.me/dokumenta/b2a23e5e-e6eb-4a43-b1d4-1ffcad603386</w:t>
      </w:r>
    </w:p>
    <w:p w14:paraId="6BA71801"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(2013). Zakon o zabrani zlostavljanja na radu. https://www.gov.me/dokumenta/ce706491-b0ef-4024-ab66-dce46fbec5d5</w:t>
      </w:r>
    </w:p>
    <w:p w14:paraId="0450D92D"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(2018). Zakon o zapošljavanju i ostvarivanju prava iz osiguranja od nezaposlenosti. https://www.gov.me/dokumenta/e4974ce7-2e58-4cce-b8ff-577ab3350f8e</w:t>
      </w:r>
    </w:p>
    <w:p w14:paraId="2CA83BBC"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(2024). Strategija razvoja sistema socijalne i dječje zaštite za period 2025 – 2028. https://www.gov.me/dokumenta/fcb5f85a-76af-4532-ace8-bc295ec522be</w:t>
      </w:r>
    </w:p>
    <w:p w14:paraId="4D08717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(bez datuma.). Garancija za mlade – Zgrabi šansu. https://www.gov.me/ms/garancija-za-mlade-zzzgrabi-sansu</w:t>
      </w:r>
    </w:p>
    <w:p w14:paraId="57F5B7B9"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lang w:val="sr-Latn-ME"/>
        </w:rPr>
        <w:t>Vlada Crne Gore. (bez datuma). Fond rada.</w:t>
      </w:r>
      <w:r w:rsidRPr="002F6D7B">
        <w:rPr>
          <w:rFonts w:eastAsia="Times New Roman" w:cstheme="minorHAnsi"/>
          <w:sz w:val="20"/>
          <w:szCs w:val="20"/>
          <w:lang w:val="sr-Latn-ME"/>
        </w:rPr>
        <w:t xml:space="preserve"> https://www.gov.me/en/labour-fund</w:t>
      </w:r>
    </w:p>
    <w:p w14:paraId="089617B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(bez datuma). Zakon o radu. https://www.gov.me/dokumenta/d89fc734-bcd8-4283-a698-63608a60508c</w:t>
      </w:r>
    </w:p>
    <w:p w14:paraId="0118835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(bez datuma). Zakon o doprinosima za obavezno socijalno osiguranje. https://www.gov.me/dokumenta/4ee576fa-9fac-4ac2-857c-3859d89d8bc2</w:t>
      </w:r>
    </w:p>
    <w:p w14:paraId="2473CC31"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(bez datuma). Uprava za inspekcijske poslove. https://www.gov.me/uip</w:t>
      </w:r>
    </w:p>
    <w:p w14:paraId="096D4BFF"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Vlada Crne Gore. (bez datuma). Uprava za inspekcijske poslove. https://monte.business/montenegro-the-construction-of-the-public-health-operations-center-for-emergency-situations-in-podgorica-has-begun/</w:t>
      </w:r>
    </w:p>
    <w:p w14:paraId="41092C99"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lastRenderedPageBreak/>
        <w:t>Monte Business. (2025). Crna Gora pokreće istorijski investicioni ciklus za modernizaciju zdravstvenog sistema. https://monte.business/montenegro-launches-historic-investment-cycle-to-modernize-healthcare-system/</w:t>
      </w:r>
    </w:p>
    <w:p w14:paraId="1800B932"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Crna Gora. (bez datuma). Zakon o zabrani diskriminacije. https://www.paragraf.me/propisi-crnegore/zakon-o-zabrani-diskriminacije.html</w:t>
      </w:r>
    </w:p>
    <w:p w14:paraId="6ECD7998"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Crna Gora. (bez datuma). Zakon o zdravstvenoj zaštiti. https://www.paragraf.me/propisi-crnegore/zakon-o-zdravstvenoj-zastiti.html</w:t>
      </w:r>
    </w:p>
    <w:p w14:paraId="5BBEB287"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 xml:space="preserve">Savjet za regionalnu saradnju. (2025). </w:t>
      </w:r>
      <w:proofErr w:type="spellStart"/>
      <w:r w:rsidRPr="002F6D7B">
        <w:rPr>
          <w:rFonts w:eastAsia="Times New Roman" w:cstheme="minorHAnsi"/>
          <w:sz w:val="20"/>
          <w:szCs w:val="20"/>
          <w:lang w:val="sr-Latn-ME"/>
        </w:rPr>
        <w:t>Pregled</w:t>
      </w:r>
      <w:proofErr w:type="spellEnd"/>
      <w:r w:rsidRPr="002F6D7B">
        <w:rPr>
          <w:rFonts w:eastAsia="Times New Roman" w:cstheme="minorHAnsi"/>
          <w:sz w:val="20"/>
          <w:szCs w:val="20"/>
          <w:lang w:val="sr-Latn-ME"/>
        </w:rPr>
        <w:t xml:space="preserve"> za Crnu Goru: učinak Zapadnog Balkana u odnosu na Evropski stub socijalnih prava. https://www.rcc.int/files/user/docs/afbc8898d59753d416ac0ec079fea002.pdf</w:t>
      </w:r>
    </w:p>
    <w:p w14:paraId="3DD3DE0D"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Savjet za regionalnu saradnju. (bez datuma). Platforma za zapošljavanje i socijalna pitanja. https://www.esap.online/</w:t>
      </w:r>
    </w:p>
    <w:p w14:paraId="03FA7FFA"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Socijalni savjet Crne Gore. (bez datuma). Tripartitni dijalog. https://www.socsav.me/tripartitni-dijalog/</w:t>
      </w:r>
    </w:p>
    <w:p w14:paraId="3C0C58D6"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Program Ujedinjenih nacija za razvoj. (bez datuma). Jačanje zdravstvenog sistema u Crnoj Gori. https://www.undp.org/montenegro/projects/strengthening-health-system-montenegro</w:t>
      </w:r>
    </w:p>
    <w:p w14:paraId="40B8DA5E" w14:textId="77777777" w:rsidR="00410F31" w:rsidRPr="002F6D7B" w:rsidRDefault="00410F31" w:rsidP="00410F31">
      <w:pPr>
        <w:pStyle w:val="Odlomakpopisa"/>
        <w:numPr>
          <w:ilvl w:val="0"/>
          <w:numId w:val="10"/>
        </w:numPr>
        <w:spacing w:after="0" w:line="240" w:lineRule="auto"/>
        <w:jc w:val="left"/>
        <w:rPr>
          <w:rFonts w:eastAsia="Times New Roman" w:cstheme="minorHAnsi"/>
          <w:sz w:val="20"/>
          <w:szCs w:val="20"/>
          <w:lang w:val="sr-Latn-ME"/>
        </w:rPr>
      </w:pPr>
      <w:r w:rsidRPr="002F6D7B">
        <w:rPr>
          <w:rFonts w:eastAsia="Times New Roman" w:cstheme="minorHAnsi"/>
          <w:sz w:val="20"/>
          <w:szCs w:val="20"/>
          <w:lang w:val="sr-Latn-ME"/>
        </w:rPr>
        <w:t>Svjetska zdravstvena organizacija i Evropski opservatorijum za zdravstvene sisteme i politike. (2024). Zdravstveni sistemi u praksi: Crna Gora 2024. https://eurohealthobservatory.who.int/publications/i/health-systems-in-action-montenegro-2024</w:t>
      </w:r>
    </w:p>
    <w:p w14:paraId="60AF4CB0" w14:textId="77777777" w:rsidR="0087152E" w:rsidRPr="00410F31" w:rsidRDefault="0087152E">
      <w:pPr>
        <w:rPr>
          <w:lang w:val="sr-Latn-ME"/>
        </w:rPr>
      </w:pPr>
    </w:p>
    <w:sectPr w:rsidR="0087152E" w:rsidRPr="00410F31" w:rsidSect="009313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36795" w14:textId="77777777" w:rsidR="00C95B8E" w:rsidRDefault="00C95B8E" w:rsidP="00410F31">
      <w:pPr>
        <w:spacing w:after="0" w:line="240" w:lineRule="auto"/>
      </w:pPr>
      <w:r>
        <w:separator/>
      </w:r>
    </w:p>
  </w:endnote>
  <w:endnote w:type="continuationSeparator" w:id="0">
    <w:p w14:paraId="1613BD99" w14:textId="77777777" w:rsidR="00C95B8E" w:rsidRDefault="00C95B8E" w:rsidP="0041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CEC95" w14:textId="77777777" w:rsidR="00C95B8E" w:rsidRDefault="00C95B8E" w:rsidP="00410F31">
      <w:pPr>
        <w:spacing w:after="0" w:line="240" w:lineRule="auto"/>
      </w:pPr>
      <w:r>
        <w:separator/>
      </w:r>
    </w:p>
  </w:footnote>
  <w:footnote w:type="continuationSeparator" w:id="0">
    <w:p w14:paraId="456EE309" w14:textId="77777777" w:rsidR="00C95B8E" w:rsidRDefault="00C95B8E" w:rsidP="00410F31">
      <w:pPr>
        <w:spacing w:after="0" w:line="240" w:lineRule="auto"/>
      </w:pPr>
      <w:r>
        <w:continuationSeparator/>
      </w:r>
    </w:p>
  </w:footnote>
  <w:footnote w:id="1">
    <w:p w14:paraId="0E9E0CB6"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Pr</w:t>
      </w:r>
      <w:r>
        <w:rPr>
          <w:lang w:val="sr-Latn-ME"/>
        </w:rPr>
        <w:t>ij</w:t>
      </w:r>
      <w:r w:rsidRPr="00373063">
        <w:rPr>
          <w:lang w:val="sr-Latn-ME"/>
        </w:rPr>
        <w:t>edlog uredbe o uspostavljanju okvira za praćenje budžetske potrošnje i učinka, CO</w:t>
      </w:r>
      <w:r>
        <w:rPr>
          <w:lang w:val="sr-Latn-ME"/>
        </w:rPr>
        <w:t xml:space="preserve">M(2025)545, Aneks I </w:t>
      </w:r>
      <w:hyperlink r:id="rId1" w:history="1">
        <w:r w:rsidRPr="00EE251E">
          <w:rPr>
            <w:rStyle w:val="Hiperveza"/>
            <w:lang w:val="sr-Latn-ME"/>
          </w:rPr>
          <w:t>https://eur-lex.</w:t>
        </w:r>
        <w:r w:rsidRPr="00EE251E">
          <w:rPr>
            <w:rStyle w:val="Hiperveza"/>
            <w:lang w:val="pl-PL"/>
          </w:rPr>
          <w:t>europa</w:t>
        </w:r>
        <w:r w:rsidRPr="00EE251E">
          <w:rPr>
            <w:rStyle w:val="Hiperveza"/>
            <w:lang w:val="sr-Latn-ME"/>
          </w:rPr>
          <w:t>.</w:t>
        </w:r>
        <w:proofErr w:type="spellStart"/>
        <w:r w:rsidRPr="00EE251E">
          <w:rPr>
            <w:rStyle w:val="Hiperveza"/>
            <w:lang w:val="sr-Latn-ME"/>
          </w:rPr>
          <w:t>eu</w:t>
        </w:r>
        <w:proofErr w:type="spellEnd"/>
        <w:r w:rsidRPr="00EE251E">
          <w:rPr>
            <w:rStyle w:val="Hiperveza"/>
            <w:lang w:val="sr-Latn-ME"/>
          </w:rPr>
          <w:t>/legal-</w:t>
        </w:r>
        <w:proofErr w:type="spellStart"/>
        <w:r w:rsidRPr="00EE251E">
          <w:rPr>
            <w:rStyle w:val="Hiperveza"/>
            <w:lang w:val="sr-Latn-ME"/>
          </w:rPr>
          <w:t>content</w:t>
        </w:r>
        <w:proofErr w:type="spellEnd"/>
        <w:r w:rsidRPr="00EE251E">
          <w:rPr>
            <w:rStyle w:val="Hiperveza"/>
            <w:lang w:val="sr-Latn-ME"/>
          </w:rPr>
          <w:t>/EN/TXT/?uri=CELEX%3A52025PC0545</w:t>
        </w:r>
      </w:hyperlink>
      <w:r>
        <w:rPr>
          <w:lang w:val="sr-Latn-ME"/>
        </w:rPr>
        <w:t xml:space="preserve">  </w:t>
      </w:r>
    </w:p>
  </w:footnote>
  <w:footnote w:id="2">
    <w:p w14:paraId="605A5D4F"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 xml:space="preserve">Evropski stub socijalnih prava </w:t>
      </w:r>
      <w:hyperlink r:id="rId2" w:history="1">
        <w:r w:rsidRPr="00EE251E">
          <w:rPr>
            <w:rStyle w:val="Hiperveza"/>
            <w:lang w:val="sr-Latn-ME"/>
          </w:rPr>
          <w:t>https://ec.europa.eu/social/main.jsp?catId=1606&amp;langId=en</w:t>
        </w:r>
      </w:hyperlink>
      <w:r>
        <w:rPr>
          <w:lang w:val="sr-Latn-ME"/>
        </w:rPr>
        <w:t xml:space="preserve"> </w:t>
      </w:r>
    </w:p>
  </w:footnote>
  <w:footnote w:id="3">
    <w:p w14:paraId="05BA8C93"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https://ec.europa.eu/eurostat/cache/dashboard/social-scoreboard/</w:t>
      </w:r>
    </w:p>
  </w:footnote>
  <w:footnote w:id="4">
    <w:p w14:paraId="60AF93F4"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Preporuka Savjeta o ojačanoj Garanciji za mlade, 2020. </w:t>
      </w:r>
      <w:hyperlink r:id="rId3" w:history="1">
        <w:r w:rsidRPr="00373063">
          <w:rPr>
            <w:rStyle w:val="Hiperveza"/>
            <w:lang w:val="sr-Latn-ME"/>
          </w:rPr>
          <w:t>https://eur-lex.europa.eu/legal-content/EN/TXT/?uri=uriserv:OJ.C_.2020.372.01.0001.01.ENG</w:t>
        </w:r>
      </w:hyperlink>
    </w:p>
  </w:footnote>
  <w:footnote w:id="5">
    <w:p w14:paraId="4ACBEC74"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Preporuka Savjeta o uspostavljanju Evropske garancije za djecu, 2021.</w:t>
      </w:r>
      <w:hyperlink r:id="rId4" w:history="1">
        <w:r w:rsidRPr="00373063">
          <w:rPr>
            <w:rStyle w:val="Hiperveza"/>
            <w:lang w:val="sr-Latn-ME"/>
          </w:rPr>
          <w:t>https://eur-lex.europa.eu/legal-content/EN/TXT/?uri=CELEX%3A32021H1004</w:t>
        </w:r>
      </w:hyperlink>
    </w:p>
  </w:footnote>
  <w:footnote w:id="6">
    <w:p w14:paraId="0C3AFECD"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 xml:space="preserve">Direktiva (EU) 2022/2041 o adekvatnim minimalnim zaradama. </w:t>
      </w:r>
      <w:hyperlink r:id="rId5" w:history="1">
        <w:r w:rsidRPr="00373063">
          <w:rPr>
            <w:rStyle w:val="Hiperveza"/>
            <w:lang w:val="sr-Latn-ME"/>
          </w:rPr>
          <w:t>https://eur-lex.europa.eu/eli/dir/2022/2041/oj</w:t>
        </w:r>
      </w:hyperlink>
    </w:p>
  </w:footnote>
  <w:footnote w:id="7">
    <w:p w14:paraId="4E4DBE16"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Direktiva (EU) 2019/1158 o ravnoteži između poslovnog i privatnog života za roditelje i staratelje.</w:t>
      </w:r>
      <w:r>
        <w:rPr>
          <w:lang w:val="sr-Latn-ME"/>
        </w:rPr>
        <w:t xml:space="preserve"> </w:t>
      </w:r>
      <w:hyperlink r:id="rId6" w:history="1">
        <w:r w:rsidRPr="00EF2AC3">
          <w:rPr>
            <w:rStyle w:val="Hiperveza"/>
            <w:lang w:val="sr-Latn-ME"/>
          </w:rPr>
          <w:t>https://eur-lex.europa.eu/eli/dir/2019/1158/oj</w:t>
        </w:r>
      </w:hyperlink>
    </w:p>
  </w:footnote>
  <w:footnote w:id="8">
    <w:p w14:paraId="17823400"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Strategija EU za rodnu ravnopravnost 2020–2025.</w:t>
      </w:r>
      <w:hyperlink r:id="rId7" w:history="1">
        <w:r w:rsidRPr="00373063">
          <w:rPr>
            <w:rStyle w:val="Hiperveza"/>
            <w:lang w:val="sr-Latn-ME"/>
          </w:rPr>
          <w:t>https://commission.europa.eu/strategy-and-policy/policies/justice-and-fundamental-rights/gender-equality/gender-equality-strategy_en</w:t>
        </w:r>
      </w:hyperlink>
    </w:p>
  </w:footnote>
  <w:footnote w:id="9">
    <w:p w14:paraId="7911ADF3"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Evropska strategija za </w:t>
      </w:r>
      <w:proofErr w:type="spellStart"/>
      <w:r w:rsidRPr="00373063">
        <w:rPr>
          <w:lang w:val="sr-Latn-ME"/>
        </w:rPr>
        <w:t>njegu</w:t>
      </w:r>
      <w:proofErr w:type="spellEnd"/>
      <w:r w:rsidRPr="00373063">
        <w:rPr>
          <w:lang w:val="sr-Latn-ME"/>
        </w:rPr>
        <w:t>, 2022.</w:t>
      </w:r>
      <w:hyperlink r:id="rId8" w:history="1">
        <w:r w:rsidRPr="00373063">
          <w:rPr>
            <w:rStyle w:val="Hiperveza"/>
            <w:lang w:val="sr-Latn-ME"/>
          </w:rPr>
          <w:t>https://employment-social-affairs.ec.europa.eu/news/european-care-strategy-caregivers-and-care-receivers-2022-09-07_en</w:t>
        </w:r>
      </w:hyperlink>
      <w:r w:rsidRPr="00373063">
        <w:rPr>
          <w:lang w:val="sr-Latn-ME"/>
        </w:rPr>
        <w:t xml:space="preserve"> </w:t>
      </w:r>
    </w:p>
  </w:footnote>
  <w:footnote w:id="10">
    <w:p w14:paraId="364B4E32"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Uredba (EU) 2021/1057 o Evropskom socijalnom fondu plus (ESF+).</w:t>
      </w:r>
      <w:hyperlink r:id="rId9" w:history="1">
        <w:r w:rsidRPr="00373063">
          <w:rPr>
            <w:rStyle w:val="Hiperveza"/>
            <w:lang w:val="sr-Latn-ME"/>
          </w:rPr>
          <w:t>https://eur-lex.europa.eu/eli/reg/2021/1057/oj</w:t>
        </w:r>
      </w:hyperlink>
    </w:p>
  </w:footnote>
  <w:footnote w:id="11">
    <w:p w14:paraId="0203A504"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 xml:space="preserve">Program EU4Health </w:t>
      </w:r>
      <w:hyperlink r:id="rId10" w:history="1">
        <w:r w:rsidRPr="00373063">
          <w:rPr>
            <w:rStyle w:val="Hiperveza"/>
            <w:lang w:val="sr-Latn-ME"/>
          </w:rPr>
          <w:t>https://health.ec.europa.eu/funding/eu4health-programme-2021-2027-vision-healthier-european-union_en</w:t>
        </w:r>
      </w:hyperlink>
      <w:r w:rsidRPr="00373063">
        <w:rPr>
          <w:lang w:val="sr-Latn-ME"/>
        </w:rPr>
        <w:t xml:space="preserve"> </w:t>
      </w:r>
    </w:p>
  </w:footnote>
  <w:footnote w:id="12">
    <w:p w14:paraId="60DE3D8D"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hyperlink r:id="rId11" w:history="1">
        <w:r w:rsidRPr="00373063">
          <w:rPr>
            <w:rStyle w:val="Hiperveza"/>
            <w:lang w:val="sr-Latn-ME"/>
          </w:rPr>
          <w:t>https://commission.europa.eu/topics/public-health/european-health-union_en</w:t>
        </w:r>
      </w:hyperlink>
      <w:r w:rsidRPr="00373063">
        <w:rPr>
          <w:lang w:val="sr-Latn-ME"/>
        </w:rPr>
        <w:t xml:space="preserve"> </w:t>
      </w:r>
    </w:p>
  </w:footnote>
  <w:footnote w:id="13">
    <w:p w14:paraId="48EC45C8"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hyperlink r:id="rId12" w:history="1">
        <w:r w:rsidRPr="00373063">
          <w:rPr>
            <w:rStyle w:val="Hiperveza"/>
            <w:lang w:val="sr-Latn-ME"/>
          </w:rPr>
          <w:t>https://eur-lex.europa.eu/eli/reg/2022/2371/oj/eng</w:t>
        </w:r>
      </w:hyperlink>
      <w:r w:rsidRPr="00373063">
        <w:rPr>
          <w:lang w:val="sr-Latn-ME"/>
        </w:rPr>
        <w:t xml:space="preserve"> </w:t>
      </w:r>
    </w:p>
  </w:footnote>
  <w:footnote w:id="14">
    <w:p w14:paraId="2B3DE84B"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Evropski prostor zdravstvenih podataka</w:t>
      </w:r>
      <w:r>
        <w:rPr>
          <w:lang w:val="sr-Latn-ME"/>
        </w:rPr>
        <w:t xml:space="preserve">, </w:t>
      </w:r>
      <w:hyperlink r:id="rId13" w:history="1">
        <w:r w:rsidRPr="00373063">
          <w:rPr>
            <w:rStyle w:val="Hiperveza"/>
            <w:lang w:val="sr-Latn-ME"/>
          </w:rPr>
          <w:t>https://health.ec.europa.eu/ehealth-digital-health-and-care/european-health-data-space_en</w:t>
        </w:r>
      </w:hyperlink>
    </w:p>
  </w:footnote>
  <w:footnote w:id="15">
    <w:p w14:paraId="01054889"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Preporuka Savjeta o adekvatnom minimalnom dohotku, 2023.</w:t>
      </w:r>
      <w:hyperlink r:id="rId14" w:history="1">
        <w:r w:rsidRPr="00373063">
          <w:rPr>
            <w:rStyle w:val="Hiperveza"/>
            <w:lang w:val="sr-Latn-ME"/>
          </w:rPr>
          <w:t>https://eur-lex.europa.eu/legal-content/EN/TXT/?uri=oj:JOC_2023_041_R_0001</w:t>
        </w:r>
      </w:hyperlink>
      <w:r w:rsidRPr="00373063">
        <w:rPr>
          <w:lang w:val="sr-Latn-ME"/>
        </w:rPr>
        <w:t xml:space="preserve"> </w:t>
      </w:r>
    </w:p>
  </w:footnote>
  <w:footnote w:id="16">
    <w:p w14:paraId="42BC6797"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 xml:space="preserve">Preporuka Savjeta o pristupu socijalnoj zaštiti, 2019. </w:t>
      </w:r>
      <w:hyperlink r:id="rId15" w:history="1">
        <w:r w:rsidRPr="00373063">
          <w:rPr>
            <w:rStyle w:val="Hiperveza"/>
            <w:lang w:val="sr-Latn-ME"/>
          </w:rPr>
          <w:t>https://eur-lex.europa.eu/legal-content/EN/TXT/?uri=CELEX%3A32019H1115%2801%29</w:t>
        </w:r>
      </w:hyperlink>
      <w:r w:rsidRPr="00373063">
        <w:rPr>
          <w:lang w:val="sr-Latn-ME"/>
        </w:rPr>
        <w:t xml:space="preserve"> </w:t>
      </w:r>
    </w:p>
  </w:footnote>
  <w:footnote w:id="17">
    <w:p w14:paraId="50DEF20F"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 </w:t>
      </w:r>
      <w:r w:rsidRPr="00373063">
        <w:rPr>
          <w:lang w:val="sr-Latn-ME"/>
        </w:rPr>
        <w:t xml:space="preserve">Evropski akt o pristupačnosti, Direktiva (EU) 2019/882. </w:t>
      </w:r>
      <w:hyperlink r:id="rId16" w:history="1">
        <w:r w:rsidRPr="00373063">
          <w:rPr>
            <w:rStyle w:val="Hiperveza"/>
            <w:lang w:val="sr-Latn-ME"/>
          </w:rPr>
          <w:t>https://eur-lex.europa.eu/eli/dir/2019/882/oj</w:t>
        </w:r>
      </w:hyperlink>
    </w:p>
  </w:footnote>
  <w:footnote w:id="18">
    <w:p w14:paraId="13F90577"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Strategija EU za prava osoba sa invaliditetom 2021–2030. </w:t>
      </w:r>
      <w:hyperlink r:id="rId17" w:history="1">
        <w:r w:rsidRPr="00373063">
          <w:rPr>
            <w:rStyle w:val="Hiperveza"/>
            <w:lang w:val="sr-Latn-ME"/>
          </w:rPr>
          <w:t>https://commission.europa.eu/strategy-and-policy/policies/justice-and-fundamental-rights/disability/union-equality-strategy-rights-persons-disabilities-2021-2030_en</w:t>
        </w:r>
      </w:hyperlink>
      <w:r w:rsidRPr="00373063">
        <w:rPr>
          <w:lang w:val="sr-Latn-ME"/>
        </w:rPr>
        <w:t xml:space="preserve"> </w:t>
      </w:r>
    </w:p>
  </w:footnote>
  <w:footnote w:id="19">
    <w:p w14:paraId="53535BCE" w14:textId="77777777" w:rsidR="00410F31" w:rsidRPr="00373063" w:rsidRDefault="00410F31" w:rsidP="00410F31">
      <w:pPr>
        <w:pStyle w:val="Tekstfusnote"/>
        <w:jc w:val="left"/>
        <w:rPr>
          <w:lang w:val="sr-Latn-ME"/>
        </w:rPr>
      </w:pPr>
      <w:r w:rsidRPr="00373063">
        <w:rPr>
          <w:rStyle w:val="Referencafusnote"/>
          <w:lang w:val="sr-Latn-ME"/>
        </w:rPr>
        <w:footnoteRef/>
      </w:r>
      <w:r w:rsidRPr="00373063">
        <w:rPr>
          <w:lang w:val="sr-Latn-ME"/>
        </w:rPr>
        <w:t xml:space="preserve">Strateški okvir EU za Rome 2020–2030. </w:t>
      </w:r>
      <w:hyperlink r:id="rId18" w:history="1">
        <w:r w:rsidRPr="00373063">
          <w:rPr>
            <w:rStyle w:val="Hiperveza"/>
            <w:lang w:val="sr-Latn-ME"/>
          </w:rPr>
          <w:t>https://commission.europa.eu/system/files/2021-01/eu_roma_strategic_framework_for_equality_inclusion_and_participation_for_2020_-_2030_0.pdf</w:t>
        </w:r>
      </w:hyperlink>
      <w:r w:rsidRPr="00373063">
        <w:rPr>
          <w:lang w:val="sr-Latn-ME"/>
        </w:rPr>
        <w:t xml:space="preserve"> </w:t>
      </w:r>
    </w:p>
  </w:footnote>
  <w:footnote w:id="20">
    <w:p w14:paraId="3FF5C2CE"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8B529D">
        <w:rPr>
          <w:lang w:val="sr-Latn-ME"/>
        </w:rPr>
        <w:t>RCC ESAP — Platforma za zapošljavanje i socijalna pitanja</w:t>
      </w:r>
      <w:r w:rsidRPr="00373063">
        <w:rPr>
          <w:lang w:val="sr-Latn-ME"/>
        </w:rPr>
        <w:t xml:space="preserve"> </w:t>
      </w:r>
      <w:hyperlink r:id="rId19" w:history="1">
        <w:r w:rsidRPr="00373063">
          <w:rPr>
            <w:rStyle w:val="Hiperveza"/>
            <w:lang w:val="sr-Latn-ME"/>
          </w:rPr>
          <w:t>https://www.esap.online/</w:t>
        </w:r>
      </w:hyperlink>
    </w:p>
  </w:footnote>
  <w:footnote w:id="21">
    <w:p w14:paraId="523F31ED"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hyperlink r:id="rId20" w:history="1">
        <w:r w:rsidRPr="0012586B">
          <w:rPr>
            <w:rStyle w:val="Hiperveza"/>
            <w:lang w:val="sr-Latn-ME"/>
          </w:rPr>
          <w:t>https://www.zzzcg.me/wp-content/uploads/2025/08/predlog-nacionalne-strategije-zaposljavanja-2021-2025-s-predlogom-akcionog-plana-zaposljavanja-za-2021-godinu.pdf</w:t>
        </w:r>
      </w:hyperlink>
      <w:r>
        <w:rPr>
          <w:lang w:val="sr-Latn-ME"/>
        </w:rPr>
        <w:t xml:space="preserve"> </w:t>
      </w:r>
    </w:p>
  </w:footnote>
  <w:footnote w:id="22">
    <w:p w14:paraId="5D6B29D0"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hyperlink r:id="rId21" w:history="1">
        <w:r w:rsidRPr="0012586B">
          <w:rPr>
            <w:rStyle w:val="Hiperveza"/>
            <w:lang w:val="sr-Latn-ME"/>
          </w:rPr>
          <w:t>https://www.gov.me/ms/garancija-za-mlade-zzzgrabi-sansu</w:t>
        </w:r>
      </w:hyperlink>
      <w:r>
        <w:rPr>
          <w:lang w:val="sr-Latn-ME"/>
        </w:rPr>
        <w:t xml:space="preserve"> </w:t>
      </w:r>
    </w:p>
  </w:footnote>
  <w:footnote w:id="23">
    <w:p w14:paraId="732FECCC"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Pr</w:t>
      </w:r>
      <w:r>
        <w:rPr>
          <w:lang w:val="sr-Latn-ME"/>
        </w:rPr>
        <w:t>ij</w:t>
      </w:r>
      <w:r w:rsidRPr="00373063">
        <w:rPr>
          <w:lang w:val="sr-Latn-ME"/>
        </w:rPr>
        <w:t xml:space="preserve">edlog plana implementacije programa garancije za mlade, </w:t>
      </w:r>
      <w:hyperlink r:id="rId22" w:history="1">
        <w:r w:rsidRPr="0012586B">
          <w:rPr>
            <w:rStyle w:val="Hiperveza"/>
            <w:lang w:val="sr-Latn-ME"/>
          </w:rPr>
          <w:t>https://www.gov.me/dokumenta/ea17e3d8-968e-435f-8707-c0d98aa65fc9</w:t>
        </w:r>
      </w:hyperlink>
      <w:r>
        <w:rPr>
          <w:lang w:val="sr-Latn-ME"/>
        </w:rPr>
        <w:t xml:space="preserve"> </w:t>
      </w:r>
    </w:p>
  </w:footnote>
  <w:footnote w:id="24">
    <w:p w14:paraId="109C3EF4"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8B529D">
        <w:rPr>
          <w:lang w:val="sr-Latn-ME"/>
        </w:rPr>
        <w:t>Vlada Crne Gore, Nacionalna strategija održivog razvoja (NSOR) 2030, usvojena 2016. godine.</w:t>
      </w:r>
      <w:r w:rsidRPr="00373063">
        <w:rPr>
          <w:lang w:val="sr-Latn-ME"/>
        </w:rPr>
        <w:t xml:space="preserve"> </w:t>
      </w:r>
      <w:hyperlink r:id="rId23" w:history="1">
        <w:r w:rsidRPr="0012586B">
          <w:rPr>
            <w:rStyle w:val="Hiperveza"/>
            <w:lang w:val="sr-Latn-ME"/>
          </w:rPr>
          <w:t>https://www.gov.me/dokumenta/cc23d020-f8b5-452e-ac91-b8b565fe2982</w:t>
        </w:r>
      </w:hyperlink>
      <w:r>
        <w:rPr>
          <w:lang w:val="sr-Latn-ME"/>
        </w:rPr>
        <w:t xml:space="preserve"> </w:t>
      </w:r>
    </w:p>
  </w:footnote>
  <w:footnote w:id="25">
    <w:p w14:paraId="5527DF65"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hyperlink r:id="rId24" w:history="1">
        <w:r w:rsidRPr="0012586B">
          <w:rPr>
            <w:rStyle w:val="Hiperveza"/>
            <w:lang w:val="sr-Latn-ME"/>
          </w:rPr>
          <w:t>https://www.gov.me/en/labour-fund</w:t>
        </w:r>
      </w:hyperlink>
      <w:r>
        <w:rPr>
          <w:lang w:val="sr-Latn-ME"/>
        </w:rPr>
        <w:t xml:space="preserve"> </w:t>
      </w:r>
    </w:p>
  </w:footnote>
  <w:footnote w:id="26">
    <w:p w14:paraId="75B20DD7"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hyperlink r:id="rId25" w:history="1">
        <w:r w:rsidRPr="0012586B">
          <w:rPr>
            <w:rStyle w:val="Hiperveza"/>
            <w:lang w:val="sr-Latn-ME"/>
          </w:rPr>
          <w:t>https://www.gov.me/uip</w:t>
        </w:r>
      </w:hyperlink>
      <w:r>
        <w:rPr>
          <w:lang w:val="sr-Latn-ME"/>
        </w:rPr>
        <w:t xml:space="preserve"> </w:t>
      </w:r>
    </w:p>
  </w:footnote>
  <w:footnote w:id="27">
    <w:p w14:paraId="4AC9DD60"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hyperlink r:id="rId26" w:history="1">
        <w:r w:rsidRPr="0012586B">
          <w:rPr>
            <w:rStyle w:val="Hiperveza"/>
            <w:lang w:val="sr-Latn-ME"/>
          </w:rPr>
          <w:t>https://www.socsav.me/tripartitni-dijalog/</w:t>
        </w:r>
      </w:hyperlink>
      <w:r>
        <w:rPr>
          <w:lang w:val="sr-Latn-ME"/>
        </w:rPr>
        <w:t xml:space="preserve"> </w:t>
      </w:r>
    </w:p>
  </w:footnote>
  <w:footnote w:id="28">
    <w:p w14:paraId="3D3E97D9"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https://www.gov.me/dokumenta/bb77fe25-5ffd-43a2-9313-738e0e0b725e</w:t>
      </w:r>
    </w:p>
  </w:footnote>
  <w:footnote w:id="29">
    <w:p w14:paraId="25542FDB"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https://www.gov.me/dokumenta/ae125913-ef38-4dd2-bc90-3e8d38a18a62</w:t>
      </w:r>
    </w:p>
  </w:footnote>
  <w:footnote w:id="30">
    <w:p w14:paraId="29BCBE19"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https://www.gov.me/dokumenta/515a0cbe-e735-4db6-b875-db35d1ef9c57</w:t>
      </w:r>
    </w:p>
  </w:footnote>
  <w:footnote w:id="31">
    <w:p w14:paraId="48D5A13E"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https://www.rcc.int/romaintegration2020/files/admin/docs/44094b7464e18540b569501bb1974d66.pdf</w:t>
      </w:r>
    </w:p>
  </w:footnote>
  <w:footnote w:id="32">
    <w:p w14:paraId="4697B166"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https://www.gov.me/en/documents/4e791e04-f143-4db4-ad37-ca9dbb1ec4c5</w:t>
      </w:r>
    </w:p>
  </w:footnote>
  <w:footnote w:id="33">
    <w:p w14:paraId="447D62C8"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https://www.gov.me/mssd</w:t>
      </w:r>
    </w:p>
  </w:footnote>
  <w:footnote w:id="34">
    <w:p w14:paraId="19436C7F"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https://www.gov.me/dokumenta/2414cd07-7fce-41bd-9df1-11eeaba307e7</w:t>
      </w:r>
    </w:p>
  </w:footnote>
  <w:footnote w:id="35">
    <w:p w14:paraId="4AA615CF"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Agenda reformi Crne Gore 2024–2027</w:t>
      </w:r>
      <w:r w:rsidRPr="00373063">
        <w:rPr>
          <w:lang w:val="sr-Latn-ME"/>
        </w:rPr>
        <w:t xml:space="preserve">. </w:t>
      </w:r>
      <w:hyperlink r:id="rId27" w:history="1">
        <w:r w:rsidRPr="00373063">
          <w:rPr>
            <w:rStyle w:val="Hiperveza"/>
            <w:lang w:val="sr-Latn-ME"/>
          </w:rPr>
          <w:t>https://reform-monitor.org/wp-content/uploads/2025/05/Reform-agenda-Montenegro_.pdf</w:t>
        </w:r>
      </w:hyperlink>
    </w:p>
  </w:footnote>
  <w:footnote w:id="36">
    <w:p w14:paraId="609F7F96"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Ujedinjene nacije u Crnoj Gori. (2026). Izvještaj o rezultatima na nivou države za 2025 – Crna Gora. Ujedinjene nacije</w:t>
      </w:r>
      <w:r w:rsidRPr="00373063">
        <w:rPr>
          <w:lang w:val="sr-Latn-ME"/>
        </w:rPr>
        <w:t xml:space="preserve">. </w:t>
      </w:r>
      <w:hyperlink r:id="rId28" w:tgtFrame="_new" w:history="1">
        <w:r w:rsidRPr="00373063">
          <w:rPr>
            <w:rStyle w:val="Hiperveza"/>
            <w:lang w:val="sr-Latn-ME"/>
          </w:rPr>
          <w:t>https://montenegro.un.org/sites/default/files/2026-04/UN%20Montenegro%20Annual%20Results%20Report%20-%202025.pdf</w:t>
        </w:r>
      </w:hyperlink>
    </w:p>
  </w:footnote>
  <w:footnote w:id="37">
    <w:p w14:paraId="61EE9214"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2F6D7B">
        <w:rPr>
          <w:lang w:val="sr-Latn-ME"/>
        </w:rPr>
        <w:t>Dostupno na Portalu otvorenih podataka</w:t>
      </w:r>
      <w:r>
        <w:rPr>
          <w:lang w:val="sr-Latn-ME"/>
        </w:rPr>
        <w:t xml:space="preserve">: </w:t>
      </w:r>
      <w:hyperlink r:id="rId29" w:history="1">
        <w:r w:rsidRPr="00373063">
          <w:rPr>
            <w:rStyle w:val="Hiperveza"/>
            <w:lang w:val="sr-Latn-ME"/>
          </w:rPr>
          <w:t>https://data.gov.me/en/</w:t>
        </w:r>
      </w:hyperlink>
      <w:r w:rsidRPr="00373063">
        <w:rPr>
          <w:lang w:val="sr-Latn-ME"/>
        </w:rPr>
        <w:t xml:space="preserve">  </w:t>
      </w:r>
      <w:r>
        <w:rPr>
          <w:lang w:val="sr-Latn-ME"/>
        </w:rPr>
        <w:t xml:space="preserve">, </w:t>
      </w:r>
      <w:r w:rsidRPr="002F6D7B">
        <w:rPr>
          <w:lang w:val="sr-Latn-ME"/>
        </w:rPr>
        <w:t>oblast rada i socijalnog staranja:</w:t>
      </w:r>
      <w:r>
        <w:rPr>
          <w:lang w:val="sr-Latn-ME"/>
        </w:rPr>
        <w:t xml:space="preserve"> </w:t>
      </w:r>
      <w:hyperlink r:id="rId30" w:history="1">
        <w:r w:rsidRPr="0012586B">
          <w:rPr>
            <w:rStyle w:val="Hiperveza"/>
            <w:lang w:val="sr-Latn-ME"/>
          </w:rPr>
          <w:t>https://data.gov.me/en/group/rad-i-socijalno-staranje</w:t>
        </w:r>
      </w:hyperlink>
      <w:r w:rsidRPr="00373063">
        <w:rPr>
          <w:lang w:val="sr-Latn-ME"/>
        </w:rPr>
        <w:t xml:space="preserve"> </w:t>
      </w:r>
    </w:p>
  </w:footnote>
  <w:footnote w:id="38">
    <w:p w14:paraId="1866FB62"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B43E91">
        <w:rPr>
          <w:lang w:val="sr-Latn-ME"/>
        </w:rPr>
        <w:t>CEB, kredit od 83 miliona eura za jačanje zdravstvenog sistema Crne Gore, april 2025.</w:t>
      </w:r>
      <w:hyperlink r:id="rId31" w:history="1">
        <w:r w:rsidRPr="00373063">
          <w:rPr>
            <w:rStyle w:val="Hiperveza"/>
            <w:lang w:val="sr-Latn-ME"/>
          </w:rPr>
          <w:t>https://coebank.org/en/news-and-publications/news/ceb-approves-83-million-euros-loan-to-strengthen-montenegro-healthcare-system/</w:t>
        </w:r>
      </w:hyperlink>
    </w:p>
  </w:footnote>
  <w:footnote w:id="39">
    <w:p w14:paraId="41C6AA94"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https://www.ebrd.com/home/news-and-events/news/2024/ebrd-helps-transform-three-hospitals-in-montenegro.html</w:t>
      </w:r>
    </w:p>
  </w:footnote>
  <w:footnote w:id="40">
    <w:p w14:paraId="7D8AD0A5"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https://monte.business/montenegro-launches-historic-investment-cycle-to-modernize-healthcare-system/</w:t>
      </w:r>
    </w:p>
  </w:footnote>
  <w:footnote w:id="41">
    <w:p w14:paraId="517344D3"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https://monte.business/montenegro-the-construction-of-the-public-health-operations-center-for-emergency-situations-in-podgorica-has-begun/</w:t>
      </w:r>
    </w:p>
  </w:footnote>
  <w:footnote w:id="42">
    <w:p w14:paraId="4E24284B"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https://www.undp.org/montenegro/projects/strengthening-health-system-montenegro</w:t>
      </w:r>
    </w:p>
  </w:footnote>
  <w:footnote w:id="43">
    <w:p w14:paraId="5C2AB6B0"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6009BB">
        <w:rPr>
          <w:lang w:val="sr-Latn-ME"/>
        </w:rPr>
        <w:t>Izvještaj Evropske komisije o Crnoj Gori za 2025. godinu</w:t>
      </w:r>
      <w:r w:rsidRPr="00373063">
        <w:rPr>
          <w:lang w:val="sr-Latn-ME"/>
        </w:rPr>
        <w:t xml:space="preserve">. </w:t>
      </w:r>
      <w:hyperlink r:id="rId32" w:history="1">
        <w:r w:rsidRPr="00373063">
          <w:rPr>
            <w:rStyle w:val="Hiperveza"/>
            <w:lang w:val="sr-Latn-ME"/>
          </w:rPr>
          <w:t>https://enlargement.ec.europa.eu/montenegro-report-2025_en</w:t>
        </w:r>
      </w:hyperlink>
    </w:p>
  </w:footnote>
  <w:footnote w:id="44">
    <w:p w14:paraId="6DAF57ED" w14:textId="77777777" w:rsidR="00410F31" w:rsidRPr="00373063" w:rsidRDefault="00410F31" w:rsidP="00410F31">
      <w:pPr>
        <w:pStyle w:val="Tekstfusnote"/>
        <w:rPr>
          <w:lang w:val="sr-Latn-ME"/>
        </w:rPr>
      </w:pPr>
      <w:r w:rsidRPr="00373063">
        <w:rPr>
          <w:rStyle w:val="Referencafusnote"/>
          <w:lang w:val="sr-Latn-ME"/>
        </w:rPr>
        <w:footnoteRef/>
      </w:r>
      <w:r w:rsidRPr="00373063">
        <w:rPr>
          <w:lang w:val="sr-Latn-ME"/>
        </w:rPr>
        <w:t xml:space="preserve"> </w:t>
      </w:r>
      <w:r w:rsidRPr="00373063">
        <w:rPr>
          <w:lang w:val="sr-Latn-ME"/>
        </w:rPr>
        <w:t>ZZZCG, Izvještaj o radu za 2025. godinu, https://www.zzzcg.me/wp-content/uploads/2025/08/izvjestaj-o-radu-2025.pdf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CE1"/>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06330CFC"/>
    <w:multiLevelType w:val="hybridMultilevel"/>
    <w:tmpl w:val="9ED83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C3491"/>
    <w:multiLevelType w:val="hybridMultilevel"/>
    <w:tmpl w:val="D616A800"/>
    <w:lvl w:ilvl="0" w:tplc="0409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E6274DF"/>
    <w:multiLevelType w:val="hybridMultilevel"/>
    <w:tmpl w:val="C5E4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345FD"/>
    <w:multiLevelType w:val="hybridMultilevel"/>
    <w:tmpl w:val="7054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D537B"/>
    <w:multiLevelType w:val="hybridMultilevel"/>
    <w:tmpl w:val="CFAC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B05C92"/>
    <w:multiLevelType w:val="hybridMultilevel"/>
    <w:tmpl w:val="3C02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B1882"/>
    <w:multiLevelType w:val="hybridMultilevel"/>
    <w:tmpl w:val="D478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112D9"/>
    <w:multiLevelType w:val="hybridMultilevel"/>
    <w:tmpl w:val="6358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9645F"/>
    <w:multiLevelType w:val="hybridMultilevel"/>
    <w:tmpl w:val="AB3E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0533C1"/>
    <w:multiLevelType w:val="hybridMultilevel"/>
    <w:tmpl w:val="5D7CD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0C7B93"/>
    <w:multiLevelType w:val="hybridMultilevel"/>
    <w:tmpl w:val="17CC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793061">
    <w:abstractNumId w:val="6"/>
  </w:num>
  <w:num w:numId="2" w16cid:durableId="733434929">
    <w:abstractNumId w:val="11"/>
  </w:num>
  <w:num w:numId="3" w16cid:durableId="1143306370">
    <w:abstractNumId w:val="5"/>
  </w:num>
  <w:num w:numId="4" w16cid:durableId="2033676984">
    <w:abstractNumId w:val="3"/>
  </w:num>
  <w:num w:numId="5" w16cid:durableId="1758093448">
    <w:abstractNumId w:val="9"/>
  </w:num>
  <w:num w:numId="6" w16cid:durableId="872156386">
    <w:abstractNumId w:val="10"/>
  </w:num>
  <w:num w:numId="7" w16cid:durableId="145436589">
    <w:abstractNumId w:val="7"/>
  </w:num>
  <w:num w:numId="8" w16cid:durableId="1926305598">
    <w:abstractNumId w:val="1"/>
  </w:num>
  <w:num w:numId="9" w16cid:durableId="800656540">
    <w:abstractNumId w:val="8"/>
  </w:num>
  <w:num w:numId="10" w16cid:durableId="914435748">
    <w:abstractNumId w:val="4"/>
  </w:num>
  <w:num w:numId="11" w16cid:durableId="1844466009">
    <w:abstractNumId w:val="2"/>
  </w:num>
  <w:num w:numId="12" w16cid:durableId="1006637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31"/>
    <w:rsid w:val="00112D31"/>
    <w:rsid w:val="002A663A"/>
    <w:rsid w:val="002D6FE8"/>
    <w:rsid w:val="003630F9"/>
    <w:rsid w:val="00410F31"/>
    <w:rsid w:val="00672BA3"/>
    <w:rsid w:val="006A1BFC"/>
    <w:rsid w:val="00811E78"/>
    <w:rsid w:val="0087152E"/>
    <w:rsid w:val="0093136E"/>
    <w:rsid w:val="009A0264"/>
    <w:rsid w:val="00A1491C"/>
    <w:rsid w:val="00B17B5B"/>
    <w:rsid w:val="00B722BD"/>
    <w:rsid w:val="00B96841"/>
    <w:rsid w:val="00BD1487"/>
    <w:rsid w:val="00C94037"/>
    <w:rsid w:val="00C95B8E"/>
    <w:rsid w:val="00D13A85"/>
    <w:rsid w:val="00E92DFE"/>
    <w:rsid w:val="00F462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C032"/>
  <w15:chartTrackingRefBased/>
  <w15:docId w15:val="{393A2FDE-6F60-4EB5-AB72-E795F928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F31"/>
    <w:pPr>
      <w:jc w:val="both"/>
    </w:pPr>
    <w:rPr>
      <w:sz w:val="22"/>
    </w:rPr>
  </w:style>
  <w:style w:type="paragraph" w:styleId="Naslov1">
    <w:name w:val="heading 1"/>
    <w:basedOn w:val="Normal"/>
    <w:next w:val="Normal"/>
    <w:link w:val="Naslov1Char"/>
    <w:uiPriority w:val="9"/>
    <w:qFormat/>
    <w:rsid w:val="00410F31"/>
    <w:pPr>
      <w:keepNext/>
      <w:keepLines/>
      <w:numPr>
        <w:numId w:val="1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410F31"/>
    <w:pPr>
      <w:keepNext/>
      <w:keepLines/>
      <w:numPr>
        <w:ilvl w:val="1"/>
        <w:numId w:val="1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410F31"/>
    <w:pPr>
      <w:keepNext/>
      <w:keepLines/>
      <w:numPr>
        <w:ilvl w:val="2"/>
        <w:numId w:val="1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410F31"/>
    <w:pPr>
      <w:keepNext/>
      <w:keepLines/>
      <w:numPr>
        <w:ilvl w:val="3"/>
        <w:numId w:val="1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10F31"/>
    <w:pPr>
      <w:keepNext/>
      <w:keepLines/>
      <w:numPr>
        <w:ilvl w:val="4"/>
        <w:numId w:val="1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10F31"/>
    <w:pPr>
      <w:keepNext/>
      <w:keepLines/>
      <w:numPr>
        <w:ilvl w:val="5"/>
        <w:numId w:val="1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10F31"/>
    <w:pPr>
      <w:keepNext/>
      <w:keepLines/>
      <w:numPr>
        <w:ilvl w:val="6"/>
        <w:numId w:val="1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10F31"/>
    <w:pPr>
      <w:keepNext/>
      <w:keepLines/>
      <w:numPr>
        <w:ilvl w:val="7"/>
        <w:numId w:val="1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10F31"/>
    <w:pPr>
      <w:keepNext/>
      <w:keepLines/>
      <w:numPr>
        <w:ilvl w:val="8"/>
        <w:numId w:val="1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10F3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10F3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10F3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410F3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10F3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10F3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10F3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10F3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10F31"/>
    <w:rPr>
      <w:rFonts w:eastAsiaTheme="majorEastAsia" w:cstheme="majorBidi"/>
      <w:color w:val="272727" w:themeColor="text1" w:themeTint="D8"/>
    </w:rPr>
  </w:style>
  <w:style w:type="paragraph" w:styleId="Naslov">
    <w:name w:val="Title"/>
    <w:basedOn w:val="Normal"/>
    <w:next w:val="Normal"/>
    <w:link w:val="NaslovChar"/>
    <w:uiPriority w:val="10"/>
    <w:qFormat/>
    <w:rsid w:val="00410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10F3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10F3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10F3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10F31"/>
    <w:pPr>
      <w:spacing w:before="160"/>
      <w:jc w:val="center"/>
    </w:pPr>
    <w:rPr>
      <w:i/>
      <w:iCs/>
      <w:color w:val="404040" w:themeColor="text1" w:themeTint="BF"/>
    </w:rPr>
  </w:style>
  <w:style w:type="character" w:customStyle="1" w:styleId="CitatChar">
    <w:name w:val="Citat Char"/>
    <w:basedOn w:val="Zadanifontodlomka"/>
    <w:link w:val="Citat"/>
    <w:uiPriority w:val="29"/>
    <w:rsid w:val="00410F31"/>
    <w:rPr>
      <w:i/>
      <w:iCs/>
      <w:color w:val="404040" w:themeColor="text1" w:themeTint="BF"/>
    </w:rPr>
  </w:style>
  <w:style w:type="paragraph" w:styleId="Odlomakpopisa">
    <w:name w:val="List Paragraph"/>
    <w:basedOn w:val="Normal"/>
    <w:uiPriority w:val="34"/>
    <w:qFormat/>
    <w:rsid w:val="00410F31"/>
    <w:pPr>
      <w:ind w:left="720"/>
      <w:contextualSpacing/>
    </w:pPr>
  </w:style>
  <w:style w:type="character" w:styleId="Jakoisticanje">
    <w:name w:val="Intense Emphasis"/>
    <w:basedOn w:val="Zadanifontodlomka"/>
    <w:uiPriority w:val="21"/>
    <w:qFormat/>
    <w:rsid w:val="00410F31"/>
    <w:rPr>
      <w:i/>
      <w:iCs/>
      <w:color w:val="0F4761" w:themeColor="accent1" w:themeShade="BF"/>
    </w:rPr>
  </w:style>
  <w:style w:type="paragraph" w:styleId="Naglaencitat">
    <w:name w:val="Intense Quote"/>
    <w:basedOn w:val="Normal"/>
    <w:next w:val="Normal"/>
    <w:link w:val="NaglaencitatChar"/>
    <w:uiPriority w:val="30"/>
    <w:qFormat/>
    <w:rsid w:val="00410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10F31"/>
    <w:rPr>
      <w:i/>
      <w:iCs/>
      <w:color w:val="0F4761" w:themeColor="accent1" w:themeShade="BF"/>
    </w:rPr>
  </w:style>
  <w:style w:type="character" w:styleId="Istaknutareferenca">
    <w:name w:val="Intense Reference"/>
    <w:basedOn w:val="Zadanifontodlomka"/>
    <w:uiPriority w:val="32"/>
    <w:qFormat/>
    <w:rsid w:val="00410F31"/>
    <w:rPr>
      <w:b/>
      <w:bCs/>
      <w:smallCaps/>
      <w:color w:val="0F4761" w:themeColor="accent1" w:themeShade="BF"/>
      <w:spacing w:val="5"/>
    </w:rPr>
  </w:style>
  <w:style w:type="character" w:styleId="Naglaeno">
    <w:name w:val="Strong"/>
    <w:basedOn w:val="Zadanifontodlomka"/>
    <w:uiPriority w:val="22"/>
    <w:qFormat/>
    <w:rsid w:val="00410F31"/>
    <w:rPr>
      <w:b/>
      <w:bCs/>
    </w:rPr>
  </w:style>
  <w:style w:type="table" w:styleId="Reetkatablice">
    <w:name w:val="Table Grid"/>
    <w:basedOn w:val="Obinatablica"/>
    <w:uiPriority w:val="39"/>
    <w:rsid w:val="00410F31"/>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aliases w:val="single space,Texte de note de bas de page,Note de bas de page Car,ALTS FOOTNOTE,ADB,fn,ft,Footnote Text Char Char,FOOTNOTES,Fodnotetekst Tegn,Footnote Text1,footnote text Char,footnote text Char Char Char,Fußnotentextf,Footnote Text Char1"/>
    <w:basedOn w:val="Normal"/>
    <w:link w:val="TekstfusnoteChar"/>
    <w:uiPriority w:val="99"/>
    <w:unhideWhenUsed/>
    <w:qFormat/>
    <w:rsid w:val="00410F31"/>
    <w:pPr>
      <w:spacing w:after="0" w:line="240" w:lineRule="auto"/>
    </w:pPr>
    <w:rPr>
      <w:sz w:val="16"/>
      <w:szCs w:val="16"/>
      <w:lang w:val="en-US"/>
      <w14:ligatures w14:val="none"/>
    </w:rPr>
  </w:style>
  <w:style w:type="character" w:customStyle="1" w:styleId="TekstfusnoteChar">
    <w:name w:val="Tekst fusnote Char"/>
    <w:aliases w:val="single space Char,Texte de note de bas de page Char,Note de bas de page Car Char,ALTS FOOTNOTE Char,ADB Char,fn Char,ft Char,Footnote Text Char Char Char,FOOTNOTES Char,Fodnotetekst Tegn Char,Footnote Text1 Char,Fußnotentextf Char"/>
    <w:basedOn w:val="Zadanifontodlomka"/>
    <w:link w:val="Tekstfusnote"/>
    <w:uiPriority w:val="99"/>
    <w:qFormat/>
    <w:rsid w:val="00410F31"/>
    <w:rPr>
      <w:sz w:val="16"/>
      <w:szCs w:val="16"/>
      <w:lang w:val="en-US"/>
      <w14:ligatures w14:val="none"/>
    </w:rPr>
  </w:style>
  <w:style w:type="character" w:styleId="Referencafusnote">
    <w:name w:val="footnote reference"/>
    <w:aliases w:val="BVI fnr,BVI fnr Car Car,BVI fnr Char,BVI fnr Car Car Char,BVI fnr Car Char,BVI fnr Car Car Car Car Char,BVI fnr Car Car Car Car Char Char,4_,FNRefe Char Char,BVI fnr Char Char,BVI fnr Char Char Char,BVI fnr Car Car Char Char Char,ftre"/>
    <w:basedOn w:val="Zadanifontodlomka"/>
    <w:link w:val="Char2"/>
    <w:unhideWhenUsed/>
    <w:qFormat/>
    <w:rsid w:val="00410F31"/>
    <w:rPr>
      <w:vertAlign w:val="superscript"/>
    </w:rPr>
  </w:style>
  <w:style w:type="character" w:styleId="Hiperveza">
    <w:name w:val="Hyperlink"/>
    <w:basedOn w:val="Zadanifontodlomka"/>
    <w:uiPriority w:val="99"/>
    <w:unhideWhenUsed/>
    <w:rsid w:val="00410F31"/>
    <w:rPr>
      <w:color w:val="467886" w:themeColor="hyperlink"/>
      <w:u w:val="single"/>
    </w:rPr>
  </w:style>
  <w:style w:type="paragraph" w:customStyle="1" w:styleId="Char2">
    <w:name w:val="Char2"/>
    <w:basedOn w:val="Normal"/>
    <w:link w:val="Referencafusnote"/>
    <w:rsid w:val="00410F31"/>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mployment-social-affairs.ec.europa.eu/news/european-care-strategy-caregivers-and-care-receivers-2022-09-07_en" TargetMode="External"/><Relationship Id="rId13" Type="http://schemas.openxmlformats.org/officeDocument/2006/relationships/hyperlink" Target="https://health.ec.europa.eu/ehealth-digital-health-and-care/european-health-data-space_en" TargetMode="External"/><Relationship Id="rId18" Type="http://schemas.openxmlformats.org/officeDocument/2006/relationships/hyperlink" Target="https://commission.europa.eu/system/files/2021-01/eu_roma_strategic_framework_for_equality_inclusion_and_participation_for_2020_-_2030_0.pdf" TargetMode="External"/><Relationship Id="rId26" Type="http://schemas.openxmlformats.org/officeDocument/2006/relationships/hyperlink" Target="https://www.socsav.me/tripartitni-dijalog/" TargetMode="External"/><Relationship Id="rId3" Type="http://schemas.openxmlformats.org/officeDocument/2006/relationships/hyperlink" Target="https://eur-lex.europa.eu/legal-content/EN/TXT/?uri=uriserv:OJ.C_.2020.372.01.0001.01.ENG" TargetMode="External"/><Relationship Id="rId21" Type="http://schemas.openxmlformats.org/officeDocument/2006/relationships/hyperlink" Target="https://www.gov.me/ms/garancija-za-mlade-zzzgrabi-sansu" TargetMode="External"/><Relationship Id="rId7" Type="http://schemas.openxmlformats.org/officeDocument/2006/relationships/hyperlink" Target="https://commission.europa.eu/strategy-and-policy/policies/justice-and-fundamental-rights/gender-equality/gender-equality-strategy_en" TargetMode="External"/><Relationship Id="rId12" Type="http://schemas.openxmlformats.org/officeDocument/2006/relationships/hyperlink" Target="https://eur-lex.europa.eu/eli/reg/2022/2371/oj/eng" TargetMode="External"/><Relationship Id="rId17" Type="http://schemas.openxmlformats.org/officeDocument/2006/relationships/hyperlink" Target="https://commission.europa.eu/strategy-and-policy/policies/justice-and-fundamental-rights/disability/union-equality-strategy-rights-persons-disabilities-2021-2030_en" TargetMode="External"/><Relationship Id="rId25" Type="http://schemas.openxmlformats.org/officeDocument/2006/relationships/hyperlink" Target="https://www.gov.me/uip" TargetMode="External"/><Relationship Id="rId2" Type="http://schemas.openxmlformats.org/officeDocument/2006/relationships/hyperlink" Target="https://ec.europa.eu/social/main.jsp?catId=1606&amp;langId=en" TargetMode="External"/><Relationship Id="rId16" Type="http://schemas.openxmlformats.org/officeDocument/2006/relationships/hyperlink" Target="https://eur-lex.europa.eu/eli/dir/2019/882/oj" TargetMode="External"/><Relationship Id="rId20" Type="http://schemas.openxmlformats.org/officeDocument/2006/relationships/hyperlink" Target="https://www.zzzcg.me/wp-content/uploads/2025/08/predlog-nacionalne-strategije-zaposljavanja-2021-2025-s-predlogom-akcionog-plana-zaposljavanja-za-2021-godinu.pdf" TargetMode="External"/><Relationship Id="rId29" Type="http://schemas.openxmlformats.org/officeDocument/2006/relationships/hyperlink" Target="https://data.gov.me/en/" TargetMode="External"/><Relationship Id="rId1" Type="http://schemas.openxmlformats.org/officeDocument/2006/relationships/hyperlink" Target="https://eur-lex.europa.eu/legal-content/EN/TXT/?uri=CELEX%3A52025PC0545" TargetMode="External"/><Relationship Id="rId6" Type="http://schemas.openxmlformats.org/officeDocument/2006/relationships/hyperlink" Target="https://eur-lex.europa.eu/eli/dir/2019/1158/oj" TargetMode="External"/><Relationship Id="rId11" Type="http://schemas.openxmlformats.org/officeDocument/2006/relationships/hyperlink" Target="https://commission.europa.eu/topics/public-health/european-health-union_en" TargetMode="External"/><Relationship Id="rId24" Type="http://schemas.openxmlformats.org/officeDocument/2006/relationships/hyperlink" Target="https://www.gov.me/en/labour-fund" TargetMode="External"/><Relationship Id="rId32" Type="http://schemas.openxmlformats.org/officeDocument/2006/relationships/hyperlink" Target="https://enlargement.ec.europa.eu/montenegro-report-2025_en" TargetMode="External"/><Relationship Id="rId5" Type="http://schemas.openxmlformats.org/officeDocument/2006/relationships/hyperlink" Target="https://eur-lex.europa.eu/eli/dir/2022/2041/oj" TargetMode="External"/><Relationship Id="rId15" Type="http://schemas.openxmlformats.org/officeDocument/2006/relationships/hyperlink" Target="https://eur-lex.europa.eu/legal-content/EN/TXT/?uri=CELEX%3A32019H1115%2801%29" TargetMode="External"/><Relationship Id="rId23" Type="http://schemas.openxmlformats.org/officeDocument/2006/relationships/hyperlink" Target="https://www.gov.me/dokumenta/cc23d020-f8b5-452e-ac91-b8b565fe2982" TargetMode="External"/><Relationship Id="rId28" Type="http://schemas.openxmlformats.org/officeDocument/2006/relationships/hyperlink" Target="https://montenegro.un.org/sites/default/files/2026-04/UN%20Montenegro%20Annual%20Results%20Report%20-%202025.pdf" TargetMode="External"/><Relationship Id="rId10" Type="http://schemas.openxmlformats.org/officeDocument/2006/relationships/hyperlink" Target="https://health.ec.europa.eu/funding/eu4health-programme-2021-2027-vision-healthier-european-union_en" TargetMode="External"/><Relationship Id="rId19" Type="http://schemas.openxmlformats.org/officeDocument/2006/relationships/hyperlink" Target="https://www.esap.online/" TargetMode="External"/><Relationship Id="rId31" Type="http://schemas.openxmlformats.org/officeDocument/2006/relationships/hyperlink" Target="https://coebank.org/en/news-and-publications/news/ceb-approves-83-million-euros-loan-to-strengthen-montenegro-healthcare-system/" TargetMode="External"/><Relationship Id="rId4" Type="http://schemas.openxmlformats.org/officeDocument/2006/relationships/hyperlink" Target="https://eur-lex.europa.eu/legal-content/EN/TXT/?uri=CELEX%3A32021H1004" TargetMode="External"/><Relationship Id="rId9" Type="http://schemas.openxmlformats.org/officeDocument/2006/relationships/hyperlink" Target="https://eur-lex.europa.eu/eli/reg/2021/1057/oj" TargetMode="External"/><Relationship Id="rId14" Type="http://schemas.openxmlformats.org/officeDocument/2006/relationships/hyperlink" Target="https://eur-lex.europa.eu/legal-content/EN/TXT/?uri=oj:JOC_2023_041_R_0001" TargetMode="External"/><Relationship Id="rId22" Type="http://schemas.openxmlformats.org/officeDocument/2006/relationships/hyperlink" Target="https://www.gov.me/dokumenta/ea17e3d8-968e-435f-8707-c0d98aa65fc9" TargetMode="External"/><Relationship Id="rId27" Type="http://schemas.openxmlformats.org/officeDocument/2006/relationships/hyperlink" Target="https://reform-monitor.org/wp-content/uploads/2025/05/Reform-agenda-Montenegro_.pdf" TargetMode="External"/><Relationship Id="rId30" Type="http://schemas.openxmlformats.org/officeDocument/2006/relationships/hyperlink" Target="https://data.gov.me/en/group/rad-i-socijalno-staran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03313-997B-410D-AC2C-BA023EE0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6881</Words>
  <Characters>39228</Characters>
  <Application>Microsoft Office Word</Application>
  <DocSecurity>0</DocSecurity>
  <Lines>326</Lines>
  <Paragraphs>92</Paragraphs>
  <ScaleCrop>false</ScaleCrop>
  <Company/>
  <LinksUpToDate>false</LinksUpToDate>
  <CharactersWithSpaces>46017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1</cp:revision>
  <dcterms:created xsi:type="dcterms:W3CDTF">2026-04-29T04:28:00Z</dcterms:created>
  <dcterms:modified xsi:type="dcterms:W3CDTF">2026-04-29T04:34:00Z</dcterms:modified>
</cp:coreProperties>
</file>