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11364" w14:textId="22D142B9" w:rsidR="005128AE" w:rsidRDefault="005128AE" w:rsidP="005128AE">
      <w:pPr>
        <w:pStyle w:val="Naslov"/>
        <w:rPr>
          <w:lang w:val="sr-Latn-ME"/>
        </w:rPr>
      </w:pPr>
      <w:r>
        <w:rPr>
          <w:lang w:val="sr-Latn-ME"/>
        </w:rPr>
        <w:t>Prioritetna oblast 11 – Migracije i granice</w:t>
      </w:r>
    </w:p>
    <w:p w14:paraId="1D11A4D1" w14:textId="77777777" w:rsidR="005128AE" w:rsidRDefault="005128AE" w:rsidP="005128AE">
      <w:pPr>
        <w:pStyle w:val="Podnaslov"/>
        <w:rPr>
          <w:lang w:val="sr-Latn-ME"/>
        </w:rPr>
      </w:pPr>
      <w:r w:rsidRPr="00F579F5">
        <w:rPr>
          <w:lang w:val="sr-Latn-ME"/>
        </w:rPr>
        <w:t>Priprema Strateškog planskog dokumenta Crne Gore za potrebe korišćenja EU fondova</w:t>
      </w:r>
    </w:p>
    <w:p w14:paraId="48ECB653" w14:textId="77777777" w:rsidR="005128AE" w:rsidRPr="00F579F5" w:rsidRDefault="005128AE" w:rsidP="005128AE">
      <w:pPr>
        <w:pStyle w:val="Naslov1"/>
        <w:rPr>
          <w:lang w:val="sr-Latn-ME"/>
        </w:rPr>
      </w:pPr>
      <w:r w:rsidRPr="0BB45BEF">
        <w:rPr>
          <w:lang w:val="sr-Latn-ME"/>
        </w:rPr>
        <w:t>Uvod i važnost</w:t>
      </w:r>
    </w:p>
    <w:p w14:paraId="3C1B642C" w14:textId="77777777" w:rsidR="005128AE" w:rsidRDefault="005128AE" w:rsidP="005128AE">
      <w:pPr>
        <w:rPr>
          <w:lang w:val="sr-Latn-ME"/>
        </w:rPr>
      </w:pPr>
      <w:r w:rsidRPr="0BB45BEF">
        <w:rPr>
          <w:lang w:val="sr-Latn-ME"/>
        </w:rPr>
        <w:t>Situaciona analiza predstavlja analitičku osnovu za pripremu Strateškog planskog dokumenta Crne Gore za potrebe korišćenja fondova Evropske unije u okviru budućeg Nacionalnog i regionalnog partnerskog plana. Njena svrha je da, na sistematičan i na dokazima zasnovan način, identifikuje glavne razvojne izazove, potrebe, ciljne grupe, razvojne nejednakosti i investiciona uska grla u okviru predmetne oblasti politike, uzimajući u obzir ekonomske, socijalne, teritorijalne i, gdje je relevantno, ekološke dimenzije razvoja.</w:t>
      </w:r>
    </w:p>
    <w:p w14:paraId="01DEB38C" w14:textId="77777777" w:rsidR="005128AE" w:rsidRDefault="005128AE" w:rsidP="005128AE">
      <w:pPr>
        <w:rPr>
          <w:rFonts w:ascii="Aptos" w:eastAsia="Aptos" w:hAnsi="Aptos" w:cs="Aptos"/>
          <w:color w:val="000000" w:themeColor="text1"/>
          <w:lang w:val="sr-Latn-ME"/>
        </w:rPr>
      </w:pPr>
      <w:r w:rsidRPr="0BB45BEF">
        <w:rPr>
          <w:rFonts w:ascii="Aptos" w:eastAsia="Aptos" w:hAnsi="Aptos" w:cs="Aptos"/>
          <w:color w:val="000000" w:themeColor="text1"/>
          <w:lang w:val="sr-Latn-ME"/>
        </w:rPr>
        <w:t>Značaj situacione analize dodatno proizlazi iz činjenice da je Strateški planski dokument prepoznat od strane Evropske komisije kao jedan od ključnih elemenata za ispunjenje mjerila za zatvaranje Poglavlja 22 – Regionalna politika i koordinacija strukturnih instrumenata, konkretno mjerila 2. Evropska komisija očekuje dostavljanje sveobuhvatnog, sažetog i kvalitetnog nacrta strateškog planskog dokumenta, koji u kontekstu finansijske perspektive 2021–2027 odgovara logici „</w:t>
      </w:r>
      <w:proofErr w:type="spellStart"/>
      <w:r w:rsidRPr="0BB45BEF">
        <w:rPr>
          <w:rFonts w:ascii="Aptos" w:eastAsia="Aptos" w:hAnsi="Aptos" w:cs="Aptos"/>
          <w:color w:val="000000" w:themeColor="text1"/>
          <w:lang w:val="sr-Latn-ME"/>
        </w:rPr>
        <w:t>Partnership</w:t>
      </w:r>
      <w:proofErr w:type="spellEnd"/>
      <w:r w:rsidRPr="0BB45BEF">
        <w:rPr>
          <w:rFonts w:ascii="Aptos" w:eastAsia="Aptos" w:hAnsi="Aptos" w:cs="Aptos"/>
          <w:color w:val="000000" w:themeColor="text1"/>
          <w:lang w:val="sr-Latn-ME"/>
        </w:rPr>
        <w:t xml:space="preserve"> </w:t>
      </w:r>
      <w:proofErr w:type="spellStart"/>
      <w:r w:rsidRPr="0BB45BEF">
        <w:rPr>
          <w:rFonts w:ascii="Aptos" w:eastAsia="Aptos" w:hAnsi="Aptos" w:cs="Aptos"/>
          <w:color w:val="000000" w:themeColor="text1"/>
          <w:lang w:val="sr-Latn-ME"/>
        </w:rPr>
        <w:t>Agreement</w:t>
      </w:r>
      <w:proofErr w:type="spellEnd"/>
      <w:r w:rsidRPr="0BB45BEF">
        <w:rPr>
          <w:rFonts w:ascii="Aptos" w:eastAsia="Aptos" w:hAnsi="Aptos" w:cs="Aptos"/>
          <w:color w:val="000000" w:themeColor="text1"/>
          <w:lang w:val="sr-Latn-ME"/>
        </w:rPr>
        <w:t xml:space="preserve">“, a koji treba da obuhvati stratešku analizu, uključujući izazove, potrebe i ciljne grupe, odabrane prioritete i ciljeve, glavne očekivane rezultate, planirane tematske cjeline i izvore finansiranja, mehanizme za </w:t>
      </w:r>
      <w:proofErr w:type="spellStart"/>
      <w:r w:rsidRPr="0BB45BEF">
        <w:rPr>
          <w:rFonts w:ascii="Aptos" w:eastAsia="Aptos" w:hAnsi="Aptos" w:cs="Aptos"/>
          <w:color w:val="000000" w:themeColor="text1"/>
          <w:lang w:val="sr-Latn-ME"/>
        </w:rPr>
        <w:t>obezbjeđivanje</w:t>
      </w:r>
      <w:proofErr w:type="spellEnd"/>
      <w:r w:rsidRPr="0BB45BEF">
        <w:rPr>
          <w:rFonts w:ascii="Aptos" w:eastAsia="Aptos" w:hAnsi="Aptos" w:cs="Aptos"/>
          <w:color w:val="000000" w:themeColor="text1"/>
          <w:lang w:val="sr-Latn-ME"/>
        </w:rPr>
        <w:t xml:space="preserve"> usklađenosti sa relevantnim prioritetima i strategijama Evropske unije, kao i okvir upravljanja u skladu sa Evropskim kodeksom ponašanja o partnerstvu.</w:t>
      </w:r>
    </w:p>
    <w:p w14:paraId="579AA0E1" w14:textId="77777777" w:rsidR="005128AE" w:rsidRDefault="005128AE" w:rsidP="005128AE">
      <w:pPr>
        <w:rPr>
          <w:rFonts w:ascii="Aptos" w:eastAsia="Aptos" w:hAnsi="Aptos" w:cs="Aptos"/>
          <w:color w:val="000000" w:themeColor="text1"/>
          <w:lang w:val="sr-Latn-ME"/>
        </w:rPr>
      </w:pPr>
      <w:r w:rsidRPr="0BB45BEF">
        <w:rPr>
          <w:rFonts w:ascii="Aptos" w:eastAsia="Aptos" w:hAnsi="Aptos" w:cs="Aptos"/>
          <w:color w:val="000000" w:themeColor="text1"/>
          <w:lang w:val="sr-Latn-ME"/>
        </w:rPr>
        <w:t xml:space="preserve">U tom smislu, situaciona analiza ne služi samo kao opis postojećeg stanja, već kao polazna tačka za definisanje prioritetnih pravaca djelovanja, očekivanih rezultata i budućih reformskih i investicionih intervencija. U skladu sa metodološkim pristupom za izradu Strateškog planskog dokumenta, razvojni izazovi se posmatraju kao problemi koji zahtijevaju </w:t>
      </w:r>
      <w:proofErr w:type="spellStart"/>
      <w:r w:rsidRPr="0BB45BEF">
        <w:rPr>
          <w:rFonts w:ascii="Aptos" w:eastAsia="Aptos" w:hAnsi="Aptos" w:cs="Aptos"/>
          <w:color w:val="000000" w:themeColor="text1"/>
          <w:lang w:val="sr-Latn-ME"/>
        </w:rPr>
        <w:t>javnopolitički</w:t>
      </w:r>
      <w:proofErr w:type="spellEnd"/>
      <w:r w:rsidRPr="0BB45BEF">
        <w:rPr>
          <w:rFonts w:ascii="Aptos" w:eastAsia="Aptos" w:hAnsi="Aptos" w:cs="Aptos"/>
          <w:color w:val="000000" w:themeColor="text1"/>
          <w:lang w:val="sr-Latn-ME"/>
        </w:rPr>
        <w:t xml:space="preserve"> odgovor, a ne kao unaprijed definisane mjere ili rješenja. Zbog toga analiza mora da poveže raspoložive statističke i administrativne podatke, nalaze nacionalnih strateških dokumenata, relevantne međunarodne i EU izvore, kao i uvide ključnih institucija i partnera.</w:t>
      </w:r>
    </w:p>
    <w:p w14:paraId="621AB938" w14:textId="77777777" w:rsidR="005128AE" w:rsidRDefault="005128AE" w:rsidP="005128AE">
      <w:pPr>
        <w:rPr>
          <w:rFonts w:ascii="Aptos" w:eastAsia="Aptos" w:hAnsi="Aptos" w:cs="Aptos"/>
          <w:color w:val="000000" w:themeColor="text1"/>
          <w:lang w:val="sr-Latn-ME"/>
        </w:rPr>
      </w:pPr>
      <w:r w:rsidRPr="0BB45BEF">
        <w:rPr>
          <w:rFonts w:ascii="Aptos" w:eastAsia="Aptos" w:hAnsi="Aptos" w:cs="Aptos"/>
          <w:color w:val="000000" w:themeColor="text1"/>
          <w:lang w:val="sr-Latn-ME"/>
        </w:rPr>
        <w:t xml:space="preserve">Situaciona analiza istovremeno ima i važnu funkciju u </w:t>
      </w:r>
      <w:proofErr w:type="spellStart"/>
      <w:r w:rsidRPr="0BB45BEF">
        <w:rPr>
          <w:rFonts w:ascii="Aptos" w:eastAsia="Aptos" w:hAnsi="Aptos" w:cs="Aptos"/>
          <w:color w:val="000000" w:themeColor="text1"/>
          <w:lang w:val="sr-Latn-ME"/>
        </w:rPr>
        <w:t>obezbjeđivanju</w:t>
      </w:r>
      <w:proofErr w:type="spellEnd"/>
      <w:r w:rsidRPr="0BB45BEF">
        <w:rPr>
          <w:rFonts w:ascii="Aptos" w:eastAsia="Aptos" w:hAnsi="Aptos" w:cs="Aptos"/>
          <w:color w:val="000000" w:themeColor="text1"/>
          <w:lang w:val="sr-Latn-ME"/>
        </w:rPr>
        <w:t xml:space="preserve"> usklađenosti budućeg strateškog dokumenta sa prioritetima Evropske unije, pravnom tekovinom EU i programskim okvirom za period nakon 2027. godine. Kroz </w:t>
      </w:r>
      <w:proofErr w:type="spellStart"/>
      <w:r w:rsidRPr="0BB45BEF">
        <w:rPr>
          <w:rFonts w:ascii="Aptos" w:eastAsia="Aptos" w:hAnsi="Aptos" w:cs="Aptos"/>
          <w:color w:val="000000" w:themeColor="text1"/>
          <w:lang w:val="sr-Latn-ME"/>
        </w:rPr>
        <w:t>pregled</w:t>
      </w:r>
      <w:proofErr w:type="spellEnd"/>
      <w:r w:rsidRPr="0BB45BEF">
        <w:rPr>
          <w:rFonts w:ascii="Aptos" w:eastAsia="Aptos" w:hAnsi="Aptos" w:cs="Aptos"/>
          <w:color w:val="000000" w:themeColor="text1"/>
          <w:lang w:val="sr-Latn-ME"/>
        </w:rPr>
        <w:t xml:space="preserve"> međunarodnog i nacionalnog strateškog i pravnog okvira, planiranih reformi i ključnih pokazatelja, analiza omogućava da se predmetna oblast politike sagleda u širem razvojnom i pristupnom kontekstu, uključujući doprinos pametnom, održivom i </w:t>
      </w:r>
      <w:proofErr w:type="spellStart"/>
      <w:r w:rsidRPr="0BB45BEF">
        <w:rPr>
          <w:rFonts w:ascii="Aptos" w:eastAsia="Aptos" w:hAnsi="Aptos" w:cs="Aptos"/>
          <w:color w:val="000000" w:themeColor="text1"/>
          <w:lang w:val="sr-Latn-ME"/>
        </w:rPr>
        <w:t>inkluzivnom</w:t>
      </w:r>
      <w:proofErr w:type="spellEnd"/>
      <w:r w:rsidRPr="0BB45BEF">
        <w:rPr>
          <w:rFonts w:ascii="Aptos" w:eastAsia="Aptos" w:hAnsi="Aptos" w:cs="Aptos"/>
          <w:color w:val="000000" w:themeColor="text1"/>
          <w:lang w:val="sr-Latn-ME"/>
        </w:rPr>
        <w:t xml:space="preserve"> rastu, ekonomskoj, socijalnoj i teritorijalnoj koheziji, kao i smanjenju razvojnih dispariteta.</w:t>
      </w:r>
    </w:p>
    <w:p w14:paraId="36409640" w14:textId="77777777" w:rsidR="005128AE" w:rsidRDefault="005128AE" w:rsidP="005128AE">
      <w:pPr>
        <w:rPr>
          <w:rFonts w:ascii="Aptos" w:eastAsia="Aptos" w:hAnsi="Aptos" w:cs="Aptos"/>
          <w:color w:val="000000" w:themeColor="text1"/>
          <w:lang w:val="sr-Latn-ME"/>
        </w:rPr>
      </w:pPr>
      <w:r w:rsidRPr="0BB45BEF">
        <w:rPr>
          <w:rFonts w:ascii="Aptos" w:eastAsia="Aptos" w:hAnsi="Aptos" w:cs="Aptos"/>
          <w:color w:val="000000" w:themeColor="text1"/>
          <w:lang w:val="sr-Latn-ME"/>
        </w:rPr>
        <w:t xml:space="preserve">Pored toga, situaciona analiza je važan alat za strukturiranje dijaloga unutar radnih grupa i sa širim krugom partnera. Njome se obezbjeđuje zajednička analitička osnova za SWOT razmatranje, </w:t>
      </w:r>
      <w:proofErr w:type="spellStart"/>
      <w:r w:rsidRPr="0BB45BEF">
        <w:rPr>
          <w:rFonts w:ascii="Aptos" w:eastAsia="Aptos" w:hAnsi="Aptos" w:cs="Aptos"/>
          <w:color w:val="000000" w:themeColor="text1"/>
          <w:lang w:val="sr-Latn-ME"/>
        </w:rPr>
        <w:t>validaciju</w:t>
      </w:r>
      <w:proofErr w:type="spellEnd"/>
      <w:r w:rsidRPr="0BB45BEF">
        <w:rPr>
          <w:rFonts w:ascii="Aptos" w:eastAsia="Aptos" w:hAnsi="Aptos" w:cs="Aptos"/>
          <w:color w:val="000000" w:themeColor="text1"/>
          <w:lang w:val="sr-Latn-ME"/>
        </w:rPr>
        <w:t xml:space="preserve"> nalaza i identifikaciju dugog spiska razvojnih izazova, koji će u narednim koracima biti </w:t>
      </w:r>
      <w:proofErr w:type="spellStart"/>
      <w:r w:rsidRPr="0BB45BEF">
        <w:rPr>
          <w:rFonts w:ascii="Aptos" w:eastAsia="Aptos" w:hAnsi="Aptos" w:cs="Aptos"/>
          <w:color w:val="000000" w:themeColor="text1"/>
          <w:lang w:val="sr-Latn-ME"/>
        </w:rPr>
        <w:t>prioritizovani</w:t>
      </w:r>
      <w:proofErr w:type="spellEnd"/>
      <w:r w:rsidRPr="0BB45BEF">
        <w:rPr>
          <w:rFonts w:ascii="Aptos" w:eastAsia="Aptos" w:hAnsi="Aptos" w:cs="Aptos"/>
          <w:color w:val="000000" w:themeColor="text1"/>
          <w:lang w:val="sr-Latn-ME"/>
        </w:rPr>
        <w:t xml:space="preserve">. Na taj način, situaciona analiza doprinosi transparentnom, </w:t>
      </w:r>
      <w:proofErr w:type="spellStart"/>
      <w:r w:rsidRPr="0BB45BEF">
        <w:rPr>
          <w:rFonts w:ascii="Aptos" w:eastAsia="Aptos" w:hAnsi="Aptos" w:cs="Aptos"/>
          <w:color w:val="000000" w:themeColor="text1"/>
          <w:lang w:val="sr-Latn-ME"/>
        </w:rPr>
        <w:lastRenderedPageBreak/>
        <w:t>participativnom</w:t>
      </w:r>
      <w:proofErr w:type="spellEnd"/>
      <w:r w:rsidRPr="0BB45BEF">
        <w:rPr>
          <w:rFonts w:ascii="Aptos" w:eastAsia="Aptos" w:hAnsi="Aptos" w:cs="Aptos"/>
          <w:color w:val="000000" w:themeColor="text1"/>
          <w:lang w:val="sr-Latn-ME"/>
        </w:rPr>
        <w:t xml:space="preserve"> i metodološki utemeljenom procesu planiranja, u skladu sa principom partnerstva i </w:t>
      </w:r>
      <w:proofErr w:type="spellStart"/>
      <w:r w:rsidRPr="0BB45BEF">
        <w:rPr>
          <w:rFonts w:ascii="Aptos" w:eastAsia="Aptos" w:hAnsi="Aptos" w:cs="Aptos"/>
          <w:color w:val="000000" w:themeColor="text1"/>
          <w:lang w:val="sr-Latn-ME"/>
        </w:rPr>
        <w:t>višerazinskog</w:t>
      </w:r>
      <w:proofErr w:type="spellEnd"/>
      <w:r w:rsidRPr="0BB45BEF">
        <w:rPr>
          <w:rFonts w:ascii="Aptos" w:eastAsia="Aptos" w:hAnsi="Aptos" w:cs="Aptos"/>
          <w:color w:val="000000" w:themeColor="text1"/>
          <w:lang w:val="sr-Latn-ME"/>
        </w:rPr>
        <w:t xml:space="preserve"> upravljanja.</w:t>
      </w:r>
    </w:p>
    <w:p w14:paraId="4ADB56DF" w14:textId="37651809" w:rsidR="005128AE" w:rsidRPr="00471CDF" w:rsidRDefault="005128AE" w:rsidP="005128AE">
      <w:pPr>
        <w:pStyle w:val="Naslov1"/>
        <w:rPr>
          <w:rFonts w:eastAsia="Times New Roman"/>
          <w:lang w:val="sr-Latn-ME"/>
        </w:rPr>
      </w:pPr>
      <w:r w:rsidRPr="00B80BEF">
        <w:rPr>
          <w:rFonts w:eastAsia="Times New Roman"/>
          <w:lang w:val="sr-Latn-ME"/>
        </w:rPr>
        <w:t xml:space="preserve">Opis prioritetnih oblasti </w:t>
      </w:r>
    </w:p>
    <w:tbl>
      <w:tblPr>
        <w:tblStyle w:val="Reetkatablice"/>
        <w:tblW w:w="0" w:type="auto"/>
        <w:tblLook w:val="04A0" w:firstRow="1" w:lastRow="0" w:firstColumn="1" w:lastColumn="0" w:noHBand="0" w:noVBand="1"/>
      </w:tblPr>
      <w:tblGrid>
        <w:gridCol w:w="1336"/>
        <w:gridCol w:w="2013"/>
        <w:gridCol w:w="1146"/>
        <w:gridCol w:w="4567"/>
      </w:tblGrid>
      <w:tr w:rsidR="005128AE" w:rsidRPr="00471CDF" w14:paraId="42567B72" w14:textId="77777777" w:rsidTr="00FC410A">
        <w:trPr>
          <w:trHeight w:val="20"/>
        </w:trPr>
        <w:tc>
          <w:tcPr>
            <w:tcW w:w="1345" w:type="dxa"/>
            <w:shd w:val="clear" w:color="auto" w:fill="83CAEB" w:themeFill="accent1" w:themeFillTint="66"/>
            <w:vAlign w:val="center"/>
          </w:tcPr>
          <w:p w14:paraId="5BA08745" w14:textId="77777777" w:rsidR="005128AE" w:rsidRPr="001B392E" w:rsidRDefault="005128AE" w:rsidP="00FC410A">
            <w:pPr>
              <w:jc w:val="center"/>
              <w:rPr>
                <w:b/>
                <w:bCs/>
                <w:sz w:val="20"/>
                <w:lang w:val="sr-Latn-ME"/>
              </w:rPr>
            </w:pPr>
            <w:r w:rsidRPr="001B392E">
              <w:rPr>
                <w:b/>
                <w:bCs/>
                <w:sz w:val="20"/>
                <w:lang w:val="sr-Latn-ME"/>
              </w:rPr>
              <w:t>Kod  Prioritetna oblast (PA) nivo 1</w:t>
            </w:r>
          </w:p>
        </w:tc>
        <w:tc>
          <w:tcPr>
            <w:tcW w:w="2070" w:type="dxa"/>
            <w:shd w:val="clear" w:color="auto" w:fill="83CAEB" w:themeFill="accent1" w:themeFillTint="66"/>
            <w:vAlign w:val="center"/>
          </w:tcPr>
          <w:p w14:paraId="38724F3D" w14:textId="77777777" w:rsidR="005128AE" w:rsidRPr="001B392E" w:rsidRDefault="005128AE" w:rsidP="00FC410A">
            <w:pPr>
              <w:jc w:val="center"/>
              <w:rPr>
                <w:b/>
                <w:bCs/>
                <w:sz w:val="20"/>
                <w:lang w:val="sr-Latn-ME"/>
              </w:rPr>
            </w:pPr>
            <w:r w:rsidRPr="001B392E">
              <w:rPr>
                <w:b/>
                <w:bCs/>
                <w:sz w:val="20"/>
                <w:lang w:val="sr-Latn-ME"/>
              </w:rPr>
              <w:t>Naziv PA nivo 1</w:t>
            </w:r>
          </w:p>
        </w:tc>
        <w:tc>
          <w:tcPr>
            <w:tcW w:w="1170" w:type="dxa"/>
            <w:shd w:val="clear" w:color="auto" w:fill="83CAEB" w:themeFill="accent1" w:themeFillTint="66"/>
            <w:vAlign w:val="center"/>
          </w:tcPr>
          <w:p w14:paraId="1456A397" w14:textId="77777777" w:rsidR="005128AE" w:rsidRPr="001B392E" w:rsidRDefault="005128AE" w:rsidP="00FC410A">
            <w:pPr>
              <w:jc w:val="center"/>
              <w:rPr>
                <w:b/>
                <w:bCs/>
                <w:sz w:val="20"/>
                <w:lang w:val="sr-Latn-ME"/>
              </w:rPr>
            </w:pPr>
            <w:r w:rsidRPr="001B392E">
              <w:rPr>
                <w:b/>
                <w:bCs/>
                <w:sz w:val="20"/>
                <w:lang w:val="sr-Latn-ME"/>
              </w:rPr>
              <w:t>Kod PA nivo 2</w:t>
            </w:r>
          </w:p>
        </w:tc>
        <w:tc>
          <w:tcPr>
            <w:tcW w:w="4765" w:type="dxa"/>
            <w:shd w:val="clear" w:color="auto" w:fill="83CAEB" w:themeFill="accent1" w:themeFillTint="66"/>
            <w:vAlign w:val="center"/>
          </w:tcPr>
          <w:p w14:paraId="5ACE95D2" w14:textId="77777777" w:rsidR="005128AE" w:rsidRPr="001B392E" w:rsidRDefault="005128AE" w:rsidP="00FC410A">
            <w:pPr>
              <w:jc w:val="center"/>
              <w:rPr>
                <w:b/>
                <w:bCs/>
                <w:sz w:val="20"/>
                <w:lang w:val="sr-Latn-ME"/>
              </w:rPr>
            </w:pPr>
            <w:r w:rsidRPr="001B392E">
              <w:rPr>
                <w:b/>
                <w:bCs/>
                <w:sz w:val="20"/>
                <w:lang w:val="sr-Latn-ME"/>
              </w:rPr>
              <w:t>Naziv PA nivo 2</w:t>
            </w:r>
          </w:p>
        </w:tc>
      </w:tr>
      <w:tr w:rsidR="005128AE" w:rsidRPr="00471CDF" w14:paraId="49B5C92C" w14:textId="77777777" w:rsidTr="00FC410A">
        <w:trPr>
          <w:trHeight w:val="20"/>
        </w:trPr>
        <w:tc>
          <w:tcPr>
            <w:tcW w:w="1345" w:type="dxa"/>
            <w:vMerge w:val="restart"/>
            <w:vAlign w:val="center"/>
          </w:tcPr>
          <w:p w14:paraId="0ACA9C4F" w14:textId="77777777" w:rsidR="005128AE" w:rsidRPr="001B392E" w:rsidRDefault="005128AE" w:rsidP="00FC410A">
            <w:pPr>
              <w:jc w:val="center"/>
              <w:rPr>
                <w:lang w:val="sr-Latn-BA"/>
              </w:rPr>
            </w:pPr>
            <w:r w:rsidRPr="001B392E">
              <w:rPr>
                <w:lang w:val="sr-Latn-BA"/>
              </w:rPr>
              <w:t>11</w:t>
            </w:r>
          </w:p>
        </w:tc>
        <w:tc>
          <w:tcPr>
            <w:tcW w:w="2070" w:type="dxa"/>
            <w:vMerge w:val="restart"/>
            <w:vAlign w:val="center"/>
          </w:tcPr>
          <w:p w14:paraId="19DB38A6" w14:textId="77777777" w:rsidR="005128AE" w:rsidRPr="001B392E" w:rsidRDefault="005128AE" w:rsidP="00FC410A">
            <w:pPr>
              <w:jc w:val="center"/>
              <w:rPr>
                <w:lang w:val="sr-Latn-BA"/>
              </w:rPr>
            </w:pPr>
            <w:r w:rsidRPr="001B392E">
              <w:rPr>
                <w:lang w:val="sr-Latn-BA"/>
              </w:rPr>
              <w:t>Migracije i granice</w:t>
            </w:r>
          </w:p>
        </w:tc>
        <w:tc>
          <w:tcPr>
            <w:tcW w:w="1170" w:type="dxa"/>
            <w:vAlign w:val="center"/>
          </w:tcPr>
          <w:p w14:paraId="0A1909C1" w14:textId="77777777" w:rsidR="005128AE" w:rsidRPr="001B392E" w:rsidRDefault="005128AE" w:rsidP="00FC410A">
            <w:pPr>
              <w:jc w:val="center"/>
              <w:rPr>
                <w:lang w:val="sr-Latn-BA"/>
              </w:rPr>
            </w:pPr>
            <w:r w:rsidRPr="001B392E">
              <w:rPr>
                <w:lang w:val="sr-Latn-BA"/>
              </w:rPr>
              <w:t>11.48</w:t>
            </w:r>
          </w:p>
        </w:tc>
        <w:tc>
          <w:tcPr>
            <w:tcW w:w="4765" w:type="dxa"/>
            <w:vAlign w:val="center"/>
          </w:tcPr>
          <w:p w14:paraId="7D97F598" w14:textId="77777777" w:rsidR="005128AE" w:rsidRPr="001B392E" w:rsidRDefault="005128AE" w:rsidP="00FC410A">
            <w:pPr>
              <w:rPr>
                <w:lang w:val="sr-Latn-BA"/>
              </w:rPr>
            </w:pPr>
            <w:r w:rsidRPr="001B392E">
              <w:rPr>
                <w:lang w:val="sr-Latn-BA"/>
              </w:rPr>
              <w:t>Upravljanje granicama i vize</w:t>
            </w:r>
          </w:p>
        </w:tc>
      </w:tr>
      <w:tr w:rsidR="005128AE" w:rsidRPr="00471CDF" w14:paraId="19DD456D" w14:textId="77777777" w:rsidTr="00FC410A">
        <w:trPr>
          <w:trHeight w:val="20"/>
        </w:trPr>
        <w:tc>
          <w:tcPr>
            <w:tcW w:w="1345" w:type="dxa"/>
            <w:vMerge/>
            <w:vAlign w:val="center"/>
          </w:tcPr>
          <w:p w14:paraId="5DF367B0" w14:textId="77777777" w:rsidR="005128AE" w:rsidRPr="001B392E" w:rsidRDefault="005128AE" w:rsidP="00FC410A">
            <w:pPr>
              <w:spacing w:line="216" w:lineRule="auto"/>
              <w:rPr>
                <w:lang w:val="sr-Latn-BA"/>
              </w:rPr>
            </w:pPr>
          </w:p>
        </w:tc>
        <w:tc>
          <w:tcPr>
            <w:tcW w:w="2070" w:type="dxa"/>
            <w:vMerge/>
            <w:vAlign w:val="center"/>
          </w:tcPr>
          <w:p w14:paraId="5DDDA872" w14:textId="77777777" w:rsidR="005128AE" w:rsidRPr="001B392E" w:rsidRDefault="005128AE" w:rsidP="00FC410A">
            <w:pPr>
              <w:spacing w:line="216" w:lineRule="auto"/>
              <w:rPr>
                <w:lang w:val="sr-Latn-BA"/>
              </w:rPr>
            </w:pPr>
          </w:p>
        </w:tc>
        <w:tc>
          <w:tcPr>
            <w:tcW w:w="1170" w:type="dxa"/>
            <w:vAlign w:val="center"/>
          </w:tcPr>
          <w:p w14:paraId="1B9411A1" w14:textId="77777777" w:rsidR="005128AE" w:rsidRPr="001B392E" w:rsidRDefault="005128AE" w:rsidP="00FC410A">
            <w:pPr>
              <w:spacing w:line="216" w:lineRule="auto"/>
              <w:jc w:val="center"/>
              <w:rPr>
                <w:lang w:val="sr-Latn-BA"/>
              </w:rPr>
            </w:pPr>
            <w:r w:rsidRPr="001B392E">
              <w:rPr>
                <w:lang w:val="sr-Latn-BA"/>
              </w:rPr>
              <w:t>11.49</w:t>
            </w:r>
          </w:p>
        </w:tc>
        <w:tc>
          <w:tcPr>
            <w:tcW w:w="4765" w:type="dxa"/>
            <w:vAlign w:val="center"/>
          </w:tcPr>
          <w:p w14:paraId="1A751CC4" w14:textId="77777777" w:rsidR="005128AE" w:rsidRPr="001B392E" w:rsidRDefault="005128AE" w:rsidP="00FC410A">
            <w:pPr>
              <w:spacing w:line="216" w:lineRule="auto"/>
              <w:rPr>
                <w:lang w:val="sr-Latn-BA"/>
              </w:rPr>
            </w:pPr>
            <w:r w:rsidRPr="001B392E">
              <w:rPr>
                <w:lang w:val="sr-Latn-BA"/>
              </w:rPr>
              <w:t>Migracije - EU</w:t>
            </w:r>
          </w:p>
        </w:tc>
      </w:tr>
      <w:tr w:rsidR="005128AE" w:rsidRPr="00425562" w14:paraId="056E49AD" w14:textId="77777777" w:rsidTr="00FC410A">
        <w:trPr>
          <w:trHeight w:val="20"/>
        </w:trPr>
        <w:tc>
          <w:tcPr>
            <w:tcW w:w="1345" w:type="dxa"/>
            <w:vMerge/>
            <w:vAlign w:val="center"/>
          </w:tcPr>
          <w:p w14:paraId="58BD1F3E" w14:textId="77777777" w:rsidR="005128AE" w:rsidRPr="001B392E" w:rsidRDefault="005128AE" w:rsidP="00FC410A">
            <w:pPr>
              <w:spacing w:line="216" w:lineRule="auto"/>
              <w:rPr>
                <w:lang w:val="sr-Latn-BA"/>
              </w:rPr>
            </w:pPr>
          </w:p>
        </w:tc>
        <w:tc>
          <w:tcPr>
            <w:tcW w:w="2070" w:type="dxa"/>
            <w:vMerge/>
            <w:vAlign w:val="center"/>
          </w:tcPr>
          <w:p w14:paraId="6A6473A6" w14:textId="77777777" w:rsidR="005128AE" w:rsidRPr="001B392E" w:rsidRDefault="005128AE" w:rsidP="00FC410A">
            <w:pPr>
              <w:spacing w:line="216" w:lineRule="auto"/>
              <w:rPr>
                <w:lang w:val="sr-Latn-BA"/>
              </w:rPr>
            </w:pPr>
          </w:p>
        </w:tc>
        <w:tc>
          <w:tcPr>
            <w:tcW w:w="1170" w:type="dxa"/>
            <w:vAlign w:val="center"/>
          </w:tcPr>
          <w:p w14:paraId="2AB59740" w14:textId="77777777" w:rsidR="005128AE" w:rsidRPr="001B392E" w:rsidRDefault="005128AE" w:rsidP="00FC410A">
            <w:pPr>
              <w:spacing w:line="216" w:lineRule="auto"/>
              <w:jc w:val="center"/>
              <w:rPr>
                <w:lang w:val="sr-Latn-BA"/>
              </w:rPr>
            </w:pPr>
            <w:r w:rsidRPr="001B392E">
              <w:rPr>
                <w:lang w:val="sr-Latn-BA"/>
              </w:rPr>
              <w:t>11.50</w:t>
            </w:r>
          </w:p>
        </w:tc>
        <w:tc>
          <w:tcPr>
            <w:tcW w:w="4765" w:type="dxa"/>
            <w:vAlign w:val="center"/>
          </w:tcPr>
          <w:p w14:paraId="137833F7" w14:textId="77777777" w:rsidR="005128AE" w:rsidRPr="001B392E" w:rsidRDefault="005128AE" w:rsidP="00FC410A">
            <w:pPr>
              <w:spacing w:line="216" w:lineRule="auto"/>
              <w:rPr>
                <w:lang w:val="sr-Latn-BA"/>
              </w:rPr>
            </w:pPr>
            <w:r w:rsidRPr="001B392E">
              <w:rPr>
                <w:lang w:val="sr-Latn-BA"/>
              </w:rPr>
              <w:t>Migracije u trećim zemljama - Vanjsko djelovanje</w:t>
            </w:r>
          </w:p>
        </w:tc>
      </w:tr>
      <w:tr w:rsidR="005128AE" w:rsidRPr="00471CDF" w14:paraId="38CB488A" w14:textId="77777777" w:rsidTr="00FC410A">
        <w:trPr>
          <w:trHeight w:val="20"/>
        </w:trPr>
        <w:tc>
          <w:tcPr>
            <w:tcW w:w="1345" w:type="dxa"/>
            <w:vMerge/>
            <w:vAlign w:val="center"/>
          </w:tcPr>
          <w:p w14:paraId="730D1523" w14:textId="77777777" w:rsidR="005128AE" w:rsidRPr="001B392E" w:rsidRDefault="005128AE" w:rsidP="00FC410A">
            <w:pPr>
              <w:spacing w:line="216" w:lineRule="auto"/>
              <w:rPr>
                <w:lang w:val="sr-Latn-BA"/>
              </w:rPr>
            </w:pPr>
          </w:p>
        </w:tc>
        <w:tc>
          <w:tcPr>
            <w:tcW w:w="2070" w:type="dxa"/>
            <w:vMerge/>
            <w:vAlign w:val="center"/>
          </w:tcPr>
          <w:p w14:paraId="57F0CEC2" w14:textId="77777777" w:rsidR="005128AE" w:rsidRPr="001B392E" w:rsidRDefault="005128AE" w:rsidP="00FC410A">
            <w:pPr>
              <w:spacing w:line="216" w:lineRule="auto"/>
              <w:rPr>
                <w:lang w:val="sr-Latn-BA"/>
              </w:rPr>
            </w:pPr>
          </w:p>
        </w:tc>
        <w:tc>
          <w:tcPr>
            <w:tcW w:w="1170" w:type="dxa"/>
            <w:vAlign w:val="center"/>
          </w:tcPr>
          <w:p w14:paraId="4C38C9CF" w14:textId="77777777" w:rsidR="005128AE" w:rsidRPr="001B392E" w:rsidRDefault="005128AE" w:rsidP="00FC410A">
            <w:pPr>
              <w:spacing w:line="216" w:lineRule="auto"/>
              <w:jc w:val="center"/>
              <w:rPr>
                <w:lang w:val="sr-Latn-BA"/>
              </w:rPr>
            </w:pPr>
            <w:r w:rsidRPr="001B392E">
              <w:rPr>
                <w:lang w:val="sr-Latn-BA"/>
              </w:rPr>
              <w:t>11.05</w:t>
            </w:r>
          </w:p>
        </w:tc>
        <w:tc>
          <w:tcPr>
            <w:tcW w:w="4765" w:type="dxa"/>
            <w:vAlign w:val="center"/>
          </w:tcPr>
          <w:p w14:paraId="39A2E22A" w14:textId="77777777" w:rsidR="005128AE" w:rsidRPr="001B392E" w:rsidRDefault="005128AE" w:rsidP="00FC410A">
            <w:pPr>
              <w:spacing w:line="216" w:lineRule="auto"/>
              <w:rPr>
                <w:lang w:val="sr-Latn-BA"/>
              </w:rPr>
            </w:pPr>
            <w:r w:rsidRPr="001B392E">
              <w:rPr>
                <w:lang w:val="sr-Latn-BA"/>
              </w:rPr>
              <w:t>Reforme</w:t>
            </w:r>
          </w:p>
        </w:tc>
      </w:tr>
    </w:tbl>
    <w:p w14:paraId="524DAABA" w14:textId="04F963EA" w:rsidR="005128AE" w:rsidRPr="00471CDF" w:rsidRDefault="005128AE" w:rsidP="005128AE">
      <w:pPr>
        <w:pStyle w:val="Naslov2"/>
        <w:rPr>
          <w:rFonts w:eastAsia="Times New Roman"/>
          <w:lang w:val="sr-Latn-ME"/>
        </w:rPr>
      </w:pPr>
      <w:r w:rsidRPr="00B80BEF">
        <w:rPr>
          <w:rFonts w:eastAsia="Times New Roman"/>
          <w:lang w:val="sr-Latn-ME"/>
        </w:rPr>
        <w:t>Oblast politike nivo 1: Migracije i granice</w:t>
      </w:r>
    </w:p>
    <w:p w14:paraId="4F6FE19A" w14:textId="77777777" w:rsidR="005128AE" w:rsidRPr="00B80BEF" w:rsidRDefault="005128AE" w:rsidP="005128AE">
      <w:pPr>
        <w:rPr>
          <w:lang w:val="sr-Latn-ME"/>
        </w:rPr>
      </w:pPr>
      <w:r w:rsidRPr="00B80BEF">
        <w:rPr>
          <w:lang w:val="sr-Latn-ME"/>
        </w:rPr>
        <w:t xml:space="preserve">Oblast politike migracija i granica obuhvata integrisano upravljanje granicama, usklađivanje </w:t>
      </w:r>
      <w:proofErr w:type="spellStart"/>
      <w:r w:rsidRPr="00B80BEF">
        <w:rPr>
          <w:lang w:val="sr-Latn-ME"/>
        </w:rPr>
        <w:t>vizne</w:t>
      </w:r>
      <w:proofErr w:type="spellEnd"/>
      <w:r w:rsidRPr="00B80BEF">
        <w:rPr>
          <w:lang w:val="sr-Latn-ME"/>
        </w:rPr>
        <w:t xml:space="preserve"> politike sa zajedničkim viznim režimom EU, azil i međunarodnu zaštitu, upravljanje mješovitim migracionim tokovima, kao i pravni okvir kojim se uređuju ulazak, boravak i povratak stranaca. Za Crnu Goru, zemlju sa 840 km granica (571 km kopnenih), </w:t>
      </w:r>
      <w:proofErr w:type="spellStart"/>
      <w:r w:rsidRPr="00B80BEF">
        <w:rPr>
          <w:lang w:val="sr-Latn-ME"/>
        </w:rPr>
        <w:t>bezviznim</w:t>
      </w:r>
      <w:proofErr w:type="spellEnd"/>
      <w:r w:rsidRPr="00B80BEF">
        <w:rPr>
          <w:lang w:val="sr-Latn-ME"/>
        </w:rPr>
        <w:t xml:space="preserve"> režimom sa EU od 2009. godine i pozicijom na </w:t>
      </w:r>
      <w:proofErr w:type="spellStart"/>
      <w:r w:rsidRPr="00B80BEF">
        <w:rPr>
          <w:lang w:val="sr-Latn-ME"/>
        </w:rPr>
        <w:t>zapadnobalkanskoj</w:t>
      </w:r>
      <w:proofErr w:type="spellEnd"/>
      <w:r w:rsidRPr="00B80BEF">
        <w:rPr>
          <w:lang w:val="sr-Latn-ME"/>
        </w:rPr>
        <w:t xml:space="preserve"> </w:t>
      </w:r>
      <w:proofErr w:type="spellStart"/>
      <w:r w:rsidRPr="00B80BEF">
        <w:rPr>
          <w:lang w:val="sr-Latn-ME"/>
        </w:rPr>
        <w:t>migrantskoj</w:t>
      </w:r>
      <w:proofErr w:type="spellEnd"/>
      <w:r w:rsidRPr="00B80BEF">
        <w:rPr>
          <w:lang w:val="sr-Latn-ME"/>
        </w:rPr>
        <w:t xml:space="preserve"> ruti, ova oblast politike nalazi se na presjeku unutrašnje bezbjednosti (obrađene u okviru PA15 Otpornost, odbrambena industrija i svemir), pristupnih obaveza prema EU u okviru Poglavlja 24 (Pravda, sloboda i bezbjednost) i brzo </w:t>
      </w:r>
      <w:proofErr w:type="spellStart"/>
      <w:r w:rsidRPr="00B80BEF">
        <w:rPr>
          <w:lang w:val="sr-Latn-ME"/>
        </w:rPr>
        <w:t>razvijajućeg</w:t>
      </w:r>
      <w:proofErr w:type="spellEnd"/>
      <w:r w:rsidRPr="00B80BEF">
        <w:rPr>
          <w:lang w:val="sr-Latn-ME"/>
        </w:rPr>
        <w:t xml:space="preserve"> Pakta EU o migracijama i azilu. Nedavni rast broja stranih rezidenata (približno 98.000 stranaca sa boravkom u Crnoj Gori krajem 2025. godine, u zemlji od 623.000 stanovnika) dodaje posebnu dimenziju vezanu za upravljanje zakonitim m</w:t>
      </w:r>
      <w:r>
        <w:rPr>
          <w:lang w:val="sr-Latn-ME"/>
        </w:rPr>
        <w:t>igracijama i dozvolama boravka.</w:t>
      </w:r>
    </w:p>
    <w:p w14:paraId="122EA95D" w14:textId="74608243" w:rsidR="005128AE" w:rsidRDefault="005128AE" w:rsidP="005128AE">
      <w:pPr>
        <w:rPr>
          <w:lang w:val="sr-Latn-ME"/>
        </w:rPr>
      </w:pPr>
      <w:r>
        <w:rPr>
          <w:lang w:val="sr-Latn-ME"/>
        </w:rPr>
        <w:t>Prema N</w:t>
      </w:r>
      <w:r w:rsidRPr="00B80BEF">
        <w:rPr>
          <w:lang w:val="sr-Latn-ME"/>
        </w:rPr>
        <w:t xml:space="preserve">acrtu </w:t>
      </w:r>
      <w:r>
        <w:rPr>
          <w:lang w:val="sr-Latn-ME"/>
        </w:rPr>
        <w:t>regulative</w:t>
      </w:r>
      <w:r w:rsidRPr="00B80BEF">
        <w:rPr>
          <w:lang w:val="sr-Latn-ME"/>
        </w:rPr>
        <w:t xml:space="preserve"> o praćenju učinka Višegodišnjeg finansijskog okvira (MFF) za 2028-2034 (Aneks I)</w:t>
      </w:r>
      <w:r>
        <w:rPr>
          <w:rStyle w:val="Referencafusnote"/>
          <w:lang w:val="sr-Latn-ME"/>
        </w:rPr>
        <w:footnoteReference w:id="1"/>
      </w:r>
      <w:r w:rsidRPr="00E60CEF">
        <w:rPr>
          <w:lang w:val="sr-Latn-ME"/>
        </w:rPr>
        <w:t xml:space="preserve">, </w:t>
      </w:r>
      <w:r w:rsidRPr="00B80BEF">
        <w:rPr>
          <w:lang w:val="sr-Latn-ME"/>
        </w:rPr>
        <w:t xml:space="preserve">Oblast politike 11 „Migracije i granice“ sadrži četiri </w:t>
      </w:r>
      <w:proofErr w:type="spellStart"/>
      <w:r w:rsidRPr="00B80BEF">
        <w:rPr>
          <w:lang w:val="sr-Latn-ME"/>
        </w:rPr>
        <w:t>podoblasti</w:t>
      </w:r>
      <w:proofErr w:type="spellEnd"/>
      <w:r w:rsidRPr="00B80BEF">
        <w:rPr>
          <w:lang w:val="sr-Latn-ME"/>
        </w:rPr>
        <w:t xml:space="preserve"> politike na nivou 2: Upravljanje granicama i vize (11.48, 3 tematske jedinice), Migracije – EU (11.49, 6 tematskih jedinica</w:t>
      </w:r>
      <w:r>
        <w:rPr>
          <w:lang w:val="sr-Latn-ME"/>
        </w:rPr>
        <w:t>), Migracije u trećim zemljama -</w:t>
      </w:r>
      <w:r w:rsidRPr="00B80BEF">
        <w:rPr>
          <w:lang w:val="sr-Latn-ME"/>
        </w:rPr>
        <w:t xml:space="preserve"> Vanjsko djelovanje (11.50, 2 tematske jedinice) i Reforme (11.05, 1 tematska jedinica), što ukupno čini 12 tematskih jedinica. </w:t>
      </w:r>
      <w:proofErr w:type="spellStart"/>
      <w:r w:rsidRPr="00B80BEF">
        <w:rPr>
          <w:lang w:val="sr-Latn-ME"/>
        </w:rPr>
        <w:t>Podoblast</w:t>
      </w:r>
      <w:proofErr w:type="spellEnd"/>
      <w:r w:rsidRPr="00B80BEF">
        <w:rPr>
          <w:lang w:val="sr-Latn-ME"/>
        </w:rPr>
        <w:t xml:space="preserve"> 11.50 „Migracije u trećim zemljama </w:t>
      </w:r>
      <w:r>
        <w:rPr>
          <w:lang w:val="sr-Latn-ME"/>
        </w:rPr>
        <w:t>-</w:t>
      </w:r>
      <w:r w:rsidRPr="00B80BEF">
        <w:rPr>
          <w:lang w:val="sr-Latn-ME"/>
        </w:rPr>
        <w:t xml:space="preserve"> Vanjsko djelovanje“ (podrška osnovnim potrebama izbjeglica u trećim zemljama; olakšavanje migracija van EU) nije relevantna za Crnu Goru i isključena je iz ove analize. Cjelokupna lista sa tematskim jedinicama objašnjena je pod tačkom 4.3.</w:t>
      </w:r>
    </w:p>
    <w:p w14:paraId="23241527" w14:textId="41F6472F" w:rsidR="005128AE" w:rsidRDefault="005128AE" w:rsidP="005128AE">
      <w:pPr>
        <w:pStyle w:val="Naslov3"/>
        <w:rPr>
          <w:rFonts w:eastAsia="Times New Roman"/>
          <w:lang w:val="sr-Latn-ME"/>
        </w:rPr>
      </w:pPr>
      <w:r w:rsidRPr="00B80BEF">
        <w:rPr>
          <w:rFonts w:eastAsia="Times New Roman"/>
          <w:lang w:val="sr-Latn-ME"/>
        </w:rPr>
        <w:t>Međunarodni i EU strateški i pravni okvir</w:t>
      </w:r>
    </w:p>
    <w:p w14:paraId="1784A5AD" w14:textId="77777777" w:rsidR="005128AE" w:rsidRDefault="005128AE" w:rsidP="005128AE">
      <w:pPr>
        <w:rPr>
          <w:lang w:val="sr-Latn-ME"/>
        </w:rPr>
      </w:pPr>
      <w:r w:rsidRPr="00B80BEF">
        <w:rPr>
          <w:lang w:val="sr-Latn-ME"/>
        </w:rPr>
        <w:t>Pakt EU o migracijama i azilu</w:t>
      </w:r>
      <w:r>
        <w:rPr>
          <w:rStyle w:val="Referencafusnote"/>
          <w:lang w:val="sr-Latn-ME"/>
        </w:rPr>
        <w:footnoteReference w:id="2"/>
      </w:r>
      <w:r w:rsidRPr="00E60CEF">
        <w:rPr>
          <w:lang w:val="sr-Latn-ME"/>
        </w:rPr>
        <w:t xml:space="preserve">, </w:t>
      </w:r>
      <w:r w:rsidRPr="00B80BEF">
        <w:rPr>
          <w:lang w:val="sr-Latn-ME"/>
        </w:rPr>
        <w:t xml:space="preserve">usvojen 2024. godine i predviđen za primjenu od juna 2026. godine, uvodi sveobuhvatan okvir za upravljanje migracijama i azilom širom EU. Obuhvata deset zakonodavnih instrumenata koji pokrivaju: </w:t>
      </w:r>
      <w:r>
        <w:rPr>
          <w:lang w:val="sr-Latn-ME"/>
        </w:rPr>
        <w:t>Regulativu</w:t>
      </w:r>
      <w:r w:rsidRPr="00B80BEF">
        <w:rPr>
          <w:lang w:val="sr-Latn-ME"/>
        </w:rPr>
        <w:t xml:space="preserve"> o upravljanju azilom i migracijama </w:t>
      </w:r>
      <w:r w:rsidRPr="00B80BEF">
        <w:rPr>
          <w:lang w:val="sr-Latn-ME"/>
        </w:rPr>
        <w:lastRenderedPageBreak/>
        <w:t>(AMMR)</w:t>
      </w:r>
      <w:r>
        <w:rPr>
          <w:rStyle w:val="Referencafusnote"/>
          <w:lang w:val="sr-Latn-ME"/>
        </w:rPr>
        <w:footnoteReference w:id="3"/>
      </w:r>
      <w:r w:rsidRPr="00E60CEF">
        <w:rPr>
          <w:lang w:val="sr-Latn-ME"/>
        </w:rPr>
        <w:t xml:space="preserve">, </w:t>
      </w:r>
      <w:r>
        <w:rPr>
          <w:lang w:val="sr-Latn-ME"/>
        </w:rPr>
        <w:t>Regulativu</w:t>
      </w:r>
      <w:r w:rsidRPr="00B80BEF">
        <w:rPr>
          <w:lang w:val="sr-Latn-ME"/>
        </w:rPr>
        <w:t xml:space="preserve"> o procedurama azila</w:t>
      </w:r>
      <w:r>
        <w:rPr>
          <w:rStyle w:val="Referencafusnote"/>
          <w:lang w:val="sr-Latn-ME"/>
        </w:rPr>
        <w:footnoteReference w:id="4"/>
      </w:r>
      <w:r w:rsidRPr="00E60CEF">
        <w:rPr>
          <w:lang w:val="sr-Latn-ME"/>
        </w:rPr>
        <w:t xml:space="preserve">, </w:t>
      </w:r>
      <w:r>
        <w:rPr>
          <w:lang w:val="sr-Latn-ME"/>
        </w:rPr>
        <w:t>Regulativu</w:t>
      </w:r>
      <w:r w:rsidRPr="00B80BEF">
        <w:rPr>
          <w:lang w:val="sr-Latn-ME"/>
        </w:rPr>
        <w:t xml:space="preserve"> o skriningu</w:t>
      </w:r>
      <w:r>
        <w:rPr>
          <w:rStyle w:val="Referencafusnote"/>
          <w:lang w:val="sr-Latn-ME"/>
        </w:rPr>
        <w:footnoteReference w:id="5"/>
      </w:r>
      <w:r w:rsidRPr="00E60CEF">
        <w:rPr>
          <w:lang w:val="sr-Latn-ME"/>
        </w:rPr>
        <w:t xml:space="preserve">, </w:t>
      </w:r>
      <w:r>
        <w:rPr>
          <w:lang w:val="sr-Latn-ME"/>
        </w:rPr>
        <w:t xml:space="preserve">Regulativu </w:t>
      </w:r>
      <w:proofErr w:type="spellStart"/>
      <w:r w:rsidRPr="00B80BEF">
        <w:rPr>
          <w:lang w:val="sr-Latn-ME"/>
        </w:rPr>
        <w:t>Eurodac</w:t>
      </w:r>
      <w:proofErr w:type="spellEnd"/>
      <w:r w:rsidRPr="00B80BEF">
        <w:rPr>
          <w:lang w:val="sr-Latn-ME"/>
        </w:rPr>
        <w:t xml:space="preserve"> (preinačena verzija)</w:t>
      </w:r>
      <w:r>
        <w:rPr>
          <w:rStyle w:val="Referencafusnote"/>
          <w:lang w:val="sr-Latn-ME"/>
        </w:rPr>
        <w:footnoteReference w:id="6"/>
      </w:r>
      <w:r w:rsidRPr="00E60CEF">
        <w:rPr>
          <w:lang w:val="sr-Latn-ME"/>
        </w:rPr>
        <w:t xml:space="preserve">, </w:t>
      </w:r>
      <w:r>
        <w:rPr>
          <w:lang w:val="sr-Latn-ME"/>
        </w:rPr>
        <w:t>Regulativu</w:t>
      </w:r>
      <w:r w:rsidRPr="00B80BEF">
        <w:rPr>
          <w:lang w:val="sr-Latn-ME"/>
        </w:rPr>
        <w:t xml:space="preserve"> o kriznim situacijama i višoj sili</w:t>
      </w:r>
      <w:r>
        <w:rPr>
          <w:rStyle w:val="Referencafusnote"/>
          <w:lang w:val="sr-Latn-ME"/>
        </w:rPr>
        <w:footnoteReference w:id="7"/>
      </w:r>
      <w:r w:rsidRPr="00E60CEF">
        <w:rPr>
          <w:lang w:val="sr-Latn-ME"/>
        </w:rPr>
        <w:t xml:space="preserve">, </w:t>
      </w:r>
      <w:r w:rsidRPr="00B80BEF">
        <w:rPr>
          <w:lang w:val="sr-Latn-ME"/>
        </w:rPr>
        <w:t>i Direktivu o uslovima prijema (preinačena verzija)</w:t>
      </w:r>
      <w:r>
        <w:rPr>
          <w:rStyle w:val="Referencafusnote"/>
          <w:lang w:val="sr-Latn-ME"/>
        </w:rPr>
        <w:footnoteReference w:id="8"/>
      </w:r>
      <w:r w:rsidRPr="00E60CEF">
        <w:rPr>
          <w:lang w:val="sr-Latn-ME"/>
        </w:rPr>
        <w:t xml:space="preserve">, </w:t>
      </w:r>
      <w:r w:rsidRPr="00B80BEF">
        <w:rPr>
          <w:lang w:val="sr-Latn-ME"/>
        </w:rPr>
        <w:t xml:space="preserve">između ostalog. Pakt uspostavlja mehanizme solidarnosti i pravedne raspodjele odgovornosti, brže i efikasnije procedure azila na granicama, kao i snažnije odredbe za povratak i </w:t>
      </w:r>
      <w:proofErr w:type="spellStart"/>
      <w:r w:rsidRPr="00B80BEF">
        <w:rPr>
          <w:lang w:val="sr-Latn-ME"/>
        </w:rPr>
        <w:t>readmisiju</w:t>
      </w:r>
      <w:proofErr w:type="spellEnd"/>
      <w:r w:rsidRPr="00B80BEF">
        <w:rPr>
          <w:lang w:val="sr-Latn-ME"/>
        </w:rPr>
        <w:t>. Za zemlje kandidate, Pakt predstavlja referentni okvir za usklađivanje nacionalnog zakonodavstva u oblasti azila i migracija, iako se njegove pune obaveze primjenjuju tek nakon pristupanja.</w:t>
      </w:r>
    </w:p>
    <w:p w14:paraId="56D49FC9" w14:textId="77777777" w:rsidR="005128AE" w:rsidRPr="00E60CEF" w:rsidRDefault="005128AE" w:rsidP="005128AE">
      <w:pPr>
        <w:rPr>
          <w:lang w:val="sr-Latn-ME"/>
        </w:rPr>
      </w:pPr>
      <w:r w:rsidRPr="00B80BEF">
        <w:rPr>
          <w:lang w:val="sr-Latn-ME"/>
        </w:rPr>
        <w:t>Koncept EU „Evropskog integrisanog upravljanja granicama“ (EIBM)</w:t>
      </w:r>
      <w:r>
        <w:rPr>
          <w:rStyle w:val="Referencafusnote"/>
          <w:lang w:val="sr-Latn-ME"/>
        </w:rPr>
        <w:footnoteReference w:id="9"/>
      </w:r>
      <w:r w:rsidRPr="00E60CEF">
        <w:rPr>
          <w:lang w:val="sr-Latn-ME"/>
        </w:rPr>
        <w:t xml:space="preserve"> </w:t>
      </w:r>
      <w:r w:rsidRPr="00B80BEF">
        <w:rPr>
          <w:lang w:val="sr-Latn-ME"/>
        </w:rPr>
        <w:t xml:space="preserve">operacionalizovan je kroz </w:t>
      </w:r>
      <w:r>
        <w:rPr>
          <w:lang w:val="sr-Latn-ME"/>
        </w:rPr>
        <w:t>Regulativu</w:t>
      </w:r>
      <w:r w:rsidRPr="00B80BEF">
        <w:rPr>
          <w:lang w:val="sr-Latn-ME"/>
        </w:rPr>
        <w:t xml:space="preserve"> (EU) 2019/1896 o Evropskoj graničnoj i obalskoj straži (</w:t>
      </w:r>
      <w:proofErr w:type="spellStart"/>
      <w:r w:rsidRPr="00B80BEF">
        <w:rPr>
          <w:lang w:val="sr-Latn-ME"/>
        </w:rPr>
        <w:t>Frontex</w:t>
      </w:r>
      <w:proofErr w:type="spellEnd"/>
      <w:r w:rsidRPr="00B80BEF">
        <w:rPr>
          <w:lang w:val="sr-Latn-ME"/>
        </w:rPr>
        <w:t>)</w:t>
      </w:r>
      <w:r>
        <w:rPr>
          <w:rStyle w:val="Referencafusnote"/>
          <w:lang w:val="sr-Latn-ME"/>
        </w:rPr>
        <w:footnoteReference w:id="10"/>
      </w:r>
      <w:r w:rsidRPr="00E60CEF">
        <w:rPr>
          <w:lang w:val="sr-Latn-ME"/>
        </w:rPr>
        <w:t xml:space="preserve">, </w:t>
      </w:r>
      <w:r w:rsidRPr="00B80BEF">
        <w:rPr>
          <w:lang w:val="sr-Latn-ME"/>
        </w:rPr>
        <w:t xml:space="preserve">koja </w:t>
      </w:r>
      <w:proofErr w:type="spellStart"/>
      <w:r w:rsidRPr="00B80BEF">
        <w:rPr>
          <w:lang w:val="sr-Latn-ME"/>
        </w:rPr>
        <w:t>Frontex</w:t>
      </w:r>
      <w:proofErr w:type="spellEnd"/>
      <w:r>
        <w:rPr>
          <w:lang w:val="sr-Latn-ME"/>
        </w:rPr>
        <w:t>-</w:t>
      </w:r>
      <w:r w:rsidRPr="00B80BEF">
        <w:rPr>
          <w:lang w:val="sr-Latn-ME"/>
        </w:rPr>
        <w:t>u daje prošireni mandat, uključujući raspoređivanje stalnog korpusa, procjene ranjivosti i operativnu podršku trećim zemljama putem statusnih sporazuma. Revidirani Šengenski granični kodeks (</w:t>
      </w:r>
      <w:r>
        <w:rPr>
          <w:lang w:val="sr-Latn-ME"/>
        </w:rPr>
        <w:t>Regulativa</w:t>
      </w:r>
      <w:r w:rsidRPr="00B80BEF">
        <w:rPr>
          <w:lang w:val="sr-Latn-ME"/>
        </w:rPr>
        <w:t xml:space="preserve"> (EU) 2024/1717)</w:t>
      </w:r>
      <w:r>
        <w:rPr>
          <w:rStyle w:val="Referencafusnote"/>
          <w:lang w:val="sr-Latn-ME"/>
        </w:rPr>
        <w:footnoteReference w:id="11"/>
      </w:r>
      <w:r w:rsidRPr="00E60CEF">
        <w:rPr>
          <w:lang w:val="sr-Latn-ME"/>
        </w:rPr>
        <w:t xml:space="preserve"> </w:t>
      </w:r>
      <w:r w:rsidRPr="00B80BEF">
        <w:rPr>
          <w:lang w:val="sr-Latn-ME"/>
        </w:rPr>
        <w:t>ažurira pravila o kontroli unutrašnjih i spoljašnjih granica. Šengenska pravna tekovina, koju zemlje kandidati moraju u potpunosti usvojiti prije pristupanja, obuhvata Šengenski informacioni sistem (SIS)</w:t>
      </w:r>
      <w:r>
        <w:rPr>
          <w:rStyle w:val="Referencafusnote"/>
          <w:lang w:val="sr-Latn-ME"/>
        </w:rPr>
        <w:footnoteReference w:id="12"/>
      </w:r>
      <w:r w:rsidRPr="00E60CEF">
        <w:rPr>
          <w:lang w:val="sr-Latn-ME"/>
        </w:rPr>
        <w:t xml:space="preserve">, </w:t>
      </w:r>
      <w:proofErr w:type="spellStart"/>
      <w:r w:rsidRPr="00B80BEF">
        <w:rPr>
          <w:lang w:val="sr-Latn-ME"/>
        </w:rPr>
        <w:t>Vizni</w:t>
      </w:r>
      <w:proofErr w:type="spellEnd"/>
      <w:r w:rsidRPr="00B80BEF">
        <w:rPr>
          <w:lang w:val="sr-Latn-ME"/>
        </w:rPr>
        <w:t xml:space="preserve"> informacioni sistem (VIS)</w:t>
      </w:r>
      <w:r>
        <w:rPr>
          <w:rStyle w:val="Referencafusnote"/>
          <w:lang w:val="sr-Latn-ME"/>
        </w:rPr>
        <w:footnoteReference w:id="13"/>
      </w:r>
      <w:r w:rsidRPr="00E60CEF">
        <w:rPr>
          <w:lang w:val="sr-Latn-ME"/>
        </w:rPr>
        <w:t xml:space="preserve">, </w:t>
      </w:r>
      <w:r w:rsidRPr="00B80BEF">
        <w:rPr>
          <w:lang w:val="sr-Latn-ME"/>
        </w:rPr>
        <w:t>Sistem ulaska/izlaska (EES)</w:t>
      </w:r>
      <w:r>
        <w:rPr>
          <w:rStyle w:val="Referencafusnote"/>
          <w:lang w:val="sr-Latn-ME"/>
        </w:rPr>
        <w:footnoteReference w:id="14"/>
      </w:r>
      <w:r w:rsidRPr="00E60CEF">
        <w:rPr>
          <w:lang w:val="sr-Latn-ME"/>
        </w:rPr>
        <w:t xml:space="preserve">, </w:t>
      </w:r>
      <w:r w:rsidRPr="00B80BEF">
        <w:rPr>
          <w:lang w:val="sr-Latn-ME"/>
        </w:rPr>
        <w:t>i Evropski sistem za informacije i autorizaciju putovanja (ETIAS)</w:t>
      </w:r>
      <w:r>
        <w:rPr>
          <w:rStyle w:val="Referencafusnote"/>
          <w:lang w:val="sr-Latn-ME"/>
        </w:rPr>
        <w:footnoteReference w:id="15"/>
      </w:r>
      <w:r w:rsidRPr="00E60CEF">
        <w:rPr>
          <w:lang w:val="sr-Latn-ME"/>
        </w:rPr>
        <w:t xml:space="preserve">. </w:t>
      </w:r>
      <w:r w:rsidRPr="00F2422A">
        <w:rPr>
          <w:lang w:val="sr-Latn-ME"/>
        </w:rPr>
        <w:t>Višegodišnja strateška politika EU za Evropsko integrisano upravljanje granicama (COM(2023)146)</w:t>
      </w:r>
      <w:r>
        <w:rPr>
          <w:rStyle w:val="Referencafusnote"/>
          <w:lang w:val="sr-Latn-ME"/>
        </w:rPr>
        <w:footnoteReference w:id="16"/>
      </w:r>
      <w:r w:rsidRPr="00E60CEF">
        <w:rPr>
          <w:lang w:val="sr-Latn-ME"/>
        </w:rPr>
        <w:t xml:space="preserve"> </w:t>
      </w:r>
      <w:r w:rsidRPr="00F2422A">
        <w:rPr>
          <w:lang w:val="sr-Latn-ME"/>
        </w:rPr>
        <w:t>utvrđuje strateški pravac za period 2023</w:t>
      </w:r>
      <w:r>
        <w:rPr>
          <w:lang w:val="sr-Latn-ME"/>
        </w:rPr>
        <w:t>-</w:t>
      </w:r>
      <w:r w:rsidRPr="00F2422A">
        <w:rPr>
          <w:lang w:val="sr-Latn-ME"/>
        </w:rPr>
        <w:t>2027.</w:t>
      </w:r>
    </w:p>
    <w:p w14:paraId="3602B5DD" w14:textId="77777777" w:rsidR="005128AE" w:rsidRDefault="005128AE" w:rsidP="005128AE">
      <w:pPr>
        <w:rPr>
          <w:lang w:val="sr-Latn-ME"/>
        </w:rPr>
      </w:pPr>
      <w:r w:rsidRPr="00674933">
        <w:rPr>
          <w:b/>
          <w:lang w:val="sr-Latn-ME"/>
        </w:rPr>
        <w:t xml:space="preserve">Zajednička </w:t>
      </w:r>
      <w:proofErr w:type="spellStart"/>
      <w:r w:rsidRPr="00674933">
        <w:rPr>
          <w:b/>
          <w:lang w:val="sr-Latn-ME"/>
        </w:rPr>
        <w:t>vizna</w:t>
      </w:r>
      <w:proofErr w:type="spellEnd"/>
      <w:r w:rsidRPr="00674933">
        <w:rPr>
          <w:b/>
          <w:lang w:val="sr-Latn-ME"/>
        </w:rPr>
        <w:t xml:space="preserve"> politika EU</w:t>
      </w:r>
      <w:r>
        <w:rPr>
          <w:rStyle w:val="Referencafusnote"/>
          <w:lang w:val="sr-Latn-ME"/>
        </w:rPr>
        <w:footnoteReference w:id="17"/>
      </w:r>
      <w:r w:rsidRPr="00E60CEF">
        <w:rPr>
          <w:lang w:val="sr-Latn-ME"/>
        </w:rPr>
        <w:t xml:space="preserve"> </w:t>
      </w:r>
      <w:r w:rsidRPr="00674933">
        <w:rPr>
          <w:lang w:val="sr-Latn-ME"/>
        </w:rPr>
        <w:t>uređena je Viznim kodeksom (</w:t>
      </w:r>
      <w:r>
        <w:rPr>
          <w:lang w:val="sr-Latn-ME"/>
        </w:rPr>
        <w:t>Regulativa</w:t>
      </w:r>
      <w:r w:rsidRPr="00674933">
        <w:rPr>
          <w:lang w:val="sr-Latn-ME"/>
        </w:rPr>
        <w:t xml:space="preserve"> (EZ) br. 810/2009, izmijenjena </w:t>
      </w:r>
      <w:r>
        <w:rPr>
          <w:lang w:val="sr-Latn-ME"/>
        </w:rPr>
        <w:t>Regulativom</w:t>
      </w:r>
      <w:r w:rsidRPr="00674933">
        <w:rPr>
          <w:lang w:val="sr-Latn-ME"/>
        </w:rPr>
        <w:t xml:space="preserve"> (EU) 2019/1155) i listama trećih zemalja čiji državljani podliježu </w:t>
      </w:r>
      <w:proofErr w:type="spellStart"/>
      <w:r w:rsidRPr="00674933">
        <w:rPr>
          <w:lang w:val="sr-Latn-ME"/>
        </w:rPr>
        <w:t>viznom</w:t>
      </w:r>
      <w:proofErr w:type="spellEnd"/>
      <w:r w:rsidRPr="00674933">
        <w:rPr>
          <w:lang w:val="sr-Latn-ME"/>
        </w:rPr>
        <w:t xml:space="preserve"> režimu ili su izuzeti od njega (</w:t>
      </w:r>
      <w:r>
        <w:rPr>
          <w:lang w:val="sr-Latn-ME"/>
        </w:rPr>
        <w:t>Regulativa</w:t>
      </w:r>
      <w:r w:rsidRPr="00674933">
        <w:rPr>
          <w:lang w:val="sr-Latn-ME"/>
        </w:rPr>
        <w:t xml:space="preserve"> (EU) 2018/1806</w:t>
      </w:r>
      <w:r>
        <w:rPr>
          <w:rStyle w:val="Referencafusnote"/>
          <w:lang w:val="sr-Latn-ME"/>
        </w:rPr>
        <w:footnoteReference w:id="18"/>
      </w:r>
      <w:r w:rsidRPr="00E60CEF">
        <w:rPr>
          <w:lang w:val="sr-Latn-ME"/>
        </w:rPr>
        <w:t xml:space="preserve">). </w:t>
      </w:r>
      <w:r w:rsidRPr="00674933">
        <w:rPr>
          <w:lang w:val="sr-Latn-ME"/>
        </w:rPr>
        <w:t xml:space="preserve">Crna Gora koristi </w:t>
      </w:r>
      <w:proofErr w:type="spellStart"/>
      <w:r w:rsidRPr="00674933">
        <w:rPr>
          <w:lang w:val="sr-Latn-ME"/>
        </w:rPr>
        <w:t>bezvizni</w:t>
      </w:r>
      <w:proofErr w:type="spellEnd"/>
      <w:r w:rsidRPr="00674933">
        <w:rPr>
          <w:lang w:val="sr-Latn-ME"/>
        </w:rPr>
        <w:t xml:space="preserve"> režim putovanja u EU/Šengen prostor od decembra 2009. godine. Ključni pristupni zahtjev jeste usklađivanje </w:t>
      </w:r>
      <w:proofErr w:type="spellStart"/>
      <w:r w:rsidRPr="00674933">
        <w:rPr>
          <w:lang w:val="sr-Latn-ME"/>
        </w:rPr>
        <w:t>viznog</w:t>
      </w:r>
      <w:proofErr w:type="spellEnd"/>
      <w:r w:rsidRPr="00674933">
        <w:rPr>
          <w:lang w:val="sr-Latn-ME"/>
        </w:rPr>
        <w:t xml:space="preserve"> režima Crne Gore za državljane trećih zemalja sa negativnim i pozitivnim listama EU. </w:t>
      </w:r>
      <w:r w:rsidRPr="00674933">
        <w:rPr>
          <w:b/>
          <w:lang w:val="sr-Latn-ME"/>
        </w:rPr>
        <w:t xml:space="preserve">Strategija </w:t>
      </w:r>
      <w:proofErr w:type="spellStart"/>
      <w:r w:rsidRPr="00674933">
        <w:rPr>
          <w:b/>
          <w:lang w:val="sr-Latn-ME"/>
        </w:rPr>
        <w:t>vizne</w:t>
      </w:r>
      <w:proofErr w:type="spellEnd"/>
      <w:r w:rsidRPr="00674933">
        <w:rPr>
          <w:b/>
          <w:lang w:val="sr-Latn-ME"/>
        </w:rPr>
        <w:t xml:space="preserve"> politike EU</w:t>
      </w:r>
      <w:r>
        <w:rPr>
          <w:rStyle w:val="Referencafusnote"/>
        </w:rPr>
        <w:footnoteReference w:id="19"/>
      </w:r>
      <w:r w:rsidRPr="00674933">
        <w:rPr>
          <w:lang w:val="sr-Latn-ME"/>
        </w:rPr>
        <w:t xml:space="preserve"> (2026) postavlja okvir za modernizaciju i jačanje sistema kratkoročnih viza EU (šengenske vize), čineći ga sigurnijim, </w:t>
      </w:r>
      <w:proofErr w:type="spellStart"/>
      <w:r w:rsidRPr="00674933">
        <w:rPr>
          <w:lang w:val="sr-Latn-ME"/>
        </w:rPr>
        <w:t>digitalnijim</w:t>
      </w:r>
      <w:proofErr w:type="spellEnd"/>
      <w:r w:rsidRPr="00674933">
        <w:rPr>
          <w:lang w:val="sr-Latn-ME"/>
        </w:rPr>
        <w:t xml:space="preserve"> i geopolitički </w:t>
      </w:r>
      <w:proofErr w:type="spellStart"/>
      <w:r w:rsidRPr="00674933">
        <w:rPr>
          <w:lang w:val="sr-Latn-ME"/>
        </w:rPr>
        <w:t>responzivnijim</w:t>
      </w:r>
      <w:proofErr w:type="spellEnd"/>
      <w:r w:rsidRPr="00674933">
        <w:rPr>
          <w:lang w:val="sr-Latn-ME"/>
        </w:rPr>
        <w:t xml:space="preserve">, uz podršku putovanjima, turizmu i ekonomskom rastu. Cilj je modernizacija šengenskog </w:t>
      </w:r>
      <w:proofErr w:type="spellStart"/>
      <w:r w:rsidRPr="00674933">
        <w:rPr>
          <w:lang w:val="sr-Latn-ME"/>
        </w:rPr>
        <w:t>viznog</w:t>
      </w:r>
      <w:proofErr w:type="spellEnd"/>
      <w:r w:rsidRPr="00674933">
        <w:rPr>
          <w:lang w:val="sr-Latn-ME"/>
        </w:rPr>
        <w:t xml:space="preserve"> sistema kroz jačanje bezbjednosti, ubrzanje digitalizacije i korišćenje </w:t>
      </w:r>
      <w:proofErr w:type="spellStart"/>
      <w:r w:rsidRPr="00674933">
        <w:rPr>
          <w:lang w:val="sr-Latn-ME"/>
        </w:rPr>
        <w:t>vizne</w:t>
      </w:r>
      <w:proofErr w:type="spellEnd"/>
      <w:r w:rsidRPr="00674933">
        <w:rPr>
          <w:lang w:val="sr-Latn-ME"/>
        </w:rPr>
        <w:t xml:space="preserve"> politike kao strateškog alata za upravljan</w:t>
      </w:r>
      <w:r>
        <w:rPr>
          <w:lang w:val="sr-Latn-ME"/>
        </w:rPr>
        <w:t>je migracijama i vanjske odnose</w:t>
      </w:r>
      <w:r w:rsidRPr="001B392E">
        <w:rPr>
          <w:lang w:val="sr-Latn-ME"/>
        </w:rPr>
        <w:t>.</w:t>
      </w:r>
    </w:p>
    <w:p w14:paraId="2107C2F1" w14:textId="77777777" w:rsidR="005128AE" w:rsidRPr="00E60CEF" w:rsidRDefault="005128AE" w:rsidP="005128AE">
      <w:pPr>
        <w:rPr>
          <w:lang w:val="sr-Latn-ME"/>
        </w:rPr>
      </w:pPr>
      <w:r w:rsidRPr="00674933">
        <w:rPr>
          <w:lang w:val="sr-Latn-ME"/>
        </w:rPr>
        <w:lastRenderedPageBreak/>
        <w:t xml:space="preserve">Zemlje kandidati sarađuju sa agencijama EU putem statusnih sporazuma, mapa puta i radnih aranžmana: </w:t>
      </w:r>
      <w:proofErr w:type="spellStart"/>
      <w:r w:rsidRPr="00674933">
        <w:rPr>
          <w:lang w:val="sr-Latn-ME"/>
        </w:rPr>
        <w:t>Frontex</w:t>
      </w:r>
      <w:proofErr w:type="spellEnd"/>
      <w:r w:rsidRPr="00674933">
        <w:rPr>
          <w:lang w:val="sr-Latn-ME"/>
        </w:rPr>
        <w:t xml:space="preserve"> (statusni sporazum sa Crnom Gorom stupio na snagu u julu 2023. godine)</w:t>
      </w:r>
      <w:r>
        <w:rPr>
          <w:rStyle w:val="Referencafusnote"/>
          <w:lang w:val="sr-Latn-ME"/>
        </w:rPr>
        <w:footnoteReference w:id="20"/>
      </w:r>
      <w:r w:rsidRPr="00E60CEF">
        <w:rPr>
          <w:lang w:val="sr-Latn-ME"/>
        </w:rPr>
        <w:t xml:space="preserve">; </w:t>
      </w:r>
      <w:r w:rsidRPr="00674933">
        <w:rPr>
          <w:lang w:val="sr-Latn-ME"/>
        </w:rPr>
        <w:t>EUAA (Agencija EU za azil, Mapa puta za saradnju 2025</w:t>
      </w:r>
      <w:r>
        <w:rPr>
          <w:lang w:val="sr-Latn-ME"/>
        </w:rPr>
        <w:t>-</w:t>
      </w:r>
      <w:r w:rsidRPr="00674933">
        <w:rPr>
          <w:lang w:val="sr-Latn-ME"/>
        </w:rPr>
        <w:t>2027 potpisana u martu 2025. godine)</w:t>
      </w:r>
      <w:r>
        <w:rPr>
          <w:rStyle w:val="Referencafusnote"/>
          <w:lang w:val="sr-Latn-ME"/>
        </w:rPr>
        <w:footnoteReference w:id="21"/>
      </w:r>
      <w:r w:rsidRPr="00E60CEF">
        <w:rPr>
          <w:lang w:val="sr-Latn-ME"/>
        </w:rPr>
        <w:t xml:space="preserve">; </w:t>
      </w:r>
      <w:proofErr w:type="spellStart"/>
      <w:r w:rsidRPr="00674933">
        <w:rPr>
          <w:lang w:val="sr-Latn-ME"/>
        </w:rPr>
        <w:t>Europol</w:t>
      </w:r>
      <w:proofErr w:type="spellEnd"/>
      <w:r w:rsidRPr="00674933">
        <w:rPr>
          <w:lang w:val="sr-Latn-ME"/>
        </w:rPr>
        <w:t xml:space="preserve"> (uspostavljen radni aranžman)</w:t>
      </w:r>
      <w:r>
        <w:rPr>
          <w:rStyle w:val="Referencafusnote"/>
          <w:lang w:val="sr-Latn-ME"/>
        </w:rPr>
        <w:footnoteReference w:id="22"/>
      </w:r>
      <w:r w:rsidRPr="00E60CEF">
        <w:rPr>
          <w:lang w:val="sr-Latn-ME"/>
        </w:rPr>
        <w:t xml:space="preserve">; </w:t>
      </w:r>
      <w:proofErr w:type="spellStart"/>
      <w:r w:rsidRPr="00674933">
        <w:rPr>
          <w:lang w:val="sr-Latn-ME"/>
        </w:rPr>
        <w:t>Eurojust</w:t>
      </w:r>
      <w:proofErr w:type="spellEnd"/>
      <w:r w:rsidRPr="00674933">
        <w:rPr>
          <w:lang w:val="sr-Latn-ME"/>
        </w:rPr>
        <w:t xml:space="preserve"> (sporazum o saradnji)</w:t>
      </w:r>
      <w:r>
        <w:rPr>
          <w:rStyle w:val="Referencafusnote"/>
          <w:lang w:val="sr-Latn-ME"/>
        </w:rPr>
        <w:footnoteReference w:id="23"/>
      </w:r>
      <w:r w:rsidRPr="00E60CEF">
        <w:rPr>
          <w:lang w:val="sr-Latn-ME"/>
        </w:rPr>
        <w:t xml:space="preserve">; </w:t>
      </w:r>
      <w:r w:rsidRPr="00674933">
        <w:rPr>
          <w:lang w:val="sr-Latn-ME"/>
        </w:rPr>
        <w:t>CEPOL (Agencija EU za obuku u oblasti sprovođenja zakona)</w:t>
      </w:r>
      <w:r>
        <w:rPr>
          <w:rStyle w:val="Referencafusnote"/>
          <w:lang w:val="sr-Latn-ME"/>
        </w:rPr>
        <w:footnoteReference w:id="24"/>
      </w:r>
      <w:r w:rsidRPr="00E60CEF">
        <w:rPr>
          <w:lang w:val="sr-Latn-ME"/>
        </w:rPr>
        <w:t xml:space="preserve">. </w:t>
      </w:r>
      <w:r w:rsidRPr="00674933">
        <w:rPr>
          <w:lang w:val="sr-Latn-ME"/>
        </w:rPr>
        <w:t>Ova partnerstva obrađena su i u okviru PA15 (Otpornost,</w:t>
      </w:r>
      <w:r>
        <w:rPr>
          <w:lang w:val="sr-Latn-ME"/>
        </w:rPr>
        <w:t xml:space="preserve"> odbrambena industrija i svemir,</w:t>
      </w:r>
      <w:r w:rsidRPr="00674933">
        <w:rPr>
          <w:lang w:val="sr-Latn-ME"/>
        </w:rPr>
        <w:t xml:space="preserve"> </w:t>
      </w:r>
      <w:r>
        <w:rPr>
          <w:lang w:val="sr-Latn-ME"/>
        </w:rPr>
        <w:t>poglavlje</w:t>
      </w:r>
      <w:r w:rsidRPr="00674933">
        <w:rPr>
          <w:lang w:val="sr-Latn-ME"/>
        </w:rPr>
        <w:t xml:space="preserve"> 4.1.1 Unutrašnja bezbjednost EU), gdje je predstavljen širi okvir </w:t>
      </w:r>
      <w:proofErr w:type="spellStart"/>
      <w:r w:rsidRPr="00674933">
        <w:rPr>
          <w:lang w:val="sr-Latn-ME"/>
        </w:rPr>
        <w:t>bezbjednosne</w:t>
      </w:r>
      <w:proofErr w:type="spellEnd"/>
      <w:r w:rsidRPr="00674933">
        <w:rPr>
          <w:lang w:val="sr-Latn-ME"/>
        </w:rPr>
        <w:t xml:space="preserve"> saradnje.</w:t>
      </w:r>
    </w:p>
    <w:p w14:paraId="41CE615B" w14:textId="77777777" w:rsidR="005128AE" w:rsidRPr="008A5A33" w:rsidRDefault="005128AE" w:rsidP="005128AE">
      <w:pPr>
        <w:rPr>
          <w:rFonts w:eastAsia="Times New Roman" w:cstheme="minorHAnsi"/>
          <w:sz w:val="10"/>
          <w:lang w:val="sr-Latn-ME"/>
        </w:rPr>
      </w:pPr>
      <w:r w:rsidRPr="00674933">
        <w:rPr>
          <w:lang w:val="sr-Latn-ME"/>
        </w:rPr>
        <w:t>Za zemlje kandidate, usklađenost sa pravnom tekovinom EU u oblasti migracija i granica procjenjuje se kroz Poglavlje 24 (Pravda, sloboda i bezbjednost). Vlada Crne Gore usvojila je Akcioni plan za ispunjavanje završnih mjerila u Poglavlju 24 dana 25. aprila 2025. godine</w:t>
      </w:r>
      <w:r>
        <w:rPr>
          <w:rStyle w:val="Referencafusnote"/>
          <w:lang w:val="sr-Latn-ME"/>
        </w:rPr>
        <w:footnoteReference w:id="25"/>
      </w:r>
      <w:r w:rsidRPr="00E60CEF">
        <w:rPr>
          <w:lang w:val="sr-Latn-ME"/>
        </w:rPr>
        <w:t xml:space="preserve">, </w:t>
      </w:r>
      <w:r w:rsidRPr="00674933">
        <w:rPr>
          <w:lang w:val="sr-Latn-ME"/>
        </w:rPr>
        <w:t xml:space="preserve">definišući konkretne korake u oblasti organizovanog kriminala, migracija, azila, </w:t>
      </w:r>
      <w:proofErr w:type="spellStart"/>
      <w:r w:rsidRPr="00674933">
        <w:rPr>
          <w:lang w:val="sr-Latn-ME"/>
        </w:rPr>
        <w:t>vizne</w:t>
      </w:r>
      <w:proofErr w:type="spellEnd"/>
      <w:r w:rsidRPr="00674933">
        <w:rPr>
          <w:lang w:val="sr-Latn-ME"/>
        </w:rPr>
        <w:t xml:space="preserve"> politike i kontrole granica. Crna Gora je ispunila privremena mjerila za Poglavlja 23 i 24 u junu 2024. godine, nakon čega su usvojena završna mjerila, čime je otvoren put ka privremenom zatvaranju ovih poglavlja.</w:t>
      </w:r>
    </w:p>
    <w:p w14:paraId="2579B6AD" w14:textId="2015A7F9" w:rsidR="005128AE" w:rsidRPr="00471CDF" w:rsidRDefault="005128AE" w:rsidP="005128AE">
      <w:pPr>
        <w:pStyle w:val="Naslov3"/>
        <w:rPr>
          <w:rFonts w:eastAsia="Times New Roman"/>
          <w:lang w:val="sr-Latn-ME"/>
        </w:rPr>
      </w:pPr>
      <w:r w:rsidRPr="00674933">
        <w:rPr>
          <w:rFonts w:eastAsia="Times New Roman"/>
          <w:lang w:val="sr-Latn-ME"/>
        </w:rPr>
        <w:t>Crnogorski strateški i pravni okvir</w:t>
      </w:r>
    </w:p>
    <w:p w14:paraId="4961E3CA" w14:textId="77777777" w:rsidR="005128AE" w:rsidRPr="00674933" w:rsidRDefault="005128AE" w:rsidP="005128AE">
      <w:pPr>
        <w:pStyle w:val="Naslov4"/>
        <w:rPr>
          <w:rFonts w:eastAsia="Times New Roman"/>
          <w:lang w:val="sr-Latn-ME"/>
        </w:rPr>
      </w:pPr>
      <w:r w:rsidRPr="00674933">
        <w:rPr>
          <w:rFonts w:eastAsia="Times New Roman"/>
          <w:lang w:val="sr-Latn-ME"/>
        </w:rPr>
        <w:t>Upravljanje granicama</w:t>
      </w:r>
    </w:p>
    <w:p w14:paraId="4B6C8729" w14:textId="77777777" w:rsidR="005128AE" w:rsidRDefault="005128AE" w:rsidP="005128AE">
      <w:pPr>
        <w:spacing w:after="240"/>
        <w:rPr>
          <w:rFonts w:eastAsia="Times New Roman" w:cstheme="minorHAnsi"/>
          <w:b/>
          <w:bCs/>
          <w:lang w:val="sr-Latn-ME"/>
        </w:rPr>
      </w:pPr>
      <w:r w:rsidRPr="00674933">
        <w:rPr>
          <w:rFonts w:eastAsia="Times New Roman" w:cstheme="minorHAnsi"/>
          <w:b/>
          <w:bCs/>
          <w:lang w:val="sr-Latn-ME"/>
        </w:rPr>
        <w:t>Ključni propisi:</w:t>
      </w:r>
    </w:p>
    <w:p w14:paraId="1D8A1460" w14:textId="77777777" w:rsidR="005128AE" w:rsidRPr="00515831" w:rsidRDefault="005128AE" w:rsidP="005128AE">
      <w:pPr>
        <w:pStyle w:val="Odlomakpopisa"/>
        <w:numPr>
          <w:ilvl w:val="0"/>
          <w:numId w:val="2"/>
        </w:numPr>
        <w:spacing w:after="240" w:line="240" w:lineRule="auto"/>
        <w:rPr>
          <w:rFonts w:eastAsia="Times New Roman" w:cstheme="minorHAnsi"/>
          <w:bCs/>
          <w:lang w:val="sr-Latn-ME"/>
        </w:rPr>
      </w:pPr>
      <w:r w:rsidRPr="00515831">
        <w:rPr>
          <w:rFonts w:eastAsia="Times New Roman" w:cstheme="minorHAnsi"/>
          <w:b/>
          <w:bCs/>
          <w:lang w:val="sr-Latn-ME"/>
        </w:rPr>
        <w:t xml:space="preserve">Zakon o graničnoj kontroli </w:t>
      </w:r>
      <w:r w:rsidRPr="00515831">
        <w:rPr>
          <w:rFonts w:eastAsia="Times New Roman" w:cstheme="minorHAnsi"/>
          <w:bCs/>
          <w:lang w:val="sr-Latn-ME"/>
        </w:rPr>
        <w:t>(Sl. list CG, br. 72/09, 20/11, 40/11,</w:t>
      </w:r>
      <w:r>
        <w:rPr>
          <w:rFonts w:eastAsia="Times New Roman" w:cstheme="minorHAnsi"/>
          <w:bCs/>
          <w:lang w:val="sr-Latn-ME"/>
        </w:rPr>
        <w:t xml:space="preserve"> 39/13, 17/19, 146/21, 125/23),</w:t>
      </w:r>
      <w:r w:rsidRPr="00515831">
        <w:rPr>
          <w:rFonts w:eastAsia="Times New Roman" w:cstheme="minorHAnsi"/>
          <w:bCs/>
          <w:lang w:val="sr-Latn-ME"/>
        </w:rPr>
        <w:t xml:space="preserve"> uređuje nadzor granice, kontrole na graničnim </w:t>
      </w:r>
      <w:proofErr w:type="spellStart"/>
      <w:r w:rsidRPr="00515831">
        <w:rPr>
          <w:rFonts w:eastAsia="Times New Roman" w:cstheme="minorHAnsi"/>
          <w:bCs/>
          <w:lang w:val="sr-Latn-ME"/>
        </w:rPr>
        <w:t>prelazima</w:t>
      </w:r>
      <w:proofErr w:type="spellEnd"/>
      <w:r w:rsidRPr="00515831">
        <w:rPr>
          <w:rFonts w:eastAsia="Times New Roman" w:cstheme="minorHAnsi"/>
          <w:bCs/>
          <w:lang w:val="sr-Latn-ME"/>
        </w:rPr>
        <w:t xml:space="preserve"> i </w:t>
      </w:r>
      <w:proofErr w:type="spellStart"/>
      <w:r w:rsidRPr="00515831">
        <w:rPr>
          <w:rFonts w:eastAsia="Times New Roman" w:cstheme="minorHAnsi"/>
          <w:bCs/>
          <w:lang w:val="sr-Latn-ME"/>
        </w:rPr>
        <w:t>međuinstitucionalnu</w:t>
      </w:r>
      <w:proofErr w:type="spellEnd"/>
      <w:r w:rsidRPr="00515831">
        <w:rPr>
          <w:rFonts w:eastAsia="Times New Roman" w:cstheme="minorHAnsi"/>
          <w:bCs/>
          <w:lang w:val="sr-Latn-ME"/>
        </w:rPr>
        <w:t xml:space="preserve"> koordinaciju.</w:t>
      </w:r>
    </w:p>
    <w:p w14:paraId="553C709A" w14:textId="77777777" w:rsidR="005128AE" w:rsidRPr="0096070B" w:rsidRDefault="005128AE" w:rsidP="005128AE">
      <w:pPr>
        <w:pStyle w:val="Odlomakpopisa"/>
        <w:numPr>
          <w:ilvl w:val="0"/>
          <w:numId w:val="2"/>
        </w:numPr>
        <w:spacing w:after="240" w:line="240" w:lineRule="auto"/>
        <w:rPr>
          <w:rFonts w:eastAsia="Times New Roman" w:cstheme="minorHAnsi"/>
          <w:bCs/>
          <w:lang w:val="sr-Latn-ME"/>
        </w:rPr>
      </w:pPr>
      <w:r w:rsidRPr="00515831">
        <w:rPr>
          <w:rFonts w:eastAsia="Times New Roman" w:cstheme="minorHAnsi"/>
          <w:b/>
          <w:bCs/>
          <w:lang w:val="sr-Latn-ME"/>
        </w:rPr>
        <w:t xml:space="preserve">Zakon o strancima </w:t>
      </w:r>
      <w:r w:rsidRPr="00515831">
        <w:rPr>
          <w:rFonts w:eastAsia="Times New Roman" w:cstheme="minorHAnsi"/>
          <w:bCs/>
          <w:lang w:val="sr-Latn-ME"/>
        </w:rPr>
        <w:t>(Sl. list CG, br. 12/18, 3/</w:t>
      </w:r>
      <w:r>
        <w:rPr>
          <w:rFonts w:eastAsia="Times New Roman" w:cstheme="minorHAnsi"/>
          <w:bCs/>
          <w:lang w:val="sr-Latn-ME"/>
        </w:rPr>
        <w:t>19, 86/22, 77/24, 3/26, 33/26),</w:t>
      </w:r>
      <w:r w:rsidRPr="00515831">
        <w:rPr>
          <w:rFonts w:eastAsia="Times New Roman" w:cstheme="minorHAnsi"/>
          <w:bCs/>
          <w:lang w:val="sr-Latn-ME"/>
        </w:rPr>
        <w:t xml:space="preserve"> reguliše ulazak, boravak, rad i povratak stranaca. Izmjene iz novembra 2025. godine pooštravaju uslove za privremeni boravak po osnovu vlasništva nad nepokretnostima (minimum 200.000 eura) i poslovanja (minimum tri zaposlena, uključujući dva državljanina Crne Gore), kao odgovor na značajan rast broja stranih rezidenata (oko 98.000 u 2025. godini).</w:t>
      </w:r>
      <w:r>
        <w:rPr>
          <w:rStyle w:val="Referencafusnote"/>
          <w:rFonts w:eastAsia="Times New Roman" w:cstheme="minorHAnsi"/>
          <w:bCs/>
          <w:lang w:val="sr-Latn-ME"/>
        </w:rPr>
        <w:footnoteReference w:id="26"/>
      </w:r>
    </w:p>
    <w:p w14:paraId="0AB8B9F6" w14:textId="77777777" w:rsidR="005128AE" w:rsidRPr="00515831" w:rsidRDefault="005128AE" w:rsidP="005128AE">
      <w:pPr>
        <w:pStyle w:val="Odlomakpopisa"/>
        <w:numPr>
          <w:ilvl w:val="0"/>
          <w:numId w:val="2"/>
        </w:numPr>
        <w:spacing w:after="240" w:line="240" w:lineRule="auto"/>
        <w:rPr>
          <w:rFonts w:eastAsia="Times New Roman" w:cstheme="minorHAnsi"/>
          <w:b/>
          <w:bCs/>
          <w:lang w:val="sr-Latn-ME"/>
        </w:rPr>
      </w:pPr>
      <w:r w:rsidRPr="00515831">
        <w:rPr>
          <w:rFonts w:eastAsia="Times New Roman" w:cstheme="minorHAnsi"/>
          <w:b/>
          <w:bCs/>
          <w:lang w:val="sr-Latn-ME"/>
        </w:rPr>
        <w:t xml:space="preserve">Zakon o unutrašnjim poslovima </w:t>
      </w:r>
      <w:r w:rsidRPr="00515831">
        <w:rPr>
          <w:rFonts w:eastAsia="Times New Roman" w:cstheme="minorHAnsi"/>
          <w:bCs/>
          <w:lang w:val="sr-Latn-ME"/>
        </w:rPr>
        <w:t>(Sl. list CG, br. 70/2</w:t>
      </w:r>
      <w:r>
        <w:rPr>
          <w:rFonts w:eastAsia="Times New Roman" w:cstheme="minorHAnsi"/>
          <w:bCs/>
          <w:lang w:val="sr-Latn-ME"/>
        </w:rPr>
        <w:t>1, 123/21, 3/23, 84/24, 40/26) -</w:t>
      </w:r>
      <w:r w:rsidRPr="00515831">
        <w:rPr>
          <w:rFonts w:eastAsia="Times New Roman" w:cstheme="minorHAnsi"/>
          <w:bCs/>
          <w:lang w:val="sr-Latn-ME"/>
        </w:rPr>
        <w:t xml:space="preserve"> Ministarstvu unutrašnjih poslova dodjeljuje odgovornost za upravljanje mješovitim migracijama, integrisano upravljanje granicama i državljanstvo.</w:t>
      </w:r>
    </w:p>
    <w:p w14:paraId="6BC2C910" w14:textId="77777777" w:rsidR="005128AE" w:rsidRPr="00515831" w:rsidRDefault="005128AE" w:rsidP="005128AE">
      <w:pPr>
        <w:spacing w:after="240"/>
        <w:rPr>
          <w:rFonts w:eastAsia="Times New Roman" w:cstheme="minorHAnsi"/>
          <w:bCs/>
          <w:lang w:val="sr-Latn-ME"/>
        </w:rPr>
      </w:pPr>
      <w:r w:rsidRPr="00515831">
        <w:rPr>
          <w:rFonts w:eastAsia="Times New Roman" w:cstheme="minorHAnsi"/>
          <w:b/>
          <w:bCs/>
          <w:lang w:val="sr-Latn-ME"/>
        </w:rPr>
        <w:t>Ključni strateški dokumenti:</w:t>
      </w:r>
    </w:p>
    <w:p w14:paraId="2AA85B95" w14:textId="77777777" w:rsidR="005128AE" w:rsidRPr="0096070B" w:rsidRDefault="005128AE" w:rsidP="005128AE">
      <w:pPr>
        <w:pStyle w:val="Odlomakpopisa"/>
        <w:numPr>
          <w:ilvl w:val="0"/>
          <w:numId w:val="3"/>
        </w:numPr>
        <w:spacing w:after="240" w:line="240" w:lineRule="auto"/>
        <w:rPr>
          <w:rFonts w:eastAsia="Times New Roman" w:cstheme="minorHAnsi"/>
          <w:bCs/>
          <w:lang w:val="sr-Latn-ME"/>
        </w:rPr>
      </w:pPr>
      <w:r w:rsidRPr="00515831">
        <w:rPr>
          <w:rFonts w:eastAsia="Times New Roman" w:cstheme="minorHAnsi"/>
          <w:b/>
          <w:bCs/>
          <w:lang w:val="sr-Latn-ME"/>
        </w:rPr>
        <w:t>Strategija integrisanog upravljanja granicom 2024</w:t>
      </w:r>
      <w:r>
        <w:rPr>
          <w:rFonts w:eastAsia="Times New Roman" w:cstheme="minorHAnsi"/>
          <w:b/>
          <w:bCs/>
          <w:lang w:val="sr-Latn-ME"/>
        </w:rPr>
        <w:t>-</w:t>
      </w:r>
      <w:r w:rsidRPr="00515831">
        <w:rPr>
          <w:rFonts w:eastAsia="Times New Roman" w:cstheme="minorHAnsi"/>
          <w:b/>
          <w:bCs/>
          <w:lang w:val="sr-Latn-ME"/>
        </w:rPr>
        <w:t>2029</w:t>
      </w:r>
      <w:r>
        <w:rPr>
          <w:rStyle w:val="Referencafusnote"/>
          <w:rFonts w:eastAsia="Times New Roman" w:cstheme="minorHAnsi"/>
          <w:bCs/>
          <w:lang w:val="sr-Latn-ME"/>
        </w:rPr>
        <w:footnoteReference w:id="27"/>
      </w:r>
      <w:r w:rsidRPr="0096070B">
        <w:rPr>
          <w:rFonts w:eastAsia="Times New Roman" w:cstheme="minorHAnsi"/>
          <w:bCs/>
          <w:lang w:val="sr-Latn-ME"/>
        </w:rPr>
        <w:t xml:space="preserve"> </w:t>
      </w:r>
      <w:r w:rsidRPr="00515831">
        <w:rPr>
          <w:rFonts w:eastAsia="Times New Roman" w:cstheme="minorHAnsi"/>
          <w:bCs/>
          <w:lang w:val="sr-Latn-ME"/>
        </w:rPr>
        <w:t>izrađena i usklađena sa konceptom Evropskog integrisanog upravljanja granicama (EIBM) prema Uredbi (EU) 2019/1896, kao nastavak tri prethodne IBM strategije koje su pokrivale period 2009</w:t>
      </w:r>
      <w:r>
        <w:rPr>
          <w:rFonts w:eastAsia="Times New Roman" w:cstheme="minorHAnsi"/>
          <w:bCs/>
          <w:lang w:val="sr-Latn-ME"/>
        </w:rPr>
        <w:t>-</w:t>
      </w:r>
      <w:r w:rsidRPr="00515831">
        <w:rPr>
          <w:rFonts w:eastAsia="Times New Roman" w:cstheme="minorHAnsi"/>
          <w:bCs/>
          <w:lang w:val="sr-Latn-ME"/>
        </w:rPr>
        <w:t>2024.</w:t>
      </w:r>
    </w:p>
    <w:p w14:paraId="17CE24D8" w14:textId="77777777" w:rsidR="005128AE" w:rsidRPr="00515831" w:rsidRDefault="005128AE" w:rsidP="005128AE">
      <w:pPr>
        <w:pStyle w:val="Odlomakpopisa"/>
        <w:numPr>
          <w:ilvl w:val="0"/>
          <w:numId w:val="3"/>
        </w:numPr>
        <w:spacing w:after="240" w:line="240" w:lineRule="auto"/>
        <w:rPr>
          <w:rFonts w:eastAsia="Times New Roman" w:cstheme="minorHAnsi"/>
          <w:bCs/>
          <w:lang w:val="sr-Latn-ME"/>
        </w:rPr>
      </w:pPr>
      <w:r w:rsidRPr="00515831">
        <w:rPr>
          <w:rFonts w:eastAsia="Times New Roman" w:cstheme="minorHAnsi"/>
          <w:b/>
          <w:bCs/>
          <w:lang w:val="sr-Latn-ME"/>
        </w:rPr>
        <w:lastRenderedPageBreak/>
        <w:t>Šengenski akcioni plan</w:t>
      </w:r>
      <w:r>
        <w:rPr>
          <w:rStyle w:val="Referencafusnote"/>
          <w:rFonts w:eastAsia="Times New Roman" w:cstheme="minorHAnsi"/>
          <w:bCs/>
          <w:lang w:val="sr-Latn-ME"/>
        </w:rPr>
        <w:footnoteReference w:id="28"/>
      </w:r>
      <w:r>
        <w:rPr>
          <w:rFonts w:eastAsia="Times New Roman" w:cstheme="minorHAnsi"/>
          <w:bCs/>
          <w:lang w:val="sr-Latn-ME"/>
        </w:rPr>
        <w:t xml:space="preserve"> -</w:t>
      </w:r>
      <w:r w:rsidRPr="0096070B">
        <w:rPr>
          <w:rFonts w:eastAsia="Times New Roman" w:cstheme="minorHAnsi"/>
          <w:bCs/>
          <w:lang w:val="sr-Latn-ME"/>
        </w:rPr>
        <w:t xml:space="preserve"> </w:t>
      </w:r>
      <w:r w:rsidRPr="00515831">
        <w:rPr>
          <w:rFonts w:eastAsia="Times New Roman" w:cstheme="minorHAnsi"/>
          <w:bCs/>
          <w:lang w:val="sr-Latn-ME"/>
        </w:rPr>
        <w:t xml:space="preserve">mapa puta za usklađivanje Crne Gore sa šengenskom pravnom tekovinom, koja obuhvata granične kontrole, nadzor granice, povezanost sa SIS/VIS/EURODAC sistemima i usklađivanje </w:t>
      </w:r>
      <w:proofErr w:type="spellStart"/>
      <w:r w:rsidRPr="00515831">
        <w:rPr>
          <w:rFonts w:eastAsia="Times New Roman" w:cstheme="minorHAnsi"/>
          <w:bCs/>
          <w:lang w:val="sr-Latn-ME"/>
        </w:rPr>
        <w:t>vizne</w:t>
      </w:r>
      <w:proofErr w:type="spellEnd"/>
      <w:r w:rsidRPr="00515831">
        <w:rPr>
          <w:rFonts w:eastAsia="Times New Roman" w:cstheme="minorHAnsi"/>
          <w:bCs/>
          <w:lang w:val="sr-Latn-ME"/>
        </w:rPr>
        <w:t xml:space="preserve"> politike.</w:t>
      </w:r>
    </w:p>
    <w:p w14:paraId="5A683168" w14:textId="77777777" w:rsidR="005128AE" w:rsidRDefault="005128AE" w:rsidP="005128AE">
      <w:pPr>
        <w:pStyle w:val="Odlomakpopisa"/>
        <w:numPr>
          <w:ilvl w:val="0"/>
          <w:numId w:val="3"/>
        </w:numPr>
        <w:spacing w:after="240" w:line="240" w:lineRule="auto"/>
        <w:rPr>
          <w:rFonts w:eastAsia="Times New Roman" w:cstheme="minorHAnsi"/>
          <w:bCs/>
          <w:lang w:val="sr-Latn-ME"/>
        </w:rPr>
      </w:pPr>
      <w:r w:rsidRPr="00515831">
        <w:rPr>
          <w:rFonts w:eastAsia="Times New Roman" w:cstheme="minorHAnsi"/>
          <w:b/>
          <w:bCs/>
          <w:lang w:val="sr-Latn-ME"/>
        </w:rPr>
        <w:t>Akcioni plan za ispunjavanje završnih mjerila</w:t>
      </w:r>
      <w:r w:rsidRPr="00515831">
        <w:rPr>
          <w:rFonts w:eastAsia="Times New Roman" w:cstheme="minorHAnsi"/>
          <w:bCs/>
          <w:lang w:val="sr-Latn-ME"/>
        </w:rPr>
        <w:t xml:space="preserve"> u Poglavlju 24 (usvojen 25. aprila 2025. godine).</w:t>
      </w:r>
    </w:p>
    <w:p w14:paraId="6A3C52CC" w14:textId="77777777" w:rsidR="005128AE" w:rsidRPr="00515831" w:rsidRDefault="005128AE" w:rsidP="005128AE">
      <w:pPr>
        <w:rPr>
          <w:lang w:val="sr-Latn-ME"/>
        </w:rPr>
      </w:pPr>
      <w:r w:rsidRPr="00515831">
        <w:rPr>
          <w:b/>
          <w:lang w:val="sr-Latn-ME"/>
        </w:rPr>
        <w:t xml:space="preserve">Institucionalni okvir: </w:t>
      </w:r>
      <w:r w:rsidRPr="00515831">
        <w:rPr>
          <w:lang w:val="sr-Latn-ME"/>
        </w:rPr>
        <w:t xml:space="preserve">Granična policija (u okviru Uprave policije, Ministarstvo unutrašnjih poslova) odgovorna je za kontrole na graničnim </w:t>
      </w:r>
      <w:proofErr w:type="spellStart"/>
      <w:r w:rsidRPr="00515831">
        <w:rPr>
          <w:lang w:val="sr-Latn-ME"/>
        </w:rPr>
        <w:t>prelazima</w:t>
      </w:r>
      <w:proofErr w:type="spellEnd"/>
      <w:r w:rsidRPr="00515831">
        <w:rPr>
          <w:lang w:val="sr-Latn-ME"/>
        </w:rPr>
        <w:t xml:space="preserve"> i nadzor granice. Crna Gora ima 30 graničnih </w:t>
      </w:r>
      <w:proofErr w:type="spellStart"/>
      <w:r w:rsidRPr="00515831">
        <w:rPr>
          <w:lang w:val="sr-Latn-ME"/>
        </w:rPr>
        <w:t>prelaza</w:t>
      </w:r>
      <w:proofErr w:type="spellEnd"/>
      <w:r w:rsidRPr="00515831">
        <w:rPr>
          <w:lang w:val="sr-Latn-ME"/>
        </w:rPr>
        <w:t xml:space="preserve"> (kopnenih, vazdušnih i pomorskih)</w:t>
      </w:r>
      <w:r>
        <w:rPr>
          <w:rStyle w:val="Referencafusnote"/>
          <w:rFonts w:eastAsia="Times New Roman" w:cstheme="minorHAnsi"/>
          <w:bCs/>
          <w:lang w:val="sr-Latn-ME"/>
        </w:rPr>
        <w:footnoteReference w:id="29"/>
      </w:r>
      <w:r w:rsidRPr="00515831">
        <w:rPr>
          <w:lang w:val="sr-Latn-ME"/>
        </w:rPr>
        <w:t>. Sistem nadzora kopnene granice još uvijek ne ispunjava u potpunosti zahtjeve EU za otkrivanje i presreta</w:t>
      </w:r>
      <w:r>
        <w:rPr>
          <w:lang w:val="sr-Latn-ME"/>
        </w:rPr>
        <w:t>nje u visokorizičnim područjima</w:t>
      </w:r>
      <w:r>
        <w:rPr>
          <w:rStyle w:val="Referencafusnote"/>
          <w:rFonts w:eastAsia="Times New Roman" w:cstheme="minorHAnsi"/>
          <w:bCs/>
          <w:lang w:val="sr-Latn-ME"/>
        </w:rPr>
        <w:footnoteReference w:id="30"/>
      </w:r>
      <w:r w:rsidRPr="00515831">
        <w:rPr>
          <w:lang w:val="sr-Latn-ME"/>
        </w:rPr>
        <w:t>. Granična policija trenutno koristi uzimanje otisaka prstiju mastilom na papiru, bez sistema za upravljanje, pretragu i razmjenu biometrijskih podataka, što predstavlja ključni nedosta</w:t>
      </w:r>
      <w:r>
        <w:rPr>
          <w:lang w:val="sr-Latn-ME"/>
        </w:rPr>
        <w:t>tak za usklađivanje sa Šengenom</w:t>
      </w:r>
      <w:r>
        <w:rPr>
          <w:rStyle w:val="Referencafusnote"/>
          <w:rFonts w:eastAsia="Times New Roman" w:cstheme="minorHAnsi"/>
          <w:bCs/>
          <w:lang w:val="sr-Latn-ME"/>
        </w:rPr>
        <w:footnoteReference w:id="31"/>
      </w:r>
      <w:r w:rsidRPr="00515831">
        <w:rPr>
          <w:lang w:val="sr-Latn-ME"/>
        </w:rPr>
        <w:t>.</w:t>
      </w:r>
    </w:p>
    <w:p w14:paraId="27414B28" w14:textId="77777777" w:rsidR="005128AE" w:rsidRDefault="005128AE" w:rsidP="005128AE">
      <w:pPr>
        <w:rPr>
          <w:b/>
          <w:lang w:val="sr-Latn-ME"/>
        </w:rPr>
      </w:pPr>
      <w:r w:rsidRPr="00515831">
        <w:rPr>
          <w:b/>
          <w:lang w:val="sr-Latn-ME"/>
        </w:rPr>
        <w:t xml:space="preserve">Saradnja sa </w:t>
      </w:r>
      <w:proofErr w:type="spellStart"/>
      <w:r w:rsidRPr="00515831">
        <w:rPr>
          <w:b/>
          <w:lang w:val="sr-Latn-ME"/>
        </w:rPr>
        <w:t>Frontexom</w:t>
      </w:r>
      <w:proofErr w:type="spellEnd"/>
      <w:r w:rsidRPr="00515831">
        <w:rPr>
          <w:b/>
          <w:lang w:val="sr-Latn-ME"/>
        </w:rPr>
        <w:t xml:space="preserve">: </w:t>
      </w:r>
      <w:r w:rsidRPr="00515831">
        <w:rPr>
          <w:lang w:val="sr-Latn-ME"/>
        </w:rPr>
        <w:t xml:space="preserve">unaprijeđeni Statusni sporazum stupio je na snagu 1. jula 2023. godine, omogućavajući raspoređivanje službenika stalnog korpusa </w:t>
      </w:r>
      <w:proofErr w:type="spellStart"/>
      <w:r w:rsidRPr="00515831">
        <w:rPr>
          <w:lang w:val="sr-Latn-ME"/>
        </w:rPr>
        <w:t>Frontex</w:t>
      </w:r>
      <w:proofErr w:type="spellEnd"/>
      <w:r>
        <w:rPr>
          <w:lang w:val="sr-Latn-ME"/>
        </w:rPr>
        <w:t>-</w:t>
      </w:r>
      <w:r w:rsidRPr="00515831">
        <w:rPr>
          <w:lang w:val="sr-Latn-ME"/>
        </w:rPr>
        <w:t xml:space="preserve">a na granicama Crne Gore. Zajedničke operacije počele su u januaru 2025. godine. </w:t>
      </w:r>
      <w:proofErr w:type="spellStart"/>
      <w:r w:rsidRPr="00515831">
        <w:rPr>
          <w:lang w:val="sr-Latn-ME"/>
        </w:rPr>
        <w:t>Frontex</w:t>
      </w:r>
      <w:proofErr w:type="spellEnd"/>
      <w:r w:rsidRPr="00515831">
        <w:rPr>
          <w:lang w:val="sr-Latn-ME"/>
        </w:rPr>
        <w:t xml:space="preserve"> je rasporedio Zajednički tim za </w:t>
      </w:r>
      <w:proofErr w:type="spellStart"/>
      <w:r w:rsidRPr="00515831">
        <w:rPr>
          <w:lang w:val="sr-Latn-ME"/>
        </w:rPr>
        <w:t>debrifing</w:t>
      </w:r>
      <w:proofErr w:type="spellEnd"/>
      <w:r w:rsidRPr="00515831">
        <w:rPr>
          <w:lang w:val="sr-Latn-ME"/>
        </w:rPr>
        <w:t xml:space="preserve"> u Centru za prihvat stranaca i pruža materijalnu i tehničku podršku, uključujući opremu za nadzor</w:t>
      </w:r>
      <w:r>
        <w:rPr>
          <w:rStyle w:val="Referencafusnote"/>
          <w:rFonts w:eastAsia="Times New Roman" w:cstheme="minorHAnsi"/>
          <w:bCs/>
          <w:lang w:val="sr-Latn-ME"/>
        </w:rPr>
        <w:footnoteReference w:id="32"/>
      </w:r>
      <w:r>
        <w:rPr>
          <w:lang w:val="sr-Latn-ME"/>
        </w:rPr>
        <w:t>.</w:t>
      </w:r>
      <w:r w:rsidRPr="0096070B">
        <w:rPr>
          <w:lang w:val="sr-Latn-ME"/>
        </w:rPr>
        <w:t xml:space="preserve"> </w:t>
      </w:r>
      <w:r w:rsidRPr="00515831">
        <w:rPr>
          <w:lang w:val="sr-Latn-ME"/>
        </w:rPr>
        <w:t xml:space="preserve">Oficir za vezu </w:t>
      </w:r>
      <w:proofErr w:type="spellStart"/>
      <w:r w:rsidRPr="00515831">
        <w:rPr>
          <w:lang w:val="sr-Latn-ME"/>
        </w:rPr>
        <w:t>Frontexa</w:t>
      </w:r>
      <w:proofErr w:type="spellEnd"/>
      <w:r w:rsidRPr="00515831">
        <w:rPr>
          <w:lang w:val="sr-Latn-ME"/>
        </w:rPr>
        <w:t xml:space="preserve"> sa sjedištem u Tirani pokriva Crnu Goru zajedno sa Albanijom, Kosovom i Sjevernom Makedonijom.</w:t>
      </w:r>
    </w:p>
    <w:p w14:paraId="34005EBA" w14:textId="77777777" w:rsidR="005128AE" w:rsidRDefault="005128AE" w:rsidP="005128AE">
      <w:pPr>
        <w:pStyle w:val="Naslov4"/>
        <w:rPr>
          <w:rFonts w:eastAsia="Times New Roman"/>
          <w:lang w:val="sr-Latn-ME"/>
        </w:rPr>
      </w:pPr>
      <w:r w:rsidRPr="004D1857">
        <w:rPr>
          <w:rFonts w:eastAsia="Times New Roman"/>
          <w:lang w:val="sr-Latn-ME"/>
        </w:rPr>
        <w:t>Azil i međunarodna zaštita</w:t>
      </w:r>
    </w:p>
    <w:p w14:paraId="0D3ECABC" w14:textId="77777777" w:rsidR="005128AE" w:rsidRPr="0096070B" w:rsidRDefault="005128AE" w:rsidP="005128AE">
      <w:pPr>
        <w:spacing w:after="240"/>
        <w:rPr>
          <w:rFonts w:eastAsia="Times New Roman" w:cstheme="minorHAnsi"/>
          <w:b/>
          <w:bCs/>
          <w:lang w:val="sr-Latn-ME"/>
        </w:rPr>
      </w:pPr>
      <w:r>
        <w:rPr>
          <w:rFonts w:eastAsia="Times New Roman" w:cstheme="minorHAnsi"/>
          <w:b/>
          <w:bCs/>
          <w:lang w:val="sr-Latn-ME"/>
        </w:rPr>
        <w:t>Ključni propisi:</w:t>
      </w:r>
    </w:p>
    <w:p w14:paraId="3CF43483" w14:textId="77777777" w:rsidR="005128AE" w:rsidRPr="009840C6" w:rsidRDefault="005128AE" w:rsidP="005128AE">
      <w:pPr>
        <w:pStyle w:val="Odlomakpopisa"/>
        <w:numPr>
          <w:ilvl w:val="0"/>
          <w:numId w:val="4"/>
        </w:numPr>
        <w:spacing w:after="240" w:line="240" w:lineRule="auto"/>
        <w:rPr>
          <w:rFonts w:eastAsia="Times New Roman" w:cstheme="minorHAnsi"/>
          <w:bCs/>
          <w:lang w:val="sr-Latn-ME"/>
        </w:rPr>
      </w:pPr>
      <w:r w:rsidRPr="004D1857">
        <w:rPr>
          <w:rFonts w:eastAsia="Times New Roman" w:cstheme="minorHAnsi"/>
          <w:b/>
          <w:bCs/>
          <w:lang w:val="sr-Latn-ME"/>
        </w:rPr>
        <w:t xml:space="preserve">Zakon o međunarodnoj i privremenoj zaštiti stranaca </w:t>
      </w:r>
      <w:r w:rsidRPr="00D947DF">
        <w:rPr>
          <w:rFonts w:eastAsia="Times New Roman" w:cstheme="minorHAnsi"/>
          <w:bCs/>
          <w:lang w:val="sr-Latn-ME"/>
        </w:rPr>
        <w:t>(Sl. list CG, br. 2/17, 3/19, 77/24)</w:t>
      </w:r>
      <w:r w:rsidRPr="004D1857">
        <w:rPr>
          <w:rFonts w:eastAsia="Times New Roman" w:cstheme="minorHAnsi"/>
          <w:b/>
          <w:bCs/>
          <w:lang w:val="sr-Latn-ME"/>
        </w:rPr>
        <w:t xml:space="preserve"> </w:t>
      </w:r>
      <w:r>
        <w:rPr>
          <w:rFonts w:eastAsia="Times New Roman" w:cstheme="minorHAnsi"/>
          <w:bCs/>
          <w:lang w:val="sr-Latn-ME"/>
        </w:rPr>
        <w:t>-</w:t>
      </w:r>
      <w:r w:rsidRPr="004D1857">
        <w:rPr>
          <w:rFonts w:eastAsia="Times New Roman" w:cstheme="minorHAnsi"/>
          <w:bCs/>
          <w:lang w:val="sr-Latn-ME"/>
        </w:rPr>
        <w:t xml:space="preserve"> uređuje procedure azila (dvostepene: iskazivanje namjere i formalno podnošenje zahtjeva u roku od 15 dana), utvrđivanje statusa izbjeglice, </w:t>
      </w:r>
      <w:proofErr w:type="spellStart"/>
      <w:r w:rsidRPr="004D1857">
        <w:rPr>
          <w:rFonts w:eastAsia="Times New Roman" w:cstheme="minorHAnsi"/>
          <w:bCs/>
          <w:lang w:val="sr-Latn-ME"/>
        </w:rPr>
        <w:t>supsidijarnu</w:t>
      </w:r>
      <w:proofErr w:type="spellEnd"/>
      <w:r w:rsidRPr="004D1857">
        <w:rPr>
          <w:rFonts w:eastAsia="Times New Roman" w:cstheme="minorHAnsi"/>
          <w:bCs/>
          <w:lang w:val="sr-Latn-ME"/>
        </w:rPr>
        <w:t xml:space="preserve"> zaštitu i privremenu zaštitu. Crna Gora je aktivirala privremenu zaštitu za državljane Ukrajine u martu 2022. godine na osnovu ovog zakona, koja je produžavana naknadnim uredbama Vlade</w:t>
      </w:r>
      <w:r>
        <w:rPr>
          <w:rStyle w:val="Referencafusnote"/>
          <w:rFonts w:eastAsia="Times New Roman" w:cstheme="minorHAnsi"/>
          <w:bCs/>
          <w:lang w:val="sr-Latn-ME"/>
        </w:rPr>
        <w:footnoteReference w:id="33"/>
      </w:r>
      <w:r w:rsidRPr="009840C6">
        <w:rPr>
          <w:rFonts w:eastAsia="Times New Roman" w:cstheme="minorHAnsi"/>
          <w:bCs/>
          <w:lang w:val="sr-Latn-ME"/>
        </w:rPr>
        <w:t>.</w:t>
      </w:r>
    </w:p>
    <w:p w14:paraId="7F8F517D" w14:textId="77777777" w:rsidR="005128AE" w:rsidRPr="009840C6" w:rsidRDefault="005128AE" w:rsidP="005128AE">
      <w:pPr>
        <w:pStyle w:val="Odlomakpopisa"/>
        <w:numPr>
          <w:ilvl w:val="0"/>
          <w:numId w:val="4"/>
        </w:numPr>
        <w:spacing w:after="240" w:line="240" w:lineRule="auto"/>
        <w:rPr>
          <w:rFonts w:eastAsia="Times New Roman" w:cstheme="minorHAnsi"/>
          <w:bCs/>
          <w:lang w:val="sr-Latn-ME"/>
        </w:rPr>
      </w:pPr>
      <w:r w:rsidRPr="00D947DF">
        <w:rPr>
          <w:rFonts w:eastAsia="Times New Roman" w:cstheme="minorHAnsi"/>
          <w:b/>
          <w:bCs/>
          <w:lang w:val="sr-Latn-ME"/>
        </w:rPr>
        <w:t>Konvencija o statusu izbjeglica</w:t>
      </w:r>
      <w:r w:rsidRPr="004D1857">
        <w:rPr>
          <w:rFonts w:eastAsia="Times New Roman" w:cstheme="minorHAnsi"/>
          <w:bCs/>
          <w:lang w:val="sr-Latn-ME"/>
        </w:rPr>
        <w:t xml:space="preserve"> iz 1951. godine i Protokol iz 1967. godine, kojima je Cr</w:t>
      </w:r>
      <w:r>
        <w:rPr>
          <w:rFonts w:eastAsia="Times New Roman" w:cstheme="minorHAnsi"/>
          <w:bCs/>
          <w:lang w:val="sr-Latn-ME"/>
        </w:rPr>
        <w:t>na Gora pristupila 2006. godine</w:t>
      </w:r>
      <w:r>
        <w:rPr>
          <w:rStyle w:val="Referencafusnote"/>
          <w:rFonts w:eastAsia="Times New Roman" w:cstheme="minorHAnsi"/>
          <w:bCs/>
          <w:lang w:val="sr-Latn-ME"/>
        </w:rPr>
        <w:footnoteReference w:id="34"/>
      </w:r>
      <w:r w:rsidRPr="009840C6">
        <w:rPr>
          <w:rFonts w:eastAsia="Times New Roman" w:cstheme="minorHAnsi"/>
          <w:bCs/>
          <w:lang w:val="sr-Latn-ME"/>
        </w:rPr>
        <w:t>.</w:t>
      </w:r>
    </w:p>
    <w:p w14:paraId="383628B0" w14:textId="77777777" w:rsidR="005128AE" w:rsidRPr="009840C6" w:rsidRDefault="005128AE" w:rsidP="005128AE">
      <w:pPr>
        <w:pStyle w:val="Odlomakpopisa"/>
        <w:numPr>
          <w:ilvl w:val="0"/>
          <w:numId w:val="4"/>
        </w:numPr>
        <w:spacing w:after="240" w:line="240" w:lineRule="auto"/>
        <w:rPr>
          <w:rFonts w:eastAsia="Times New Roman" w:cstheme="minorHAnsi"/>
          <w:bCs/>
          <w:lang w:val="sr-Latn-ME"/>
        </w:rPr>
      </w:pPr>
      <w:r w:rsidRPr="00D947DF">
        <w:rPr>
          <w:rFonts w:eastAsia="Times New Roman" w:cstheme="minorHAnsi"/>
          <w:b/>
          <w:bCs/>
          <w:lang w:val="sr-Latn-ME"/>
        </w:rPr>
        <w:t>Konvencija o statusu lica bez državljanstva</w:t>
      </w:r>
      <w:r w:rsidRPr="004D1857">
        <w:rPr>
          <w:rFonts w:eastAsia="Times New Roman" w:cstheme="minorHAnsi"/>
          <w:bCs/>
          <w:lang w:val="sr-Latn-ME"/>
        </w:rPr>
        <w:t xml:space="preserve"> iz 1954. godine (pristupanje 2006. godine) i Konvencija o smanjenju </w:t>
      </w:r>
      <w:proofErr w:type="spellStart"/>
      <w:r w:rsidRPr="004D1857">
        <w:rPr>
          <w:rFonts w:eastAsia="Times New Roman" w:cstheme="minorHAnsi"/>
          <w:bCs/>
          <w:lang w:val="sr-Latn-ME"/>
        </w:rPr>
        <w:t>apatridije</w:t>
      </w:r>
      <w:proofErr w:type="spellEnd"/>
      <w:r w:rsidRPr="004D1857">
        <w:rPr>
          <w:rFonts w:eastAsia="Times New Roman" w:cstheme="minorHAnsi"/>
          <w:bCs/>
          <w:lang w:val="sr-Latn-ME"/>
        </w:rPr>
        <w:t xml:space="preserve"> iz 1961. godine</w:t>
      </w:r>
      <w:r>
        <w:rPr>
          <w:rStyle w:val="Referencafusnote"/>
          <w:rFonts w:eastAsia="Times New Roman" w:cstheme="minorHAnsi"/>
          <w:bCs/>
          <w:lang w:val="sr-Latn-ME"/>
        </w:rPr>
        <w:footnoteReference w:id="35"/>
      </w:r>
      <w:r w:rsidRPr="009840C6">
        <w:rPr>
          <w:rFonts w:eastAsia="Times New Roman" w:cstheme="minorHAnsi"/>
          <w:bCs/>
          <w:lang w:val="sr-Latn-ME"/>
        </w:rPr>
        <w:t>.</w:t>
      </w:r>
    </w:p>
    <w:p w14:paraId="10C3C095" w14:textId="77777777" w:rsidR="005128AE" w:rsidRPr="009840C6" w:rsidRDefault="005128AE" w:rsidP="005128AE">
      <w:pPr>
        <w:rPr>
          <w:lang w:val="sr-Latn-ME"/>
        </w:rPr>
      </w:pPr>
      <w:r w:rsidRPr="002C724F">
        <w:rPr>
          <w:b/>
          <w:lang w:val="sr-Latn-ME"/>
        </w:rPr>
        <w:t xml:space="preserve">Institucionalni okvir: </w:t>
      </w:r>
      <w:r w:rsidRPr="002C724F">
        <w:rPr>
          <w:lang w:val="sr-Latn-ME"/>
        </w:rPr>
        <w:t>Direktorat za azil (u okviru Ministarstva unutrašnjih poslova) odgovoran je za utvrđivanje statusa izbjeglice. Prihvatni centri uključuju Centar za azil u Spužu</w:t>
      </w:r>
      <w:r>
        <w:rPr>
          <w:rStyle w:val="Referencafusnote"/>
          <w:rFonts w:eastAsia="Times New Roman" w:cstheme="minorHAnsi"/>
          <w:bCs/>
          <w:lang w:val="sr-Latn-ME"/>
        </w:rPr>
        <w:footnoteReference w:id="36"/>
      </w:r>
      <w:r w:rsidRPr="009840C6">
        <w:rPr>
          <w:lang w:val="sr-Latn-ME"/>
        </w:rPr>
        <w:t xml:space="preserve"> </w:t>
      </w:r>
      <w:r w:rsidRPr="002C724F">
        <w:rPr>
          <w:lang w:val="sr-Latn-ME"/>
        </w:rPr>
        <w:t xml:space="preserve">primarni prihvatni objekat, renoviran i proširen) i Otvoreni tranzitni centar u </w:t>
      </w:r>
      <w:proofErr w:type="spellStart"/>
      <w:r w:rsidRPr="002C724F">
        <w:rPr>
          <w:lang w:val="sr-Latn-ME"/>
        </w:rPr>
        <w:t>Božaju</w:t>
      </w:r>
      <w:proofErr w:type="spellEnd"/>
      <w:r w:rsidRPr="002C724F">
        <w:rPr>
          <w:lang w:val="sr-Latn-ME"/>
        </w:rPr>
        <w:t xml:space="preserve"> </w:t>
      </w:r>
      <w:r w:rsidRPr="009840C6">
        <w:rPr>
          <w:lang w:val="sr-Latn-ME"/>
        </w:rPr>
        <w:t>(</w:t>
      </w:r>
      <w:r>
        <w:rPr>
          <w:lang w:val="sr-Latn-ME"/>
        </w:rPr>
        <w:t xml:space="preserve">unaprijeđen uz podršku </w:t>
      </w:r>
      <w:r>
        <w:rPr>
          <w:lang w:val="sr-Latn-ME"/>
        </w:rPr>
        <w:lastRenderedPageBreak/>
        <w:t>IOM-a)</w:t>
      </w:r>
      <w:r>
        <w:rPr>
          <w:rStyle w:val="Referencafusnote"/>
          <w:rFonts w:eastAsia="Times New Roman" w:cstheme="minorHAnsi"/>
          <w:bCs/>
          <w:lang w:val="sr-Latn-ME"/>
        </w:rPr>
        <w:footnoteReference w:id="37"/>
      </w:r>
      <w:r>
        <w:rPr>
          <w:lang w:val="sr-Latn-ME"/>
        </w:rPr>
        <w:t>.</w:t>
      </w:r>
      <w:r w:rsidRPr="009840C6">
        <w:rPr>
          <w:lang w:val="sr-Latn-ME"/>
        </w:rPr>
        <w:t xml:space="preserve"> </w:t>
      </w:r>
      <w:r w:rsidRPr="002C724F">
        <w:rPr>
          <w:lang w:val="sr-Latn-ME"/>
        </w:rPr>
        <w:t>Mapa puta za saradnju sa EUAA (Agencija EU za azil) za period 2025–2027 potpisana je u martu 2025. godine, zamjenjujući prethodnu mapu puta i pružajući tehničku podršku u oblasti procedura azila, standarda prijema i i</w:t>
      </w:r>
      <w:r>
        <w:rPr>
          <w:lang w:val="sr-Latn-ME"/>
        </w:rPr>
        <w:t>nformacija o zemljama porijekla</w:t>
      </w:r>
      <w:r>
        <w:rPr>
          <w:rStyle w:val="Referencafusnote"/>
          <w:rFonts w:eastAsia="Times New Roman" w:cstheme="minorHAnsi"/>
          <w:bCs/>
          <w:lang w:val="sr-Latn-ME"/>
        </w:rPr>
        <w:footnoteReference w:id="38"/>
      </w:r>
      <w:r w:rsidRPr="009840C6">
        <w:rPr>
          <w:lang w:val="sr-Latn-ME"/>
        </w:rPr>
        <w:t>.</w:t>
      </w:r>
    </w:p>
    <w:p w14:paraId="40BFC309" w14:textId="77777777" w:rsidR="005128AE" w:rsidRDefault="005128AE" w:rsidP="005128AE">
      <w:pPr>
        <w:rPr>
          <w:lang w:val="sr-Latn-ME"/>
        </w:rPr>
      </w:pPr>
      <w:r w:rsidRPr="002C724F">
        <w:rPr>
          <w:lang w:val="sr-Latn-ME"/>
        </w:rPr>
        <w:t xml:space="preserve">UNHCR podržava Crnu Goru u jačanju procedura azila, </w:t>
      </w:r>
      <w:proofErr w:type="spellStart"/>
      <w:r w:rsidRPr="002C724F">
        <w:rPr>
          <w:lang w:val="sr-Latn-ME"/>
        </w:rPr>
        <w:t>unapređenju</w:t>
      </w:r>
      <w:proofErr w:type="spellEnd"/>
      <w:r w:rsidRPr="002C724F">
        <w:rPr>
          <w:lang w:val="sr-Latn-ME"/>
        </w:rPr>
        <w:t xml:space="preserve"> standarda prijema, podsticanju </w:t>
      </w:r>
      <w:proofErr w:type="spellStart"/>
      <w:r w:rsidRPr="002C724F">
        <w:rPr>
          <w:lang w:val="sr-Latn-ME"/>
        </w:rPr>
        <w:t>socio</w:t>
      </w:r>
      <w:proofErr w:type="spellEnd"/>
      <w:r w:rsidRPr="002C724F">
        <w:rPr>
          <w:lang w:val="sr-Latn-ME"/>
        </w:rPr>
        <w:t xml:space="preserve">-ekonomske inkluzije izbjeglica i tražilaca azila, kao i </w:t>
      </w:r>
      <w:r>
        <w:rPr>
          <w:lang w:val="sr-Latn-ME"/>
        </w:rPr>
        <w:t xml:space="preserve">u rješavanju pitanja </w:t>
      </w:r>
      <w:proofErr w:type="spellStart"/>
      <w:r>
        <w:rPr>
          <w:lang w:val="sr-Latn-ME"/>
        </w:rPr>
        <w:t>apatridije</w:t>
      </w:r>
      <w:proofErr w:type="spellEnd"/>
      <w:r>
        <w:rPr>
          <w:rStyle w:val="Referencafusnote"/>
          <w:rFonts w:eastAsia="Times New Roman" w:cstheme="minorHAnsi"/>
          <w:bCs/>
          <w:lang w:val="sr-Latn-ME"/>
        </w:rPr>
        <w:footnoteReference w:id="39"/>
      </w:r>
      <w:r w:rsidRPr="009840C6">
        <w:rPr>
          <w:lang w:val="sr-Latn-ME"/>
        </w:rPr>
        <w:t xml:space="preserve">. </w:t>
      </w:r>
      <w:r w:rsidRPr="002C724F">
        <w:rPr>
          <w:lang w:val="sr-Latn-ME"/>
        </w:rPr>
        <w:t xml:space="preserve">Crna Gora je ostvarila napredak u procedurama utvrđivanja </w:t>
      </w:r>
      <w:proofErr w:type="spellStart"/>
      <w:r w:rsidRPr="002C724F">
        <w:rPr>
          <w:lang w:val="sr-Latn-ME"/>
        </w:rPr>
        <w:t>apatridije</w:t>
      </w:r>
      <w:proofErr w:type="spellEnd"/>
      <w:r w:rsidRPr="002C724F">
        <w:rPr>
          <w:lang w:val="sr-Latn-ME"/>
        </w:rPr>
        <w:t xml:space="preserve"> (SDP</w:t>
      </w:r>
      <w:r>
        <w:rPr>
          <w:lang w:val="sr-Latn-ME"/>
        </w:rPr>
        <w:t xml:space="preserve"> - </w:t>
      </w:r>
      <w:proofErr w:type="spellStart"/>
      <w:r w:rsidRPr="009840C6">
        <w:rPr>
          <w:lang w:val="sr-Latn-ME"/>
        </w:rPr>
        <w:t>statelessness</w:t>
      </w:r>
      <w:proofErr w:type="spellEnd"/>
      <w:r w:rsidRPr="009840C6">
        <w:rPr>
          <w:lang w:val="sr-Latn-ME"/>
        </w:rPr>
        <w:t xml:space="preserve"> </w:t>
      </w:r>
      <w:proofErr w:type="spellStart"/>
      <w:r w:rsidRPr="009840C6">
        <w:rPr>
          <w:lang w:val="sr-Latn-ME"/>
        </w:rPr>
        <w:t>determination</w:t>
      </w:r>
      <w:proofErr w:type="spellEnd"/>
      <w:r w:rsidRPr="009840C6">
        <w:rPr>
          <w:lang w:val="sr-Latn-ME"/>
        </w:rPr>
        <w:t xml:space="preserve"> </w:t>
      </w:r>
      <w:proofErr w:type="spellStart"/>
      <w:r w:rsidRPr="009840C6">
        <w:rPr>
          <w:lang w:val="sr-Latn-ME"/>
        </w:rPr>
        <w:t>procedures</w:t>
      </w:r>
      <w:proofErr w:type="spellEnd"/>
      <w:r w:rsidRPr="002C724F">
        <w:rPr>
          <w:lang w:val="sr-Latn-ME"/>
        </w:rPr>
        <w:t>) i održava gotovo univerzalnu pokrivenost registracije rođenja.</w:t>
      </w:r>
    </w:p>
    <w:p w14:paraId="17A9FEDF" w14:textId="77777777" w:rsidR="005128AE" w:rsidRDefault="005128AE" w:rsidP="005128AE">
      <w:pPr>
        <w:pStyle w:val="Naslov4"/>
        <w:rPr>
          <w:rFonts w:eastAsia="Times New Roman"/>
          <w:lang w:val="sr-Latn-ME"/>
        </w:rPr>
      </w:pPr>
      <w:r w:rsidRPr="00B876DB">
        <w:rPr>
          <w:rFonts w:eastAsia="Times New Roman"/>
          <w:lang w:val="sr-Latn-ME"/>
        </w:rPr>
        <w:t>Migracije i vize</w:t>
      </w:r>
    </w:p>
    <w:p w14:paraId="6FA3793D" w14:textId="77777777" w:rsidR="005128AE" w:rsidRPr="0096070B" w:rsidRDefault="005128AE" w:rsidP="005128AE">
      <w:pPr>
        <w:spacing w:after="240"/>
        <w:rPr>
          <w:rFonts w:eastAsia="Times New Roman" w:cstheme="minorHAnsi"/>
          <w:b/>
          <w:bCs/>
          <w:lang w:val="sr-Latn-ME"/>
        </w:rPr>
      </w:pPr>
      <w:r>
        <w:rPr>
          <w:rFonts w:eastAsia="Times New Roman" w:cstheme="minorHAnsi"/>
          <w:b/>
          <w:bCs/>
          <w:lang w:val="sr-Latn-ME"/>
        </w:rPr>
        <w:t>Ključni strateški dokumenti:</w:t>
      </w:r>
    </w:p>
    <w:p w14:paraId="6D6F1D42" w14:textId="77777777" w:rsidR="005128AE" w:rsidRPr="008E618D" w:rsidRDefault="005128AE" w:rsidP="005128AE">
      <w:pPr>
        <w:pStyle w:val="Odlomakpopisa"/>
        <w:numPr>
          <w:ilvl w:val="0"/>
          <w:numId w:val="5"/>
        </w:numPr>
        <w:spacing w:after="240" w:line="240" w:lineRule="auto"/>
        <w:rPr>
          <w:rFonts w:eastAsia="Times New Roman" w:cstheme="minorHAnsi"/>
          <w:bCs/>
          <w:lang w:val="sr-Latn-ME"/>
        </w:rPr>
      </w:pPr>
      <w:r w:rsidRPr="00B876DB">
        <w:rPr>
          <w:rFonts w:eastAsia="Times New Roman" w:cstheme="minorHAnsi"/>
          <w:b/>
          <w:bCs/>
          <w:lang w:val="sr-Latn-ME"/>
        </w:rPr>
        <w:t>Strategija o migracijama i reintegraciji povratnika 2021</w:t>
      </w:r>
      <w:r>
        <w:rPr>
          <w:rFonts w:eastAsia="Times New Roman" w:cstheme="minorHAnsi"/>
          <w:b/>
          <w:bCs/>
          <w:lang w:val="sr-Latn-ME"/>
        </w:rPr>
        <w:t>-</w:t>
      </w:r>
      <w:r w:rsidRPr="00B876DB">
        <w:rPr>
          <w:rFonts w:eastAsia="Times New Roman" w:cstheme="minorHAnsi"/>
          <w:b/>
          <w:bCs/>
          <w:lang w:val="sr-Latn-ME"/>
        </w:rPr>
        <w:t>2025</w:t>
      </w:r>
      <w:r>
        <w:rPr>
          <w:rStyle w:val="Referencafusnote"/>
          <w:rFonts w:eastAsia="Times New Roman" w:cstheme="minorHAnsi"/>
          <w:bCs/>
          <w:lang w:val="sr-Latn-ME"/>
        </w:rPr>
        <w:footnoteReference w:id="40"/>
      </w:r>
      <w:r>
        <w:rPr>
          <w:rFonts w:eastAsia="Times New Roman" w:cstheme="minorHAnsi"/>
          <w:bCs/>
          <w:lang w:val="sr-Latn-ME"/>
        </w:rPr>
        <w:t xml:space="preserve"> -</w:t>
      </w:r>
      <w:r w:rsidRPr="008E618D">
        <w:rPr>
          <w:rFonts w:eastAsia="Times New Roman" w:cstheme="minorHAnsi"/>
          <w:bCs/>
          <w:lang w:val="sr-Latn-ME"/>
        </w:rPr>
        <w:t xml:space="preserve"> </w:t>
      </w:r>
      <w:r w:rsidRPr="00B876DB">
        <w:rPr>
          <w:rFonts w:eastAsia="Times New Roman" w:cstheme="minorHAnsi"/>
          <w:bCs/>
          <w:lang w:val="sr-Latn-ME"/>
        </w:rPr>
        <w:t>obuhvata mjere za reintegraciju povratnika i integraciju lica kojima je potrebna međunarodna zaštita</w:t>
      </w:r>
      <w:r w:rsidRPr="008E618D">
        <w:rPr>
          <w:rFonts w:eastAsia="Times New Roman" w:cstheme="minorHAnsi"/>
          <w:bCs/>
          <w:lang w:val="sr-Latn-ME"/>
        </w:rPr>
        <w:t xml:space="preserve">. </w:t>
      </w:r>
    </w:p>
    <w:p w14:paraId="5AC24FCE" w14:textId="77777777" w:rsidR="005128AE" w:rsidRPr="008E618D" w:rsidRDefault="005128AE" w:rsidP="005128AE">
      <w:pPr>
        <w:pStyle w:val="Odlomakpopisa"/>
        <w:numPr>
          <w:ilvl w:val="0"/>
          <w:numId w:val="5"/>
        </w:numPr>
        <w:spacing w:after="240" w:line="240" w:lineRule="auto"/>
        <w:rPr>
          <w:rFonts w:eastAsia="Times New Roman" w:cstheme="minorHAnsi"/>
          <w:bCs/>
          <w:lang w:val="sr-Latn-ME"/>
        </w:rPr>
      </w:pPr>
      <w:r w:rsidRPr="00B876DB">
        <w:rPr>
          <w:rFonts w:eastAsia="Times New Roman" w:cstheme="minorHAnsi"/>
          <w:b/>
          <w:bCs/>
          <w:lang w:val="sr-Latn-ME"/>
        </w:rPr>
        <w:t xml:space="preserve">Strategija za borbu protiv trgovine </w:t>
      </w:r>
      <w:proofErr w:type="spellStart"/>
      <w:r w:rsidRPr="00B876DB">
        <w:rPr>
          <w:rFonts w:eastAsia="Times New Roman" w:cstheme="minorHAnsi"/>
          <w:b/>
          <w:bCs/>
          <w:lang w:val="sr-Latn-ME"/>
        </w:rPr>
        <w:t>ljudima</w:t>
      </w:r>
      <w:proofErr w:type="spellEnd"/>
      <w:r w:rsidRPr="00B876DB">
        <w:rPr>
          <w:rFonts w:eastAsia="Times New Roman" w:cstheme="minorHAnsi"/>
          <w:b/>
          <w:bCs/>
          <w:lang w:val="sr-Latn-ME"/>
        </w:rPr>
        <w:t xml:space="preserve"> 2019</w:t>
      </w:r>
      <w:r>
        <w:rPr>
          <w:rFonts w:eastAsia="Times New Roman" w:cstheme="minorHAnsi"/>
          <w:b/>
          <w:bCs/>
          <w:lang w:val="sr-Latn-ME"/>
        </w:rPr>
        <w:t>-</w:t>
      </w:r>
      <w:r w:rsidRPr="00B876DB">
        <w:rPr>
          <w:rFonts w:eastAsia="Times New Roman" w:cstheme="minorHAnsi"/>
          <w:b/>
          <w:bCs/>
          <w:lang w:val="sr-Latn-ME"/>
        </w:rPr>
        <w:t>2024</w:t>
      </w:r>
      <w:r>
        <w:rPr>
          <w:rStyle w:val="Referencafusnote"/>
          <w:rFonts w:eastAsia="Times New Roman" w:cstheme="minorHAnsi"/>
          <w:bCs/>
          <w:lang w:val="sr-Latn-ME"/>
        </w:rPr>
        <w:footnoteReference w:id="41"/>
      </w:r>
      <w:r w:rsidRPr="008E618D">
        <w:rPr>
          <w:rFonts w:eastAsia="Times New Roman" w:cstheme="minorHAnsi"/>
          <w:bCs/>
          <w:lang w:val="sr-Latn-ME"/>
        </w:rPr>
        <w:t xml:space="preserve"> (</w:t>
      </w:r>
      <w:r w:rsidRPr="00B876DB">
        <w:rPr>
          <w:rFonts w:eastAsia="Times New Roman" w:cstheme="minorHAnsi"/>
          <w:bCs/>
          <w:lang w:val="sr-Latn-ME"/>
        </w:rPr>
        <w:t>nova strategija za period 2025–2028 je u izradi – takođe obrađena u okviru PA15)</w:t>
      </w:r>
      <w:r>
        <w:rPr>
          <w:rStyle w:val="Referencafusnote"/>
          <w:rFonts w:eastAsia="Times New Roman" w:cstheme="minorHAnsi"/>
          <w:bCs/>
          <w:lang w:val="sr-Latn-ME"/>
        </w:rPr>
        <w:footnoteReference w:id="42"/>
      </w:r>
      <w:r w:rsidRPr="008E618D">
        <w:rPr>
          <w:rFonts w:eastAsia="Times New Roman" w:cstheme="minorHAnsi"/>
          <w:bCs/>
          <w:lang w:val="sr-Latn-ME"/>
        </w:rPr>
        <w:t>.</w:t>
      </w:r>
    </w:p>
    <w:p w14:paraId="6B7C8227" w14:textId="77777777" w:rsidR="005128AE" w:rsidRPr="008E618D" w:rsidRDefault="005128AE" w:rsidP="005128AE">
      <w:pPr>
        <w:rPr>
          <w:lang w:val="sr-Latn-ME"/>
        </w:rPr>
      </w:pPr>
      <w:r w:rsidRPr="007F3423">
        <w:rPr>
          <w:lang w:val="sr-Latn-ME"/>
        </w:rPr>
        <w:t xml:space="preserve">Crna Gora se nalazi na </w:t>
      </w:r>
      <w:proofErr w:type="spellStart"/>
      <w:r w:rsidRPr="007F3423">
        <w:rPr>
          <w:lang w:val="sr-Latn-ME"/>
        </w:rPr>
        <w:t>zapadnobalkanskoj</w:t>
      </w:r>
      <w:proofErr w:type="spellEnd"/>
      <w:r w:rsidRPr="007F3423">
        <w:rPr>
          <w:lang w:val="sr-Latn-ME"/>
        </w:rPr>
        <w:t xml:space="preserve"> </w:t>
      </w:r>
      <w:proofErr w:type="spellStart"/>
      <w:r w:rsidRPr="007F3423">
        <w:rPr>
          <w:lang w:val="sr-Latn-ME"/>
        </w:rPr>
        <w:t>migrantskoj</w:t>
      </w:r>
      <w:proofErr w:type="spellEnd"/>
      <w:r w:rsidRPr="007F3423">
        <w:rPr>
          <w:lang w:val="sr-Latn-ME"/>
        </w:rPr>
        <w:t xml:space="preserve"> ruti, iako nije primarna tranzitna zemlja u odnosu </w:t>
      </w:r>
      <w:r>
        <w:rPr>
          <w:lang w:val="sr-Latn-ME"/>
        </w:rPr>
        <w:t>na Srbiju i Bosnu i Hercegovinu</w:t>
      </w:r>
      <w:r>
        <w:rPr>
          <w:rStyle w:val="Referencafusnote"/>
          <w:rFonts w:eastAsia="Times New Roman" w:cstheme="minorHAnsi"/>
          <w:bCs/>
          <w:lang w:val="sr-Latn-ME"/>
        </w:rPr>
        <w:footnoteReference w:id="43"/>
      </w:r>
      <w:r w:rsidRPr="008E618D">
        <w:rPr>
          <w:lang w:val="sr-Latn-ME"/>
        </w:rPr>
        <w:t xml:space="preserve">. </w:t>
      </w:r>
      <w:r w:rsidRPr="007F3423">
        <w:rPr>
          <w:lang w:val="sr-Latn-ME"/>
        </w:rPr>
        <w:t xml:space="preserve">IOM kroz </w:t>
      </w:r>
      <w:proofErr w:type="spellStart"/>
      <w:r w:rsidRPr="007F3423">
        <w:rPr>
          <w:lang w:val="sr-Latn-ME"/>
        </w:rPr>
        <w:t>Displacement</w:t>
      </w:r>
      <w:proofErr w:type="spellEnd"/>
      <w:r w:rsidRPr="007F3423">
        <w:rPr>
          <w:lang w:val="sr-Latn-ME"/>
        </w:rPr>
        <w:t xml:space="preserve"> </w:t>
      </w:r>
      <w:proofErr w:type="spellStart"/>
      <w:r w:rsidRPr="007F3423">
        <w:rPr>
          <w:lang w:val="sr-Latn-ME"/>
        </w:rPr>
        <w:t>Tracking</w:t>
      </w:r>
      <w:proofErr w:type="spellEnd"/>
      <w:r w:rsidRPr="007F3423">
        <w:rPr>
          <w:lang w:val="sr-Latn-ME"/>
        </w:rPr>
        <w:t xml:space="preserve"> </w:t>
      </w:r>
      <w:proofErr w:type="spellStart"/>
      <w:r w:rsidRPr="007F3423">
        <w:rPr>
          <w:lang w:val="sr-Latn-ME"/>
        </w:rPr>
        <w:t>Matrix</w:t>
      </w:r>
      <w:proofErr w:type="spellEnd"/>
      <w:r w:rsidRPr="007F3423">
        <w:rPr>
          <w:lang w:val="sr-Latn-ME"/>
        </w:rPr>
        <w:t xml:space="preserve"> (DTM) sprovodi ankete među migrantima u prihvatnim centrima u </w:t>
      </w:r>
      <w:proofErr w:type="spellStart"/>
      <w:r w:rsidRPr="007F3423">
        <w:rPr>
          <w:lang w:val="sr-Latn-ME"/>
        </w:rPr>
        <w:t>Božaju</w:t>
      </w:r>
      <w:proofErr w:type="spellEnd"/>
      <w:r w:rsidRPr="007F3423">
        <w:rPr>
          <w:lang w:val="sr-Latn-ME"/>
        </w:rPr>
        <w:t xml:space="preserve"> i Spužu, kao i na tranzitni</w:t>
      </w:r>
      <w:r>
        <w:rPr>
          <w:lang w:val="sr-Latn-ME"/>
        </w:rPr>
        <w:t>m lokacijama (Rožaje, Pljevlja)</w:t>
      </w:r>
      <w:r>
        <w:rPr>
          <w:rStyle w:val="Referencafusnote"/>
          <w:rFonts w:eastAsia="Times New Roman" w:cstheme="minorHAnsi"/>
          <w:bCs/>
          <w:lang w:val="sr-Latn-ME"/>
        </w:rPr>
        <w:footnoteReference w:id="44"/>
      </w:r>
      <w:r>
        <w:rPr>
          <w:lang w:val="sr-Latn-ME"/>
        </w:rPr>
        <w:t>.</w:t>
      </w:r>
      <w:r w:rsidRPr="008E618D">
        <w:rPr>
          <w:lang w:val="sr-Latn-ME"/>
        </w:rPr>
        <w:t xml:space="preserve"> </w:t>
      </w:r>
      <w:r w:rsidRPr="007F3423">
        <w:rPr>
          <w:lang w:val="sr-Latn-ME"/>
        </w:rPr>
        <w:t xml:space="preserve">Migracioni tokovi kroz Crnu Goru karakterišu se kao mješovite migracije (tražioci azila, ekonomski migranti i tranzitni migranti, </w:t>
      </w:r>
      <w:proofErr w:type="spellStart"/>
      <w:r w:rsidRPr="007F3423">
        <w:rPr>
          <w:lang w:val="sr-Latn-ME"/>
        </w:rPr>
        <w:t>pretežno</w:t>
      </w:r>
      <w:proofErr w:type="spellEnd"/>
      <w:r w:rsidRPr="007F3423">
        <w:rPr>
          <w:lang w:val="sr-Latn-ME"/>
        </w:rPr>
        <w:t xml:space="preserve"> iz zemalja Južne Azije, Bliskog istoka i Sjeverne Afrike). Tokom 2024. godine Crna Gora je ostvarila značajan napredak u uspostavljanju komunikacionih kanala sa ključnim zemljama porijekla (posebno Bangladeš, Pakistan i Nepal) u cilju </w:t>
      </w:r>
      <w:proofErr w:type="spellStart"/>
      <w:r w:rsidRPr="007F3423">
        <w:rPr>
          <w:lang w:val="sr-Latn-ME"/>
        </w:rPr>
        <w:t>unapređenj</w:t>
      </w:r>
      <w:r>
        <w:rPr>
          <w:lang w:val="sr-Latn-ME"/>
        </w:rPr>
        <w:t>a</w:t>
      </w:r>
      <w:proofErr w:type="spellEnd"/>
      <w:r>
        <w:rPr>
          <w:lang w:val="sr-Latn-ME"/>
        </w:rPr>
        <w:t xml:space="preserve"> saradnje u oblasti </w:t>
      </w:r>
      <w:proofErr w:type="spellStart"/>
      <w:r>
        <w:rPr>
          <w:lang w:val="sr-Latn-ME"/>
        </w:rPr>
        <w:t>readmisije</w:t>
      </w:r>
      <w:proofErr w:type="spellEnd"/>
      <w:r>
        <w:rPr>
          <w:rStyle w:val="Referencafusnote"/>
          <w:rFonts w:eastAsia="Times New Roman" w:cstheme="minorHAnsi"/>
          <w:bCs/>
          <w:lang w:val="sr-Latn-ME"/>
        </w:rPr>
        <w:footnoteReference w:id="45"/>
      </w:r>
      <w:r>
        <w:rPr>
          <w:lang w:val="sr-Latn-ME"/>
        </w:rPr>
        <w:t>.</w:t>
      </w:r>
    </w:p>
    <w:p w14:paraId="2299F6B9" w14:textId="77777777" w:rsidR="005128AE" w:rsidRDefault="005128AE" w:rsidP="005128AE">
      <w:pPr>
        <w:rPr>
          <w:b/>
          <w:lang w:val="sr-Latn-ME"/>
        </w:rPr>
      </w:pPr>
      <w:proofErr w:type="spellStart"/>
      <w:r w:rsidRPr="007F3423">
        <w:rPr>
          <w:b/>
          <w:lang w:val="sr-Latn-ME"/>
        </w:rPr>
        <w:t>Vizna</w:t>
      </w:r>
      <w:proofErr w:type="spellEnd"/>
      <w:r w:rsidRPr="007F3423">
        <w:rPr>
          <w:b/>
          <w:lang w:val="sr-Latn-ME"/>
        </w:rPr>
        <w:t xml:space="preserve"> politika: </w:t>
      </w:r>
      <w:r w:rsidRPr="007F3423">
        <w:rPr>
          <w:lang w:val="sr-Latn-ME"/>
        </w:rPr>
        <w:t xml:space="preserve">Crna Gora koristi </w:t>
      </w:r>
      <w:proofErr w:type="spellStart"/>
      <w:r w:rsidRPr="007F3423">
        <w:rPr>
          <w:lang w:val="sr-Latn-ME"/>
        </w:rPr>
        <w:t>bezvizni</w:t>
      </w:r>
      <w:proofErr w:type="spellEnd"/>
      <w:r w:rsidRPr="007F3423">
        <w:rPr>
          <w:lang w:val="sr-Latn-ME"/>
        </w:rPr>
        <w:t xml:space="preserve"> režim putovanja u EU/Šengen prostor od decembra 2009. godine. Usklađivanje </w:t>
      </w:r>
      <w:proofErr w:type="spellStart"/>
      <w:r w:rsidRPr="007F3423">
        <w:rPr>
          <w:lang w:val="sr-Latn-ME"/>
        </w:rPr>
        <w:t>viznog</w:t>
      </w:r>
      <w:proofErr w:type="spellEnd"/>
      <w:r w:rsidRPr="007F3423">
        <w:rPr>
          <w:lang w:val="sr-Latn-ME"/>
        </w:rPr>
        <w:t xml:space="preserve"> režima Crne Gore sa zajedničkim viznim listama EU i dalje je proces u toku. </w:t>
      </w:r>
      <w:proofErr w:type="spellStart"/>
      <w:r w:rsidRPr="007F3423">
        <w:rPr>
          <w:lang w:val="sr-Latn-ME"/>
        </w:rPr>
        <w:t>Vizna</w:t>
      </w:r>
      <w:proofErr w:type="spellEnd"/>
      <w:r w:rsidRPr="007F3423">
        <w:rPr>
          <w:lang w:val="sr-Latn-ME"/>
        </w:rPr>
        <w:t xml:space="preserve"> politika Crne Gore formalno je usklađena sa širim procesom pristupanja EU, posebno u okviru Poglavlja 24 (Pravda, sloboda i bezbjednost), gdje se </w:t>
      </w:r>
      <w:proofErr w:type="spellStart"/>
      <w:r w:rsidRPr="007F3423">
        <w:rPr>
          <w:lang w:val="sr-Latn-ME"/>
        </w:rPr>
        <w:t>vizna</w:t>
      </w:r>
      <w:proofErr w:type="spellEnd"/>
      <w:r w:rsidRPr="007F3423">
        <w:rPr>
          <w:lang w:val="sr-Latn-ME"/>
        </w:rPr>
        <w:t xml:space="preserve"> politika tretira kao sastavni dio upravljanja migracijama i usklađenosti sa šengenskom pravnom tekovinom. Iako Crna Gora trenutno održava relativno liberalan </w:t>
      </w:r>
      <w:proofErr w:type="spellStart"/>
      <w:r w:rsidRPr="007F3423">
        <w:rPr>
          <w:lang w:val="sr-Latn-ME"/>
        </w:rPr>
        <w:t>vizni</w:t>
      </w:r>
      <w:proofErr w:type="spellEnd"/>
      <w:r w:rsidRPr="007F3423">
        <w:rPr>
          <w:lang w:val="sr-Latn-ME"/>
        </w:rPr>
        <w:t xml:space="preserve"> režim</w:t>
      </w:r>
      <w:r>
        <w:rPr>
          <w:lang w:val="sr-Latn-ME"/>
        </w:rPr>
        <w:t>,</w:t>
      </w:r>
      <w:r w:rsidRPr="007F3423">
        <w:rPr>
          <w:lang w:val="sr-Latn-ME"/>
        </w:rPr>
        <w:t xml:space="preserve"> djelimično radi podr</w:t>
      </w:r>
      <w:r>
        <w:rPr>
          <w:lang w:val="sr-Latn-ME"/>
        </w:rPr>
        <w:t>ške turizmu i ekonomskim vezama,</w:t>
      </w:r>
      <w:r w:rsidRPr="007F3423">
        <w:rPr>
          <w:lang w:val="sr-Latn-ME"/>
        </w:rPr>
        <w:t xml:space="preserve"> postoji jasna obaveza da se sistem </w:t>
      </w:r>
      <w:proofErr w:type="spellStart"/>
      <w:r w:rsidRPr="007F3423">
        <w:rPr>
          <w:lang w:val="sr-Latn-ME"/>
        </w:rPr>
        <w:t>postepeno</w:t>
      </w:r>
      <w:proofErr w:type="spellEnd"/>
      <w:r w:rsidRPr="007F3423">
        <w:rPr>
          <w:lang w:val="sr-Latn-ME"/>
        </w:rPr>
        <w:t xml:space="preserve"> harmonizuje sa sistemom Evropske unije. To uključuje usklađivanje liste zemalja čiji državljani podliježu vizama, kao i liste zemalja koje su izuzete od </w:t>
      </w:r>
      <w:proofErr w:type="spellStart"/>
      <w:r w:rsidRPr="007F3423">
        <w:rPr>
          <w:lang w:val="sr-Latn-ME"/>
        </w:rPr>
        <w:t>viznog</w:t>
      </w:r>
      <w:proofErr w:type="spellEnd"/>
      <w:r w:rsidRPr="007F3423">
        <w:rPr>
          <w:lang w:val="sr-Latn-ME"/>
        </w:rPr>
        <w:t xml:space="preserve"> režima sa listama EU, te ukidanje praksi poput sezonskog </w:t>
      </w:r>
      <w:r w:rsidRPr="007F3423">
        <w:rPr>
          <w:lang w:val="sr-Latn-ME"/>
        </w:rPr>
        <w:lastRenderedPageBreak/>
        <w:t xml:space="preserve">olakšavanja </w:t>
      </w:r>
      <w:proofErr w:type="spellStart"/>
      <w:r w:rsidRPr="007F3423">
        <w:rPr>
          <w:lang w:val="sr-Latn-ME"/>
        </w:rPr>
        <w:t>viznog</w:t>
      </w:r>
      <w:proofErr w:type="spellEnd"/>
      <w:r w:rsidRPr="007F3423">
        <w:rPr>
          <w:lang w:val="sr-Latn-ME"/>
        </w:rPr>
        <w:t xml:space="preserve"> režima ili ad </w:t>
      </w:r>
      <w:proofErr w:type="spellStart"/>
      <w:r w:rsidRPr="007F3423">
        <w:rPr>
          <w:lang w:val="sr-Latn-ME"/>
        </w:rPr>
        <w:t>hoc</w:t>
      </w:r>
      <w:proofErr w:type="spellEnd"/>
      <w:r w:rsidRPr="007F3423">
        <w:rPr>
          <w:lang w:val="sr-Latn-ME"/>
        </w:rPr>
        <w:t xml:space="preserve"> odluka o privremenom </w:t>
      </w:r>
      <w:proofErr w:type="spellStart"/>
      <w:r w:rsidRPr="007F3423">
        <w:rPr>
          <w:lang w:val="sr-Latn-ME"/>
        </w:rPr>
        <w:t>bezviznom</w:t>
      </w:r>
      <w:proofErr w:type="spellEnd"/>
      <w:r w:rsidRPr="007F3423">
        <w:rPr>
          <w:lang w:val="sr-Latn-ME"/>
        </w:rPr>
        <w:t xml:space="preserve"> režimu. EU je izričito zahtijevala da Crna Gora osigura potpunu usklađenost sa pravilima EU, što znači da se nacionalna diskrecija u vođenju </w:t>
      </w:r>
      <w:proofErr w:type="spellStart"/>
      <w:r w:rsidRPr="007F3423">
        <w:rPr>
          <w:lang w:val="sr-Latn-ME"/>
        </w:rPr>
        <w:t>vizne</w:t>
      </w:r>
      <w:proofErr w:type="spellEnd"/>
      <w:r w:rsidRPr="007F3423">
        <w:rPr>
          <w:lang w:val="sr-Latn-ME"/>
        </w:rPr>
        <w:t xml:space="preserve"> politike mora </w:t>
      </w:r>
      <w:proofErr w:type="spellStart"/>
      <w:r w:rsidRPr="007F3423">
        <w:rPr>
          <w:lang w:val="sr-Latn-ME"/>
        </w:rPr>
        <w:t>postepeno</w:t>
      </w:r>
      <w:proofErr w:type="spellEnd"/>
      <w:r w:rsidRPr="007F3423">
        <w:rPr>
          <w:lang w:val="sr-Latn-ME"/>
        </w:rPr>
        <w:t xml:space="preserve"> smanjivati u korist standardizovanih i predvidivih rješenja kompatibilnih sa šengenskim pravilima. Tekuće reforme, kako su definisane Akcionim planom za 2025. godinu, pokazuju da je harmonizacija </w:t>
      </w:r>
      <w:proofErr w:type="spellStart"/>
      <w:r w:rsidRPr="007F3423">
        <w:rPr>
          <w:lang w:val="sr-Latn-ME"/>
        </w:rPr>
        <w:t>vizne</w:t>
      </w:r>
      <w:proofErr w:type="spellEnd"/>
      <w:r w:rsidRPr="007F3423">
        <w:rPr>
          <w:lang w:val="sr-Latn-ME"/>
        </w:rPr>
        <w:t xml:space="preserve"> politike strukturiran i višefazni proces koji se proteže do 2026. godine.</w:t>
      </w:r>
    </w:p>
    <w:p w14:paraId="079AE80F" w14:textId="77777777" w:rsidR="005128AE" w:rsidRPr="007F3423" w:rsidRDefault="005128AE" w:rsidP="005128AE">
      <w:pPr>
        <w:rPr>
          <w:b/>
          <w:lang w:val="sr-Latn-ME"/>
        </w:rPr>
      </w:pPr>
      <w:r w:rsidRPr="007F3423">
        <w:rPr>
          <w:b/>
          <w:lang w:val="sr-Latn-ME"/>
        </w:rPr>
        <w:t xml:space="preserve">Poveznica sa PA15 (Otpornost, odbrambena industrija i svemir): </w:t>
      </w:r>
      <w:r w:rsidRPr="007F3423">
        <w:rPr>
          <w:lang w:val="sr-Latn-ME"/>
        </w:rPr>
        <w:t>Širi okvir saradnje u oblasti unutrašnje bezbjednosti (</w:t>
      </w:r>
      <w:proofErr w:type="spellStart"/>
      <w:r w:rsidRPr="007F3423">
        <w:rPr>
          <w:lang w:val="sr-Latn-ME"/>
        </w:rPr>
        <w:t>Europol</w:t>
      </w:r>
      <w:proofErr w:type="spellEnd"/>
      <w:r w:rsidRPr="007F3423">
        <w:rPr>
          <w:lang w:val="sr-Latn-ME"/>
        </w:rPr>
        <w:t xml:space="preserve">, </w:t>
      </w:r>
      <w:proofErr w:type="spellStart"/>
      <w:r w:rsidRPr="007F3423">
        <w:rPr>
          <w:lang w:val="sr-Latn-ME"/>
        </w:rPr>
        <w:t>Eurojust</w:t>
      </w:r>
      <w:proofErr w:type="spellEnd"/>
      <w:r w:rsidRPr="007F3423">
        <w:rPr>
          <w:lang w:val="sr-Latn-ME"/>
        </w:rPr>
        <w:t xml:space="preserve">, CEPOL), sajber bezbjednost graničnih sistema, organizovani kriminal (uključujući trgovinu </w:t>
      </w:r>
      <w:proofErr w:type="spellStart"/>
      <w:r w:rsidRPr="007F3423">
        <w:rPr>
          <w:lang w:val="sr-Latn-ME"/>
        </w:rPr>
        <w:t>ljudima</w:t>
      </w:r>
      <w:proofErr w:type="spellEnd"/>
      <w:r w:rsidRPr="007F3423">
        <w:rPr>
          <w:lang w:val="sr-Latn-ME"/>
        </w:rPr>
        <w:t xml:space="preserve"> i krijumčarenje migranata) i borba protiv terorizma obrađeni su u okviru PA15, odjeljak 4.1.2 Unutrašnja bezbjednost i sajber bezbjednost. Borba protiv trgovine </w:t>
      </w:r>
      <w:proofErr w:type="spellStart"/>
      <w:r w:rsidRPr="007F3423">
        <w:rPr>
          <w:lang w:val="sr-Latn-ME"/>
        </w:rPr>
        <w:t>ljudima</w:t>
      </w:r>
      <w:proofErr w:type="spellEnd"/>
      <w:r w:rsidRPr="007F3423">
        <w:rPr>
          <w:lang w:val="sr-Latn-ME"/>
        </w:rPr>
        <w:t xml:space="preserve"> i krijumčarenja migranata predstavlja zajedničku oblast između PA11 i PA15, pri čemu mehanizam evaluacije GRETA Savjeta Evrope i Strategija za borbu protiv trgovine </w:t>
      </w:r>
      <w:proofErr w:type="spellStart"/>
      <w:r w:rsidRPr="007F3423">
        <w:rPr>
          <w:lang w:val="sr-Latn-ME"/>
        </w:rPr>
        <w:t>ljudima</w:t>
      </w:r>
      <w:proofErr w:type="spellEnd"/>
      <w:r w:rsidRPr="007F3423">
        <w:rPr>
          <w:lang w:val="sr-Latn-ME"/>
        </w:rPr>
        <w:t xml:space="preserve"> predstavljaju zajednički referentni okvir.</w:t>
      </w:r>
    </w:p>
    <w:p w14:paraId="5CC53A8D" w14:textId="65E07C8E" w:rsidR="005128AE" w:rsidRPr="00946618" w:rsidRDefault="005128AE" w:rsidP="005128AE">
      <w:pPr>
        <w:pStyle w:val="Naslov3"/>
        <w:rPr>
          <w:rFonts w:eastAsia="Times New Roman"/>
          <w:lang w:val="sr-Latn-ME"/>
        </w:rPr>
      </w:pPr>
      <w:r w:rsidRPr="00946618">
        <w:rPr>
          <w:rFonts w:eastAsia="Times New Roman"/>
          <w:lang w:val="sr-Latn-ME"/>
        </w:rPr>
        <w:t>Planirane i tekuće reforme</w:t>
      </w:r>
    </w:p>
    <w:p w14:paraId="1564086B" w14:textId="77777777" w:rsidR="005128AE" w:rsidRPr="00946618" w:rsidRDefault="005128AE" w:rsidP="005128AE">
      <w:pPr>
        <w:spacing w:line="259" w:lineRule="auto"/>
        <w:rPr>
          <w:rFonts w:eastAsia="Times New Roman" w:cstheme="minorHAnsi"/>
          <w:bCs/>
          <w:lang w:val="sr-Latn-ME"/>
        </w:rPr>
      </w:pPr>
      <w:r w:rsidRPr="00946618">
        <w:rPr>
          <w:rFonts w:eastAsia="Times New Roman" w:cstheme="minorHAnsi"/>
          <w:b/>
          <w:bCs/>
          <w:lang w:val="sr-Latn-ME"/>
        </w:rPr>
        <w:t>Upravljanje granicama:</w:t>
      </w:r>
    </w:p>
    <w:p w14:paraId="39A3B881" w14:textId="77777777" w:rsidR="005128AE" w:rsidRPr="00946618" w:rsidRDefault="005128AE" w:rsidP="005128AE">
      <w:pPr>
        <w:pStyle w:val="Odlomakpopisa"/>
        <w:numPr>
          <w:ilvl w:val="0"/>
          <w:numId w:val="6"/>
        </w:numPr>
        <w:spacing w:line="259" w:lineRule="auto"/>
        <w:rPr>
          <w:rFonts w:eastAsia="Times New Roman" w:cstheme="minorHAnsi"/>
          <w:bCs/>
          <w:lang w:val="sr-Latn-ME"/>
        </w:rPr>
      </w:pPr>
      <w:r w:rsidRPr="00946618">
        <w:rPr>
          <w:rFonts w:eastAsia="Times New Roman" w:cstheme="minorHAnsi"/>
          <w:bCs/>
          <w:lang w:val="sr-Latn-ME"/>
        </w:rPr>
        <w:t>Implementacija Strategije integrisanog upravljanja granicom 2024–2029 i Šengenskog akcionog plana;</w:t>
      </w:r>
    </w:p>
    <w:p w14:paraId="58E9F937" w14:textId="77777777" w:rsidR="005128AE" w:rsidRPr="00082A02" w:rsidRDefault="005128AE" w:rsidP="005128AE">
      <w:pPr>
        <w:pStyle w:val="Odlomakpopisa"/>
        <w:numPr>
          <w:ilvl w:val="0"/>
          <w:numId w:val="6"/>
        </w:numPr>
        <w:spacing w:line="259" w:lineRule="auto"/>
        <w:rPr>
          <w:rFonts w:eastAsia="Times New Roman" w:cstheme="minorHAnsi"/>
          <w:bCs/>
          <w:lang w:val="sr-Latn-ME"/>
        </w:rPr>
      </w:pPr>
      <w:r w:rsidRPr="00946618">
        <w:rPr>
          <w:rFonts w:eastAsia="Times New Roman" w:cstheme="minorHAnsi"/>
          <w:bCs/>
          <w:lang w:val="sr-Latn-ME"/>
        </w:rPr>
        <w:t>EU-finansirani projekat „Individualna mjera za jačanje kapaciteta integrisanog upravljanja granicama u</w:t>
      </w:r>
      <w:r>
        <w:rPr>
          <w:rFonts w:eastAsia="Times New Roman" w:cstheme="minorHAnsi"/>
          <w:bCs/>
          <w:lang w:val="sr-Latn-ME"/>
        </w:rPr>
        <w:t xml:space="preserve"> Crnoj Gori“, koji sprovodi IOM</w:t>
      </w:r>
      <w:r>
        <w:rPr>
          <w:rStyle w:val="Referencafusnote"/>
          <w:rFonts w:eastAsia="Times New Roman" w:cstheme="minorHAnsi"/>
          <w:bCs/>
          <w:lang w:val="sr-Latn-ME"/>
        </w:rPr>
        <w:footnoteReference w:id="46"/>
      </w:r>
      <w:r>
        <w:rPr>
          <w:rFonts w:eastAsia="Times New Roman" w:cstheme="minorHAnsi"/>
          <w:bCs/>
          <w:lang w:val="sr-Latn-ME"/>
        </w:rPr>
        <w:t>;</w:t>
      </w:r>
    </w:p>
    <w:p w14:paraId="230A9058" w14:textId="77777777" w:rsidR="005128AE" w:rsidRPr="00946618" w:rsidRDefault="005128AE" w:rsidP="005128AE">
      <w:pPr>
        <w:pStyle w:val="Odlomakpopisa"/>
        <w:numPr>
          <w:ilvl w:val="0"/>
          <w:numId w:val="6"/>
        </w:numPr>
        <w:spacing w:line="259" w:lineRule="auto"/>
        <w:rPr>
          <w:rFonts w:eastAsia="Times New Roman" w:cstheme="minorHAnsi"/>
          <w:bCs/>
          <w:lang w:val="sr-Latn-ME"/>
        </w:rPr>
      </w:pPr>
      <w:r w:rsidRPr="00946618">
        <w:rPr>
          <w:rFonts w:eastAsia="Times New Roman" w:cstheme="minorHAnsi"/>
          <w:bCs/>
          <w:lang w:val="sr-Latn-ME"/>
        </w:rPr>
        <w:t>Uvođenje biometrijskih sistema registracije na granicama;</w:t>
      </w:r>
    </w:p>
    <w:p w14:paraId="67503FE1" w14:textId="77777777" w:rsidR="005128AE" w:rsidRPr="00946618" w:rsidRDefault="005128AE" w:rsidP="005128AE">
      <w:pPr>
        <w:pStyle w:val="Odlomakpopisa"/>
        <w:numPr>
          <w:ilvl w:val="0"/>
          <w:numId w:val="6"/>
        </w:numPr>
        <w:spacing w:line="259" w:lineRule="auto"/>
        <w:rPr>
          <w:rFonts w:eastAsia="Times New Roman" w:cstheme="minorHAnsi"/>
          <w:bCs/>
          <w:lang w:val="sr-Latn-ME"/>
        </w:rPr>
      </w:pPr>
      <w:proofErr w:type="spellStart"/>
      <w:r w:rsidRPr="00946618">
        <w:rPr>
          <w:rFonts w:eastAsia="Times New Roman" w:cstheme="minorHAnsi"/>
          <w:bCs/>
          <w:lang w:val="sr-Latn-ME"/>
        </w:rPr>
        <w:t>Unapređenje</w:t>
      </w:r>
      <w:proofErr w:type="spellEnd"/>
      <w:r w:rsidRPr="00946618">
        <w:rPr>
          <w:rFonts w:eastAsia="Times New Roman" w:cstheme="minorHAnsi"/>
          <w:bCs/>
          <w:lang w:val="sr-Latn-ME"/>
        </w:rPr>
        <w:t xml:space="preserve"> kapaciteta za nadzor granice u visokorizičnim područjima (nadzor kopnene granice);</w:t>
      </w:r>
    </w:p>
    <w:p w14:paraId="0CAF989F" w14:textId="77777777" w:rsidR="005128AE" w:rsidRPr="00082A02" w:rsidRDefault="005128AE" w:rsidP="005128AE">
      <w:pPr>
        <w:pStyle w:val="Odlomakpopisa"/>
        <w:numPr>
          <w:ilvl w:val="0"/>
          <w:numId w:val="6"/>
        </w:numPr>
        <w:spacing w:line="259" w:lineRule="auto"/>
        <w:rPr>
          <w:rFonts w:eastAsia="Times New Roman" w:cstheme="minorHAnsi"/>
          <w:bCs/>
          <w:lang w:val="sr-Latn-ME"/>
        </w:rPr>
      </w:pPr>
      <w:r w:rsidRPr="00946618">
        <w:rPr>
          <w:rFonts w:eastAsia="Times New Roman" w:cstheme="minorHAnsi"/>
          <w:bCs/>
          <w:lang w:val="sr-Latn-ME"/>
        </w:rPr>
        <w:t>Rekons</w:t>
      </w:r>
      <w:r>
        <w:rPr>
          <w:rFonts w:eastAsia="Times New Roman" w:cstheme="minorHAnsi"/>
          <w:bCs/>
          <w:lang w:val="sr-Latn-ME"/>
        </w:rPr>
        <w:t xml:space="preserve">trukcija graničnog </w:t>
      </w:r>
      <w:proofErr w:type="spellStart"/>
      <w:r>
        <w:rPr>
          <w:rFonts w:eastAsia="Times New Roman" w:cstheme="minorHAnsi"/>
          <w:bCs/>
          <w:lang w:val="sr-Latn-ME"/>
        </w:rPr>
        <w:t>prelaza</w:t>
      </w:r>
      <w:proofErr w:type="spellEnd"/>
      <w:r>
        <w:rPr>
          <w:rFonts w:eastAsia="Times New Roman" w:cstheme="minorHAnsi"/>
          <w:bCs/>
          <w:lang w:val="sr-Latn-ME"/>
        </w:rPr>
        <w:t xml:space="preserve"> Kula</w:t>
      </w:r>
      <w:r>
        <w:rPr>
          <w:rStyle w:val="Referencafusnote"/>
          <w:rFonts w:eastAsia="Times New Roman" w:cstheme="minorHAnsi"/>
          <w:bCs/>
          <w:lang w:val="sr-Latn-ME"/>
        </w:rPr>
        <w:footnoteReference w:id="47"/>
      </w:r>
      <w:r>
        <w:rPr>
          <w:rFonts w:eastAsia="Times New Roman" w:cstheme="minorHAnsi"/>
          <w:bCs/>
          <w:lang w:val="sr-Latn-ME"/>
        </w:rPr>
        <w:t>;</w:t>
      </w:r>
    </w:p>
    <w:p w14:paraId="477EC53B" w14:textId="77777777" w:rsidR="005128AE" w:rsidRDefault="005128AE" w:rsidP="005128AE">
      <w:pPr>
        <w:pStyle w:val="Odlomakpopisa"/>
        <w:numPr>
          <w:ilvl w:val="0"/>
          <w:numId w:val="6"/>
        </w:numPr>
        <w:spacing w:line="259" w:lineRule="auto"/>
        <w:rPr>
          <w:rFonts w:eastAsia="Times New Roman" w:cstheme="minorHAnsi"/>
          <w:bCs/>
          <w:lang w:val="sr-Latn-ME"/>
        </w:rPr>
      </w:pPr>
      <w:r w:rsidRPr="00D438A7">
        <w:rPr>
          <w:rFonts w:eastAsia="Times New Roman" w:cstheme="minorHAnsi"/>
          <w:bCs/>
          <w:lang w:val="sr-Latn-ME"/>
        </w:rPr>
        <w:t xml:space="preserve">Nastavak zajedničkih operacija sa </w:t>
      </w:r>
      <w:proofErr w:type="spellStart"/>
      <w:r w:rsidRPr="00D438A7">
        <w:rPr>
          <w:rFonts w:eastAsia="Times New Roman" w:cstheme="minorHAnsi"/>
          <w:bCs/>
          <w:lang w:val="sr-Latn-ME"/>
        </w:rPr>
        <w:t>Frontex</w:t>
      </w:r>
      <w:proofErr w:type="spellEnd"/>
      <w:r>
        <w:rPr>
          <w:rFonts w:eastAsia="Times New Roman" w:cstheme="minorHAnsi"/>
          <w:bCs/>
          <w:lang w:val="sr-Latn-ME"/>
        </w:rPr>
        <w:t>-</w:t>
      </w:r>
      <w:r w:rsidRPr="00D438A7">
        <w:rPr>
          <w:rFonts w:eastAsia="Times New Roman" w:cstheme="minorHAnsi"/>
          <w:bCs/>
          <w:lang w:val="sr-Latn-ME"/>
        </w:rPr>
        <w:t>om u okviru Statusnog sporazuma iz 2023. godine;</w:t>
      </w:r>
    </w:p>
    <w:p w14:paraId="65614E7C" w14:textId="77777777" w:rsidR="005128AE" w:rsidRPr="00D438A7" w:rsidRDefault="005128AE" w:rsidP="005128AE">
      <w:pPr>
        <w:pStyle w:val="Odlomakpopisa"/>
        <w:numPr>
          <w:ilvl w:val="0"/>
          <w:numId w:val="6"/>
        </w:numPr>
        <w:spacing w:line="259" w:lineRule="auto"/>
        <w:rPr>
          <w:rFonts w:eastAsia="Times New Roman" w:cstheme="minorHAnsi"/>
          <w:bCs/>
          <w:lang w:val="sr-Latn-ME"/>
        </w:rPr>
      </w:pPr>
      <w:r w:rsidRPr="00D438A7">
        <w:rPr>
          <w:rFonts w:eastAsia="Times New Roman" w:cstheme="minorHAnsi"/>
          <w:bCs/>
          <w:lang w:val="sr-Latn-ME"/>
        </w:rPr>
        <w:t>Usklađivanje sa zahtjevima sistema EURODAC, EES i ETIAS.</w:t>
      </w:r>
    </w:p>
    <w:p w14:paraId="610CD405" w14:textId="77777777" w:rsidR="005128AE" w:rsidRPr="00D438A7" w:rsidRDefault="005128AE" w:rsidP="005128AE">
      <w:pPr>
        <w:spacing w:line="259" w:lineRule="auto"/>
        <w:rPr>
          <w:rFonts w:eastAsia="Times New Roman" w:cstheme="minorHAnsi"/>
          <w:b/>
          <w:bCs/>
          <w:lang w:val="sr-Latn-ME"/>
        </w:rPr>
      </w:pPr>
      <w:r>
        <w:rPr>
          <w:rFonts w:eastAsia="Times New Roman" w:cstheme="minorHAnsi"/>
          <w:b/>
          <w:bCs/>
          <w:lang w:val="sr-Latn-ME"/>
        </w:rPr>
        <w:t>Azil i međunarodna zaštita:</w:t>
      </w:r>
    </w:p>
    <w:p w14:paraId="442EB003" w14:textId="77777777" w:rsidR="005128AE" w:rsidRPr="00D438A7" w:rsidRDefault="005128AE" w:rsidP="005128AE">
      <w:pPr>
        <w:pStyle w:val="Odlomakpopisa"/>
        <w:numPr>
          <w:ilvl w:val="0"/>
          <w:numId w:val="10"/>
        </w:numPr>
        <w:spacing w:line="259" w:lineRule="auto"/>
        <w:rPr>
          <w:rFonts w:eastAsia="Times New Roman" w:cstheme="minorHAnsi"/>
          <w:bCs/>
          <w:lang w:val="sr-Latn-ME"/>
        </w:rPr>
      </w:pPr>
      <w:r w:rsidRPr="00D438A7">
        <w:rPr>
          <w:rFonts w:eastAsia="Times New Roman" w:cstheme="minorHAnsi"/>
          <w:bCs/>
          <w:lang w:val="sr-Latn-ME"/>
        </w:rPr>
        <w:t xml:space="preserve">Implementacija Mape puta za </w:t>
      </w:r>
      <w:r>
        <w:rPr>
          <w:rFonts w:eastAsia="Times New Roman" w:cstheme="minorHAnsi"/>
          <w:bCs/>
          <w:lang w:val="sr-Latn-ME"/>
        </w:rPr>
        <w:t>saradnju sa EUAA za period 2025-</w:t>
      </w:r>
      <w:r w:rsidRPr="00D438A7">
        <w:rPr>
          <w:rFonts w:eastAsia="Times New Roman" w:cstheme="minorHAnsi"/>
          <w:bCs/>
          <w:lang w:val="sr-Latn-ME"/>
        </w:rPr>
        <w:t>2027;</w:t>
      </w:r>
    </w:p>
    <w:p w14:paraId="4E234805" w14:textId="77777777" w:rsidR="005128AE" w:rsidRPr="00D438A7" w:rsidRDefault="005128AE" w:rsidP="005128AE">
      <w:pPr>
        <w:pStyle w:val="Odlomakpopisa"/>
        <w:numPr>
          <w:ilvl w:val="0"/>
          <w:numId w:val="10"/>
        </w:numPr>
        <w:spacing w:line="259" w:lineRule="auto"/>
        <w:rPr>
          <w:rFonts w:eastAsia="Times New Roman" w:cstheme="minorHAnsi"/>
          <w:bCs/>
          <w:lang w:val="sr-Latn-ME"/>
        </w:rPr>
      </w:pPr>
      <w:r w:rsidRPr="00D438A7">
        <w:rPr>
          <w:rFonts w:eastAsia="Times New Roman" w:cstheme="minorHAnsi"/>
          <w:bCs/>
          <w:lang w:val="sr-Latn-ME"/>
        </w:rPr>
        <w:t xml:space="preserve">Jačanje kapaciteta i uslova prijema u Spužu i </w:t>
      </w:r>
      <w:proofErr w:type="spellStart"/>
      <w:r w:rsidRPr="00D438A7">
        <w:rPr>
          <w:rFonts w:eastAsia="Times New Roman" w:cstheme="minorHAnsi"/>
          <w:bCs/>
          <w:lang w:val="sr-Latn-ME"/>
        </w:rPr>
        <w:t>Božaju</w:t>
      </w:r>
      <w:proofErr w:type="spellEnd"/>
      <w:r w:rsidRPr="00D438A7">
        <w:rPr>
          <w:rFonts w:eastAsia="Times New Roman" w:cstheme="minorHAnsi"/>
          <w:bCs/>
          <w:lang w:val="sr-Latn-ME"/>
        </w:rPr>
        <w:t>;</w:t>
      </w:r>
    </w:p>
    <w:p w14:paraId="3A8EB4FE" w14:textId="77777777" w:rsidR="005128AE" w:rsidRPr="00D438A7" w:rsidRDefault="005128AE" w:rsidP="005128AE">
      <w:pPr>
        <w:pStyle w:val="Odlomakpopisa"/>
        <w:numPr>
          <w:ilvl w:val="0"/>
          <w:numId w:val="10"/>
        </w:numPr>
        <w:spacing w:line="259" w:lineRule="auto"/>
        <w:rPr>
          <w:rFonts w:eastAsia="Times New Roman" w:cstheme="minorHAnsi"/>
          <w:bCs/>
          <w:lang w:val="sr-Latn-ME"/>
        </w:rPr>
      </w:pPr>
      <w:proofErr w:type="spellStart"/>
      <w:r w:rsidRPr="00D438A7">
        <w:rPr>
          <w:rFonts w:eastAsia="Times New Roman" w:cstheme="minorHAnsi"/>
          <w:bCs/>
          <w:lang w:val="sr-Latn-ME"/>
        </w:rPr>
        <w:t>Unapređenje</w:t>
      </w:r>
      <w:proofErr w:type="spellEnd"/>
      <w:r w:rsidRPr="00D438A7">
        <w:rPr>
          <w:rFonts w:eastAsia="Times New Roman" w:cstheme="minorHAnsi"/>
          <w:bCs/>
          <w:lang w:val="sr-Latn-ME"/>
        </w:rPr>
        <w:t xml:space="preserve"> kvaliteta i trajanja postupaka azila uz tehničku podršku EUAA;</w:t>
      </w:r>
    </w:p>
    <w:p w14:paraId="0FC25190" w14:textId="77777777" w:rsidR="005128AE" w:rsidRPr="00D438A7" w:rsidRDefault="005128AE" w:rsidP="005128AE">
      <w:pPr>
        <w:pStyle w:val="Odlomakpopisa"/>
        <w:numPr>
          <w:ilvl w:val="0"/>
          <w:numId w:val="10"/>
        </w:numPr>
        <w:spacing w:line="259" w:lineRule="auto"/>
        <w:rPr>
          <w:rFonts w:eastAsia="Times New Roman" w:cstheme="minorHAnsi"/>
          <w:bCs/>
          <w:lang w:val="sr-Latn-ME"/>
        </w:rPr>
      </w:pPr>
      <w:r w:rsidRPr="00D438A7">
        <w:rPr>
          <w:rFonts w:eastAsia="Times New Roman" w:cstheme="minorHAnsi"/>
          <w:bCs/>
          <w:lang w:val="sr-Latn-ME"/>
        </w:rPr>
        <w:t xml:space="preserve">Jačanje procedura za utvrđivanje </w:t>
      </w:r>
      <w:proofErr w:type="spellStart"/>
      <w:r w:rsidRPr="00D438A7">
        <w:rPr>
          <w:rFonts w:eastAsia="Times New Roman" w:cstheme="minorHAnsi"/>
          <w:bCs/>
          <w:lang w:val="sr-Latn-ME"/>
        </w:rPr>
        <w:t>apatridije</w:t>
      </w:r>
      <w:proofErr w:type="spellEnd"/>
      <w:r w:rsidRPr="00D438A7">
        <w:rPr>
          <w:rFonts w:eastAsia="Times New Roman" w:cstheme="minorHAnsi"/>
          <w:bCs/>
          <w:lang w:val="sr-Latn-ME"/>
        </w:rPr>
        <w:t>.</w:t>
      </w:r>
    </w:p>
    <w:p w14:paraId="2CBFBA42" w14:textId="77777777" w:rsidR="005128AE" w:rsidRPr="00D438A7" w:rsidRDefault="005128AE" w:rsidP="005128AE">
      <w:pPr>
        <w:spacing w:line="259" w:lineRule="auto"/>
        <w:rPr>
          <w:rFonts w:eastAsia="Times New Roman" w:cstheme="minorHAnsi"/>
          <w:b/>
          <w:bCs/>
          <w:lang w:val="sr-Latn-ME"/>
        </w:rPr>
      </w:pPr>
      <w:proofErr w:type="spellStart"/>
      <w:r>
        <w:rPr>
          <w:rFonts w:eastAsia="Times New Roman" w:cstheme="minorHAnsi"/>
          <w:b/>
          <w:bCs/>
          <w:lang w:val="sr-Latn-ME"/>
        </w:rPr>
        <w:t>Vizna</w:t>
      </w:r>
      <w:proofErr w:type="spellEnd"/>
      <w:r>
        <w:rPr>
          <w:rFonts w:eastAsia="Times New Roman" w:cstheme="minorHAnsi"/>
          <w:b/>
          <w:bCs/>
          <w:lang w:val="sr-Latn-ME"/>
        </w:rPr>
        <w:t xml:space="preserve"> politika:</w:t>
      </w:r>
    </w:p>
    <w:p w14:paraId="5259519D" w14:textId="77777777" w:rsidR="005128AE" w:rsidRPr="00D438A7" w:rsidRDefault="005128AE" w:rsidP="005128AE">
      <w:pPr>
        <w:pStyle w:val="Odlomakpopisa"/>
        <w:numPr>
          <w:ilvl w:val="0"/>
          <w:numId w:val="9"/>
        </w:numPr>
        <w:spacing w:line="259" w:lineRule="auto"/>
        <w:rPr>
          <w:rFonts w:eastAsia="Times New Roman" w:cstheme="minorHAnsi"/>
          <w:bCs/>
          <w:lang w:val="sr-Latn-ME"/>
        </w:rPr>
      </w:pPr>
      <w:r w:rsidRPr="00D438A7">
        <w:rPr>
          <w:rFonts w:eastAsia="Times New Roman" w:cstheme="minorHAnsi"/>
          <w:bCs/>
          <w:lang w:val="sr-Latn-ME"/>
        </w:rPr>
        <w:t xml:space="preserve">Reforma </w:t>
      </w:r>
      <w:proofErr w:type="spellStart"/>
      <w:r w:rsidRPr="00D438A7">
        <w:rPr>
          <w:rFonts w:eastAsia="Times New Roman" w:cstheme="minorHAnsi"/>
          <w:bCs/>
          <w:lang w:val="sr-Latn-ME"/>
        </w:rPr>
        <w:t>Viznog</w:t>
      </w:r>
      <w:proofErr w:type="spellEnd"/>
      <w:r w:rsidRPr="00D438A7">
        <w:rPr>
          <w:rFonts w:eastAsia="Times New Roman" w:cstheme="minorHAnsi"/>
          <w:bCs/>
          <w:lang w:val="sr-Latn-ME"/>
        </w:rPr>
        <w:t xml:space="preserve"> informacionog sistema (VIS), </w:t>
      </w:r>
      <w:proofErr w:type="spellStart"/>
      <w:r w:rsidRPr="00D438A7">
        <w:rPr>
          <w:rFonts w:eastAsia="Times New Roman" w:cstheme="minorHAnsi"/>
          <w:bCs/>
          <w:lang w:val="sr-Latn-ME"/>
        </w:rPr>
        <w:t>unapređenje</w:t>
      </w:r>
      <w:proofErr w:type="spellEnd"/>
      <w:r w:rsidRPr="00D438A7">
        <w:rPr>
          <w:rFonts w:eastAsia="Times New Roman" w:cstheme="minorHAnsi"/>
          <w:bCs/>
          <w:lang w:val="sr-Latn-ME"/>
        </w:rPr>
        <w:t xml:space="preserve"> interoperabilnosti između nacionalnih baza podataka, uvođenje prikupljanja biometrijskih podataka u skladu sa šengenskim standardima i sistematsko preispitivanje </w:t>
      </w:r>
      <w:proofErr w:type="spellStart"/>
      <w:r w:rsidRPr="00D438A7">
        <w:rPr>
          <w:rFonts w:eastAsia="Times New Roman" w:cstheme="minorHAnsi"/>
          <w:bCs/>
          <w:lang w:val="sr-Latn-ME"/>
        </w:rPr>
        <w:t>bezviznih</w:t>
      </w:r>
      <w:proofErr w:type="spellEnd"/>
      <w:r w:rsidRPr="00D438A7">
        <w:rPr>
          <w:rFonts w:eastAsia="Times New Roman" w:cstheme="minorHAnsi"/>
          <w:bCs/>
          <w:lang w:val="sr-Latn-ME"/>
        </w:rPr>
        <w:t xml:space="preserve"> režima radi uklanjanja odstupanja od politike EU;</w:t>
      </w:r>
    </w:p>
    <w:p w14:paraId="479CD37E" w14:textId="77777777" w:rsidR="005128AE" w:rsidRPr="00D438A7" w:rsidRDefault="005128AE" w:rsidP="005128AE">
      <w:pPr>
        <w:pStyle w:val="Odlomakpopisa"/>
        <w:numPr>
          <w:ilvl w:val="0"/>
          <w:numId w:val="9"/>
        </w:numPr>
        <w:spacing w:line="259" w:lineRule="auto"/>
        <w:rPr>
          <w:rFonts w:eastAsia="Times New Roman" w:cstheme="minorHAnsi"/>
          <w:bCs/>
          <w:lang w:val="sr-Latn-ME"/>
        </w:rPr>
      </w:pPr>
      <w:r w:rsidRPr="00D438A7">
        <w:rPr>
          <w:rFonts w:eastAsia="Times New Roman" w:cstheme="minorHAnsi"/>
          <w:bCs/>
          <w:lang w:val="sr-Latn-ME"/>
        </w:rPr>
        <w:t xml:space="preserve">Zakonodavno usklađivanje kroz izmjene Zakona o strancima radi potpunog prenošenja relevantnih direktiva EU koje uređuju zakonite migracije i </w:t>
      </w:r>
      <w:proofErr w:type="spellStart"/>
      <w:r w:rsidRPr="00D438A7">
        <w:rPr>
          <w:rFonts w:eastAsia="Times New Roman" w:cstheme="minorHAnsi"/>
          <w:bCs/>
          <w:lang w:val="sr-Latn-ME"/>
        </w:rPr>
        <w:t>vizne</w:t>
      </w:r>
      <w:proofErr w:type="spellEnd"/>
      <w:r w:rsidRPr="00D438A7">
        <w:rPr>
          <w:rFonts w:eastAsia="Times New Roman" w:cstheme="minorHAnsi"/>
          <w:bCs/>
          <w:lang w:val="sr-Latn-ME"/>
        </w:rPr>
        <w:t xml:space="preserve"> procedure;</w:t>
      </w:r>
    </w:p>
    <w:p w14:paraId="666A7258" w14:textId="77777777" w:rsidR="005128AE" w:rsidRPr="00D438A7" w:rsidRDefault="005128AE" w:rsidP="005128AE">
      <w:pPr>
        <w:pStyle w:val="Odlomakpopisa"/>
        <w:numPr>
          <w:ilvl w:val="0"/>
          <w:numId w:val="9"/>
        </w:numPr>
        <w:spacing w:line="259" w:lineRule="auto"/>
        <w:rPr>
          <w:rFonts w:eastAsia="Times New Roman" w:cstheme="minorHAnsi"/>
          <w:bCs/>
          <w:lang w:val="sr-Latn-ME"/>
        </w:rPr>
      </w:pPr>
      <w:r w:rsidRPr="00D438A7">
        <w:rPr>
          <w:rFonts w:eastAsia="Times New Roman" w:cstheme="minorHAnsi"/>
          <w:bCs/>
          <w:lang w:val="sr-Latn-ME"/>
        </w:rPr>
        <w:lastRenderedPageBreak/>
        <w:t xml:space="preserve">Jačanje administrativnih kapaciteta, uključujući obuke kadra i tehnička </w:t>
      </w:r>
      <w:proofErr w:type="spellStart"/>
      <w:r w:rsidRPr="00D438A7">
        <w:rPr>
          <w:rFonts w:eastAsia="Times New Roman" w:cstheme="minorHAnsi"/>
          <w:bCs/>
          <w:lang w:val="sr-Latn-ME"/>
        </w:rPr>
        <w:t>unapređenja</w:t>
      </w:r>
      <w:proofErr w:type="spellEnd"/>
      <w:r w:rsidRPr="00D438A7">
        <w:rPr>
          <w:rFonts w:eastAsia="Times New Roman" w:cstheme="minorHAnsi"/>
          <w:bCs/>
          <w:lang w:val="sr-Latn-ME"/>
        </w:rPr>
        <w:t xml:space="preserve">, kako bi se obezbijedila ne samo formalna primjena pravila EU, već i njihova efektivna implementacija u praksi. Ukupno posmatrano, reformska agenda odražava </w:t>
      </w:r>
      <w:proofErr w:type="spellStart"/>
      <w:r w:rsidRPr="00D438A7">
        <w:rPr>
          <w:rFonts w:eastAsia="Times New Roman" w:cstheme="minorHAnsi"/>
          <w:bCs/>
          <w:lang w:val="sr-Latn-ME"/>
        </w:rPr>
        <w:t>postepen</w:t>
      </w:r>
      <w:proofErr w:type="spellEnd"/>
      <w:r w:rsidRPr="00D438A7">
        <w:rPr>
          <w:rFonts w:eastAsia="Times New Roman" w:cstheme="minorHAnsi"/>
          <w:bCs/>
          <w:lang w:val="sr-Latn-ME"/>
        </w:rPr>
        <w:t xml:space="preserve">, ali jasan prelazak sa fleksibilnog nacionalnog </w:t>
      </w:r>
      <w:proofErr w:type="spellStart"/>
      <w:r w:rsidRPr="00D438A7">
        <w:rPr>
          <w:rFonts w:eastAsia="Times New Roman" w:cstheme="minorHAnsi"/>
          <w:bCs/>
          <w:lang w:val="sr-Latn-ME"/>
        </w:rPr>
        <w:t>viznog</w:t>
      </w:r>
      <w:proofErr w:type="spellEnd"/>
      <w:r w:rsidRPr="00D438A7">
        <w:rPr>
          <w:rFonts w:eastAsia="Times New Roman" w:cstheme="minorHAnsi"/>
          <w:bCs/>
          <w:lang w:val="sr-Latn-ME"/>
        </w:rPr>
        <w:t xml:space="preserve"> režima ka punoj integraciji u zajednički </w:t>
      </w:r>
      <w:proofErr w:type="spellStart"/>
      <w:r w:rsidRPr="00D438A7">
        <w:rPr>
          <w:rFonts w:eastAsia="Times New Roman" w:cstheme="minorHAnsi"/>
          <w:bCs/>
          <w:lang w:val="sr-Latn-ME"/>
        </w:rPr>
        <w:t>vizni</w:t>
      </w:r>
      <w:proofErr w:type="spellEnd"/>
      <w:r w:rsidRPr="00D438A7">
        <w:rPr>
          <w:rFonts w:eastAsia="Times New Roman" w:cstheme="minorHAnsi"/>
          <w:bCs/>
          <w:lang w:val="sr-Latn-ME"/>
        </w:rPr>
        <w:t xml:space="preserve"> okvir EU.</w:t>
      </w:r>
    </w:p>
    <w:p w14:paraId="1CB1978D" w14:textId="77777777" w:rsidR="005128AE" w:rsidRPr="00D438A7" w:rsidRDefault="005128AE" w:rsidP="005128AE">
      <w:pPr>
        <w:spacing w:line="259" w:lineRule="auto"/>
        <w:rPr>
          <w:rFonts w:eastAsia="Times New Roman" w:cstheme="minorHAnsi"/>
          <w:b/>
          <w:bCs/>
          <w:lang w:val="sr-Latn-ME"/>
        </w:rPr>
      </w:pPr>
      <w:r>
        <w:rPr>
          <w:rFonts w:eastAsia="Times New Roman" w:cstheme="minorHAnsi"/>
          <w:b/>
          <w:bCs/>
          <w:lang w:val="sr-Latn-ME"/>
        </w:rPr>
        <w:t>Upravljanje migracijama:</w:t>
      </w:r>
    </w:p>
    <w:p w14:paraId="640FC02E" w14:textId="77777777" w:rsidR="005128AE" w:rsidRPr="00D438A7" w:rsidRDefault="005128AE" w:rsidP="005128AE">
      <w:pPr>
        <w:pStyle w:val="Odlomakpopisa"/>
        <w:numPr>
          <w:ilvl w:val="0"/>
          <w:numId w:val="8"/>
        </w:numPr>
        <w:spacing w:line="259" w:lineRule="auto"/>
        <w:rPr>
          <w:rFonts w:eastAsia="Times New Roman" w:cstheme="minorHAnsi"/>
          <w:bCs/>
          <w:lang w:val="sr-Latn-ME"/>
        </w:rPr>
      </w:pPr>
      <w:r w:rsidRPr="00D438A7">
        <w:rPr>
          <w:rFonts w:eastAsia="Times New Roman" w:cstheme="minorHAnsi"/>
          <w:bCs/>
          <w:lang w:val="sr-Latn-ME"/>
        </w:rPr>
        <w:t>Implementa</w:t>
      </w:r>
      <w:r>
        <w:rPr>
          <w:rFonts w:eastAsia="Times New Roman" w:cstheme="minorHAnsi"/>
          <w:bCs/>
          <w:lang w:val="sr-Latn-ME"/>
        </w:rPr>
        <w:t>cija izmjena Zakona o strancima,</w:t>
      </w:r>
      <w:r w:rsidRPr="00D438A7">
        <w:rPr>
          <w:rFonts w:eastAsia="Times New Roman" w:cstheme="minorHAnsi"/>
          <w:bCs/>
          <w:lang w:val="sr-Latn-ME"/>
        </w:rPr>
        <w:t xml:space="preserve"> upravljanje rastom broja stranih rezidenata;</w:t>
      </w:r>
    </w:p>
    <w:p w14:paraId="4B4C9B3F" w14:textId="77777777" w:rsidR="005128AE" w:rsidRPr="00D438A7" w:rsidRDefault="005128AE" w:rsidP="005128AE">
      <w:pPr>
        <w:pStyle w:val="Odlomakpopisa"/>
        <w:numPr>
          <w:ilvl w:val="0"/>
          <w:numId w:val="8"/>
        </w:numPr>
        <w:spacing w:line="259" w:lineRule="auto"/>
        <w:rPr>
          <w:rFonts w:eastAsia="Times New Roman" w:cstheme="minorHAnsi"/>
          <w:bCs/>
          <w:lang w:val="sr-Latn-ME"/>
        </w:rPr>
      </w:pPr>
      <w:r w:rsidRPr="00D438A7">
        <w:rPr>
          <w:rFonts w:eastAsia="Times New Roman" w:cstheme="minorHAnsi"/>
          <w:bCs/>
          <w:lang w:val="sr-Latn-ME"/>
        </w:rPr>
        <w:t>Izrada nove Strategije migracija (</w:t>
      </w:r>
      <w:proofErr w:type="spellStart"/>
      <w:r w:rsidRPr="00D438A7">
        <w:rPr>
          <w:rFonts w:eastAsia="Times New Roman" w:cstheme="minorHAnsi"/>
          <w:bCs/>
          <w:lang w:val="sr-Latn-ME"/>
        </w:rPr>
        <w:t>nasljednice</w:t>
      </w:r>
      <w:proofErr w:type="spellEnd"/>
      <w:r w:rsidRPr="00D438A7">
        <w:rPr>
          <w:rFonts w:eastAsia="Times New Roman" w:cstheme="minorHAnsi"/>
          <w:bCs/>
          <w:lang w:val="sr-Latn-ME"/>
        </w:rPr>
        <w:t xml:space="preserve"> strategije 2021</w:t>
      </w:r>
      <w:r>
        <w:rPr>
          <w:rFonts w:eastAsia="Times New Roman" w:cstheme="minorHAnsi"/>
          <w:bCs/>
          <w:lang w:val="sr-Latn-ME"/>
        </w:rPr>
        <w:t>-</w:t>
      </w:r>
      <w:r w:rsidRPr="00D438A7">
        <w:rPr>
          <w:rFonts w:eastAsia="Times New Roman" w:cstheme="minorHAnsi"/>
          <w:bCs/>
          <w:lang w:val="sr-Latn-ME"/>
        </w:rPr>
        <w:t>2025);</w:t>
      </w:r>
    </w:p>
    <w:p w14:paraId="54ECA75D" w14:textId="77777777" w:rsidR="005128AE" w:rsidRPr="00D438A7" w:rsidRDefault="005128AE" w:rsidP="005128AE">
      <w:pPr>
        <w:pStyle w:val="Odlomakpopisa"/>
        <w:numPr>
          <w:ilvl w:val="0"/>
          <w:numId w:val="8"/>
        </w:numPr>
        <w:spacing w:line="259" w:lineRule="auto"/>
        <w:rPr>
          <w:rFonts w:eastAsia="Times New Roman" w:cstheme="minorHAnsi"/>
          <w:bCs/>
          <w:lang w:val="sr-Latn-ME"/>
        </w:rPr>
      </w:pPr>
      <w:proofErr w:type="spellStart"/>
      <w:r w:rsidRPr="00D438A7">
        <w:rPr>
          <w:rFonts w:eastAsia="Times New Roman" w:cstheme="minorHAnsi"/>
          <w:bCs/>
          <w:lang w:val="sr-Latn-ME"/>
        </w:rPr>
        <w:t>Unapređenje</w:t>
      </w:r>
      <w:proofErr w:type="spellEnd"/>
      <w:r w:rsidRPr="00D438A7">
        <w:rPr>
          <w:rFonts w:eastAsia="Times New Roman" w:cstheme="minorHAnsi"/>
          <w:bCs/>
          <w:lang w:val="sr-Latn-ME"/>
        </w:rPr>
        <w:t xml:space="preserve"> saradnje u oblasti </w:t>
      </w:r>
      <w:proofErr w:type="spellStart"/>
      <w:r w:rsidRPr="00D438A7">
        <w:rPr>
          <w:rFonts w:eastAsia="Times New Roman" w:cstheme="minorHAnsi"/>
          <w:bCs/>
          <w:lang w:val="sr-Latn-ME"/>
        </w:rPr>
        <w:t>readmisije</w:t>
      </w:r>
      <w:proofErr w:type="spellEnd"/>
      <w:r w:rsidRPr="00D438A7">
        <w:rPr>
          <w:rFonts w:eastAsia="Times New Roman" w:cstheme="minorHAnsi"/>
          <w:bCs/>
          <w:lang w:val="sr-Latn-ME"/>
        </w:rPr>
        <w:t xml:space="preserve"> sa ključnim zemljama porijekla (Bangladeš, Pakistan, Nepal);</w:t>
      </w:r>
    </w:p>
    <w:p w14:paraId="15DD6EB5" w14:textId="77777777" w:rsidR="005128AE" w:rsidRPr="00D438A7" w:rsidRDefault="005128AE" w:rsidP="005128AE">
      <w:pPr>
        <w:pStyle w:val="Odlomakpopisa"/>
        <w:numPr>
          <w:ilvl w:val="0"/>
          <w:numId w:val="8"/>
        </w:numPr>
        <w:spacing w:line="259" w:lineRule="auto"/>
        <w:rPr>
          <w:rFonts w:eastAsia="Times New Roman" w:cstheme="minorHAnsi"/>
          <w:bCs/>
          <w:lang w:val="sr-Latn-ME"/>
        </w:rPr>
      </w:pPr>
      <w:r w:rsidRPr="00D438A7">
        <w:rPr>
          <w:rFonts w:eastAsia="Times New Roman" w:cstheme="minorHAnsi"/>
          <w:bCs/>
          <w:lang w:val="sr-Latn-ME"/>
        </w:rPr>
        <w:t>Digitalizacija procedura za vize i dozvole boravka;</w:t>
      </w:r>
    </w:p>
    <w:p w14:paraId="6AECDA03" w14:textId="77777777" w:rsidR="005128AE" w:rsidRPr="00D438A7" w:rsidRDefault="005128AE" w:rsidP="005128AE">
      <w:pPr>
        <w:pStyle w:val="Odlomakpopisa"/>
        <w:numPr>
          <w:ilvl w:val="0"/>
          <w:numId w:val="8"/>
        </w:numPr>
        <w:spacing w:line="259" w:lineRule="auto"/>
        <w:rPr>
          <w:rFonts w:eastAsia="Times New Roman" w:cstheme="minorHAnsi"/>
          <w:bCs/>
          <w:lang w:val="sr-Latn-ME"/>
        </w:rPr>
      </w:pPr>
      <w:r w:rsidRPr="00D438A7">
        <w:rPr>
          <w:rFonts w:eastAsia="Times New Roman" w:cstheme="minorHAnsi"/>
          <w:bCs/>
          <w:lang w:val="sr-Latn-ME"/>
        </w:rPr>
        <w:t xml:space="preserve">Usklađivanje </w:t>
      </w:r>
      <w:proofErr w:type="spellStart"/>
      <w:r w:rsidRPr="00D438A7">
        <w:rPr>
          <w:rFonts w:eastAsia="Times New Roman" w:cstheme="minorHAnsi"/>
          <w:bCs/>
          <w:lang w:val="sr-Latn-ME"/>
        </w:rPr>
        <w:t>viznog</w:t>
      </w:r>
      <w:proofErr w:type="spellEnd"/>
      <w:r w:rsidRPr="00D438A7">
        <w:rPr>
          <w:rFonts w:eastAsia="Times New Roman" w:cstheme="minorHAnsi"/>
          <w:bCs/>
          <w:lang w:val="sr-Latn-ME"/>
        </w:rPr>
        <w:t xml:space="preserve"> režima Crne Gore sa zajedničkim viznim listama EU;</w:t>
      </w:r>
    </w:p>
    <w:p w14:paraId="1B749124" w14:textId="77777777" w:rsidR="005128AE" w:rsidRPr="00D438A7" w:rsidRDefault="005128AE" w:rsidP="005128AE">
      <w:pPr>
        <w:pStyle w:val="Odlomakpopisa"/>
        <w:numPr>
          <w:ilvl w:val="0"/>
          <w:numId w:val="8"/>
        </w:numPr>
        <w:spacing w:line="259" w:lineRule="auto"/>
        <w:rPr>
          <w:rFonts w:eastAsia="Times New Roman" w:cstheme="minorHAnsi"/>
          <w:bCs/>
          <w:lang w:val="sr-Latn-ME"/>
        </w:rPr>
      </w:pPr>
      <w:r w:rsidRPr="00D438A7">
        <w:rPr>
          <w:rFonts w:eastAsia="Times New Roman" w:cstheme="minorHAnsi"/>
          <w:bCs/>
          <w:lang w:val="sr-Latn-ME"/>
        </w:rPr>
        <w:t>Razvoj sveobuhvatnog sistema upravljanja migracionim podacima (trenutno fragmentiranog između institucija);</w:t>
      </w:r>
    </w:p>
    <w:p w14:paraId="61F0C2DB" w14:textId="77777777" w:rsidR="005128AE" w:rsidRPr="00D438A7" w:rsidRDefault="005128AE" w:rsidP="005128AE">
      <w:pPr>
        <w:pStyle w:val="Odlomakpopisa"/>
        <w:numPr>
          <w:ilvl w:val="0"/>
          <w:numId w:val="8"/>
        </w:numPr>
        <w:spacing w:line="259" w:lineRule="auto"/>
        <w:rPr>
          <w:rFonts w:eastAsia="Times New Roman" w:cstheme="minorHAnsi"/>
          <w:bCs/>
          <w:lang w:val="sr-Latn-ME"/>
        </w:rPr>
      </w:pPr>
      <w:r w:rsidRPr="00D438A7">
        <w:rPr>
          <w:rFonts w:eastAsia="Times New Roman" w:cstheme="minorHAnsi"/>
          <w:bCs/>
          <w:lang w:val="sr-Latn-ME"/>
        </w:rPr>
        <w:t xml:space="preserve">Izrada nove Strategije za borbu protiv trgovine </w:t>
      </w:r>
      <w:proofErr w:type="spellStart"/>
      <w:r w:rsidRPr="00D438A7">
        <w:rPr>
          <w:rFonts w:eastAsia="Times New Roman" w:cstheme="minorHAnsi"/>
          <w:bCs/>
          <w:lang w:val="sr-Latn-ME"/>
        </w:rPr>
        <w:t>ljudima</w:t>
      </w:r>
      <w:proofErr w:type="spellEnd"/>
      <w:r w:rsidRPr="00D438A7">
        <w:rPr>
          <w:rFonts w:eastAsia="Times New Roman" w:cstheme="minorHAnsi"/>
          <w:bCs/>
          <w:lang w:val="sr-Latn-ME"/>
        </w:rPr>
        <w:t xml:space="preserve"> 2025–2028 (poveznica sa PA15).</w:t>
      </w:r>
    </w:p>
    <w:p w14:paraId="6C702EE9" w14:textId="77777777" w:rsidR="005128AE" w:rsidRDefault="005128AE" w:rsidP="005128AE">
      <w:pPr>
        <w:rPr>
          <w:lang w:val="sr-Latn-ME"/>
        </w:rPr>
      </w:pPr>
      <w:r w:rsidRPr="00D438A7">
        <w:rPr>
          <w:b/>
          <w:lang w:val="sr-Latn-ME"/>
        </w:rPr>
        <w:t xml:space="preserve">Povezanost sa </w:t>
      </w:r>
      <w:r>
        <w:rPr>
          <w:b/>
          <w:lang w:val="sr-Latn-ME"/>
        </w:rPr>
        <w:t>Programom ekonomskih reformi</w:t>
      </w:r>
      <w:r w:rsidRPr="00D438A7">
        <w:rPr>
          <w:b/>
          <w:lang w:val="sr-Latn-ME"/>
        </w:rPr>
        <w:t xml:space="preserve"> i Reformskom agendom: </w:t>
      </w:r>
      <w:r>
        <w:rPr>
          <w:lang w:val="sr-Latn-ME"/>
        </w:rPr>
        <w:t>Reformska agenda Crne Gore 2024-</w:t>
      </w:r>
      <w:r w:rsidRPr="00D438A7">
        <w:rPr>
          <w:lang w:val="sr-Latn-ME"/>
        </w:rPr>
        <w:t>2027</w:t>
      </w:r>
      <w:r>
        <w:rPr>
          <w:rStyle w:val="Referencafusnote"/>
          <w:rFonts w:eastAsia="Times New Roman" w:cstheme="minorHAnsi"/>
          <w:bCs/>
          <w:lang w:val="sr-Latn-ME"/>
        </w:rPr>
        <w:footnoteReference w:id="48"/>
      </w:r>
      <w:r w:rsidRPr="00082A02">
        <w:rPr>
          <w:lang w:val="sr-Latn-ME"/>
        </w:rPr>
        <w:t xml:space="preserve"> </w:t>
      </w:r>
      <w:r w:rsidRPr="00D438A7">
        <w:rPr>
          <w:lang w:val="sr-Latn-ME"/>
        </w:rPr>
        <w:t xml:space="preserve">obuhvata ključne prekretnice u oblasti vladavine prava i upravljanja granicama. Akcioni plan za ispunjavanje završnih mjerila u Poglavlju 24 (usvojen u aprilu 2025. godine) definiše konkretan </w:t>
      </w:r>
      <w:proofErr w:type="spellStart"/>
      <w:r w:rsidRPr="00D438A7">
        <w:rPr>
          <w:lang w:val="sr-Latn-ME"/>
        </w:rPr>
        <w:t>redosljed</w:t>
      </w:r>
      <w:proofErr w:type="spellEnd"/>
      <w:r w:rsidRPr="00D438A7">
        <w:rPr>
          <w:lang w:val="sr-Latn-ME"/>
        </w:rPr>
        <w:t xml:space="preserve"> reformi. Izvještaj Evropske komisije o Crnoj Gori za 2025. godinu</w:t>
      </w:r>
      <w:r>
        <w:rPr>
          <w:rStyle w:val="Referencafusnote"/>
          <w:rFonts w:eastAsia="Times New Roman" w:cstheme="minorHAnsi"/>
          <w:bCs/>
          <w:lang w:val="sr-Latn-ME"/>
        </w:rPr>
        <w:footnoteReference w:id="49"/>
      </w:r>
      <w:r w:rsidRPr="00082A02">
        <w:rPr>
          <w:lang w:val="sr-Latn-ME"/>
        </w:rPr>
        <w:t xml:space="preserve"> </w:t>
      </w:r>
      <w:r w:rsidRPr="00D438A7">
        <w:rPr>
          <w:lang w:val="sr-Latn-ME"/>
        </w:rPr>
        <w:t>daje najnoviju procjenu, navodeći da je Crna Gora ispunila privremena mjerila za Poglavlja 23 i 24 u junu 2024. godine i da su završna mjerila usvojena.</w:t>
      </w:r>
    </w:p>
    <w:p w14:paraId="5F86C026" w14:textId="2585555E" w:rsidR="005128AE" w:rsidRDefault="005128AE" w:rsidP="005128AE">
      <w:pPr>
        <w:pStyle w:val="Naslov2"/>
        <w:rPr>
          <w:rFonts w:eastAsia="Times New Roman"/>
          <w:lang w:val="sr-Latn-ME"/>
        </w:rPr>
      </w:pPr>
      <w:r>
        <w:rPr>
          <w:rFonts w:eastAsia="Times New Roman"/>
          <w:lang w:val="sr-Latn-ME"/>
        </w:rPr>
        <w:t>Ključni indikatori</w:t>
      </w:r>
    </w:p>
    <w:tbl>
      <w:tblPr>
        <w:tblStyle w:val="Reetkatablice"/>
        <w:tblW w:w="5000" w:type="pct"/>
        <w:tblLook w:val="04A0" w:firstRow="1" w:lastRow="0" w:firstColumn="1" w:lastColumn="0" w:noHBand="0" w:noVBand="1"/>
      </w:tblPr>
      <w:tblGrid>
        <w:gridCol w:w="2519"/>
        <w:gridCol w:w="1894"/>
        <w:gridCol w:w="1432"/>
        <w:gridCol w:w="1651"/>
        <w:gridCol w:w="1566"/>
      </w:tblGrid>
      <w:tr w:rsidR="005128AE" w:rsidRPr="005128AE" w14:paraId="30A9E530" w14:textId="77777777" w:rsidTr="005128AE">
        <w:trPr>
          <w:trHeight w:val="432"/>
        </w:trPr>
        <w:tc>
          <w:tcPr>
            <w:tcW w:w="1390" w:type="pct"/>
            <w:shd w:val="clear" w:color="auto" w:fill="83CAEB" w:themeFill="accent1" w:themeFillTint="66"/>
            <w:hideMark/>
          </w:tcPr>
          <w:p w14:paraId="6EC022B9" w14:textId="41232B65" w:rsidR="005128AE" w:rsidRPr="005128AE" w:rsidRDefault="005128AE" w:rsidP="00FC410A">
            <w:pPr>
              <w:rPr>
                <w:rFonts w:cstheme="minorHAnsi"/>
                <w:b/>
                <w:sz w:val="16"/>
                <w:szCs w:val="16"/>
              </w:rPr>
            </w:pPr>
            <w:proofErr w:type="spellStart"/>
            <w:r w:rsidRPr="005128AE">
              <w:rPr>
                <w:rFonts w:cstheme="minorHAnsi"/>
                <w:b/>
                <w:sz w:val="16"/>
                <w:szCs w:val="16"/>
              </w:rPr>
              <w:t>Indikator</w:t>
            </w:r>
            <w:proofErr w:type="spellEnd"/>
          </w:p>
        </w:tc>
        <w:tc>
          <w:tcPr>
            <w:tcW w:w="1045" w:type="pct"/>
            <w:shd w:val="clear" w:color="auto" w:fill="83CAEB" w:themeFill="accent1" w:themeFillTint="66"/>
            <w:hideMark/>
          </w:tcPr>
          <w:p w14:paraId="5C00FDC1" w14:textId="77777777" w:rsidR="005128AE" w:rsidRPr="005128AE" w:rsidRDefault="005128AE" w:rsidP="00FC410A">
            <w:pPr>
              <w:rPr>
                <w:rFonts w:cstheme="minorHAnsi"/>
                <w:b/>
                <w:sz w:val="16"/>
                <w:szCs w:val="16"/>
              </w:rPr>
            </w:pPr>
            <w:r w:rsidRPr="005128AE">
              <w:rPr>
                <w:rFonts w:cstheme="minorHAnsi"/>
                <w:b/>
                <w:sz w:val="16"/>
                <w:szCs w:val="16"/>
              </w:rPr>
              <w:t>Montenegro</w:t>
            </w:r>
          </w:p>
        </w:tc>
        <w:tc>
          <w:tcPr>
            <w:tcW w:w="790" w:type="pct"/>
            <w:shd w:val="clear" w:color="auto" w:fill="83CAEB" w:themeFill="accent1" w:themeFillTint="66"/>
            <w:hideMark/>
          </w:tcPr>
          <w:p w14:paraId="2D13BA58" w14:textId="77777777" w:rsidR="005128AE" w:rsidRPr="005128AE" w:rsidRDefault="005128AE" w:rsidP="00FC410A">
            <w:pPr>
              <w:rPr>
                <w:rFonts w:cstheme="minorHAnsi"/>
                <w:b/>
                <w:sz w:val="16"/>
                <w:szCs w:val="16"/>
              </w:rPr>
            </w:pPr>
            <w:r w:rsidRPr="005128AE">
              <w:rPr>
                <w:rFonts w:cstheme="minorHAnsi"/>
                <w:b/>
                <w:sz w:val="16"/>
                <w:szCs w:val="16"/>
              </w:rPr>
              <w:t>EU-27 / NATO Average</w:t>
            </w:r>
          </w:p>
        </w:tc>
        <w:tc>
          <w:tcPr>
            <w:tcW w:w="911" w:type="pct"/>
            <w:shd w:val="clear" w:color="auto" w:fill="83CAEB" w:themeFill="accent1" w:themeFillTint="66"/>
            <w:hideMark/>
          </w:tcPr>
          <w:p w14:paraId="68E084A7" w14:textId="77777777" w:rsidR="005128AE" w:rsidRPr="005128AE" w:rsidRDefault="005128AE" w:rsidP="00FC410A">
            <w:pPr>
              <w:rPr>
                <w:rFonts w:cstheme="minorHAnsi"/>
                <w:b/>
                <w:sz w:val="16"/>
                <w:szCs w:val="16"/>
              </w:rPr>
            </w:pPr>
            <w:r w:rsidRPr="005128AE">
              <w:rPr>
                <w:rFonts w:cstheme="minorHAnsi"/>
                <w:b/>
                <w:sz w:val="16"/>
                <w:szCs w:val="16"/>
              </w:rPr>
              <w:t>Target/ Benchmark</w:t>
            </w:r>
          </w:p>
        </w:tc>
        <w:tc>
          <w:tcPr>
            <w:tcW w:w="864" w:type="pct"/>
            <w:shd w:val="clear" w:color="auto" w:fill="83CAEB" w:themeFill="accent1" w:themeFillTint="66"/>
            <w:hideMark/>
          </w:tcPr>
          <w:p w14:paraId="084DEDD6" w14:textId="77777777" w:rsidR="005128AE" w:rsidRPr="005128AE" w:rsidRDefault="005128AE" w:rsidP="00FC410A">
            <w:pPr>
              <w:rPr>
                <w:rFonts w:cstheme="minorHAnsi"/>
                <w:b/>
                <w:sz w:val="16"/>
                <w:szCs w:val="16"/>
              </w:rPr>
            </w:pPr>
            <w:r w:rsidRPr="005128AE">
              <w:rPr>
                <w:rFonts w:cstheme="minorHAnsi"/>
                <w:b/>
                <w:sz w:val="16"/>
                <w:szCs w:val="16"/>
              </w:rPr>
              <w:t>Year/Source</w:t>
            </w:r>
          </w:p>
        </w:tc>
      </w:tr>
      <w:tr w:rsidR="005128AE" w:rsidRPr="005128AE" w14:paraId="22B13339" w14:textId="77777777" w:rsidTr="005128AE">
        <w:trPr>
          <w:trHeight w:val="134"/>
        </w:trPr>
        <w:tc>
          <w:tcPr>
            <w:tcW w:w="1390" w:type="pct"/>
            <w:hideMark/>
          </w:tcPr>
          <w:p w14:paraId="00CA2FFE" w14:textId="77777777" w:rsidR="005128AE" w:rsidRPr="005128AE" w:rsidRDefault="005128AE" w:rsidP="00FC410A">
            <w:pPr>
              <w:rPr>
                <w:rFonts w:cstheme="minorHAnsi"/>
                <w:sz w:val="16"/>
                <w:szCs w:val="16"/>
              </w:rPr>
            </w:pPr>
            <w:r w:rsidRPr="005128AE">
              <w:rPr>
                <w:rFonts w:cstheme="minorHAnsi"/>
                <w:sz w:val="16"/>
                <w:szCs w:val="16"/>
              </w:rPr>
              <w:t>Total border length</w:t>
            </w:r>
          </w:p>
        </w:tc>
        <w:tc>
          <w:tcPr>
            <w:tcW w:w="1045" w:type="pct"/>
            <w:hideMark/>
          </w:tcPr>
          <w:p w14:paraId="679FD6AC" w14:textId="77777777" w:rsidR="005128AE" w:rsidRPr="005128AE" w:rsidRDefault="005128AE" w:rsidP="00FC410A">
            <w:pPr>
              <w:rPr>
                <w:rFonts w:cstheme="minorHAnsi"/>
                <w:sz w:val="16"/>
                <w:szCs w:val="16"/>
              </w:rPr>
            </w:pPr>
            <w:r w:rsidRPr="005128AE">
              <w:rPr>
                <w:rFonts w:cstheme="minorHAnsi"/>
                <w:sz w:val="16"/>
                <w:szCs w:val="16"/>
              </w:rPr>
              <w:t>840 km (571 km land)</w:t>
            </w:r>
          </w:p>
        </w:tc>
        <w:tc>
          <w:tcPr>
            <w:tcW w:w="790" w:type="pct"/>
            <w:hideMark/>
          </w:tcPr>
          <w:p w14:paraId="79FB758D" w14:textId="77777777" w:rsidR="005128AE" w:rsidRPr="005128AE" w:rsidRDefault="005128AE" w:rsidP="00FC410A">
            <w:pPr>
              <w:rPr>
                <w:rFonts w:cstheme="minorHAnsi"/>
                <w:sz w:val="16"/>
                <w:szCs w:val="16"/>
              </w:rPr>
            </w:pPr>
            <w:r w:rsidRPr="005128AE">
              <w:rPr>
                <w:rFonts w:cstheme="minorHAnsi"/>
                <w:sz w:val="16"/>
                <w:szCs w:val="16"/>
              </w:rPr>
              <w:t>-</w:t>
            </w:r>
          </w:p>
        </w:tc>
        <w:tc>
          <w:tcPr>
            <w:tcW w:w="911" w:type="pct"/>
            <w:hideMark/>
          </w:tcPr>
          <w:p w14:paraId="3ED98B33" w14:textId="77777777" w:rsidR="005128AE" w:rsidRPr="005128AE" w:rsidRDefault="005128AE" w:rsidP="00FC410A">
            <w:pPr>
              <w:rPr>
                <w:rFonts w:cstheme="minorHAnsi"/>
                <w:sz w:val="16"/>
                <w:szCs w:val="16"/>
              </w:rPr>
            </w:pPr>
            <w:r w:rsidRPr="005128AE">
              <w:rPr>
                <w:rFonts w:cstheme="minorHAnsi"/>
                <w:sz w:val="16"/>
                <w:szCs w:val="16"/>
              </w:rPr>
              <w:t>-</w:t>
            </w:r>
          </w:p>
        </w:tc>
        <w:tc>
          <w:tcPr>
            <w:tcW w:w="864" w:type="pct"/>
            <w:hideMark/>
          </w:tcPr>
          <w:p w14:paraId="3ABDE970" w14:textId="77777777" w:rsidR="005128AE" w:rsidRPr="005128AE" w:rsidRDefault="005128AE" w:rsidP="00FC410A">
            <w:pPr>
              <w:rPr>
                <w:rFonts w:cstheme="minorHAnsi"/>
                <w:sz w:val="16"/>
                <w:szCs w:val="16"/>
              </w:rPr>
            </w:pPr>
            <w:r w:rsidRPr="005128AE">
              <w:rPr>
                <w:rFonts w:cstheme="minorHAnsi"/>
                <w:sz w:val="16"/>
                <w:szCs w:val="16"/>
              </w:rPr>
              <w:t>IOM/EC</w:t>
            </w:r>
          </w:p>
        </w:tc>
      </w:tr>
      <w:tr w:rsidR="005128AE" w:rsidRPr="005128AE" w14:paraId="49DD4701" w14:textId="77777777" w:rsidTr="005128AE">
        <w:trPr>
          <w:trHeight w:val="89"/>
        </w:trPr>
        <w:tc>
          <w:tcPr>
            <w:tcW w:w="1390" w:type="pct"/>
            <w:hideMark/>
          </w:tcPr>
          <w:p w14:paraId="0306DAC4" w14:textId="77777777" w:rsidR="005128AE" w:rsidRPr="005128AE" w:rsidRDefault="005128AE" w:rsidP="00FC410A">
            <w:pPr>
              <w:rPr>
                <w:rFonts w:cstheme="minorHAnsi"/>
                <w:sz w:val="16"/>
                <w:szCs w:val="16"/>
              </w:rPr>
            </w:pPr>
            <w:r w:rsidRPr="005128AE">
              <w:rPr>
                <w:rFonts w:cstheme="minorHAnsi"/>
                <w:sz w:val="16"/>
                <w:szCs w:val="16"/>
              </w:rPr>
              <w:t>Border crossing points</w:t>
            </w:r>
          </w:p>
        </w:tc>
        <w:tc>
          <w:tcPr>
            <w:tcW w:w="1045" w:type="pct"/>
            <w:hideMark/>
          </w:tcPr>
          <w:p w14:paraId="39034880" w14:textId="77777777" w:rsidR="005128AE" w:rsidRPr="005128AE" w:rsidRDefault="005128AE" w:rsidP="00FC410A">
            <w:pPr>
              <w:rPr>
                <w:rFonts w:cstheme="minorHAnsi"/>
                <w:sz w:val="16"/>
                <w:szCs w:val="16"/>
              </w:rPr>
            </w:pPr>
            <w:r w:rsidRPr="005128AE">
              <w:rPr>
                <w:rFonts w:cstheme="minorHAnsi"/>
                <w:sz w:val="16"/>
                <w:szCs w:val="16"/>
              </w:rPr>
              <w:t>47 (land, air, sea)</w:t>
            </w:r>
          </w:p>
        </w:tc>
        <w:tc>
          <w:tcPr>
            <w:tcW w:w="790" w:type="pct"/>
            <w:hideMark/>
          </w:tcPr>
          <w:p w14:paraId="4E01324A" w14:textId="77777777" w:rsidR="005128AE" w:rsidRPr="005128AE" w:rsidRDefault="005128AE" w:rsidP="00FC410A">
            <w:pPr>
              <w:rPr>
                <w:rFonts w:cstheme="minorHAnsi"/>
                <w:sz w:val="16"/>
                <w:szCs w:val="16"/>
              </w:rPr>
            </w:pPr>
            <w:r w:rsidRPr="005128AE">
              <w:rPr>
                <w:rFonts w:cstheme="minorHAnsi"/>
                <w:sz w:val="16"/>
                <w:szCs w:val="16"/>
              </w:rPr>
              <w:t>-</w:t>
            </w:r>
          </w:p>
        </w:tc>
        <w:tc>
          <w:tcPr>
            <w:tcW w:w="911" w:type="pct"/>
            <w:hideMark/>
          </w:tcPr>
          <w:p w14:paraId="1EF31EEC" w14:textId="77777777" w:rsidR="005128AE" w:rsidRPr="005128AE" w:rsidRDefault="005128AE" w:rsidP="00FC410A">
            <w:pPr>
              <w:rPr>
                <w:rFonts w:cstheme="minorHAnsi"/>
                <w:sz w:val="16"/>
                <w:szCs w:val="16"/>
              </w:rPr>
            </w:pPr>
            <w:r w:rsidRPr="005128AE">
              <w:rPr>
                <w:rFonts w:cstheme="minorHAnsi"/>
                <w:sz w:val="16"/>
                <w:szCs w:val="16"/>
              </w:rPr>
              <w:t>Schengen-compliant</w:t>
            </w:r>
          </w:p>
        </w:tc>
        <w:tc>
          <w:tcPr>
            <w:tcW w:w="864" w:type="pct"/>
            <w:hideMark/>
          </w:tcPr>
          <w:p w14:paraId="6FF5F5A2" w14:textId="77777777" w:rsidR="005128AE" w:rsidRPr="005128AE" w:rsidRDefault="005128AE" w:rsidP="00FC410A">
            <w:pPr>
              <w:rPr>
                <w:rFonts w:cstheme="minorHAnsi"/>
                <w:sz w:val="16"/>
                <w:szCs w:val="16"/>
              </w:rPr>
            </w:pPr>
            <w:proofErr w:type="spellStart"/>
            <w:r w:rsidRPr="005128AE">
              <w:rPr>
                <w:rFonts w:cstheme="minorHAnsi"/>
                <w:sz w:val="16"/>
                <w:szCs w:val="16"/>
              </w:rPr>
              <w:t>MoI</w:t>
            </w:r>
            <w:proofErr w:type="spellEnd"/>
          </w:p>
        </w:tc>
      </w:tr>
      <w:tr w:rsidR="005128AE" w:rsidRPr="005128AE" w14:paraId="5189F22C" w14:textId="77777777" w:rsidTr="005128AE">
        <w:trPr>
          <w:trHeight w:val="58"/>
        </w:trPr>
        <w:tc>
          <w:tcPr>
            <w:tcW w:w="1390" w:type="pct"/>
            <w:hideMark/>
          </w:tcPr>
          <w:p w14:paraId="48F9D4A5" w14:textId="77777777" w:rsidR="005128AE" w:rsidRPr="005128AE" w:rsidRDefault="005128AE" w:rsidP="00FC410A">
            <w:pPr>
              <w:rPr>
                <w:rFonts w:cstheme="minorHAnsi"/>
                <w:sz w:val="16"/>
                <w:szCs w:val="16"/>
              </w:rPr>
            </w:pPr>
            <w:r w:rsidRPr="005128AE">
              <w:rPr>
                <w:rFonts w:cstheme="minorHAnsi"/>
                <w:sz w:val="16"/>
                <w:szCs w:val="16"/>
              </w:rPr>
              <w:t>Biometric border registration</w:t>
            </w:r>
          </w:p>
        </w:tc>
        <w:tc>
          <w:tcPr>
            <w:tcW w:w="1045" w:type="pct"/>
            <w:hideMark/>
          </w:tcPr>
          <w:p w14:paraId="335F8B45" w14:textId="77777777" w:rsidR="005128AE" w:rsidRPr="005128AE" w:rsidRDefault="005128AE" w:rsidP="00FC410A">
            <w:pPr>
              <w:rPr>
                <w:rFonts w:cstheme="minorHAnsi"/>
                <w:sz w:val="16"/>
                <w:szCs w:val="16"/>
              </w:rPr>
            </w:pPr>
            <w:r w:rsidRPr="005128AE">
              <w:rPr>
                <w:rFonts w:cstheme="minorHAnsi"/>
                <w:sz w:val="16"/>
                <w:szCs w:val="16"/>
              </w:rPr>
              <w:t>Not yet (ink-on-paper)</w:t>
            </w:r>
          </w:p>
        </w:tc>
        <w:tc>
          <w:tcPr>
            <w:tcW w:w="790" w:type="pct"/>
            <w:hideMark/>
          </w:tcPr>
          <w:p w14:paraId="736E9AEC" w14:textId="77777777" w:rsidR="005128AE" w:rsidRPr="005128AE" w:rsidRDefault="005128AE" w:rsidP="00FC410A">
            <w:pPr>
              <w:rPr>
                <w:rFonts w:cstheme="minorHAnsi"/>
                <w:sz w:val="16"/>
                <w:szCs w:val="16"/>
              </w:rPr>
            </w:pPr>
            <w:r w:rsidRPr="005128AE">
              <w:rPr>
                <w:rFonts w:cstheme="minorHAnsi"/>
                <w:sz w:val="16"/>
                <w:szCs w:val="16"/>
              </w:rPr>
              <w:t>Biometric (SIS/VIS/EES)</w:t>
            </w:r>
          </w:p>
        </w:tc>
        <w:tc>
          <w:tcPr>
            <w:tcW w:w="911" w:type="pct"/>
            <w:hideMark/>
          </w:tcPr>
          <w:p w14:paraId="753A4D29" w14:textId="77777777" w:rsidR="005128AE" w:rsidRPr="005128AE" w:rsidRDefault="005128AE" w:rsidP="00FC410A">
            <w:pPr>
              <w:rPr>
                <w:rFonts w:cstheme="minorHAnsi"/>
                <w:sz w:val="16"/>
                <w:szCs w:val="16"/>
              </w:rPr>
            </w:pPr>
            <w:r w:rsidRPr="005128AE">
              <w:rPr>
                <w:rFonts w:cstheme="minorHAnsi"/>
                <w:sz w:val="16"/>
                <w:szCs w:val="16"/>
              </w:rPr>
              <w:t>Full biometric system</w:t>
            </w:r>
          </w:p>
        </w:tc>
        <w:tc>
          <w:tcPr>
            <w:tcW w:w="864" w:type="pct"/>
            <w:hideMark/>
          </w:tcPr>
          <w:p w14:paraId="58AF20CB" w14:textId="77777777" w:rsidR="005128AE" w:rsidRPr="005128AE" w:rsidRDefault="005128AE" w:rsidP="00FC410A">
            <w:pPr>
              <w:rPr>
                <w:rFonts w:cstheme="minorHAnsi"/>
                <w:sz w:val="16"/>
                <w:szCs w:val="16"/>
              </w:rPr>
            </w:pPr>
            <w:r w:rsidRPr="005128AE">
              <w:rPr>
                <w:rFonts w:cstheme="minorHAnsi"/>
                <w:sz w:val="16"/>
                <w:szCs w:val="16"/>
              </w:rPr>
              <w:t>EC/IOM</w:t>
            </w:r>
          </w:p>
        </w:tc>
      </w:tr>
      <w:tr w:rsidR="005128AE" w:rsidRPr="005128AE" w14:paraId="41606DD8" w14:textId="77777777" w:rsidTr="005128AE">
        <w:trPr>
          <w:trHeight w:val="58"/>
        </w:trPr>
        <w:tc>
          <w:tcPr>
            <w:tcW w:w="1390" w:type="pct"/>
            <w:hideMark/>
          </w:tcPr>
          <w:p w14:paraId="341C6770" w14:textId="77777777" w:rsidR="005128AE" w:rsidRPr="005128AE" w:rsidRDefault="005128AE" w:rsidP="00FC410A">
            <w:pPr>
              <w:rPr>
                <w:rFonts w:cstheme="minorHAnsi"/>
                <w:sz w:val="16"/>
                <w:szCs w:val="16"/>
              </w:rPr>
            </w:pPr>
            <w:r w:rsidRPr="005128AE">
              <w:rPr>
                <w:rFonts w:cstheme="minorHAnsi"/>
                <w:sz w:val="16"/>
                <w:szCs w:val="16"/>
              </w:rPr>
              <w:t>Frontex Status Agreement</w:t>
            </w:r>
          </w:p>
        </w:tc>
        <w:tc>
          <w:tcPr>
            <w:tcW w:w="1045" w:type="pct"/>
            <w:hideMark/>
          </w:tcPr>
          <w:p w14:paraId="40B90B47" w14:textId="77777777" w:rsidR="005128AE" w:rsidRPr="005128AE" w:rsidRDefault="005128AE" w:rsidP="00FC410A">
            <w:pPr>
              <w:rPr>
                <w:rFonts w:cstheme="minorHAnsi"/>
                <w:sz w:val="16"/>
                <w:szCs w:val="16"/>
              </w:rPr>
            </w:pPr>
            <w:r w:rsidRPr="005128AE">
              <w:rPr>
                <w:rFonts w:cstheme="minorHAnsi"/>
                <w:sz w:val="16"/>
                <w:szCs w:val="16"/>
              </w:rPr>
              <w:t>In force (July 2023)</w:t>
            </w:r>
          </w:p>
        </w:tc>
        <w:tc>
          <w:tcPr>
            <w:tcW w:w="790" w:type="pct"/>
            <w:hideMark/>
          </w:tcPr>
          <w:p w14:paraId="15F28999" w14:textId="77777777" w:rsidR="005128AE" w:rsidRPr="005128AE" w:rsidRDefault="005128AE" w:rsidP="00FC410A">
            <w:pPr>
              <w:rPr>
                <w:rFonts w:cstheme="minorHAnsi"/>
                <w:sz w:val="16"/>
                <w:szCs w:val="16"/>
              </w:rPr>
            </w:pPr>
            <w:r w:rsidRPr="005128AE">
              <w:rPr>
                <w:rFonts w:cstheme="minorHAnsi"/>
                <w:sz w:val="16"/>
                <w:szCs w:val="16"/>
              </w:rPr>
              <w:t>-</w:t>
            </w:r>
          </w:p>
        </w:tc>
        <w:tc>
          <w:tcPr>
            <w:tcW w:w="911" w:type="pct"/>
            <w:hideMark/>
          </w:tcPr>
          <w:p w14:paraId="14956E27" w14:textId="77777777" w:rsidR="005128AE" w:rsidRPr="005128AE" w:rsidRDefault="005128AE" w:rsidP="00FC410A">
            <w:pPr>
              <w:rPr>
                <w:rFonts w:cstheme="minorHAnsi"/>
                <w:sz w:val="16"/>
                <w:szCs w:val="16"/>
              </w:rPr>
            </w:pPr>
            <w:r w:rsidRPr="005128AE">
              <w:rPr>
                <w:rFonts w:cstheme="minorHAnsi"/>
                <w:sz w:val="16"/>
                <w:szCs w:val="16"/>
              </w:rPr>
              <w:t>Joint operations active</w:t>
            </w:r>
          </w:p>
        </w:tc>
        <w:tc>
          <w:tcPr>
            <w:tcW w:w="864" w:type="pct"/>
            <w:hideMark/>
          </w:tcPr>
          <w:p w14:paraId="43AF9127" w14:textId="77777777" w:rsidR="005128AE" w:rsidRPr="005128AE" w:rsidRDefault="005128AE" w:rsidP="00FC410A">
            <w:pPr>
              <w:rPr>
                <w:rFonts w:cstheme="minorHAnsi"/>
                <w:sz w:val="16"/>
                <w:szCs w:val="16"/>
              </w:rPr>
            </w:pPr>
            <w:r w:rsidRPr="005128AE">
              <w:rPr>
                <w:rFonts w:cstheme="minorHAnsi"/>
                <w:sz w:val="16"/>
                <w:szCs w:val="16"/>
              </w:rPr>
              <w:t>2023, Frontex</w:t>
            </w:r>
          </w:p>
        </w:tc>
      </w:tr>
      <w:tr w:rsidR="005128AE" w:rsidRPr="005128AE" w14:paraId="01848E07" w14:textId="77777777" w:rsidTr="005128AE">
        <w:trPr>
          <w:trHeight w:val="58"/>
        </w:trPr>
        <w:tc>
          <w:tcPr>
            <w:tcW w:w="1390" w:type="pct"/>
            <w:hideMark/>
          </w:tcPr>
          <w:p w14:paraId="2B62C7CB" w14:textId="77777777" w:rsidR="005128AE" w:rsidRPr="005128AE" w:rsidRDefault="005128AE" w:rsidP="00FC410A">
            <w:pPr>
              <w:rPr>
                <w:rFonts w:cstheme="minorHAnsi"/>
                <w:sz w:val="16"/>
                <w:szCs w:val="16"/>
              </w:rPr>
            </w:pPr>
            <w:r w:rsidRPr="005128AE">
              <w:rPr>
                <w:rFonts w:cstheme="minorHAnsi"/>
                <w:sz w:val="16"/>
                <w:szCs w:val="16"/>
              </w:rPr>
              <w:t>EUAA Roadmap</w:t>
            </w:r>
          </w:p>
        </w:tc>
        <w:tc>
          <w:tcPr>
            <w:tcW w:w="1045" w:type="pct"/>
            <w:hideMark/>
          </w:tcPr>
          <w:p w14:paraId="079785CD" w14:textId="77777777" w:rsidR="005128AE" w:rsidRPr="005128AE" w:rsidRDefault="005128AE" w:rsidP="00FC410A">
            <w:pPr>
              <w:rPr>
                <w:rFonts w:cstheme="minorHAnsi"/>
                <w:sz w:val="16"/>
                <w:szCs w:val="16"/>
              </w:rPr>
            </w:pPr>
            <w:r w:rsidRPr="005128AE">
              <w:rPr>
                <w:rFonts w:cstheme="minorHAnsi"/>
                <w:sz w:val="16"/>
                <w:szCs w:val="16"/>
              </w:rPr>
              <w:t>2025–2027 (signed March 2025)</w:t>
            </w:r>
          </w:p>
        </w:tc>
        <w:tc>
          <w:tcPr>
            <w:tcW w:w="790" w:type="pct"/>
            <w:hideMark/>
          </w:tcPr>
          <w:p w14:paraId="5AF4AEC9" w14:textId="77777777" w:rsidR="005128AE" w:rsidRPr="005128AE" w:rsidRDefault="005128AE" w:rsidP="00FC410A">
            <w:pPr>
              <w:rPr>
                <w:rFonts w:cstheme="minorHAnsi"/>
                <w:sz w:val="16"/>
                <w:szCs w:val="16"/>
              </w:rPr>
            </w:pPr>
            <w:r w:rsidRPr="005128AE">
              <w:rPr>
                <w:rFonts w:cstheme="minorHAnsi"/>
                <w:sz w:val="16"/>
                <w:szCs w:val="16"/>
              </w:rPr>
              <w:t>-</w:t>
            </w:r>
          </w:p>
        </w:tc>
        <w:tc>
          <w:tcPr>
            <w:tcW w:w="911" w:type="pct"/>
            <w:hideMark/>
          </w:tcPr>
          <w:p w14:paraId="77E24064" w14:textId="77777777" w:rsidR="005128AE" w:rsidRPr="005128AE" w:rsidRDefault="005128AE" w:rsidP="00FC410A">
            <w:pPr>
              <w:rPr>
                <w:rFonts w:cstheme="minorHAnsi"/>
                <w:sz w:val="16"/>
                <w:szCs w:val="16"/>
              </w:rPr>
            </w:pPr>
            <w:r w:rsidRPr="005128AE">
              <w:rPr>
                <w:rFonts w:cstheme="minorHAnsi"/>
                <w:sz w:val="16"/>
                <w:szCs w:val="16"/>
              </w:rPr>
              <w:t>Implementation</w:t>
            </w:r>
          </w:p>
        </w:tc>
        <w:tc>
          <w:tcPr>
            <w:tcW w:w="864" w:type="pct"/>
            <w:hideMark/>
          </w:tcPr>
          <w:p w14:paraId="3DCD2155" w14:textId="77777777" w:rsidR="005128AE" w:rsidRPr="005128AE" w:rsidRDefault="005128AE" w:rsidP="00FC410A">
            <w:pPr>
              <w:rPr>
                <w:rFonts w:cstheme="minorHAnsi"/>
                <w:sz w:val="16"/>
                <w:szCs w:val="16"/>
              </w:rPr>
            </w:pPr>
            <w:r w:rsidRPr="005128AE">
              <w:rPr>
                <w:rFonts w:cstheme="minorHAnsi"/>
                <w:sz w:val="16"/>
                <w:szCs w:val="16"/>
              </w:rPr>
              <w:t>2025, EUAA</w:t>
            </w:r>
          </w:p>
        </w:tc>
      </w:tr>
      <w:tr w:rsidR="005128AE" w:rsidRPr="005128AE" w14:paraId="451C4264" w14:textId="77777777" w:rsidTr="005128AE">
        <w:trPr>
          <w:trHeight w:val="58"/>
        </w:trPr>
        <w:tc>
          <w:tcPr>
            <w:tcW w:w="1390" w:type="pct"/>
            <w:hideMark/>
          </w:tcPr>
          <w:p w14:paraId="55495558" w14:textId="77777777" w:rsidR="005128AE" w:rsidRPr="005128AE" w:rsidRDefault="005128AE" w:rsidP="00FC410A">
            <w:pPr>
              <w:rPr>
                <w:rFonts w:cstheme="minorHAnsi"/>
                <w:sz w:val="16"/>
                <w:szCs w:val="16"/>
              </w:rPr>
            </w:pPr>
            <w:r w:rsidRPr="005128AE">
              <w:rPr>
                <w:rFonts w:cstheme="minorHAnsi"/>
                <w:sz w:val="16"/>
                <w:szCs w:val="16"/>
              </w:rPr>
              <w:t>Foreign residents</w:t>
            </w:r>
          </w:p>
        </w:tc>
        <w:tc>
          <w:tcPr>
            <w:tcW w:w="1045" w:type="pct"/>
            <w:hideMark/>
          </w:tcPr>
          <w:p w14:paraId="795BF0A6" w14:textId="77777777" w:rsidR="005128AE" w:rsidRPr="005128AE" w:rsidRDefault="005128AE" w:rsidP="00FC410A">
            <w:pPr>
              <w:rPr>
                <w:rFonts w:cstheme="minorHAnsi"/>
                <w:sz w:val="16"/>
                <w:szCs w:val="16"/>
              </w:rPr>
            </w:pPr>
            <w:r w:rsidRPr="005128AE">
              <w:rPr>
                <w:rFonts w:cstheme="minorHAnsi"/>
                <w:sz w:val="16"/>
                <w:szCs w:val="16"/>
              </w:rPr>
              <w:t>~98,000 (of which ~21,000 Russian)</w:t>
            </w:r>
          </w:p>
        </w:tc>
        <w:tc>
          <w:tcPr>
            <w:tcW w:w="790" w:type="pct"/>
            <w:hideMark/>
          </w:tcPr>
          <w:p w14:paraId="572C1A3F" w14:textId="77777777" w:rsidR="005128AE" w:rsidRPr="005128AE" w:rsidRDefault="005128AE" w:rsidP="00FC410A">
            <w:pPr>
              <w:rPr>
                <w:rFonts w:cstheme="minorHAnsi"/>
                <w:sz w:val="16"/>
                <w:szCs w:val="16"/>
              </w:rPr>
            </w:pPr>
            <w:r w:rsidRPr="005128AE">
              <w:rPr>
                <w:rFonts w:cstheme="minorHAnsi"/>
                <w:sz w:val="16"/>
                <w:szCs w:val="16"/>
              </w:rPr>
              <w:t>-</w:t>
            </w:r>
          </w:p>
        </w:tc>
        <w:tc>
          <w:tcPr>
            <w:tcW w:w="911" w:type="pct"/>
            <w:hideMark/>
          </w:tcPr>
          <w:p w14:paraId="51F7CC29" w14:textId="77777777" w:rsidR="005128AE" w:rsidRPr="005128AE" w:rsidRDefault="005128AE" w:rsidP="00FC410A">
            <w:pPr>
              <w:rPr>
                <w:rFonts w:cstheme="minorHAnsi"/>
                <w:sz w:val="16"/>
                <w:szCs w:val="16"/>
              </w:rPr>
            </w:pPr>
            <w:r w:rsidRPr="005128AE">
              <w:rPr>
                <w:rFonts w:cstheme="minorHAnsi"/>
                <w:sz w:val="16"/>
                <w:szCs w:val="16"/>
              </w:rPr>
              <w:t>-</w:t>
            </w:r>
          </w:p>
        </w:tc>
        <w:tc>
          <w:tcPr>
            <w:tcW w:w="864" w:type="pct"/>
            <w:hideMark/>
          </w:tcPr>
          <w:p w14:paraId="2A60229A" w14:textId="77777777" w:rsidR="005128AE" w:rsidRPr="005128AE" w:rsidRDefault="005128AE" w:rsidP="00FC410A">
            <w:pPr>
              <w:rPr>
                <w:rFonts w:cstheme="minorHAnsi"/>
                <w:sz w:val="16"/>
                <w:szCs w:val="16"/>
              </w:rPr>
            </w:pPr>
            <w:r w:rsidRPr="005128AE">
              <w:rPr>
                <w:rFonts w:cstheme="minorHAnsi"/>
                <w:sz w:val="16"/>
                <w:szCs w:val="16"/>
              </w:rPr>
              <w:t xml:space="preserve">Nov 2025, </w:t>
            </w:r>
            <w:proofErr w:type="spellStart"/>
            <w:r w:rsidRPr="005128AE">
              <w:rPr>
                <w:rFonts w:cstheme="minorHAnsi"/>
                <w:sz w:val="16"/>
                <w:szCs w:val="16"/>
              </w:rPr>
              <w:t>MoI</w:t>
            </w:r>
            <w:proofErr w:type="spellEnd"/>
          </w:p>
        </w:tc>
      </w:tr>
      <w:tr w:rsidR="005128AE" w:rsidRPr="005128AE" w14:paraId="3F832FA0" w14:textId="77777777" w:rsidTr="005128AE">
        <w:trPr>
          <w:trHeight w:val="278"/>
        </w:trPr>
        <w:tc>
          <w:tcPr>
            <w:tcW w:w="1390" w:type="pct"/>
            <w:hideMark/>
          </w:tcPr>
          <w:p w14:paraId="682BC500" w14:textId="77777777" w:rsidR="005128AE" w:rsidRPr="005128AE" w:rsidRDefault="005128AE" w:rsidP="00FC410A">
            <w:pPr>
              <w:rPr>
                <w:rFonts w:cstheme="minorHAnsi"/>
                <w:sz w:val="16"/>
                <w:szCs w:val="16"/>
              </w:rPr>
            </w:pPr>
            <w:r w:rsidRPr="005128AE">
              <w:rPr>
                <w:rFonts w:cstheme="minorHAnsi"/>
                <w:sz w:val="16"/>
                <w:szCs w:val="16"/>
              </w:rPr>
              <w:t>Population</w:t>
            </w:r>
          </w:p>
        </w:tc>
        <w:tc>
          <w:tcPr>
            <w:tcW w:w="1045" w:type="pct"/>
            <w:hideMark/>
          </w:tcPr>
          <w:p w14:paraId="7231868F" w14:textId="77777777" w:rsidR="005128AE" w:rsidRPr="005128AE" w:rsidRDefault="005128AE" w:rsidP="00FC410A">
            <w:pPr>
              <w:rPr>
                <w:rFonts w:cstheme="minorHAnsi"/>
                <w:sz w:val="16"/>
                <w:szCs w:val="16"/>
              </w:rPr>
            </w:pPr>
            <w:r w:rsidRPr="005128AE">
              <w:rPr>
                <w:rFonts w:cstheme="minorHAnsi"/>
                <w:sz w:val="16"/>
                <w:szCs w:val="16"/>
              </w:rPr>
              <w:t>~633,000</w:t>
            </w:r>
          </w:p>
        </w:tc>
        <w:tc>
          <w:tcPr>
            <w:tcW w:w="790" w:type="pct"/>
            <w:hideMark/>
          </w:tcPr>
          <w:p w14:paraId="71041BED" w14:textId="77777777" w:rsidR="005128AE" w:rsidRPr="005128AE" w:rsidRDefault="005128AE" w:rsidP="00FC410A">
            <w:pPr>
              <w:rPr>
                <w:rFonts w:cstheme="minorHAnsi"/>
                <w:sz w:val="16"/>
                <w:szCs w:val="16"/>
              </w:rPr>
            </w:pPr>
            <w:r w:rsidRPr="005128AE">
              <w:rPr>
                <w:rFonts w:cstheme="minorHAnsi"/>
                <w:sz w:val="16"/>
                <w:szCs w:val="16"/>
              </w:rPr>
              <w:t>-</w:t>
            </w:r>
          </w:p>
        </w:tc>
        <w:tc>
          <w:tcPr>
            <w:tcW w:w="911" w:type="pct"/>
            <w:hideMark/>
          </w:tcPr>
          <w:p w14:paraId="45B0363A" w14:textId="77777777" w:rsidR="005128AE" w:rsidRPr="005128AE" w:rsidRDefault="005128AE" w:rsidP="00FC410A">
            <w:pPr>
              <w:rPr>
                <w:rFonts w:cstheme="minorHAnsi"/>
                <w:sz w:val="16"/>
                <w:szCs w:val="16"/>
              </w:rPr>
            </w:pPr>
            <w:r w:rsidRPr="005128AE">
              <w:rPr>
                <w:rFonts w:cstheme="minorHAnsi"/>
                <w:sz w:val="16"/>
                <w:szCs w:val="16"/>
              </w:rPr>
              <w:t>-</w:t>
            </w:r>
          </w:p>
        </w:tc>
        <w:tc>
          <w:tcPr>
            <w:tcW w:w="864" w:type="pct"/>
            <w:hideMark/>
          </w:tcPr>
          <w:p w14:paraId="141D34E7" w14:textId="77777777" w:rsidR="005128AE" w:rsidRPr="005128AE" w:rsidRDefault="005128AE" w:rsidP="00FC410A">
            <w:pPr>
              <w:rPr>
                <w:rFonts w:cstheme="minorHAnsi"/>
                <w:sz w:val="16"/>
                <w:szCs w:val="16"/>
              </w:rPr>
            </w:pPr>
            <w:r w:rsidRPr="005128AE">
              <w:rPr>
                <w:rFonts w:cstheme="minorHAnsi"/>
                <w:sz w:val="16"/>
                <w:szCs w:val="16"/>
              </w:rPr>
              <w:t>2023, MONSTAT</w:t>
            </w:r>
          </w:p>
        </w:tc>
      </w:tr>
      <w:tr w:rsidR="005128AE" w:rsidRPr="005128AE" w14:paraId="2F408338" w14:textId="77777777" w:rsidTr="005128AE">
        <w:trPr>
          <w:trHeight w:val="58"/>
        </w:trPr>
        <w:tc>
          <w:tcPr>
            <w:tcW w:w="1390" w:type="pct"/>
            <w:hideMark/>
          </w:tcPr>
          <w:p w14:paraId="26C6DF53" w14:textId="77777777" w:rsidR="005128AE" w:rsidRPr="005128AE" w:rsidRDefault="005128AE" w:rsidP="00FC410A">
            <w:pPr>
              <w:rPr>
                <w:rFonts w:cstheme="minorHAnsi"/>
                <w:sz w:val="16"/>
                <w:szCs w:val="16"/>
              </w:rPr>
            </w:pPr>
            <w:r w:rsidRPr="005128AE">
              <w:rPr>
                <w:rFonts w:cstheme="minorHAnsi"/>
                <w:sz w:val="16"/>
                <w:szCs w:val="16"/>
              </w:rPr>
              <w:t>Foreigners-to-population ratio</w:t>
            </w:r>
          </w:p>
        </w:tc>
        <w:tc>
          <w:tcPr>
            <w:tcW w:w="1045" w:type="pct"/>
            <w:hideMark/>
          </w:tcPr>
          <w:p w14:paraId="36723098" w14:textId="77777777" w:rsidR="005128AE" w:rsidRPr="005128AE" w:rsidRDefault="005128AE" w:rsidP="00FC410A">
            <w:pPr>
              <w:rPr>
                <w:rFonts w:cstheme="minorHAnsi"/>
                <w:sz w:val="16"/>
                <w:szCs w:val="16"/>
              </w:rPr>
            </w:pPr>
            <w:r w:rsidRPr="005128AE">
              <w:rPr>
                <w:rFonts w:cstheme="minorHAnsi"/>
                <w:sz w:val="16"/>
                <w:szCs w:val="16"/>
              </w:rPr>
              <w:t>~15.5%</w:t>
            </w:r>
          </w:p>
        </w:tc>
        <w:tc>
          <w:tcPr>
            <w:tcW w:w="790" w:type="pct"/>
            <w:hideMark/>
          </w:tcPr>
          <w:p w14:paraId="55BF0EF5" w14:textId="77777777" w:rsidR="005128AE" w:rsidRPr="005128AE" w:rsidRDefault="005128AE" w:rsidP="00FC410A">
            <w:pPr>
              <w:rPr>
                <w:rFonts w:cstheme="minorHAnsi"/>
                <w:sz w:val="16"/>
                <w:szCs w:val="16"/>
              </w:rPr>
            </w:pPr>
            <w:r w:rsidRPr="005128AE">
              <w:rPr>
                <w:rFonts w:cstheme="minorHAnsi"/>
                <w:sz w:val="16"/>
                <w:szCs w:val="16"/>
              </w:rPr>
              <w:t>EU avg ~8.5%</w:t>
            </w:r>
          </w:p>
        </w:tc>
        <w:tc>
          <w:tcPr>
            <w:tcW w:w="911" w:type="pct"/>
            <w:hideMark/>
          </w:tcPr>
          <w:p w14:paraId="1DADC1BF" w14:textId="77777777" w:rsidR="005128AE" w:rsidRPr="005128AE" w:rsidRDefault="005128AE" w:rsidP="00FC410A">
            <w:pPr>
              <w:rPr>
                <w:rFonts w:cstheme="minorHAnsi"/>
                <w:sz w:val="16"/>
                <w:szCs w:val="16"/>
              </w:rPr>
            </w:pPr>
            <w:r w:rsidRPr="005128AE">
              <w:rPr>
                <w:rFonts w:cstheme="minorHAnsi"/>
                <w:sz w:val="16"/>
                <w:szCs w:val="16"/>
              </w:rPr>
              <w:t>-</w:t>
            </w:r>
          </w:p>
        </w:tc>
        <w:tc>
          <w:tcPr>
            <w:tcW w:w="864" w:type="pct"/>
            <w:hideMark/>
          </w:tcPr>
          <w:p w14:paraId="2DEE6FB7" w14:textId="77777777" w:rsidR="005128AE" w:rsidRPr="005128AE" w:rsidRDefault="005128AE" w:rsidP="00FC410A">
            <w:pPr>
              <w:rPr>
                <w:rFonts w:cstheme="minorHAnsi"/>
                <w:sz w:val="16"/>
                <w:szCs w:val="16"/>
              </w:rPr>
            </w:pPr>
            <w:r w:rsidRPr="005128AE">
              <w:rPr>
                <w:rFonts w:cstheme="minorHAnsi"/>
                <w:sz w:val="16"/>
                <w:szCs w:val="16"/>
              </w:rPr>
              <w:t xml:space="preserve">2025, </w:t>
            </w:r>
            <w:proofErr w:type="spellStart"/>
            <w:r w:rsidRPr="005128AE">
              <w:rPr>
                <w:rFonts w:cstheme="minorHAnsi"/>
                <w:sz w:val="16"/>
                <w:szCs w:val="16"/>
              </w:rPr>
              <w:t>MoI</w:t>
            </w:r>
            <w:proofErr w:type="spellEnd"/>
            <w:r w:rsidRPr="005128AE">
              <w:rPr>
                <w:rFonts w:cstheme="minorHAnsi"/>
                <w:sz w:val="16"/>
                <w:szCs w:val="16"/>
              </w:rPr>
              <w:t>/MONSTAT</w:t>
            </w:r>
          </w:p>
        </w:tc>
      </w:tr>
      <w:tr w:rsidR="005128AE" w:rsidRPr="005128AE" w14:paraId="706533B0" w14:textId="77777777" w:rsidTr="005128AE">
        <w:trPr>
          <w:trHeight w:val="58"/>
        </w:trPr>
        <w:tc>
          <w:tcPr>
            <w:tcW w:w="1390" w:type="pct"/>
            <w:hideMark/>
          </w:tcPr>
          <w:p w14:paraId="58F6B69C" w14:textId="77777777" w:rsidR="005128AE" w:rsidRPr="005128AE" w:rsidRDefault="005128AE" w:rsidP="00FC410A">
            <w:pPr>
              <w:rPr>
                <w:rFonts w:cstheme="minorHAnsi"/>
                <w:sz w:val="16"/>
                <w:szCs w:val="16"/>
              </w:rPr>
            </w:pPr>
            <w:r w:rsidRPr="005128AE">
              <w:rPr>
                <w:rFonts w:cstheme="minorHAnsi"/>
                <w:sz w:val="16"/>
                <w:szCs w:val="16"/>
              </w:rPr>
              <w:t xml:space="preserve">Reception </w:t>
            </w:r>
            <w:proofErr w:type="spellStart"/>
            <w:r w:rsidRPr="005128AE">
              <w:rPr>
                <w:rFonts w:cstheme="minorHAnsi"/>
                <w:sz w:val="16"/>
                <w:szCs w:val="16"/>
              </w:rPr>
              <w:t>centres</w:t>
            </w:r>
            <w:proofErr w:type="spellEnd"/>
          </w:p>
        </w:tc>
        <w:tc>
          <w:tcPr>
            <w:tcW w:w="1045" w:type="pct"/>
            <w:hideMark/>
          </w:tcPr>
          <w:p w14:paraId="0BC87284" w14:textId="77777777" w:rsidR="005128AE" w:rsidRPr="005128AE" w:rsidRDefault="005128AE" w:rsidP="00FC410A">
            <w:pPr>
              <w:rPr>
                <w:rFonts w:cstheme="minorHAnsi"/>
                <w:sz w:val="16"/>
                <w:szCs w:val="16"/>
              </w:rPr>
            </w:pPr>
            <w:r w:rsidRPr="005128AE">
              <w:rPr>
                <w:rFonts w:cstheme="minorHAnsi"/>
                <w:sz w:val="16"/>
                <w:szCs w:val="16"/>
              </w:rPr>
              <w:t>2 (</w:t>
            </w:r>
            <w:proofErr w:type="spellStart"/>
            <w:r w:rsidRPr="005128AE">
              <w:rPr>
                <w:rFonts w:cstheme="minorHAnsi"/>
                <w:sz w:val="16"/>
                <w:szCs w:val="16"/>
              </w:rPr>
              <w:t>Spuž</w:t>
            </w:r>
            <w:proofErr w:type="spellEnd"/>
            <w:r w:rsidRPr="005128AE">
              <w:rPr>
                <w:rFonts w:cstheme="minorHAnsi"/>
                <w:sz w:val="16"/>
                <w:szCs w:val="16"/>
              </w:rPr>
              <w:t xml:space="preserve"> + </w:t>
            </w:r>
            <w:proofErr w:type="spellStart"/>
            <w:r w:rsidRPr="005128AE">
              <w:rPr>
                <w:rFonts w:cstheme="minorHAnsi"/>
                <w:sz w:val="16"/>
                <w:szCs w:val="16"/>
              </w:rPr>
              <w:t>Božaj</w:t>
            </w:r>
            <w:proofErr w:type="spellEnd"/>
            <w:r w:rsidRPr="005128AE">
              <w:rPr>
                <w:rFonts w:cstheme="minorHAnsi"/>
                <w:sz w:val="16"/>
                <w:szCs w:val="16"/>
              </w:rPr>
              <w:t>)</w:t>
            </w:r>
          </w:p>
        </w:tc>
        <w:tc>
          <w:tcPr>
            <w:tcW w:w="790" w:type="pct"/>
            <w:hideMark/>
          </w:tcPr>
          <w:p w14:paraId="23DDDE63" w14:textId="77777777" w:rsidR="005128AE" w:rsidRPr="005128AE" w:rsidRDefault="005128AE" w:rsidP="00FC410A">
            <w:pPr>
              <w:rPr>
                <w:rFonts w:cstheme="minorHAnsi"/>
                <w:sz w:val="16"/>
                <w:szCs w:val="16"/>
              </w:rPr>
            </w:pPr>
            <w:r w:rsidRPr="005128AE">
              <w:rPr>
                <w:rFonts w:cstheme="minorHAnsi"/>
                <w:sz w:val="16"/>
                <w:szCs w:val="16"/>
              </w:rPr>
              <w:t>-</w:t>
            </w:r>
          </w:p>
        </w:tc>
        <w:tc>
          <w:tcPr>
            <w:tcW w:w="911" w:type="pct"/>
            <w:hideMark/>
          </w:tcPr>
          <w:p w14:paraId="11A94ACB" w14:textId="77777777" w:rsidR="005128AE" w:rsidRPr="005128AE" w:rsidRDefault="005128AE" w:rsidP="00FC410A">
            <w:pPr>
              <w:rPr>
                <w:rFonts w:cstheme="minorHAnsi"/>
                <w:sz w:val="16"/>
                <w:szCs w:val="16"/>
              </w:rPr>
            </w:pPr>
            <w:r w:rsidRPr="005128AE">
              <w:rPr>
                <w:rFonts w:cstheme="minorHAnsi"/>
                <w:sz w:val="16"/>
                <w:szCs w:val="16"/>
              </w:rPr>
              <w:t>-</w:t>
            </w:r>
          </w:p>
        </w:tc>
        <w:tc>
          <w:tcPr>
            <w:tcW w:w="864" w:type="pct"/>
            <w:hideMark/>
          </w:tcPr>
          <w:p w14:paraId="26A70485" w14:textId="77777777" w:rsidR="005128AE" w:rsidRPr="005128AE" w:rsidRDefault="005128AE" w:rsidP="00FC410A">
            <w:pPr>
              <w:rPr>
                <w:rFonts w:cstheme="minorHAnsi"/>
                <w:sz w:val="16"/>
                <w:szCs w:val="16"/>
              </w:rPr>
            </w:pPr>
            <w:proofErr w:type="spellStart"/>
            <w:r w:rsidRPr="005128AE">
              <w:rPr>
                <w:rFonts w:cstheme="minorHAnsi"/>
                <w:sz w:val="16"/>
                <w:szCs w:val="16"/>
              </w:rPr>
              <w:t>MoI</w:t>
            </w:r>
            <w:proofErr w:type="spellEnd"/>
            <w:r w:rsidRPr="005128AE">
              <w:rPr>
                <w:rFonts w:cstheme="minorHAnsi"/>
                <w:sz w:val="16"/>
                <w:szCs w:val="16"/>
              </w:rPr>
              <w:t>/IOM</w:t>
            </w:r>
          </w:p>
        </w:tc>
      </w:tr>
      <w:tr w:rsidR="005128AE" w:rsidRPr="005128AE" w14:paraId="3D22BE58" w14:textId="77777777" w:rsidTr="005128AE">
        <w:trPr>
          <w:trHeight w:val="58"/>
        </w:trPr>
        <w:tc>
          <w:tcPr>
            <w:tcW w:w="1390" w:type="pct"/>
            <w:hideMark/>
          </w:tcPr>
          <w:p w14:paraId="757CCAD0" w14:textId="77777777" w:rsidR="005128AE" w:rsidRPr="005128AE" w:rsidRDefault="005128AE" w:rsidP="00FC410A">
            <w:pPr>
              <w:rPr>
                <w:rFonts w:cstheme="minorHAnsi"/>
                <w:sz w:val="16"/>
                <w:szCs w:val="16"/>
              </w:rPr>
            </w:pPr>
            <w:r w:rsidRPr="005128AE">
              <w:rPr>
                <w:rFonts w:cstheme="minorHAnsi"/>
                <w:sz w:val="16"/>
                <w:szCs w:val="16"/>
              </w:rPr>
              <w:t>Visa-free travel to EU</w:t>
            </w:r>
          </w:p>
        </w:tc>
        <w:tc>
          <w:tcPr>
            <w:tcW w:w="1045" w:type="pct"/>
            <w:hideMark/>
          </w:tcPr>
          <w:p w14:paraId="4F7D92B6" w14:textId="77777777" w:rsidR="005128AE" w:rsidRPr="005128AE" w:rsidRDefault="005128AE" w:rsidP="00FC410A">
            <w:pPr>
              <w:rPr>
                <w:rFonts w:cstheme="minorHAnsi"/>
                <w:sz w:val="16"/>
                <w:szCs w:val="16"/>
              </w:rPr>
            </w:pPr>
            <w:r w:rsidRPr="005128AE">
              <w:rPr>
                <w:rFonts w:cstheme="minorHAnsi"/>
                <w:sz w:val="16"/>
                <w:szCs w:val="16"/>
              </w:rPr>
              <w:t>Since December 2009</w:t>
            </w:r>
          </w:p>
        </w:tc>
        <w:tc>
          <w:tcPr>
            <w:tcW w:w="790" w:type="pct"/>
            <w:hideMark/>
          </w:tcPr>
          <w:p w14:paraId="1F72216B" w14:textId="77777777" w:rsidR="005128AE" w:rsidRPr="005128AE" w:rsidRDefault="005128AE" w:rsidP="00FC410A">
            <w:pPr>
              <w:rPr>
                <w:rFonts w:cstheme="minorHAnsi"/>
                <w:sz w:val="16"/>
                <w:szCs w:val="16"/>
              </w:rPr>
            </w:pPr>
            <w:r w:rsidRPr="005128AE">
              <w:rPr>
                <w:rFonts w:cstheme="minorHAnsi"/>
                <w:sz w:val="16"/>
                <w:szCs w:val="16"/>
              </w:rPr>
              <w:t>-</w:t>
            </w:r>
          </w:p>
        </w:tc>
        <w:tc>
          <w:tcPr>
            <w:tcW w:w="911" w:type="pct"/>
            <w:hideMark/>
          </w:tcPr>
          <w:p w14:paraId="7878BC6A" w14:textId="77777777" w:rsidR="005128AE" w:rsidRPr="005128AE" w:rsidRDefault="005128AE" w:rsidP="00FC410A">
            <w:pPr>
              <w:rPr>
                <w:rFonts w:cstheme="minorHAnsi"/>
                <w:sz w:val="16"/>
                <w:szCs w:val="16"/>
              </w:rPr>
            </w:pPr>
            <w:r w:rsidRPr="005128AE">
              <w:rPr>
                <w:rFonts w:cstheme="minorHAnsi"/>
                <w:sz w:val="16"/>
                <w:szCs w:val="16"/>
              </w:rPr>
              <w:t>Maintained</w:t>
            </w:r>
          </w:p>
        </w:tc>
        <w:tc>
          <w:tcPr>
            <w:tcW w:w="864" w:type="pct"/>
            <w:hideMark/>
          </w:tcPr>
          <w:p w14:paraId="4AE137B4" w14:textId="77777777" w:rsidR="005128AE" w:rsidRPr="005128AE" w:rsidRDefault="005128AE" w:rsidP="00FC410A">
            <w:pPr>
              <w:rPr>
                <w:rFonts w:cstheme="minorHAnsi"/>
                <w:sz w:val="16"/>
                <w:szCs w:val="16"/>
              </w:rPr>
            </w:pPr>
            <w:r w:rsidRPr="005128AE">
              <w:rPr>
                <w:rFonts w:cstheme="minorHAnsi"/>
                <w:sz w:val="16"/>
                <w:szCs w:val="16"/>
              </w:rPr>
              <w:t>EC</w:t>
            </w:r>
          </w:p>
        </w:tc>
      </w:tr>
      <w:tr w:rsidR="005128AE" w:rsidRPr="005128AE" w14:paraId="2A8D4B8B" w14:textId="77777777" w:rsidTr="005128AE">
        <w:trPr>
          <w:trHeight w:val="296"/>
        </w:trPr>
        <w:tc>
          <w:tcPr>
            <w:tcW w:w="1390" w:type="pct"/>
            <w:hideMark/>
          </w:tcPr>
          <w:p w14:paraId="78ED1A85" w14:textId="77777777" w:rsidR="005128AE" w:rsidRPr="005128AE" w:rsidRDefault="005128AE" w:rsidP="00FC410A">
            <w:pPr>
              <w:rPr>
                <w:rFonts w:cstheme="minorHAnsi"/>
                <w:sz w:val="16"/>
                <w:szCs w:val="16"/>
              </w:rPr>
            </w:pPr>
            <w:r w:rsidRPr="005128AE">
              <w:rPr>
                <w:rFonts w:cstheme="minorHAnsi"/>
                <w:sz w:val="16"/>
                <w:szCs w:val="16"/>
              </w:rPr>
              <w:t>Visa regime alignment with EU</w:t>
            </w:r>
          </w:p>
        </w:tc>
        <w:tc>
          <w:tcPr>
            <w:tcW w:w="1045" w:type="pct"/>
            <w:hideMark/>
          </w:tcPr>
          <w:p w14:paraId="3B1F5761" w14:textId="77777777" w:rsidR="005128AE" w:rsidRPr="005128AE" w:rsidRDefault="005128AE" w:rsidP="00FC410A">
            <w:pPr>
              <w:rPr>
                <w:rFonts w:cstheme="minorHAnsi"/>
                <w:sz w:val="16"/>
                <w:szCs w:val="16"/>
              </w:rPr>
            </w:pPr>
            <w:r w:rsidRPr="005128AE">
              <w:rPr>
                <w:rFonts w:cstheme="minorHAnsi"/>
                <w:sz w:val="16"/>
                <w:szCs w:val="16"/>
              </w:rPr>
              <w:t>Partial</w:t>
            </w:r>
          </w:p>
        </w:tc>
        <w:tc>
          <w:tcPr>
            <w:tcW w:w="790" w:type="pct"/>
            <w:hideMark/>
          </w:tcPr>
          <w:p w14:paraId="3C67EFD7" w14:textId="77777777" w:rsidR="005128AE" w:rsidRPr="005128AE" w:rsidRDefault="005128AE" w:rsidP="00FC410A">
            <w:pPr>
              <w:rPr>
                <w:rFonts w:cstheme="minorHAnsi"/>
                <w:sz w:val="16"/>
                <w:szCs w:val="16"/>
              </w:rPr>
            </w:pPr>
            <w:r w:rsidRPr="005128AE">
              <w:rPr>
                <w:rFonts w:cstheme="minorHAnsi"/>
                <w:sz w:val="16"/>
                <w:szCs w:val="16"/>
              </w:rPr>
              <w:t>-</w:t>
            </w:r>
          </w:p>
        </w:tc>
        <w:tc>
          <w:tcPr>
            <w:tcW w:w="911" w:type="pct"/>
            <w:hideMark/>
          </w:tcPr>
          <w:p w14:paraId="7A68EF82" w14:textId="77777777" w:rsidR="005128AE" w:rsidRPr="005128AE" w:rsidRDefault="005128AE" w:rsidP="00FC410A">
            <w:pPr>
              <w:rPr>
                <w:rFonts w:cstheme="minorHAnsi"/>
                <w:sz w:val="16"/>
                <w:szCs w:val="16"/>
              </w:rPr>
            </w:pPr>
            <w:r w:rsidRPr="005128AE">
              <w:rPr>
                <w:rFonts w:cstheme="minorHAnsi"/>
                <w:sz w:val="16"/>
                <w:szCs w:val="16"/>
              </w:rPr>
              <w:t>Full alignment</w:t>
            </w:r>
          </w:p>
        </w:tc>
        <w:tc>
          <w:tcPr>
            <w:tcW w:w="864" w:type="pct"/>
            <w:hideMark/>
          </w:tcPr>
          <w:p w14:paraId="26B9375A" w14:textId="77777777" w:rsidR="005128AE" w:rsidRPr="005128AE" w:rsidRDefault="005128AE" w:rsidP="00FC410A">
            <w:pPr>
              <w:rPr>
                <w:rFonts w:cstheme="minorHAnsi"/>
                <w:sz w:val="16"/>
                <w:szCs w:val="16"/>
              </w:rPr>
            </w:pPr>
            <w:r w:rsidRPr="005128AE">
              <w:rPr>
                <w:rFonts w:cstheme="minorHAnsi"/>
                <w:sz w:val="16"/>
                <w:szCs w:val="16"/>
              </w:rPr>
              <w:t>EC Report 2025</w:t>
            </w:r>
          </w:p>
        </w:tc>
      </w:tr>
      <w:tr w:rsidR="005128AE" w:rsidRPr="005128AE" w14:paraId="3790426B" w14:textId="77777777" w:rsidTr="005128AE">
        <w:trPr>
          <w:trHeight w:val="58"/>
        </w:trPr>
        <w:tc>
          <w:tcPr>
            <w:tcW w:w="1390" w:type="pct"/>
            <w:hideMark/>
          </w:tcPr>
          <w:p w14:paraId="0997D0CB" w14:textId="77777777" w:rsidR="005128AE" w:rsidRPr="005128AE" w:rsidRDefault="005128AE" w:rsidP="00FC410A">
            <w:pPr>
              <w:rPr>
                <w:rFonts w:cstheme="minorHAnsi"/>
                <w:sz w:val="16"/>
                <w:szCs w:val="16"/>
              </w:rPr>
            </w:pPr>
            <w:r w:rsidRPr="005128AE">
              <w:rPr>
                <w:rFonts w:cstheme="minorHAnsi"/>
                <w:sz w:val="16"/>
                <w:szCs w:val="16"/>
              </w:rPr>
              <w:t>Chapter 24 status</w:t>
            </w:r>
          </w:p>
        </w:tc>
        <w:tc>
          <w:tcPr>
            <w:tcW w:w="1045" w:type="pct"/>
            <w:hideMark/>
          </w:tcPr>
          <w:p w14:paraId="20319F30" w14:textId="77777777" w:rsidR="005128AE" w:rsidRPr="005128AE" w:rsidRDefault="005128AE" w:rsidP="00FC410A">
            <w:pPr>
              <w:rPr>
                <w:rFonts w:cstheme="minorHAnsi"/>
                <w:sz w:val="16"/>
                <w:szCs w:val="16"/>
              </w:rPr>
            </w:pPr>
            <w:r w:rsidRPr="005128AE">
              <w:rPr>
                <w:rFonts w:cstheme="minorHAnsi"/>
                <w:sz w:val="16"/>
                <w:szCs w:val="16"/>
              </w:rPr>
              <w:t>Interim benchmarks met (June 2024); closing benchmarks adopted</w:t>
            </w:r>
          </w:p>
        </w:tc>
        <w:tc>
          <w:tcPr>
            <w:tcW w:w="790" w:type="pct"/>
            <w:hideMark/>
          </w:tcPr>
          <w:p w14:paraId="2AB4CB0E" w14:textId="77777777" w:rsidR="005128AE" w:rsidRPr="005128AE" w:rsidRDefault="005128AE" w:rsidP="00FC410A">
            <w:pPr>
              <w:rPr>
                <w:rFonts w:cstheme="minorHAnsi"/>
                <w:sz w:val="16"/>
                <w:szCs w:val="16"/>
              </w:rPr>
            </w:pPr>
            <w:r w:rsidRPr="005128AE">
              <w:rPr>
                <w:rFonts w:cstheme="minorHAnsi"/>
                <w:sz w:val="16"/>
                <w:szCs w:val="16"/>
              </w:rPr>
              <w:t>-</w:t>
            </w:r>
          </w:p>
        </w:tc>
        <w:tc>
          <w:tcPr>
            <w:tcW w:w="911" w:type="pct"/>
            <w:hideMark/>
          </w:tcPr>
          <w:p w14:paraId="74DEB106" w14:textId="77777777" w:rsidR="005128AE" w:rsidRPr="005128AE" w:rsidRDefault="005128AE" w:rsidP="00FC410A">
            <w:pPr>
              <w:rPr>
                <w:rFonts w:cstheme="minorHAnsi"/>
                <w:sz w:val="16"/>
                <w:szCs w:val="16"/>
              </w:rPr>
            </w:pPr>
            <w:r w:rsidRPr="005128AE">
              <w:rPr>
                <w:rFonts w:cstheme="minorHAnsi"/>
                <w:sz w:val="16"/>
                <w:szCs w:val="16"/>
              </w:rPr>
              <w:t>Provisional closure</w:t>
            </w:r>
          </w:p>
        </w:tc>
        <w:tc>
          <w:tcPr>
            <w:tcW w:w="864" w:type="pct"/>
            <w:hideMark/>
          </w:tcPr>
          <w:p w14:paraId="1E3A2453" w14:textId="77777777" w:rsidR="005128AE" w:rsidRPr="005128AE" w:rsidRDefault="005128AE" w:rsidP="00FC410A">
            <w:pPr>
              <w:rPr>
                <w:rFonts w:cstheme="minorHAnsi"/>
                <w:sz w:val="16"/>
                <w:szCs w:val="16"/>
              </w:rPr>
            </w:pPr>
            <w:r w:rsidRPr="005128AE">
              <w:rPr>
                <w:rFonts w:cstheme="minorHAnsi"/>
                <w:sz w:val="16"/>
                <w:szCs w:val="16"/>
              </w:rPr>
              <w:t>2025, EC Report</w:t>
            </w:r>
          </w:p>
        </w:tc>
      </w:tr>
      <w:tr w:rsidR="005128AE" w:rsidRPr="005128AE" w14:paraId="346C5D36" w14:textId="77777777" w:rsidTr="005128AE">
        <w:trPr>
          <w:trHeight w:val="58"/>
        </w:trPr>
        <w:tc>
          <w:tcPr>
            <w:tcW w:w="1390" w:type="pct"/>
            <w:hideMark/>
          </w:tcPr>
          <w:p w14:paraId="3450DA8A" w14:textId="77777777" w:rsidR="005128AE" w:rsidRPr="005128AE" w:rsidRDefault="005128AE" w:rsidP="00FC410A">
            <w:pPr>
              <w:rPr>
                <w:rFonts w:cstheme="minorHAnsi"/>
                <w:sz w:val="16"/>
                <w:szCs w:val="16"/>
              </w:rPr>
            </w:pPr>
            <w:r w:rsidRPr="005128AE">
              <w:rPr>
                <w:rFonts w:cstheme="minorHAnsi"/>
                <w:sz w:val="16"/>
                <w:szCs w:val="16"/>
              </w:rPr>
              <w:t>IBM Strategy</w:t>
            </w:r>
          </w:p>
        </w:tc>
        <w:tc>
          <w:tcPr>
            <w:tcW w:w="1045" w:type="pct"/>
            <w:hideMark/>
          </w:tcPr>
          <w:p w14:paraId="1CDCA78B" w14:textId="77777777" w:rsidR="005128AE" w:rsidRPr="005128AE" w:rsidRDefault="005128AE" w:rsidP="00FC410A">
            <w:pPr>
              <w:rPr>
                <w:rFonts w:cstheme="minorHAnsi"/>
                <w:sz w:val="16"/>
                <w:szCs w:val="16"/>
              </w:rPr>
            </w:pPr>
            <w:r w:rsidRPr="005128AE">
              <w:rPr>
                <w:rFonts w:cstheme="minorHAnsi"/>
                <w:sz w:val="16"/>
                <w:szCs w:val="16"/>
              </w:rPr>
              <w:t>2024–2029 (drafted)</w:t>
            </w:r>
          </w:p>
        </w:tc>
        <w:tc>
          <w:tcPr>
            <w:tcW w:w="790" w:type="pct"/>
            <w:hideMark/>
          </w:tcPr>
          <w:p w14:paraId="581436F1" w14:textId="77777777" w:rsidR="005128AE" w:rsidRPr="005128AE" w:rsidRDefault="005128AE" w:rsidP="00FC410A">
            <w:pPr>
              <w:rPr>
                <w:rFonts w:cstheme="minorHAnsi"/>
                <w:sz w:val="16"/>
                <w:szCs w:val="16"/>
              </w:rPr>
            </w:pPr>
            <w:r w:rsidRPr="005128AE">
              <w:rPr>
                <w:rFonts w:cstheme="minorHAnsi"/>
                <w:sz w:val="16"/>
                <w:szCs w:val="16"/>
              </w:rPr>
              <w:t>-</w:t>
            </w:r>
          </w:p>
        </w:tc>
        <w:tc>
          <w:tcPr>
            <w:tcW w:w="911" w:type="pct"/>
            <w:hideMark/>
          </w:tcPr>
          <w:p w14:paraId="1A8CA547" w14:textId="77777777" w:rsidR="005128AE" w:rsidRPr="005128AE" w:rsidRDefault="005128AE" w:rsidP="00FC410A">
            <w:pPr>
              <w:rPr>
                <w:rFonts w:cstheme="minorHAnsi"/>
                <w:sz w:val="16"/>
                <w:szCs w:val="16"/>
              </w:rPr>
            </w:pPr>
            <w:r w:rsidRPr="005128AE">
              <w:rPr>
                <w:rFonts w:cstheme="minorHAnsi"/>
                <w:sz w:val="16"/>
                <w:szCs w:val="16"/>
              </w:rPr>
              <w:t>EIBM compliance</w:t>
            </w:r>
          </w:p>
        </w:tc>
        <w:tc>
          <w:tcPr>
            <w:tcW w:w="864" w:type="pct"/>
            <w:hideMark/>
          </w:tcPr>
          <w:p w14:paraId="20AD5396" w14:textId="77777777" w:rsidR="005128AE" w:rsidRPr="005128AE" w:rsidRDefault="005128AE" w:rsidP="00FC410A">
            <w:pPr>
              <w:rPr>
                <w:rFonts w:cstheme="minorHAnsi"/>
                <w:sz w:val="16"/>
                <w:szCs w:val="16"/>
              </w:rPr>
            </w:pPr>
            <w:proofErr w:type="spellStart"/>
            <w:r w:rsidRPr="005128AE">
              <w:rPr>
                <w:rFonts w:cstheme="minorHAnsi"/>
                <w:sz w:val="16"/>
                <w:szCs w:val="16"/>
              </w:rPr>
              <w:t>MoI</w:t>
            </w:r>
            <w:proofErr w:type="spellEnd"/>
          </w:p>
        </w:tc>
      </w:tr>
      <w:tr w:rsidR="005128AE" w:rsidRPr="005128AE" w14:paraId="77336574" w14:textId="77777777" w:rsidTr="005128AE">
        <w:trPr>
          <w:trHeight w:val="296"/>
        </w:trPr>
        <w:tc>
          <w:tcPr>
            <w:tcW w:w="1390" w:type="pct"/>
            <w:hideMark/>
          </w:tcPr>
          <w:p w14:paraId="3C40B18A" w14:textId="77777777" w:rsidR="005128AE" w:rsidRPr="005128AE" w:rsidRDefault="005128AE" w:rsidP="00FC410A">
            <w:pPr>
              <w:rPr>
                <w:rFonts w:cstheme="minorHAnsi"/>
                <w:sz w:val="16"/>
                <w:szCs w:val="16"/>
              </w:rPr>
            </w:pPr>
            <w:r w:rsidRPr="005128AE">
              <w:rPr>
                <w:rFonts w:cstheme="minorHAnsi"/>
                <w:sz w:val="16"/>
                <w:szCs w:val="16"/>
              </w:rPr>
              <w:t>Schengen Action Plan</w:t>
            </w:r>
          </w:p>
        </w:tc>
        <w:tc>
          <w:tcPr>
            <w:tcW w:w="1045" w:type="pct"/>
            <w:hideMark/>
          </w:tcPr>
          <w:p w14:paraId="18E7DB91" w14:textId="77777777" w:rsidR="005128AE" w:rsidRPr="005128AE" w:rsidRDefault="005128AE" w:rsidP="00FC410A">
            <w:pPr>
              <w:rPr>
                <w:rFonts w:cstheme="minorHAnsi"/>
                <w:sz w:val="16"/>
                <w:szCs w:val="16"/>
              </w:rPr>
            </w:pPr>
            <w:r w:rsidRPr="005128AE">
              <w:rPr>
                <w:rFonts w:cstheme="minorHAnsi"/>
                <w:sz w:val="16"/>
                <w:szCs w:val="16"/>
              </w:rPr>
              <w:t>Active</w:t>
            </w:r>
          </w:p>
        </w:tc>
        <w:tc>
          <w:tcPr>
            <w:tcW w:w="790" w:type="pct"/>
            <w:hideMark/>
          </w:tcPr>
          <w:p w14:paraId="11DF1AC0" w14:textId="77777777" w:rsidR="005128AE" w:rsidRPr="005128AE" w:rsidRDefault="005128AE" w:rsidP="00FC410A">
            <w:pPr>
              <w:rPr>
                <w:rFonts w:cstheme="minorHAnsi"/>
                <w:sz w:val="16"/>
                <w:szCs w:val="16"/>
              </w:rPr>
            </w:pPr>
            <w:r w:rsidRPr="005128AE">
              <w:rPr>
                <w:rFonts w:cstheme="minorHAnsi"/>
                <w:sz w:val="16"/>
                <w:szCs w:val="16"/>
              </w:rPr>
              <w:t>-</w:t>
            </w:r>
          </w:p>
        </w:tc>
        <w:tc>
          <w:tcPr>
            <w:tcW w:w="911" w:type="pct"/>
            <w:hideMark/>
          </w:tcPr>
          <w:p w14:paraId="3711FFC2" w14:textId="77777777" w:rsidR="005128AE" w:rsidRPr="005128AE" w:rsidRDefault="005128AE" w:rsidP="00FC410A">
            <w:pPr>
              <w:rPr>
                <w:rFonts w:cstheme="minorHAnsi"/>
                <w:sz w:val="16"/>
                <w:szCs w:val="16"/>
              </w:rPr>
            </w:pPr>
            <w:r w:rsidRPr="005128AE">
              <w:rPr>
                <w:rFonts w:cstheme="minorHAnsi"/>
                <w:sz w:val="16"/>
                <w:szCs w:val="16"/>
              </w:rPr>
              <w:t>Full Schengen alignment</w:t>
            </w:r>
          </w:p>
        </w:tc>
        <w:tc>
          <w:tcPr>
            <w:tcW w:w="864" w:type="pct"/>
            <w:hideMark/>
          </w:tcPr>
          <w:p w14:paraId="488D7E4F" w14:textId="77777777" w:rsidR="005128AE" w:rsidRPr="005128AE" w:rsidRDefault="005128AE" w:rsidP="00FC410A">
            <w:pPr>
              <w:rPr>
                <w:rFonts w:cstheme="minorHAnsi"/>
                <w:sz w:val="16"/>
                <w:szCs w:val="16"/>
              </w:rPr>
            </w:pPr>
            <w:proofErr w:type="spellStart"/>
            <w:r w:rsidRPr="005128AE">
              <w:rPr>
                <w:rFonts w:cstheme="minorHAnsi"/>
                <w:sz w:val="16"/>
                <w:szCs w:val="16"/>
              </w:rPr>
              <w:t>MoI</w:t>
            </w:r>
            <w:proofErr w:type="spellEnd"/>
            <w:r w:rsidRPr="005128AE">
              <w:rPr>
                <w:rFonts w:cstheme="minorHAnsi"/>
                <w:sz w:val="16"/>
                <w:szCs w:val="16"/>
              </w:rPr>
              <w:t>/EC</w:t>
            </w:r>
          </w:p>
        </w:tc>
      </w:tr>
      <w:tr w:rsidR="005128AE" w:rsidRPr="005128AE" w14:paraId="1CA2473F" w14:textId="77777777" w:rsidTr="005128AE">
        <w:trPr>
          <w:trHeight w:val="332"/>
        </w:trPr>
        <w:tc>
          <w:tcPr>
            <w:tcW w:w="1390" w:type="pct"/>
            <w:hideMark/>
          </w:tcPr>
          <w:p w14:paraId="09C7FB4B" w14:textId="77777777" w:rsidR="005128AE" w:rsidRPr="005128AE" w:rsidRDefault="005128AE" w:rsidP="00FC410A">
            <w:pPr>
              <w:rPr>
                <w:rFonts w:cstheme="minorHAnsi"/>
                <w:sz w:val="16"/>
                <w:szCs w:val="16"/>
              </w:rPr>
            </w:pPr>
            <w:r w:rsidRPr="005128AE">
              <w:rPr>
                <w:rFonts w:cstheme="minorHAnsi"/>
                <w:sz w:val="16"/>
                <w:szCs w:val="16"/>
              </w:rPr>
              <w:lastRenderedPageBreak/>
              <w:t>Readmission agreements</w:t>
            </w:r>
          </w:p>
        </w:tc>
        <w:tc>
          <w:tcPr>
            <w:tcW w:w="1045" w:type="pct"/>
            <w:hideMark/>
          </w:tcPr>
          <w:p w14:paraId="5800324E" w14:textId="77777777" w:rsidR="005128AE" w:rsidRPr="005128AE" w:rsidRDefault="005128AE" w:rsidP="00FC410A">
            <w:pPr>
              <w:rPr>
                <w:rFonts w:cstheme="minorHAnsi"/>
                <w:sz w:val="16"/>
                <w:szCs w:val="16"/>
              </w:rPr>
            </w:pPr>
            <w:r w:rsidRPr="005128AE">
              <w:rPr>
                <w:rFonts w:cstheme="minorHAnsi"/>
                <w:sz w:val="16"/>
                <w:szCs w:val="16"/>
              </w:rPr>
              <w:t>Active (enhanced with BD, PK, NP)</w:t>
            </w:r>
          </w:p>
        </w:tc>
        <w:tc>
          <w:tcPr>
            <w:tcW w:w="790" w:type="pct"/>
            <w:hideMark/>
          </w:tcPr>
          <w:p w14:paraId="1A96ADCF" w14:textId="77777777" w:rsidR="005128AE" w:rsidRPr="005128AE" w:rsidRDefault="005128AE" w:rsidP="00FC410A">
            <w:pPr>
              <w:rPr>
                <w:rFonts w:cstheme="minorHAnsi"/>
                <w:sz w:val="16"/>
                <w:szCs w:val="16"/>
              </w:rPr>
            </w:pPr>
            <w:r w:rsidRPr="005128AE">
              <w:rPr>
                <w:rFonts w:cstheme="minorHAnsi"/>
                <w:sz w:val="16"/>
                <w:szCs w:val="16"/>
              </w:rPr>
              <w:t>-</w:t>
            </w:r>
          </w:p>
        </w:tc>
        <w:tc>
          <w:tcPr>
            <w:tcW w:w="911" w:type="pct"/>
            <w:hideMark/>
          </w:tcPr>
          <w:p w14:paraId="21969F04" w14:textId="77777777" w:rsidR="005128AE" w:rsidRPr="005128AE" w:rsidRDefault="005128AE" w:rsidP="00FC410A">
            <w:pPr>
              <w:rPr>
                <w:rFonts w:cstheme="minorHAnsi"/>
                <w:sz w:val="16"/>
                <w:szCs w:val="16"/>
              </w:rPr>
            </w:pPr>
            <w:r w:rsidRPr="005128AE">
              <w:rPr>
                <w:rFonts w:cstheme="minorHAnsi"/>
                <w:sz w:val="16"/>
                <w:szCs w:val="16"/>
              </w:rPr>
              <w:t>-</w:t>
            </w:r>
          </w:p>
        </w:tc>
        <w:tc>
          <w:tcPr>
            <w:tcW w:w="864" w:type="pct"/>
            <w:hideMark/>
          </w:tcPr>
          <w:p w14:paraId="2A5F1480" w14:textId="77777777" w:rsidR="005128AE" w:rsidRPr="005128AE" w:rsidRDefault="005128AE" w:rsidP="00FC410A">
            <w:pPr>
              <w:rPr>
                <w:rFonts w:cstheme="minorHAnsi"/>
                <w:sz w:val="16"/>
                <w:szCs w:val="16"/>
              </w:rPr>
            </w:pPr>
            <w:r w:rsidRPr="005128AE">
              <w:rPr>
                <w:rFonts w:cstheme="minorHAnsi"/>
                <w:sz w:val="16"/>
                <w:szCs w:val="16"/>
              </w:rPr>
              <w:t>2024, EC Report</w:t>
            </w:r>
          </w:p>
        </w:tc>
      </w:tr>
      <w:tr w:rsidR="005128AE" w:rsidRPr="005128AE" w14:paraId="231AEE74" w14:textId="77777777" w:rsidTr="005128AE">
        <w:trPr>
          <w:trHeight w:val="332"/>
        </w:trPr>
        <w:tc>
          <w:tcPr>
            <w:tcW w:w="1390" w:type="pct"/>
          </w:tcPr>
          <w:p w14:paraId="18940013" w14:textId="77777777" w:rsidR="005128AE" w:rsidRPr="005128AE" w:rsidRDefault="005128AE" w:rsidP="00FC410A">
            <w:pPr>
              <w:rPr>
                <w:rFonts w:cstheme="minorHAnsi"/>
                <w:sz w:val="16"/>
                <w:szCs w:val="16"/>
              </w:rPr>
            </w:pPr>
            <w:r w:rsidRPr="005128AE">
              <w:rPr>
                <w:rFonts w:cstheme="minorHAnsi"/>
                <w:sz w:val="16"/>
                <w:szCs w:val="16"/>
              </w:rPr>
              <w:t>IOM DTM monitoring</w:t>
            </w:r>
            <w:r w:rsidRPr="005128AE">
              <w:rPr>
                <w:rFonts w:cstheme="minorHAnsi"/>
                <w:sz w:val="16"/>
                <w:szCs w:val="16"/>
              </w:rPr>
              <w:tab/>
            </w:r>
            <w:r w:rsidRPr="005128AE">
              <w:rPr>
                <w:rFonts w:cstheme="minorHAnsi"/>
                <w:sz w:val="16"/>
                <w:szCs w:val="16"/>
              </w:rPr>
              <w:tab/>
            </w:r>
            <w:r w:rsidRPr="005128AE">
              <w:rPr>
                <w:rFonts w:cstheme="minorHAnsi"/>
                <w:sz w:val="16"/>
                <w:szCs w:val="16"/>
              </w:rPr>
              <w:tab/>
            </w:r>
            <w:r w:rsidRPr="005128AE">
              <w:rPr>
                <w:rFonts w:cstheme="minorHAnsi"/>
                <w:sz w:val="16"/>
                <w:szCs w:val="16"/>
              </w:rPr>
              <w:tab/>
            </w:r>
          </w:p>
        </w:tc>
        <w:tc>
          <w:tcPr>
            <w:tcW w:w="1045" w:type="pct"/>
          </w:tcPr>
          <w:p w14:paraId="00D3979F" w14:textId="77777777" w:rsidR="005128AE" w:rsidRPr="005128AE" w:rsidRDefault="005128AE" w:rsidP="00FC410A">
            <w:pPr>
              <w:rPr>
                <w:rFonts w:cstheme="minorHAnsi"/>
                <w:sz w:val="16"/>
                <w:szCs w:val="16"/>
              </w:rPr>
            </w:pPr>
            <w:r w:rsidRPr="005128AE">
              <w:rPr>
                <w:rFonts w:cstheme="minorHAnsi"/>
                <w:sz w:val="16"/>
                <w:szCs w:val="16"/>
              </w:rPr>
              <w:t>Active (quarterly reports)</w:t>
            </w:r>
          </w:p>
        </w:tc>
        <w:tc>
          <w:tcPr>
            <w:tcW w:w="790" w:type="pct"/>
          </w:tcPr>
          <w:p w14:paraId="506C6383" w14:textId="77777777" w:rsidR="005128AE" w:rsidRPr="005128AE" w:rsidRDefault="005128AE" w:rsidP="00FC410A">
            <w:pPr>
              <w:rPr>
                <w:rFonts w:cstheme="minorHAnsi"/>
                <w:sz w:val="16"/>
                <w:szCs w:val="16"/>
              </w:rPr>
            </w:pPr>
            <w:r w:rsidRPr="005128AE">
              <w:rPr>
                <w:rFonts w:cstheme="minorHAnsi"/>
                <w:sz w:val="16"/>
                <w:szCs w:val="16"/>
              </w:rPr>
              <w:t>-</w:t>
            </w:r>
          </w:p>
        </w:tc>
        <w:tc>
          <w:tcPr>
            <w:tcW w:w="911" w:type="pct"/>
          </w:tcPr>
          <w:p w14:paraId="69326DA2" w14:textId="77777777" w:rsidR="005128AE" w:rsidRPr="005128AE" w:rsidRDefault="005128AE" w:rsidP="00FC410A">
            <w:pPr>
              <w:rPr>
                <w:rFonts w:cstheme="minorHAnsi"/>
                <w:sz w:val="16"/>
                <w:szCs w:val="16"/>
              </w:rPr>
            </w:pPr>
            <w:r w:rsidRPr="005128AE">
              <w:rPr>
                <w:rFonts w:cstheme="minorHAnsi"/>
                <w:sz w:val="16"/>
                <w:szCs w:val="16"/>
              </w:rPr>
              <w:t>-</w:t>
            </w:r>
          </w:p>
        </w:tc>
        <w:tc>
          <w:tcPr>
            <w:tcW w:w="864" w:type="pct"/>
          </w:tcPr>
          <w:p w14:paraId="4EA4CB60" w14:textId="77777777" w:rsidR="005128AE" w:rsidRPr="005128AE" w:rsidRDefault="005128AE" w:rsidP="00FC410A">
            <w:pPr>
              <w:rPr>
                <w:rFonts w:cstheme="minorHAnsi"/>
                <w:sz w:val="16"/>
                <w:szCs w:val="16"/>
              </w:rPr>
            </w:pPr>
            <w:r w:rsidRPr="005128AE">
              <w:rPr>
                <w:rFonts w:cstheme="minorHAnsi"/>
                <w:sz w:val="16"/>
                <w:szCs w:val="16"/>
              </w:rPr>
              <w:t>IOM</w:t>
            </w:r>
          </w:p>
        </w:tc>
      </w:tr>
    </w:tbl>
    <w:p w14:paraId="5B3AA40B" w14:textId="4EAA2EBD" w:rsidR="005128AE" w:rsidRDefault="005128AE" w:rsidP="005128AE">
      <w:pPr>
        <w:pStyle w:val="Naslov2"/>
        <w:rPr>
          <w:rFonts w:eastAsia="Times New Roman"/>
          <w:lang w:val="sr-Latn-ME"/>
        </w:rPr>
      </w:pPr>
      <w:r>
        <w:rPr>
          <w:rFonts w:eastAsia="Times New Roman"/>
          <w:lang w:val="sr-Latn-ME"/>
        </w:rPr>
        <w:t>Tematske jedinice</w:t>
      </w:r>
    </w:p>
    <w:tbl>
      <w:tblPr>
        <w:tblStyle w:val="Reetkatablice"/>
        <w:tblW w:w="5000" w:type="pct"/>
        <w:jc w:val="center"/>
        <w:tblLook w:val="04A0" w:firstRow="1" w:lastRow="0" w:firstColumn="1" w:lastColumn="0" w:noHBand="0" w:noVBand="1"/>
      </w:tblPr>
      <w:tblGrid>
        <w:gridCol w:w="1620"/>
        <w:gridCol w:w="7442"/>
      </w:tblGrid>
      <w:tr w:rsidR="005128AE" w:rsidRPr="005128AE" w14:paraId="2CE1FEDB" w14:textId="77777777" w:rsidTr="005128AE">
        <w:trPr>
          <w:jc w:val="center"/>
        </w:trPr>
        <w:tc>
          <w:tcPr>
            <w:tcW w:w="894" w:type="pct"/>
            <w:shd w:val="clear" w:color="auto" w:fill="83CAEB" w:themeFill="accent1" w:themeFillTint="66"/>
          </w:tcPr>
          <w:p w14:paraId="5E6CAA48" w14:textId="77777777" w:rsidR="005128AE" w:rsidRPr="005128AE" w:rsidRDefault="005128AE" w:rsidP="00FC410A">
            <w:pPr>
              <w:rPr>
                <w:rFonts w:eastAsia="Times New Roman" w:cstheme="minorHAnsi"/>
                <w:b/>
                <w:bCs/>
                <w:sz w:val="16"/>
                <w:szCs w:val="16"/>
                <w:lang w:val="sr-Latn-ME"/>
              </w:rPr>
            </w:pPr>
            <w:r w:rsidRPr="005128AE">
              <w:rPr>
                <w:rFonts w:eastAsia="Times New Roman" w:cstheme="minorHAnsi"/>
                <w:b/>
                <w:bCs/>
                <w:sz w:val="16"/>
                <w:szCs w:val="16"/>
                <w:lang w:val="sr-Latn-ME"/>
              </w:rPr>
              <w:t>Šifra tematskog područja</w:t>
            </w:r>
          </w:p>
        </w:tc>
        <w:tc>
          <w:tcPr>
            <w:tcW w:w="4106" w:type="pct"/>
            <w:shd w:val="clear" w:color="auto" w:fill="83CAEB" w:themeFill="accent1" w:themeFillTint="66"/>
            <w:vAlign w:val="center"/>
          </w:tcPr>
          <w:p w14:paraId="09CD87DE" w14:textId="77777777" w:rsidR="005128AE" w:rsidRPr="005128AE" w:rsidRDefault="005128AE" w:rsidP="00FC410A">
            <w:pPr>
              <w:rPr>
                <w:rFonts w:eastAsia="Times New Roman" w:cstheme="minorHAnsi"/>
                <w:b/>
                <w:bCs/>
                <w:sz w:val="16"/>
                <w:szCs w:val="16"/>
                <w:lang w:val="sr-Latn-ME"/>
              </w:rPr>
            </w:pPr>
            <w:r w:rsidRPr="005128AE">
              <w:rPr>
                <w:rFonts w:eastAsia="Times New Roman" w:cstheme="minorHAnsi"/>
                <w:b/>
                <w:bCs/>
                <w:sz w:val="16"/>
                <w:szCs w:val="16"/>
                <w:lang w:val="sr-Latn-ME"/>
              </w:rPr>
              <w:t>Naziv tematskog područja</w:t>
            </w:r>
          </w:p>
        </w:tc>
      </w:tr>
      <w:tr w:rsidR="005128AE" w:rsidRPr="005128AE" w14:paraId="206A6FAB" w14:textId="77777777" w:rsidTr="005128AE">
        <w:trPr>
          <w:jc w:val="center"/>
        </w:trPr>
        <w:tc>
          <w:tcPr>
            <w:tcW w:w="894" w:type="pct"/>
          </w:tcPr>
          <w:p w14:paraId="74FADBAA" w14:textId="77777777" w:rsidR="005128AE" w:rsidRPr="005128AE" w:rsidRDefault="005128AE" w:rsidP="00FC410A">
            <w:pPr>
              <w:rPr>
                <w:rFonts w:eastAsia="Times New Roman" w:cstheme="minorHAnsi"/>
                <w:b/>
                <w:bCs/>
                <w:sz w:val="16"/>
                <w:szCs w:val="16"/>
                <w:lang w:val="sr-Latn-ME"/>
              </w:rPr>
            </w:pPr>
          </w:p>
        </w:tc>
        <w:tc>
          <w:tcPr>
            <w:tcW w:w="4106" w:type="pct"/>
            <w:shd w:val="clear" w:color="auto" w:fill="D9D9D9" w:themeFill="background1" w:themeFillShade="D9"/>
          </w:tcPr>
          <w:p w14:paraId="56CA0D3B" w14:textId="77777777" w:rsidR="005128AE" w:rsidRPr="005128AE" w:rsidRDefault="005128AE" w:rsidP="00FC410A">
            <w:pPr>
              <w:rPr>
                <w:rFonts w:eastAsia="Times New Roman" w:cstheme="minorHAnsi"/>
                <w:b/>
                <w:bCs/>
                <w:sz w:val="16"/>
                <w:szCs w:val="16"/>
                <w:lang w:val="sr-Latn-ME"/>
              </w:rPr>
            </w:pPr>
            <w:r w:rsidRPr="005128AE">
              <w:rPr>
                <w:rFonts w:eastAsia="Times New Roman" w:cstheme="minorHAnsi"/>
                <w:b/>
                <w:bCs/>
                <w:sz w:val="16"/>
                <w:szCs w:val="16"/>
                <w:lang w:val="sr-Latn-ME"/>
              </w:rPr>
              <w:t>11.48 Upravljanje granicama i vize</w:t>
            </w:r>
          </w:p>
        </w:tc>
      </w:tr>
      <w:tr w:rsidR="005128AE" w:rsidRPr="00425562" w14:paraId="68708D90" w14:textId="77777777" w:rsidTr="005128AE">
        <w:trPr>
          <w:jc w:val="center"/>
        </w:trPr>
        <w:tc>
          <w:tcPr>
            <w:tcW w:w="894" w:type="pct"/>
            <w:vAlign w:val="center"/>
          </w:tcPr>
          <w:p w14:paraId="2E4AC7CB" w14:textId="77777777" w:rsidR="005128AE" w:rsidRPr="005128AE" w:rsidRDefault="005128AE" w:rsidP="00FC410A">
            <w:pPr>
              <w:jc w:val="center"/>
              <w:rPr>
                <w:rFonts w:eastAsia="Times New Roman" w:cstheme="minorHAnsi"/>
                <w:b/>
                <w:bCs/>
                <w:sz w:val="16"/>
                <w:szCs w:val="16"/>
                <w:lang w:val="sr-Latn-ME"/>
              </w:rPr>
            </w:pPr>
            <w:r w:rsidRPr="005128AE">
              <w:rPr>
                <w:rFonts w:eastAsia="Times New Roman" w:cstheme="minorHAnsi"/>
                <w:b/>
                <w:bCs/>
                <w:sz w:val="16"/>
                <w:szCs w:val="16"/>
                <w:lang w:val="sr-Latn-ME"/>
              </w:rPr>
              <w:t>322</w:t>
            </w:r>
          </w:p>
        </w:tc>
        <w:tc>
          <w:tcPr>
            <w:tcW w:w="4106" w:type="pct"/>
          </w:tcPr>
          <w:p w14:paraId="05DF73F7" w14:textId="77777777" w:rsidR="005128AE" w:rsidRPr="005128AE" w:rsidRDefault="005128AE" w:rsidP="00FC410A">
            <w:pPr>
              <w:rPr>
                <w:rFonts w:cstheme="minorHAnsi"/>
                <w:bCs/>
                <w:color w:val="000000"/>
                <w:sz w:val="16"/>
                <w:szCs w:val="16"/>
                <w:lang w:val="sr-Latn-ME"/>
              </w:rPr>
            </w:pPr>
            <w:r w:rsidRPr="005128AE">
              <w:rPr>
                <w:rFonts w:eastAsia="Times New Roman" w:cstheme="minorHAnsi"/>
                <w:bCs/>
                <w:sz w:val="16"/>
                <w:szCs w:val="16"/>
                <w:lang w:val="sr-Latn-ME"/>
              </w:rPr>
              <w:t>Podrška efikasnom funkcionisanju šengenskog prostora</w:t>
            </w:r>
          </w:p>
        </w:tc>
      </w:tr>
      <w:tr w:rsidR="005128AE" w:rsidRPr="00425562" w14:paraId="68C45433" w14:textId="77777777" w:rsidTr="005128AE">
        <w:trPr>
          <w:jc w:val="center"/>
        </w:trPr>
        <w:tc>
          <w:tcPr>
            <w:tcW w:w="894" w:type="pct"/>
            <w:vAlign w:val="center"/>
          </w:tcPr>
          <w:p w14:paraId="40F3CE6A" w14:textId="77777777" w:rsidR="005128AE" w:rsidRPr="005128AE" w:rsidRDefault="005128AE" w:rsidP="00FC410A">
            <w:pPr>
              <w:jc w:val="center"/>
              <w:rPr>
                <w:rFonts w:eastAsia="Times New Roman" w:cstheme="minorHAnsi"/>
                <w:b/>
                <w:bCs/>
                <w:sz w:val="16"/>
                <w:szCs w:val="16"/>
                <w:lang w:val="sr-Latn-ME"/>
              </w:rPr>
            </w:pPr>
            <w:r w:rsidRPr="005128AE">
              <w:rPr>
                <w:rFonts w:eastAsia="Times New Roman" w:cstheme="minorHAnsi"/>
                <w:b/>
                <w:bCs/>
                <w:sz w:val="16"/>
                <w:szCs w:val="16"/>
                <w:lang w:val="sr-Latn-ME"/>
              </w:rPr>
              <w:t>323</w:t>
            </w:r>
          </w:p>
        </w:tc>
        <w:tc>
          <w:tcPr>
            <w:tcW w:w="4106" w:type="pct"/>
          </w:tcPr>
          <w:p w14:paraId="64429112" w14:textId="77777777" w:rsidR="005128AE" w:rsidRPr="005128AE" w:rsidRDefault="005128AE" w:rsidP="00FC410A">
            <w:pPr>
              <w:rPr>
                <w:rFonts w:eastAsia="Times New Roman" w:cstheme="minorHAnsi"/>
                <w:bCs/>
                <w:sz w:val="16"/>
                <w:szCs w:val="16"/>
                <w:lang w:val="sr-Latn-ME"/>
              </w:rPr>
            </w:pPr>
            <w:r w:rsidRPr="005128AE">
              <w:rPr>
                <w:rFonts w:eastAsia="Times New Roman" w:cstheme="minorHAnsi"/>
                <w:bCs/>
                <w:sz w:val="16"/>
                <w:szCs w:val="16"/>
                <w:lang w:val="sr-Latn-ME"/>
              </w:rPr>
              <w:t>Podrška evropskom integrisanom upravljanju granicama</w:t>
            </w:r>
          </w:p>
        </w:tc>
      </w:tr>
      <w:tr w:rsidR="005128AE" w:rsidRPr="005128AE" w14:paraId="22814B16" w14:textId="77777777" w:rsidTr="005128AE">
        <w:trPr>
          <w:jc w:val="center"/>
        </w:trPr>
        <w:tc>
          <w:tcPr>
            <w:tcW w:w="894" w:type="pct"/>
            <w:vAlign w:val="center"/>
          </w:tcPr>
          <w:p w14:paraId="4EDF219C" w14:textId="77777777" w:rsidR="005128AE" w:rsidRPr="005128AE" w:rsidRDefault="005128AE" w:rsidP="00FC410A">
            <w:pPr>
              <w:jc w:val="center"/>
              <w:rPr>
                <w:rFonts w:eastAsia="Times New Roman" w:cstheme="minorHAnsi"/>
                <w:b/>
                <w:bCs/>
                <w:sz w:val="16"/>
                <w:szCs w:val="16"/>
                <w:lang w:val="sr-Latn-ME"/>
              </w:rPr>
            </w:pPr>
            <w:r w:rsidRPr="005128AE">
              <w:rPr>
                <w:rFonts w:eastAsia="Times New Roman" w:cstheme="minorHAnsi"/>
                <w:b/>
                <w:bCs/>
                <w:sz w:val="16"/>
                <w:szCs w:val="16"/>
                <w:lang w:val="sr-Latn-ME"/>
              </w:rPr>
              <w:t>324</w:t>
            </w:r>
          </w:p>
        </w:tc>
        <w:tc>
          <w:tcPr>
            <w:tcW w:w="4106" w:type="pct"/>
          </w:tcPr>
          <w:p w14:paraId="61194BE4" w14:textId="77777777" w:rsidR="005128AE" w:rsidRPr="005128AE" w:rsidRDefault="005128AE" w:rsidP="00FC410A">
            <w:pPr>
              <w:rPr>
                <w:rFonts w:cstheme="minorHAnsi"/>
                <w:bCs/>
                <w:color w:val="000000"/>
                <w:sz w:val="16"/>
                <w:szCs w:val="16"/>
                <w:lang w:val="sr-Latn-ME"/>
              </w:rPr>
            </w:pPr>
            <w:r w:rsidRPr="005128AE">
              <w:rPr>
                <w:rFonts w:eastAsia="Times New Roman" w:cstheme="minorHAnsi"/>
                <w:bCs/>
                <w:sz w:val="16"/>
                <w:szCs w:val="16"/>
                <w:lang w:val="sr-Latn-ME"/>
              </w:rPr>
              <w:t xml:space="preserve">Podrška zajedničkoj </w:t>
            </w:r>
            <w:proofErr w:type="spellStart"/>
            <w:r w:rsidRPr="005128AE">
              <w:rPr>
                <w:rFonts w:eastAsia="Times New Roman" w:cstheme="minorHAnsi"/>
                <w:bCs/>
                <w:sz w:val="16"/>
                <w:szCs w:val="16"/>
                <w:lang w:val="sr-Latn-ME"/>
              </w:rPr>
              <w:t>viznoj</w:t>
            </w:r>
            <w:proofErr w:type="spellEnd"/>
            <w:r w:rsidRPr="005128AE">
              <w:rPr>
                <w:rFonts w:eastAsia="Times New Roman" w:cstheme="minorHAnsi"/>
                <w:bCs/>
                <w:sz w:val="16"/>
                <w:szCs w:val="16"/>
                <w:lang w:val="sr-Latn-ME"/>
              </w:rPr>
              <w:t xml:space="preserve"> politici</w:t>
            </w:r>
          </w:p>
        </w:tc>
      </w:tr>
      <w:tr w:rsidR="005128AE" w:rsidRPr="005128AE" w14:paraId="10052A04" w14:textId="77777777" w:rsidTr="005128AE">
        <w:trPr>
          <w:jc w:val="center"/>
        </w:trPr>
        <w:tc>
          <w:tcPr>
            <w:tcW w:w="894" w:type="pct"/>
            <w:vAlign w:val="center"/>
          </w:tcPr>
          <w:p w14:paraId="552A5BFD" w14:textId="77777777" w:rsidR="005128AE" w:rsidRPr="005128AE" w:rsidRDefault="005128AE" w:rsidP="00FC410A">
            <w:pPr>
              <w:jc w:val="center"/>
              <w:rPr>
                <w:rFonts w:eastAsia="Times New Roman" w:cstheme="minorHAnsi"/>
                <w:b/>
                <w:bCs/>
                <w:sz w:val="16"/>
                <w:szCs w:val="16"/>
                <w:lang w:val="sr-Latn-ME"/>
              </w:rPr>
            </w:pPr>
          </w:p>
        </w:tc>
        <w:tc>
          <w:tcPr>
            <w:tcW w:w="4106" w:type="pct"/>
            <w:shd w:val="clear" w:color="auto" w:fill="D9D9D9" w:themeFill="background1" w:themeFillShade="D9"/>
            <w:vAlign w:val="center"/>
          </w:tcPr>
          <w:p w14:paraId="5517E04F" w14:textId="77777777" w:rsidR="005128AE" w:rsidRPr="005128AE" w:rsidRDefault="005128AE" w:rsidP="00FC410A">
            <w:pPr>
              <w:rPr>
                <w:rFonts w:cstheme="minorHAnsi"/>
                <w:b/>
                <w:sz w:val="16"/>
                <w:szCs w:val="16"/>
                <w:lang w:val="sr-Latn-ME"/>
              </w:rPr>
            </w:pPr>
            <w:r w:rsidRPr="005128AE">
              <w:rPr>
                <w:rFonts w:cstheme="minorHAnsi"/>
                <w:b/>
                <w:sz w:val="16"/>
                <w:szCs w:val="16"/>
                <w:lang w:val="sr-Latn-ME"/>
              </w:rPr>
              <w:t>11.49 Migracije – EU</w:t>
            </w:r>
          </w:p>
        </w:tc>
      </w:tr>
      <w:tr w:rsidR="005128AE" w:rsidRPr="00425562" w14:paraId="164AE33D" w14:textId="77777777" w:rsidTr="005128AE">
        <w:trPr>
          <w:jc w:val="center"/>
        </w:trPr>
        <w:tc>
          <w:tcPr>
            <w:tcW w:w="894" w:type="pct"/>
            <w:vAlign w:val="center"/>
          </w:tcPr>
          <w:p w14:paraId="3129A3D6" w14:textId="77777777" w:rsidR="005128AE" w:rsidRPr="005128AE" w:rsidRDefault="005128AE" w:rsidP="00FC410A">
            <w:pPr>
              <w:jc w:val="center"/>
              <w:rPr>
                <w:rFonts w:eastAsia="Times New Roman" w:cstheme="minorHAnsi"/>
                <w:b/>
                <w:bCs/>
                <w:sz w:val="16"/>
                <w:szCs w:val="16"/>
                <w:lang w:val="sr-Latn-ME"/>
              </w:rPr>
            </w:pPr>
            <w:r w:rsidRPr="005128AE">
              <w:rPr>
                <w:rFonts w:eastAsia="Times New Roman" w:cstheme="minorHAnsi"/>
                <w:b/>
                <w:bCs/>
                <w:sz w:val="16"/>
                <w:szCs w:val="16"/>
                <w:lang w:val="sr-Latn-ME"/>
              </w:rPr>
              <w:t>325</w:t>
            </w:r>
          </w:p>
        </w:tc>
        <w:tc>
          <w:tcPr>
            <w:tcW w:w="4106" w:type="pct"/>
          </w:tcPr>
          <w:p w14:paraId="257F0E0E" w14:textId="77777777" w:rsidR="005128AE" w:rsidRPr="005128AE" w:rsidRDefault="005128AE" w:rsidP="00FC410A">
            <w:pPr>
              <w:rPr>
                <w:rFonts w:cstheme="minorHAnsi"/>
                <w:sz w:val="16"/>
                <w:szCs w:val="16"/>
                <w:lang w:val="sr-Latn-ME"/>
              </w:rPr>
            </w:pPr>
            <w:r w:rsidRPr="005128AE">
              <w:rPr>
                <w:rFonts w:cstheme="minorHAnsi"/>
                <w:sz w:val="16"/>
                <w:szCs w:val="16"/>
                <w:lang w:val="sr-Latn-ME"/>
              </w:rPr>
              <w:t>Jačanje i razvoj svih aspekata Zajedničkog evropskog sistema azila, uključujući njegovu eksternu dimenziju (isključujući stambenu infrastrukturu)</w:t>
            </w:r>
          </w:p>
        </w:tc>
      </w:tr>
      <w:tr w:rsidR="005128AE" w:rsidRPr="00425562" w14:paraId="6102FA3C" w14:textId="77777777" w:rsidTr="005128AE">
        <w:trPr>
          <w:jc w:val="center"/>
        </w:trPr>
        <w:tc>
          <w:tcPr>
            <w:tcW w:w="894" w:type="pct"/>
            <w:vAlign w:val="center"/>
          </w:tcPr>
          <w:p w14:paraId="51FC5ED2" w14:textId="77777777" w:rsidR="005128AE" w:rsidRPr="005128AE" w:rsidRDefault="005128AE" w:rsidP="00FC410A">
            <w:pPr>
              <w:jc w:val="center"/>
              <w:rPr>
                <w:rFonts w:eastAsia="Times New Roman" w:cstheme="minorHAnsi"/>
                <w:b/>
                <w:bCs/>
                <w:sz w:val="16"/>
                <w:szCs w:val="16"/>
                <w:lang w:val="sr-Latn-ME"/>
              </w:rPr>
            </w:pPr>
            <w:r w:rsidRPr="005128AE">
              <w:rPr>
                <w:rFonts w:eastAsia="Times New Roman" w:cstheme="minorHAnsi"/>
                <w:b/>
                <w:bCs/>
                <w:sz w:val="16"/>
                <w:szCs w:val="16"/>
                <w:lang w:val="sr-Latn-ME"/>
              </w:rPr>
              <w:t>326</w:t>
            </w:r>
          </w:p>
        </w:tc>
        <w:tc>
          <w:tcPr>
            <w:tcW w:w="4106" w:type="pct"/>
          </w:tcPr>
          <w:p w14:paraId="59CE78F3" w14:textId="77777777" w:rsidR="005128AE" w:rsidRPr="005128AE" w:rsidRDefault="005128AE" w:rsidP="00FC410A">
            <w:pPr>
              <w:rPr>
                <w:rFonts w:cstheme="minorHAnsi"/>
                <w:bCs/>
                <w:color w:val="000000"/>
                <w:sz w:val="16"/>
                <w:szCs w:val="16"/>
                <w:lang w:val="sr-Latn-ME"/>
              </w:rPr>
            </w:pPr>
            <w:r w:rsidRPr="005128AE">
              <w:rPr>
                <w:rFonts w:cstheme="minorHAnsi"/>
                <w:sz w:val="16"/>
                <w:szCs w:val="16"/>
                <w:lang w:val="sr-Latn-ME"/>
              </w:rPr>
              <w:t>Prihvatna infrastruktura – razvoj i izgradnja</w:t>
            </w:r>
          </w:p>
        </w:tc>
      </w:tr>
      <w:tr w:rsidR="005128AE" w:rsidRPr="00425562" w14:paraId="79C2E9B2" w14:textId="77777777" w:rsidTr="005128AE">
        <w:trPr>
          <w:jc w:val="center"/>
        </w:trPr>
        <w:tc>
          <w:tcPr>
            <w:tcW w:w="894" w:type="pct"/>
            <w:vAlign w:val="center"/>
          </w:tcPr>
          <w:p w14:paraId="4A46C895" w14:textId="77777777" w:rsidR="005128AE" w:rsidRPr="005128AE" w:rsidRDefault="005128AE" w:rsidP="00FC410A">
            <w:pPr>
              <w:jc w:val="center"/>
              <w:rPr>
                <w:rFonts w:eastAsia="Times New Roman" w:cstheme="minorHAnsi"/>
                <w:b/>
                <w:bCs/>
                <w:sz w:val="16"/>
                <w:szCs w:val="16"/>
                <w:lang w:val="sr-Latn-ME"/>
              </w:rPr>
            </w:pPr>
            <w:r w:rsidRPr="005128AE">
              <w:rPr>
                <w:rFonts w:eastAsia="Times New Roman" w:cstheme="minorHAnsi"/>
                <w:b/>
                <w:bCs/>
                <w:sz w:val="16"/>
                <w:szCs w:val="16"/>
                <w:lang w:val="sr-Latn-ME"/>
              </w:rPr>
              <w:t>327</w:t>
            </w:r>
          </w:p>
        </w:tc>
        <w:tc>
          <w:tcPr>
            <w:tcW w:w="4106" w:type="pct"/>
          </w:tcPr>
          <w:p w14:paraId="1889CE7A" w14:textId="77777777" w:rsidR="005128AE" w:rsidRPr="005128AE" w:rsidRDefault="005128AE" w:rsidP="00FC410A">
            <w:pPr>
              <w:rPr>
                <w:rFonts w:cstheme="minorHAnsi"/>
                <w:bCs/>
                <w:color w:val="000000"/>
                <w:sz w:val="16"/>
                <w:szCs w:val="16"/>
                <w:lang w:val="sr-Latn-ME"/>
              </w:rPr>
            </w:pPr>
            <w:r w:rsidRPr="005128AE">
              <w:rPr>
                <w:rFonts w:cstheme="minorHAnsi"/>
                <w:sz w:val="16"/>
                <w:szCs w:val="16"/>
                <w:lang w:val="sr-Latn-ME"/>
              </w:rPr>
              <w:t>Prihvatna infrastruktura – renoviranje i rekonstrukcija</w:t>
            </w:r>
          </w:p>
        </w:tc>
      </w:tr>
      <w:tr w:rsidR="005128AE" w:rsidRPr="00425562" w14:paraId="02218524" w14:textId="77777777" w:rsidTr="005128AE">
        <w:trPr>
          <w:jc w:val="center"/>
        </w:trPr>
        <w:tc>
          <w:tcPr>
            <w:tcW w:w="894" w:type="pct"/>
            <w:vAlign w:val="center"/>
          </w:tcPr>
          <w:p w14:paraId="458C4787" w14:textId="77777777" w:rsidR="005128AE" w:rsidRPr="005128AE" w:rsidRDefault="005128AE" w:rsidP="00FC410A">
            <w:pPr>
              <w:jc w:val="center"/>
              <w:rPr>
                <w:rFonts w:eastAsia="Times New Roman" w:cstheme="minorHAnsi"/>
                <w:b/>
                <w:bCs/>
                <w:sz w:val="16"/>
                <w:szCs w:val="16"/>
                <w:lang w:val="sr-Latn-ME"/>
              </w:rPr>
            </w:pPr>
            <w:r w:rsidRPr="005128AE">
              <w:rPr>
                <w:rFonts w:eastAsia="Times New Roman" w:cstheme="minorHAnsi"/>
                <w:b/>
                <w:bCs/>
                <w:sz w:val="16"/>
                <w:szCs w:val="16"/>
                <w:lang w:val="sr-Latn-ME"/>
              </w:rPr>
              <w:t>328</w:t>
            </w:r>
          </w:p>
        </w:tc>
        <w:tc>
          <w:tcPr>
            <w:tcW w:w="4106" w:type="pct"/>
          </w:tcPr>
          <w:p w14:paraId="31A0D53E" w14:textId="77777777" w:rsidR="005128AE" w:rsidRPr="005128AE" w:rsidRDefault="005128AE" w:rsidP="00FC410A">
            <w:pPr>
              <w:rPr>
                <w:rFonts w:cstheme="minorHAnsi"/>
                <w:sz w:val="16"/>
                <w:szCs w:val="16"/>
                <w:lang w:val="sr-Latn-ME"/>
              </w:rPr>
            </w:pPr>
            <w:r w:rsidRPr="005128AE">
              <w:rPr>
                <w:rFonts w:cstheme="minorHAnsi"/>
                <w:sz w:val="16"/>
                <w:szCs w:val="16"/>
                <w:lang w:val="sr-Latn-ME"/>
              </w:rPr>
              <w:t>Jačanje i razvoj zakonitih migracija ka državama članicama i rana integracija migranata u skladu sa njihovim ekonomskim i socijalnim potrebama</w:t>
            </w:r>
          </w:p>
        </w:tc>
      </w:tr>
      <w:tr w:rsidR="005128AE" w:rsidRPr="00425562" w14:paraId="4EC7A4D0" w14:textId="77777777" w:rsidTr="005128AE">
        <w:trPr>
          <w:jc w:val="center"/>
        </w:trPr>
        <w:tc>
          <w:tcPr>
            <w:tcW w:w="894" w:type="pct"/>
            <w:vAlign w:val="center"/>
          </w:tcPr>
          <w:p w14:paraId="5AFD72D8" w14:textId="77777777" w:rsidR="005128AE" w:rsidRPr="005128AE" w:rsidRDefault="005128AE" w:rsidP="00FC410A">
            <w:pPr>
              <w:jc w:val="center"/>
              <w:rPr>
                <w:rFonts w:eastAsia="Times New Roman" w:cstheme="minorHAnsi"/>
                <w:b/>
                <w:bCs/>
                <w:sz w:val="16"/>
                <w:szCs w:val="16"/>
                <w:lang w:val="sr-Latn-ME"/>
              </w:rPr>
            </w:pPr>
            <w:r w:rsidRPr="005128AE">
              <w:rPr>
                <w:rFonts w:eastAsia="Times New Roman" w:cstheme="minorHAnsi"/>
                <w:b/>
                <w:bCs/>
                <w:sz w:val="16"/>
                <w:szCs w:val="16"/>
                <w:lang w:val="sr-Latn-ME"/>
              </w:rPr>
              <w:t>329</w:t>
            </w:r>
          </w:p>
        </w:tc>
        <w:tc>
          <w:tcPr>
            <w:tcW w:w="4106" w:type="pct"/>
          </w:tcPr>
          <w:p w14:paraId="482BAE39" w14:textId="77777777" w:rsidR="005128AE" w:rsidRPr="005128AE" w:rsidRDefault="005128AE" w:rsidP="00FC410A">
            <w:pPr>
              <w:rPr>
                <w:rFonts w:cstheme="minorHAnsi"/>
                <w:sz w:val="16"/>
                <w:szCs w:val="16"/>
                <w:lang w:val="sr-Latn-ME"/>
              </w:rPr>
            </w:pPr>
            <w:r w:rsidRPr="005128AE">
              <w:rPr>
                <w:rFonts w:cstheme="minorHAnsi"/>
                <w:sz w:val="16"/>
                <w:szCs w:val="16"/>
                <w:lang w:val="sr-Latn-ME"/>
              </w:rPr>
              <w:t xml:space="preserve">Doprinos suzbijanju neregularnih migracija, </w:t>
            </w:r>
            <w:proofErr w:type="spellStart"/>
            <w:r w:rsidRPr="005128AE">
              <w:rPr>
                <w:rFonts w:cstheme="minorHAnsi"/>
                <w:sz w:val="16"/>
                <w:szCs w:val="16"/>
                <w:lang w:val="sr-Latn-ME"/>
              </w:rPr>
              <w:t>unapređenje</w:t>
            </w:r>
            <w:proofErr w:type="spellEnd"/>
            <w:r w:rsidRPr="005128AE">
              <w:rPr>
                <w:rFonts w:cstheme="minorHAnsi"/>
                <w:sz w:val="16"/>
                <w:szCs w:val="16"/>
                <w:lang w:val="sr-Latn-ME"/>
              </w:rPr>
              <w:t xml:space="preserve"> efikasnog, bezbjednog i dostojanstvenog povratka i </w:t>
            </w:r>
            <w:proofErr w:type="spellStart"/>
            <w:r w:rsidRPr="005128AE">
              <w:rPr>
                <w:rFonts w:cstheme="minorHAnsi"/>
                <w:sz w:val="16"/>
                <w:szCs w:val="16"/>
                <w:lang w:val="sr-Latn-ME"/>
              </w:rPr>
              <w:t>readmisije</w:t>
            </w:r>
            <w:proofErr w:type="spellEnd"/>
            <w:r w:rsidRPr="005128AE">
              <w:rPr>
                <w:rFonts w:cstheme="minorHAnsi"/>
                <w:sz w:val="16"/>
                <w:szCs w:val="16"/>
                <w:lang w:val="sr-Latn-ME"/>
              </w:rPr>
              <w:t>, kao i promovisanje i doprinos efikasnoj početnoj reintegraciji u zemljama porijekla (samo u okviru internih politika EU)</w:t>
            </w:r>
          </w:p>
        </w:tc>
      </w:tr>
      <w:tr w:rsidR="005128AE" w:rsidRPr="00425562" w14:paraId="060B8C1E" w14:textId="77777777" w:rsidTr="005128AE">
        <w:trPr>
          <w:jc w:val="center"/>
        </w:trPr>
        <w:tc>
          <w:tcPr>
            <w:tcW w:w="894" w:type="pct"/>
            <w:vAlign w:val="center"/>
          </w:tcPr>
          <w:p w14:paraId="5C0A8CD0" w14:textId="77777777" w:rsidR="005128AE" w:rsidRPr="005128AE" w:rsidRDefault="005128AE" w:rsidP="00FC410A">
            <w:pPr>
              <w:jc w:val="center"/>
              <w:rPr>
                <w:rFonts w:eastAsia="Times New Roman" w:cstheme="minorHAnsi"/>
                <w:b/>
                <w:bCs/>
                <w:sz w:val="16"/>
                <w:szCs w:val="16"/>
                <w:lang w:val="sr-Latn-ME"/>
              </w:rPr>
            </w:pPr>
            <w:r w:rsidRPr="005128AE">
              <w:rPr>
                <w:rFonts w:eastAsia="Times New Roman" w:cstheme="minorHAnsi"/>
                <w:b/>
                <w:bCs/>
                <w:sz w:val="16"/>
                <w:szCs w:val="16"/>
                <w:lang w:val="sr-Latn-ME"/>
              </w:rPr>
              <w:t>310</w:t>
            </w:r>
          </w:p>
        </w:tc>
        <w:tc>
          <w:tcPr>
            <w:tcW w:w="4106" w:type="pct"/>
          </w:tcPr>
          <w:p w14:paraId="1BC8EBD2" w14:textId="77777777" w:rsidR="005128AE" w:rsidRPr="005128AE" w:rsidRDefault="005128AE" w:rsidP="00FC410A">
            <w:pPr>
              <w:rPr>
                <w:rFonts w:cstheme="minorHAnsi"/>
                <w:bCs/>
                <w:color w:val="000000"/>
                <w:sz w:val="16"/>
                <w:szCs w:val="16"/>
                <w:lang w:val="sr-Latn-ME"/>
              </w:rPr>
            </w:pPr>
            <w:r w:rsidRPr="005128AE">
              <w:rPr>
                <w:rFonts w:cstheme="minorHAnsi"/>
                <w:sz w:val="16"/>
                <w:szCs w:val="16"/>
                <w:lang w:val="sr-Latn-ME"/>
              </w:rPr>
              <w:t>Jačanje solidarnosti i pravedne raspodjele odgovornosti među državama članicama, posebno za države članice pod migracionim pritiskom</w:t>
            </w:r>
          </w:p>
        </w:tc>
      </w:tr>
      <w:tr w:rsidR="005128AE" w:rsidRPr="00425562" w14:paraId="43B9B514" w14:textId="77777777" w:rsidTr="005128AE">
        <w:trPr>
          <w:jc w:val="center"/>
        </w:trPr>
        <w:tc>
          <w:tcPr>
            <w:tcW w:w="894" w:type="pct"/>
            <w:vAlign w:val="center"/>
          </w:tcPr>
          <w:p w14:paraId="040B108D" w14:textId="77777777" w:rsidR="005128AE" w:rsidRPr="005128AE" w:rsidRDefault="005128AE" w:rsidP="00FC410A">
            <w:pPr>
              <w:jc w:val="center"/>
              <w:rPr>
                <w:rFonts w:eastAsia="Times New Roman" w:cstheme="minorHAnsi"/>
                <w:b/>
                <w:bCs/>
                <w:sz w:val="16"/>
                <w:szCs w:val="16"/>
                <w:lang w:val="sr-Latn-ME"/>
              </w:rPr>
            </w:pPr>
          </w:p>
        </w:tc>
        <w:tc>
          <w:tcPr>
            <w:tcW w:w="4106" w:type="pct"/>
            <w:shd w:val="clear" w:color="auto" w:fill="D9D9D9" w:themeFill="background1" w:themeFillShade="D9"/>
            <w:vAlign w:val="center"/>
          </w:tcPr>
          <w:p w14:paraId="3786A6CC" w14:textId="77777777" w:rsidR="005128AE" w:rsidRPr="005128AE" w:rsidRDefault="005128AE" w:rsidP="00FC410A">
            <w:pPr>
              <w:spacing w:line="216" w:lineRule="auto"/>
              <w:rPr>
                <w:b/>
                <w:sz w:val="16"/>
                <w:szCs w:val="16"/>
                <w:lang w:val="sr-Latn-ME"/>
              </w:rPr>
            </w:pPr>
            <w:r w:rsidRPr="005128AE">
              <w:rPr>
                <w:b/>
                <w:sz w:val="16"/>
                <w:szCs w:val="16"/>
                <w:lang w:val="sr-Latn-ME"/>
              </w:rPr>
              <w:t>11.50 Migracije u trećim zemljama – Vanjsko djelovanje</w:t>
            </w:r>
          </w:p>
        </w:tc>
      </w:tr>
      <w:tr w:rsidR="005128AE" w:rsidRPr="00425562" w14:paraId="12FC582B" w14:textId="77777777" w:rsidTr="005128AE">
        <w:trPr>
          <w:jc w:val="center"/>
        </w:trPr>
        <w:tc>
          <w:tcPr>
            <w:tcW w:w="894" w:type="pct"/>
            <w:vAlign w:val="center"/>
          </w:tcPr>
          <w:p w14:paraId="4664995B" w14:textId="77777777" w:rsidR="005128AE" w:rsidRPr="005128AE" w:rsidRDefault="005128AE" w:rsidP="00FC410A">
            <w:pPr>
              <w:jc w:val="center"/>
              <w:rPr>
                <w:rFonts w:eastAsia="Times New Roman" w:cstheme="minorHAnsi"/>
                <w:b/>
                <w:bCs/>
                <w:sz w:val="16"/>
                <w:szCs w:val="16"/>
                <w:lang w:val="sr-Latn-ME"/>
              </w:rPr>
            </w:pPr>
            <w:r w:rsidRPr="005128AE">
              <w:rPr>
                <w:rFonts w:eastAsia="Times New Roman" w:cstheme="minorHAnsi"/>
                <w:b/>
                <w:bCs/>
                <w:sz w:val="16"/>
                <w:szCs w:val="16"/>
                <w:lang w:val="sr-Latn-ME"/>
              </w:rPr>
              <w:t>331</w:t>
            </w:r>
          </w:p>
        </w:tc>
        <w:tc>
          <w:tcPr>
            <w:tcW w:w="4106" w:type="pct"/>
            <w:shd w:val="clear" w:color="auto" w:fill="FFFFFF" w:themeFill="background1"/>
            <w:vAlign w:val="center"/>
          </w:tcPr>
          <w:p w14:paraId="1C5C10C7" w14:textId="77777777" w:rsidR="005128AE" w:rsidRPr="005128AE" w:rsidRDefault="005128AE" w:rsidP="00FC410A">
            <w:pPr>
              <w:spacing w:line="216" w:lineRule="auto"/>
              <w:rPr>
                <w:sz w:val="16"/>
                <w:szCs w:val="16"/>
                <w:lang w:val="sr-Latn-ME"/>
              </w:rPr>
            </w:pPr>
            <w:r w:rsidRPr="005128AE">
              <w:rPr>
                <w:sz w:val="16"/>
                <w:szCs w:val="16"/>
                <w:lang w:val="sr-Latn-ME"/>
              </w:rPr>
              <w:t>Podrška osnovnim potrebama izbjeglica u trećim zemljama</w:t>
            </w:r>
          </w:p>
        </w:tc>
      </w:tr>
      <w:tr w:rsidR="005128AE" w:rsidRPr="00425562" w14:paraId="2F05D703" w14:textId="77777777" w:rsidTr="005128AE">
        <w:trPr>
          <w:jc w:val="center"/>
        </w:trPr>
        <w:tc>
          <w:tcPr>
            <w:tcW w:w="894" w:type="pct"/>
            <w:vAlign w:val="center"/>
          </w:tcPr>
          <w:p w14:paraId="75CF3419" w14:textId="77777777" w:rsidR="005128AE" w:rsidRPr="005128AE" w:rsidRDefault="005128AE" w:rsidP="00FC410A">
            <w:pPr>
              <w:jc w:val="center"/>
              <w:rPr>
                <w:rFonts w:eastAsia="Times New Roman" w:cstheme="minorHAnsi"/>
                <w:b/>
                <w:bCs/>
                <w:sz w:val="16"/>
                <w:szCs w:val="16"/>
                <w:lang w:val="sr-Latn-ME"/>
              </w:rPr>
            </w:pPr>
            <w:r w:rsidRPr="005128AE">
              <w:rPr>
                <w:rFonts w:eastAsia="Times New Roman" w:cstheme="minorHAnsi"/>
                <w:b/>
                <w:bCs/>
                <w:sz w:val="16"/>
                <w:szCs w:val="16"/>
                <w:lang w:val="sr-Latn-ME"/>
              </w:rPr>
              <w:t>332</w:t>
            </w:r>
          </w:p>
        </w:tc>
        <w:tc>
          <w:tcPr>
            <w:tcW w:w="4106" w:type="pct"/>
            <w:shd w:val="clear" w:color="auto" w:fill="FFFFFF" w:themeFill="background1"/>
            <w:vAlign w:val="center"/>
          </w:tcPr>
          <w:p w14:paraId="290E920D" w14:textId="77777777" w:rsidR="005128AE" w:rsidRPr="005128AE" w:rsidRDefault="005128AE" w:rsidP="00FC410A">
            <w:pPr>
              <w:rPr>
                <w:rFonts w:cstheme="minorHAnsi"/>
                <w:bCs/>
                <w:color w:val="000000"/>
                <w:sz w:val="16"/>
                <w:szCs w:val="16"/>
                <w:lang w:val="sr-Latn-ME"/>
              </w:rPr>
            </w:pPr>
            <w:r w:rsidRPr="005128AE">
              <w:rPr>
                <w:sz w:val="16"/>
                <w:szCs w:val="16"/>
                <w:lang w:val="sr-Latn-ME"/>
              </w:rPr>
              <w:t>Olakšavanje uređenih, bezbjednih, regularnih i odgovornih migracija i mobilnosti van EU (samo za i u partnerskim zemljama van EU) (isključujući stambenu infrastrukturu)</w:t>
            </w:r>
          </w:p>
        </w:tc>
      </w:tr>
      <w:tr w:rsidR="005128AE" w:rsidRPr="005128AE" w14:paraId="7D64CDA0" w14:textId="77777777" w:rsidTr="005128AE">
        <w:trPr>
          <w:jc w:val="center"/>
        </w:trPr>
        <w:tc>
          <w:tcPr>
            <w:tcW w:w="894" w:type="pct"/>
            <w:vAlign w:val="center"/>
          </w:tcPr>
          <w:p w14:paraId="0E166336" w14:textId="77777777" w:rsidR="005128AE" w:rsidRPr="005128AE" w:rsidRDefault="005128AE" w:rsidP="00FC410A">
            <w:pPr>
              <w:jc w:val="center"/>
              <w:rPr>
                <w:rFonts w:eastAsia="Times New Roman" w:cstheme="minorHAnsi"/>
                <w:b/>
                <w:bCs/>
                <w:sz w:val="16"/>
                <w:szCs w:val="16"/>
                <w:lang w:val="sr-Latn-ME"/>
              </w:rPr>
            </w:pPr>
          </w:p>
        </w:tc>
        <w:tc>
          <w:tcPr>
            <w:tcW w:w="4106" w:type="pct"/>
            <w:shd w:val="clear" w:color="auto" w:fill="D9D9D9" w:themeFill="background1" w:themeFillShade="D9"/>
            <w:vAlign w:val="center"/>
          </w:tcPr>
          <w:p w14:paraId="0BE8CF49" w14:textId="77777777" w:rsidR="005128AE" w:rsidRPr="005128AE" w:rsidRDefault="005128AE" w:rsidP="00FC410A">
            <w:pPr>
              <w:rPr>
                <w:rStyle w:val="Naglaeno"/>
                <w:sz w:val="16"/>
                <w:szCs w:val="16"/>
                <w:lang w:val="sr-Latn-ME"/>
              </w:rPr>
            </w:pPr>
            <w:r w:rsidRPr="005128AE">
              <w:rPr>
                <w:rStyle w:val="Naglaeno"/>
                <w:sz w:val="16"/>
                <w:szCs w:val="16"/>
                <w:lang w:val="sr-Latn-ME"/>
              </w:rPr>
              <w:t>11.05 Reforme</w:t>
            </w:r>
          </w:p>
        </w:tc>
      </w:tr>
      <w:tr w:rsidR="005128AE" w:rsidRPr="005128AE" w14:paraId="1D095D1C" w14:textId="77777777" w:rsidTr="005128AE">
        <w:trPr>
          <w:jc w:val="center"/>
        </w:trPr>
        <w:tc>
          <w:tcPr>
            <w:tcW w:w="894" w:type="pct"/>
            <w:vAlign w:val="center"/>
          </w:tcPr>
          <w:p w14:paraId="1F31767A" w14:textId="77777777" w:rsidR="005128AE" w:rsidRPr="005128AE" w:rsidRDefault="005128AE" w:rsidP="00FC410A">
            <w:pPr>
              <w:jc w:val="center"/>
              <w:rPr>
                <w:rFonts w:eastAsia="Times New Roman" w:cstheme="minorHAnsi"/>
                <w:b/>
                <w:bCs/>
                <w:sz w:val="16"/>
                <w:szCs w:val="16"/>
                <w:lang w:val="sr-Latn-ME"/>
              </w:rPr>
            </w:pPr>
            <w:r w:rsidRPr="005128AE">
              <w:rPr>
                <w:rFonts w:eastAsia="Times New Roman" w:cstheme="minorHAnsi"/>
                <w:b/>
                <w:bCs/>
                <w:sz w:val="16"/>
                <w:szCs w:val="16"/>
                <w:lang w:val="sr-Latn-ME"/>
              </w:rPr>
              <w:t>333</w:t>
            </w:r>
          </w:p>
        </w:tc>
        <w:tc>
          <w:tcPr>
            <w:tcW w:w="4106" w:type="pct"/>
            <w:vAlign w:val="center"/>
          </w:tcPr>
          <w:p w14:paraId="479AE9D5" w14:textId="77777777" w:rsidR="005128AE" w:rsidRPr="005128AE" w:rsidRDefault="005128AE" w:rsidP="00FC410A">
            <w:pPr>
              <w:rPr>
                <w:rFonts w:cstheme="minorHAnsi"/>
                <w:bCs/>
                <w:color w:val="000000"/>
                <w:sz w:val="16"/>
                <w:szCs w:val="16"/>
                <w:lang w:val="sr-Latn-ME"/>
              </w:rPr>
            </w:pPr>
            <w:r w:rsidRPr="005128AE">
              <w:rPr>
                <w:rFonts w:cstheme="minorHAnsi"/>
                <w:bCs/>
                <w:color w:val="000000"/>
                <w:sz w:val="16"/>
                <w:szCs w:val="16"/>
                <w:lang w:val="sr-Latn-ME"/>
              </w:rPr>
              <w:t>Politika migracija i granica i regulatorni okvir</w:t>
            </w:r>
          </w:p>
        </w:tc>
      </w:tr>
    </w:tbl>
    <w:p w14:paraId="0B45AEA7" w14:textId="77777777" w:rsidR="005128AE" w:rsidRDefault="005128AE" w:rsidP="005128AE">
      <w:pPr>
        <w:rPr>
          <w:rFonts w:eastAsia="Times New Roman" w:cstheme="minorHAnsi"/>
          <w:b/>
          <w:bCs/>
          <w:lang w:val="sr-Latn-ME"/>
        </w:rPr>
      </w:pPr>
    </w:p>
    <w:p w14:paraId="0B49E7FB" w14:textId="77777777" w:rsidR="005128AE" w:rsidRDefault="005128AE" w:rsidP="005128AE">
      <w:pPr>
        <w:rPr>
          <w:b/>
          <w:lang w:val="sr-Latn-ME"/>
        </w:rPr>
      </w:pPr>
      <w:r w:rsidRPr="00171B3B">
        <w:rPr>
          <w:b/>
          <w:lang w:val="sr-Latn-ME"/>
        </w:rPr>
        <w:t xml:space="preserve">Napomena: </w:t>
      </w:r>
      <w:proofErr w:type="spellStart"/>
      <w:r w:rsidRPr="00171B3B">
        <w:rPr>
          <w:lang w:val="sr-Latn-ME"/>
        </w:rPr>
        <w:t>Podoblast</w:t>
      </w:r>
      <w:proofErr w:type="spellEnd"/>
      <w:r w:rsidRPr="00171B3B">
        <w:rPr>
          <w:lang w:val="sr-Latn-ME"/>
        </w:rPr>
        <w:t xml:space="preserve"> 11.50 „Migracije u trećim zemljama – vanjsko djelovanje“ (PA 11.50.331 Podrška osnovnim potrebama izbjeglica u trećim zemljama; PA 11.50.332 Olakšavanje uređenih, bezbjednih, regularnih i odgovornih migracija i mobilnosti van EU) isključena je iz analize jer nije relevantna za Crnu Goru.</w:t>
      </w:r>
    </w:p>
    <w:p w14:paraId="39CD54D8" w14:textId="683A1E9B" w:rsidR="005128AE" w:rsidRDefault="005128AE" w:rsidP="005128AE">
      <w:pPr>
        <w:pStyle w:val="Naslov2"/>
        <w:rPr>
          <w:rFonts w:eastAsia="Times New Roman"/>
          <w:lang w:val="sr-Latn-ME"/>
        </w:rPr>
      </w:pPr>
      <w:r w:rsidRPr="00171B3B">
        <w:rPr>
          <w:rFonts w:eastAsia="Times New Roman"/>
          <w:lang w:val="sr-Latn-ME"/>
        </w:rPr>
        <w:t>Indikativna lista razvojnih izazova</w:t>
      </w:r>
    </w:p>
    <w:tbl>
      <w:tblPr>
        <w:tblStyle w:val="Reetkatablice"/>
        <w:tblW w:w="5000" w:type="pct"/>
        <w:tblLook w:val="04A0" w:firstRow="1" w:lastRow="0" w:firstColumn="1" w:lastColumn="0" w:noHBand="0" w:noVBand="1"/>
      </w:tblPr>
      <w:tblGrid>
        <w:gridCol w:w="1106"/>
        <w:gridCol w:w="1910"/>
        <w:gridCol w:w="6046"/>
      </w:tblGrid>
      <w:tr w:rsidR="005128AE" w:rsidRPr="005128AE" w14:paraId="21EFAAD3" w14:textId="77777777" w:rsidTr="005128AE">
        <w:tc>
          <w:tcPr>
            <w:tcW w:w="610" w:type="pct"/>
            <w:shd w:val="clear" w:color="auto" w:fill="83CAEB" w:themeFill="accent1" w:themeFillTint="66"/>
            <w:vAlign w:val="center"/>
          </w:tcPr>
          <w:p w14:paraId="53F48CAF" w14:textId="77777777" w:rsidR="005128AE" w:rsidRPr="005128AE" w:rsidRDefault="005128AE" w:rsidP="00FC410A">
            <w:pPr>
              <w:ind w:right="-108"/>
              <w:jc w:val="center"/>
              <w:rPr>
                <w:rFonts w:eastAsia="Times New Roman" w:cstheme="minorHAnsi"/>
                <w:b/>
                <w:bCs/>
                <w:sz w:val="16"/>
                <w:szCs w:val="16"/>
                <w:lang w:val="sr-Latn-ME"/>
              </w:rPr>
            </w:pPr>
            <w:r w:rsidRPr="005128AE">
              <w:rPr>
                <w:rFonts w:eastAsia="Times New Roman" w:cstheme="minorHAnsi"/>
                <w:b/>
                <w:bCs/>
                <w:sz w:val="16"/>
                <w:szCs w:val="16"/>
                <w:lang w:val="sr-Latn-ME"/>
              </w:rPr>
              <w:t>Kod razvojnog izazova</w:t>
            </w:r>
          </w:p>
        </w:tc>
        <w:tc>
          <w:tcPr>
            <w:tcW w:w="1054" w:type="pct"/>
            <w:shd w:val="clear" w:color="auto" w:fill="83CAEB" w:themeFill="accent1" w:themeFillTint="66"/>
            <w:vAlign w:val="center"/>
          </w:tcPr>
          <w:p w14:paraId="67C5F674" w14:textId="77777777" w:rsidR="005128AE" w:rsidRPr="005128AE" w:rsidRDefault="005128AE" w:rsidP="00FC410A">
            <w:pPr>
              <w:jc w:val="center"/>
              <w:rPr>
                <w:rFonts w:eastAsia="Times New Roman" w:cstheme="minorHAnsi"/>
                <w:b/>
                <w:bCs/>
                <w:sz w:val="16"/>
                <w:szCs w:val="16"/>
                <w:lang w:val="sr-Latn-ME"/>
              </w:rPr>
            </w:pPr>
            <w:r w:rsidRPr="005128AE">
              <w:rPr>
                <w:rFonts w:eastAsia="Times New Roman" w:cstheme="minorHAnsi"/>
                <w:b/>
                <w:bCs/>
                <w:sz w:val="16"/>
                <w:szCs w:val="16"/>
                <w:lang w:val="sr-Latn-ME"/>
              </w:rPr>
              <w:t>Naziv razvojnog izazova</w:t>
            </w:r>
          </w:p>
        </w:tc>
        <w:tc>
          <w:tcPr>
            <w:tcW w:w="3336" w:type="pct"/>
            <w:shd w:val="clear" w:color="auto" w:fill="83CAEB" w:themeFill="accent1" w:themeFillTint="66"/>
            <w:vAlign w:val="center"/>
          </w:tcPr>
          <w:p w14:paraId="308CBB06" w14:textId="77777777" w:rsidR="005128AE" w:rsidRPr="005128AE" w:rsidRDefault="005128AE" w:rsidP="00FC410A">
            <w:pPr>
              <w:jc w:val="center"/>
              <w:rPr>
                <w:rFonts w:eastAsia="Times New Roman" w:cstheme="minorHAnsi"/>
                <w:b/>
                <w:bCs/>
                <w:sz w:val="16"/>
                <w:szCs w:val="16"/>
                <w:lang w:val="sr-Latn-ME"/>
              </w:rPr>
            </w:pPr>
            <w:r w:rsidRPr="005128AE">
              <w:rPr>
                <w:rFonts w:eastAsia="Times New Roman" w:cstheme="minorHAnsi"/>
                <w:b/>
                <w:bCs/>
                <w:sz w:val="16"/>
                <w:szCs w:val="16"/>
                <w:lang w:val="sr-Latn-ME"/>
              </w:rPr>
              <w:t>Objašnjenje</w:t>
            </w:r>
          </w:p>
        </w:tc>
      </w:tr>
      <w:tr w:rsidR="005128AE" w:rsidRPr="00425562" w14:paraId="64358D68" w14:textId="77777777" w:rsidTr="005128AE">
        <w:tc>
          <w:tcPr>
            <w:tcW w:w="610" w:type="pct"/>
          </w:tcPr>
          <w:p w14:paraId="02792BBC" w14:textId="77777777" w:rsidR="005128AE" w:rsidRPr="005128AE" w:rsidRDefault="005128AE" w:rsidP="00FC410A">
            <w:pPr>
              <w:jc w:val="center"/>
              <w:rPr>
                <w:rFonts w:eastAsia="Times New Roman" w:cstheme="minorHAnsi"/>
                <w:b/>
                <w:bCs/>
                <w:sz w:val="16"/>
                <w:szCs w:val="16"/>
                <w:lang w:val="sr-Latn-ME"/>
              </w:rPr>
            </w:pPr>
            <w:r w:rsidRPr="005128AE">
              <w:rPr>
                <w:rFonts w:eastAsia="Times New Roman" w:cstheme="minorHAnsi"/>
                <w:b/>
                <w:bCs/>
                <w:sz w:val="16"/>
                <w:szCs w:val="16"/>
                <w:lang w:val="sr-Latn-ME"/>
              </w:rPr>
              <w:t>DC1</w:t>
            </w:r>
          </w:p>
        </w:tc>
        <w:tc>
          <w:tcPr>
            <w:tcW w:w="1054" w:type="pct"/>
          </w:tcPr>
          <w:p w14:paraId="7D8F7EEB" w14:textId="77777777" w:rsidR="005128AE" w:rsidRPr="005128AE" w:rsidRDefault="005128AE" w:rsidP="00FC410A">
            <w:pPr>
              <w:rPr>
                <w:sz w:val="16"/>
                <w:szCs w:val="16"/>
                <w:lang w:val="sr-Latn-ME"/>
              </w:rPr>
            </w:pPr>
            <w:r w:rsidRPr="005128AE">
              <w:rPr>
                <w:sz w:val="16"/>
                <w:szCs w:val="16"/>
                <w:lang w:val="sr-Latn-ME"/>
              </w:rPr>
              <w:t xml:space="preserve">Nepotpuna kontrola granica i nedostatak biometrijskog sistema registracije </w:t>
            </w:r>
          </w:p>
          <w:p w14:paraId="05050359" w14:textId="77777777" w:rsidR="005128AE" w:rsidRPr="005128AE" w:rsidRDefault="005128AE" w:rsidP="00FC410A">
            <w:pPr>
              <w:rPr>
                <w:sz w:val="16"/>
                <w:szCs w:val="16"/>
                <w:lang w:val="sr-Latn-ME"/>
              </w:rPr>
            </w:pPr>
          </w:p>
          <w:p w14:paraId="2C5E2F32" w14:textId="77777777" w:rsidR="005128AE" w:rsidRPr="005128AE" w:rsidRDefault="005128AE" w:rsidP="00FC410A">
            <w:pPr>
              <w:rPr>
                <w:sz w:val="16"/>
                <w:szCs w:val="16"/>
                <w:lang w:val="sr-Latn-ME"/>
              </w:rPr>
            </w:pPr>
            <w:r w:rsidRPr="005128AE">
              <w:rPr>
                <w:sz w:val="16"/>
                <w:szCs w:val="16"/>
                <w:lang w:val="sr-Latn-ME"/>
              </w:rPr>
              <w:t>( 323)</w:t>
            </w:r>
          </w:p>
        </w:tc>
        <w:tc>
          <w:tcPr>
            <w:tcW w:w="3336" w:type="pct"/>
          </w:tcPr>
          <w:p w14:paraId="34455E0B" w14:textId="77777777" w:rsidR="005128AE" w:rsidRPr="005128AE" w:rsidRDefault="005128AE" w:rsidP="00FC410A">
            <w:pPr>
              <w:rPr>
                <w:sz w:val="16"/>
                <w:szCs w:val="16"/>
                <w:lang w:val="sr-Latn-ME"/>
              </w:rPr>
            </w:pPr>
            <w:r w:rsidRPr="005128AE">
              <w:rPr>
                <w:sz w:val="16"/>
                <w:szCs w:val="16"/>
                <w:lang w:val="sr-Latn-ME"/>
              </w:rPr>
              <w:t xml:space="preserve">Sistem upravljanja granicama u Crnoj Gori i dalje je djelimično usklađen sa standardima EU, posebno u dijelu nadzora kopnene granice u visokorizičnim područjima. Postojeći tehnički kapaciteti ne omogućavaju u potpunosti detekciju, praćenje i presretanje neregularnih prelazaka u realnom </w:t>
            </w:r>
            <w:proofErr w:type="spellStart"/>
            <w:r w:rsidRPr="005128AE">
              <w:rPr>
                <w:sz w:val="16"/>
                <w:szCs w:val="16"/>
                <w:lang w:val="sr-Latn-ME"/>
              </w:rPr>
              <w:t>vremenu</w:t>
            </w:r>
            <w:proofErr w:type="spellEnd"/>
            <w:r w:rsidRPr="005128AE">
              <w:rPr>
                <w:sz w:val="16"/>
                <w:szCs w:val="16"/>
                <w:lang w:val="sr-Latn-ME"/>
              </w:rPr>
              <w:t>. Ključni nedostatak predstavlja nepostojanje biometrijskog sistema registracije, jer granična policija i dalje koristi uzimanje otisaka prstiju mastilom. Time se onemogućava interoperabilnost sa EU sistemima kao što su EURODAC, SIS i VIS, što ograničava provjeru identiteta, razmjenu podataka i analizu rizika. Rješavanje ovog izazova zahtijeva značajna ulaganja u IT sisteme, infrastrukturu i obuku kadra, kao i usklađivanje sa EU okvirima interoperabilnosti.</w:t>
            </w:r>
          </w:p>
        </w:tc>
      </w:tr>
      <w:tr w:rsidR="005128AE" w:rsidRPr="00425562" w14:paraId="5250DA83" w14:textId="77777777" w:rsidTr="005128AE">
        <w:tc>
          <w:tcPr>
            <w:tcW w:w="610" w:type="pct"/>
          </w:tcPr>
          <w:p w14:paraId="757EBE92" w14:textId="77777777" w:rsidR="005128AE" w:rsidRPr="005128AE" w:rsidRDefault="005128AE" w:rsidP="00FC410A">
            <w:pPr>
              <w:jc w:val="center"/>
              <w:rPr>
                <w:rFonts w:eastAsia="Times New Roman" w:cstheme="minorHAnsi"/>
                <w:b/>
                <w:bCs/>
                <w:sz w:val="16"/>
                <w:szCs w:val="16"/>
                <w:lang w:val="sr-Latn-ME"/>
              </w:rPr>
            </w:pPr>
            <w:r w:rsidRPr="005128AE">
              <w:rPr>
                <w:rFonts w:eastAsia="Times New Roman" w:cstheme="minorHAnsi"/>
                <w:b/>
                <w:bCs/>
                <w:sz w:val="16"/>
                <w:szCs w:val="16"/>
                <w:lang w:val="sr-Latn-ME"/>
              </w:rPr>
              <w:t>DC2</w:t>
            </w:r>
          </w:p>
        </w:tc>
        <w:tc>
          <w:tcPr>
            <w:tcW w:w="1054" w:type="pct"/>
          </w:tcPr>
          <w:p w14:paraId="1A61E78B" w14:textId="77777777" w:rsidR="005128AE" w:rsidRPr="005128AE" w:rsidRDefault="005128AE" w:rsidP="00FC410A">
            <w:pPr>
              <w:rPr>
                <w:sz w:val="16"/>
                <w:szCs w:val="16"/>
                <w:lang w:val="sr-Latn-ME"/>
              </w:rPr>
            </w:pPr>
            <w:r w:rsidRPr="005128AE">
              <w:rPr>
                <w:sz w:val="16"/>
                <w:szCs w:val="16"/>
                <w:lang w:val="sr-Latn-ME"/>
              </w:rPr>
              <w:t xml:space="preserve">Djelimična usklađenost </w:t>
            </w:r>
            <w:proofErr w:type="spellStart"/>
            <w:r w:rsidRPr="005128AE">
              <w:rPr>
                <w:sz w:val="16"/>
                <w:szCs w:val="16"/>
                <w:lang w:val="sr-Latn-ME"/>
              </w:rPr>
              <w:t>viznog</w:t>
            </w:r>
            <w:proofErr w:type="spellEnd"/>
            <w:r w:rsidRPr="005128AE">
              <w:rPr>
                <w:sz w:val="16"/>
                <w:szCs w:val="16"/>
                <w:lang w:val="sr-Latn-ME"/>
              </w:rPr>
              <w:t xml:space="preserve"> režima sa zajedničkom </w:t>
            </w:r>
            <w:proofErr w:type="spellStart"/>
            <w:r w:rsidRPr="005128AE">
              <w:rPr>
                <w:sz w:val="16"/>
                <w:szCs w:val="16"/>
                <w:lang w:val="sr-Latn-ME"/>
              </w:rPr>
              <w:t>viznom</w:t>
            </w:r>
            <w:proofErr w:type="spellEnd"/>
            <w:r w:rsidRPr="005128AE">
              <w:rPr>
                <w:sz w:val="16"/>
                <w:szCs w:val="16"/>
                <w:lang w:val="sr-Latn-ME"/>
              </w:rPr>
              <w:t xml:space="preserve"> politikom EU</w:t>
            </w:r>
          </w:p>
          <w:p w14:paraId="38FC86C1" w14:textId="77777777" w:rsidR="005128AE" w:rsidRPr="005128AE" w:rsidRDefault="005128AE" w:rsidP="00FC410A">
            <w:pPr>
              <w:rPr>
                <w:sz w:val="16"/>
                <w:szCs w:val="16"/>
                <w:lang w:val="sr-Latn-ME"/>
              </w:rPr>
            </w:pPr>
            <w:r w:rsidRPr="005128AE">
              <w:rPr>
                <w:sz w:val="16"/>
                <w:szCs w:val="16"/>
                <w:lang w:val="sr-Latn-ME"/>
              </w:rPr>
              <w:t xml:space="preserve"> ( 324)</w:t>
            </w:r>
          </w:p>
        </w:tc>
        <w:tc>
          <w:tcPr>
            <w:tcW w:w="3336" w:type="pct"/>
          </w:tcPr>
          <w:p w14:paraId="4ACA69FD" w14:textId="77777777" w:rsidR="005128AE" w:rsidRPr="005128AE" w:rsidRDefault="005128AE" w:rsidP="00FC410A">
            <w:pPr>
              <w:rPr>
                <w:sz w:val="16"/>
                <w:szCs w:val="16"/>
                <w:lang w:val="sr-Latn-ME"/>
              </w:rPr>
            </w:pPr>
            <w:r w:rsidRPr="005128AE">
              <w:rPr>
                <w:sz w:val="16"/>
                <w:szCs w:val="16"/>
                <w:lang w:val="sr-Latn-ME"/>
              </w:rPr>
              <w:t xml:space="preserve">Crna Gora još uvijek nije u potpunosti uskladila svoj </w:t>
            </w:r>
            <w:proofErr w:type="spellStart"/>
            <w:r w:rsidRPr="005128AE">
              <w:rPr>
                <w:sz w:val="16"/>
                <w:szCs w:val="16"/>
                <w:lang w:val="sr-Latn-ME"/>
              </w:rPr>
              <w:t>vizni</w:t>
            </w:r>
            <w:proofErr w:type="spellEnd"/>
            <w:r w:rsidRPr="005128AE">
              <w:rPr>
                <w:sz w:val="16"/>
                <w:szCs w:val="16"/>
                <w:lang w:val="sr-Latn-ME"/>
              </w:rPr>
              <w:t xml:space="preserve"> režim sa zajedničkom </w:t>
            </w:r>
            <w:proofErr w:type="spellStart"/>
            <w:r w:rsidRPr="005128AE">
              <w:rPr>
                <w:sz w:val="16"/>
                <w:szCs w:val="16"/>
                <w:lang w:val="sr-Latn-ME"/>
              </w:rPr>
              <w:t>viznom</w:t>
            </w:r>
            <w:proofErr w:type="spellEnd"/>
            <w:r w:rsidRPr="005128AE">
              <w:rPr>
                <w:sz w:val="16"/>
                <w:szCs w:val="16"/>
                <w:lang w:val="sr-Latn-ME"/>
              </w:rPr>
              <w:t xml:space="preserve"> politikom EU, posebno u pogledu lista trećih zemalja čiji državljani podliježu vizama ili su izuzeti od njih. Nastavak primjene fleksibilnih aranžmana, poput privremenih </w:t>
            </w:r>
            <w:proofErr w:type="spellStart"/>
            <w:r w:rsidRPr="005128AE">
              <w:rPr>
                <w:sz w:val="16"/>
                <w:szCs w:val="16"/>
                <w:lang w:val="sr-Latn-ME"/>
              </w:rPr>
              <w:t>bezviznih</w:t>
            </w:r>
            <w:proofErr w:type="spellEnd"/>
            <w:r w:rsidRPr="005128AE">
              <w:rPr>
                <w:sz w:val="16"/>
                <w:szCs w:val="16"/>
                <w:lang w:val="sr-Latn-ME"/>
              </w:rPr>
              <w:t xml:space="preserve"> režima, stvara neusklađenost sa pravilima EU i potencijalne rizike za upravljanje migracijama. Pored toga, </w:t>
            </w:r>
            <w:proofErr w:type="spellStart"/>
            <w:r w:rsidRPr="005128AE">
              <w:rPr>
                <w:sz w:val="16"/>
                <w:szCs w:val="16"/>
                <w:lang w:val="sr-Latn-ME"/>
              </w:rPr>
              <w:t>Vizni</w:t>
            </w:r>
            <w:proofErr w:type="spellEnd"/>
            <w:r w:rsidRPr="005128AE">
              <w:rPr>
                <w:sz w:val="16"/>
                <w:szCs w:val="16"/>
                <w:lang w:val="sr-Latn-ME"/>
              </w:rPr>
              <w:t xml:space="preserve"> informacioni sistem (VIS) je nedovoljno razvijen i nije u potpunosti </w:t>
            </w:r>
            <w:proofErr w:type="spellStart"/>
            <w:r w:rsidRPr="005128AE">
              <w:rPr>
                <w:sz w:val="16"/>
                <w:szCs w:val="16"/>
                <w:lang w:val="sr-Latn-ME"/>
              </w:rPr>
              <w:t>interoperabilan</w:t>
            </w:r>
            <w:proofErr w:type="spellEnd"/>
            <w:r w:rsidRPr="005128AE">
              <w:rPr>
                <w:sz w:val="16"/>
                <w:szCs w:val="16"/>
                <w:lang w:val="sr-Latn-ME"/>
              </w:rPr>
              <w:t xml:space="preserve"> sa bazama podataka EU, što ograničava </w:t>
            </w:r>
            <w:proofErr w:type="spellStart"/>
            <w:r w:rsidRPr="005128AE">
              <w:rPr>
                <w:sz w:val="16"/>
                <w:szCs w:val="16"/>
                <w:lang w:val="sr-Latn-ME"/>
              </w:rPr>
              <w:t>bezbjednosne</w:t>
            </w:r>
            <w:proofErr w:type="spellEnd"/>
            <w:r w:rsidRPr="005128AE">
              <w:rPr>
                <w:sz w:val="16"/>
                <w:szCs w:val="16"/>
                <w:lang w:val="sr-Latn-ME"/>
              </w:rPr>
              <w:t xml:space="preserve"> provjere i razmjenu podataka. Digitalizacija </w:t>
            </w:r>
            <w:proofErr w:type="spellStart"/>
            <w:r w:rsidRPr="005128AE">
              <w:rPr>
                <w:sz w:val="16"/>
                <w:szCs w:val="16"/>
                <w:lang w:val="sr-Latn-ME"/>
              </w:rPr>
              <w:t>viznih</w:t>
            </w:r>
            <w:proofErr w:type="spellEnd"/>
            <w:r w:rsidRPr="005128AE">
              <w:rPr>
                <w:sz w:val="16"/>
                <w:szCs w:val="16"/>
                <w:lang w:val="sr-Latn-ME"/>
              </w:rPr>
              <w:t xml:space="preserve"> procedura je još uvijek u ranoj fazi i zahtijeva i zakonodavno usklađivanje i tehnološka </w:t>
            </w:r>
            <w:proofErr w:type="spellStart"/>
            <w:r w:rsidRPr="005128AE">
              <w:rPr>
                <w:sz w:val="16"/>
                <w:szCs w:val="16"/>
                <w:lang w:val="sr-Latn-ME"/>
              </w:rPr>
              <w:t>unapređenja</w:t>
            </w:r>
            <w:proofErr w:type="spellEnd"/>
            <w:r w:rsidRPr="005128AE">
              <w:rPr>
                <w:sz w:val="16"/>
                <w:szCs w:val="16"/>
                <w:lang w:val="sr-Latn-ME"/>
              </w:rPr>
              <w:t xml:space="preserve"> kako bi se dostigli šengenski standardi.</w:t>
            </w:r>
          </w:p>
        </w:tc>
      </w:tr>
      <w:tr w:rsidR="005128AE" w:rsidRPr="00425562" w14:paraId="43A02228" w14:textId="77777777" w:rsidTr="005128AE">
        <w:tc>
          <w:tcPr>
            <w:tcW w:w="610" w:type="pct"/>
          </w:tcPr>
          <w:p w14:paraId="02DBB7FF" w14:textId="77777777" w:rsidR="005128AE" w:rsidRPr="005128AE" w:rsidRDefault="005128AE" w:rsidP="00FC410A">
            <w:pPr>
              <w:jc w:val="center"/>
              <w:rPr>
                <w:b/>
                <w:sz w:val="16"/>
                <w:szCs w:val="16"/>
                <w:lang w:val="sr-Latn-ME"/>
              </w:rPr>
            </w:pPr>
            <w:r w:rsidRPr="005128AE">
              <w:rPr>
                <w:rFonts w:eastAsia="Times New Roman" w:cstheme="minorHAnsi"/>
                <w:b/>
                <w:bCs/>
                <w:sz w:val="16"/>
                <w:szCs w:val="16"/>
                <w:lang w:val="sr-Latn-ME"/>
              </w:rPr>
              <w:t>DC3</w:t>
            </w:r>
          </w:p>
        </w:tc>
        <w:tc>
          <w:tcPr>
            <w:tcW w:w="1054" w:type="pct"/>
          </w:tcPr>
          <w:p w14:paraId="422E7466" w14:textId="77777777" w:rsidR="005128AE" w:rsidRPr="005128AE" w:rsidRDefault="005128AE" w:rsidP="00FC410A">
            <w:pPr>
              <w:rPr>
                <w:sz w:val="16"/>
                <w:szCs w:val="16"/>
                <w:lang w:val="sr-Latn-ME"/>
              </w:rPr>
            </w:pPr>
            <w:r w:rsidRPr="005128AE">
              <w:rPr>
                <w:sz w:val="16"/>
                <w:szCs w:val="16"/>
                <w:lang w:val="sr-Latn-ME"/>
              </w:rPr>
              <w:t>Ograničeni kapaciteti za obradu azila i standardi prijema</w:t>
            </w:r>
          </w:p>
          <w:p w14:paraId="0B3440D5" w14:textId="77777777" w:rsidR="005128AE" w:rsidRPr="005128AE" w:rsidRDefault="005128AE" w:rsidP="00FC410A">
            <w:pPr>
              <w:rPr>
                <w:sz w:val="16"/>
                <w:szCs w:val="16"/>
                <w:lang w:val="sr-Latn-ME"/>
              </w:rPr>
            </w:pPr>
          </w:p>
          <w:p w14:paraId="6EA7D257" w14:textId="77777777" w:rsidR="005128AE" w:rsidRPr="005128AE" w:rsidRDefault="005128AE" w:rsidP="00FC410A">
            <w:pPr>
              <w:rPr>
                <w:sz w:val="16"/>
                <w:szCs w:val="16"/>
                <w:lang w:val="sr-Latn-ME"/>
              </w:rPr>
            </w:pPr>
            <w:r w:rsidRPr="005128AE">
              <w:rPr>
                <w:sz w:val="16"/>
                <w:szCs w:val="16"/>
                <w:lang w:val="sr-Latn-ME"/>
              </w:rPr>
              <w:lastRenderedPageBreak/>
              <w:t xml:space="preserve"> ( 325)</w:t>
            </w:r>
          </w:p>
        </w:tc>
        <w:tc>
          <w:tcPr>
            <w:tcW w:w="3336" w:type="pct"/>
          </w:tcPr>
          <w:p w14:paraId="373D3ED4" w14:textId="77777777" w:rsidR="005128AE" w:rsidRPr="005128AE" w:rsidRDefault="005128AE" w:rsidP="00FC410A">
            <w:pPr>
              <w:rPr>
                <w:sz w:val="16"/>
                <w:szCs w:val="16"/>
                <w:lang w:val="sr-Latn-ME"/>
              </w:rPr>
            </w:pPr>
            <w:r w:rsidRPr="005128AE">
              <w:rPr>
                <w:sz w:val="16"/>
                <w:szCs w:val="16"/>
                <w:lang w:val="sr-Latn-ME"/>
              </w:rPr>
              <w:lastRenderedPageBreak/>
              <w:t xml:space="preserve">Iako je Crna Gora uspostavila pravni okvir za azil i sarađuje sa Agencijom EU za azil, institucionalni kapaciteti su i dalje ograničeni. Izazovi uključuju duge rokove obrade, varijabilan kvalitet odluka i nedovoljan broj zaposlenih u Direktoratu za azil. Prihvatni centri u Spužu i </w:t>
            </w:r>
            <w:proofErr w:type="spellStart"/>
            <w:r w:rsidRPr="005128AE">
              <w:rPr>
                <w:sz w:val="16"/>
                <w:szCs w:val="16"/>
                <w:lang w:val="sr-Latn-ME"/>
              </w:rPr>
              <w:t>Božaju</w:t>
            </w:r>
            <w:proofErr w:type="spellEnd"/>
            <w:r w:rsidRPr="005128AE">
              <w:rPr>
                <w:sz w:val="16"/>
                <w:szCs w:val="16"/>
                <w:lang w:val="sr-Latn-ME"/>
              </w:rPr>
              <w:t xml:space="preserve"> obezbjeđuju osnovne kapacitete, ali mogu biti preopterećeni u </w:t>
            </w:r>
            <w:r w:rsidRPr="005128AE">
              <w:rPr>
                <w:sz w:val="16"/>
                <w:szCs w:val="16"/>
                <w:lang w:val="sr-Latn-ME"/>
              </w:rPr>
              <w:lastRenderedPageBreak/>
              <w:t xml:space="preserve">slučaju povećanih priliva mješovitih migracija. Takođe postoji potreba za daljim usklađivanjem procedura sa Paktom EU o migracijama i azilu, uključujući brže procedure na granici i </w:t>
            </w:r>
            <w:proofErr w:type="spellStart"/>
            <w:r w:rsidRPr="005128AE">
              <w:rPr>
                <w:sz w:val="16"/>
                <w:szCs w:val="16"/>
                <w:lang w:val="sr-Latn-ME"/>
              </w:rPr>
              <w:t>unapređenje</w:t>
            </w:r>
            <w:proofErr w:type="spellEnd"/>
            <w:r w:rsidRPr="005128AE">
              <w:rPr>
                <w:sz w:val="16"/>
                <w:szCs w:val="16"/>
                <w:lang w:val="sr-Latn-ME"/>
              </w:rPr>
              <w:t xml:space="preserve"> uslova prijema, što zahtijeva i infrastrukturna ulaganja i jačanje administrativnih kapaciteta.</w:t>
            </w:r>
          </w:p>
        </w:tc>
      </w:tr>
      <w:tr w:rsidR="005128AE" w:rsidRPr="00425562" w14:paraId="30DA260A" w14:textId="77777777" w:rsidTr="005128AE">
        <w:tc>
          <w:tcPr>
            <w:tcW w:w="610" w:type="pct"/>
          </w:tcPr>
          <w:p w14:paraId="714B3BE2" w14:textId="77777777" w:rsidR="005128AE" w:rsidRPr="005128AE" w:rsidRDefault="005128AE" w:rsidP="00FC410A">
            <w:pPr>
              <w:jc w:val="center"/>
              <w:rPr>
                <w:rFonts w:eastAsia="Times New Roman" w:cstheme="minorHAnsi"/>
                <w:b/>
                <w:bCs/>
                <w:sz w:val="16"/>
                <w:szCs w:val="16"/>
                <w:lang w:val="sr-Latn-ME"/>
              </w:rPr>
            </w:pPr>
            <w:r w:rsidRPr="005128AE">
              <w:rPr>
                <w:rFonts w:eastAsia="Times New Roman" w:cstheme="minorHAnsi"/>
                <w:b/>
                <w:bCs/>
                <w:sz w:val="16"/>
                <w:szCs w:val="16"/>
                <w:lang w:val="sr-Latn-ME"/>
              </w:rPr>
              <w:lastRenderedPageBreak/>
              <w:t>DC4</w:t>
            </w:r>
          </w:p>
        </w:tc>
        <w:tc>
          <w:tcPr>
            <w:tcW w:w="1054" w:type="pct"/>
          </w:tcPr>
          <w:p w14:paraId="6E4547C2" w14:textId="77777777" w:rsidR="005128AE" w:rsidRPr="005128AE" w:rsidRDefault="005128AE" w:rsidP="00FC410A">
            <w:pPr>
              <w:rPr>
                <w:sz w:val="16"/>
                <w:szCs w:val="16"/>
                <w:lang w:val="sr-Latn-ME"/>
              </w:rPr>
            </w:pPr>
            <w:r w:rsidRPr="005128AE">
              <w:rPr>
                <w:sz w:val="16"/>
                <w:szCs w:val="16"/>
                <w:lang w:val="sr-Latn-ME"/>
              </w:rPr>
              <w:t>Upravljanje naglim rastom broja stranih rezidenata bez adekvatnih sistema upravljanja</w:t>
            </w:r>
          </w:p>
          <w:p w14:paraId="72DEC4A6" w14:textId="77777777" w:rsidR="005128AE" w:rsidRPr="005128AE" w:rsidRDefault="005128AE" w:rsidP="00FC410A">
            <w:pPr>
              <w:rPr>
                <w:sz w:val="16"/>
                <w:szCs w:val="16"/>
                <w:lang w:val="sr-Latn-ME"/>
              </w:rPr>
            </w:pPr>
          </w:p>
          <w:p w14:paraId="672B1927" w14:textId="77777777" w:rsidR="005128AE" w:rsidRPr="005128AE" w:rsidRDefault="005128AE" w:rsidP="00FC410A">
            <w:pPr>
              <w:rPr>
                <w:sz w:val="16"/>
                <w:szCs w:val="16"/>
                <w:lang w:val="sr-Latn-ME"/>
              </w:rPr>
            </w:pPr>
            <w:r w:rsidRPr="005128AE">
              <w:rPr>
                <w:sz w:val="16"/>
                <w:szCs w:val="16"/>
                <w:lang w:val="sr-Latn-ME"/>
              </w:rPr>
              <w:t xml:space="preserve"> ( 328)</w:t>
            </w:r>
          </w:p>
        </w:tc>
        <w:tc>
          <w:tcPr>
            <w:tcW w:w="3336" w:type="pct"/>
          </w:tcPr>
          <w:p w14:paraId="7B70C8F4" w14:textId="77777777" w:rsidR="005128AE" w:rsidRPr="005128AE" w:rsidRDefault="005128AE" w:rsidP="00FC410A">
            <w:pPr>
              <w:rPr>
                <w:sz w:val="16"/>
                <w:szCs w:val="16"/>
                <w:lang w:val="sr-Latn-ME"/>
              </w:rPr>
            </w:pPr>
            <w:r w:rsidRPr="005128AE">
              <w:rPr>
                <w:sz w:val="16"/>
                <w:szCs w:val="16"/>
                <w:lang w:val="sr-Latn-ME"/>
              </w:rPr>
              <w:t xml:space="preserve">Naglo povećanje broja stranih rezidenata – oko 98.000 ili više od 15% populacije – stvorilo je značajan pritisak na administrativne sisteme nadležne za izdavanje dozvola boravka, nadzor tržišta rada i javne usluge. Postojeći upravljački okviri nijesu u potpunosti prilagođeni takvim demografskim promjenama, što dovodi do zastoja u obradi zahtjeva, ograničenog nadzora usklađenosti i rizika od neformalnog zapošljavanja. Iako su nedavne izmjene Zakona o strancima pooštrile uslove, institucionalni kapaciteti za sprovođenje i </w:t>
            </w:r>
            <w:proofErr w:type="spellStart"/>
            <w:r w:rsidRPr="005128AE">
              <w:rPr>
                <w:sz w:val="16"/>
                <w:szCs w:val="16"/>
                <w:lang w:val="sr-Latn-ME"/>
              </w:rPr>
              <w:t>međuinstitucionalnu</w:t>
            </w:r>
            <w:proofErr w:type="spellEnd"/>
            <w:r w:rsidRPr="005128AE">
              <w:rPr>
                <w:sz w:val="16"/>
                <w:szCs w:val="16"/>
                <w:lang w:val="sr-Latn-ME"/>
              </w:rPr>
              <w:t xml:space="preserve"> koordinaciju i dalje su slabi. Politike integracije su nedovoljno razvijene, što ograničava </w:t>
            </w:r>
            <w:proofErr w:type="spellStart"/>
            <w:r w:rsidRPr="005128AE">
              <w:rPr>
                <w:sz w:val="16"/>
                <w:szCs w:val="16"/>
                <w:lang w:val="sr-Latn-ME"/>
              </w:rPr>
              <w:t>socio</w:t>
            </w:r>
            <w:proofErr w:type="spellEnd"/>
            <w:r w:rsidRPr="005128AE">
              <w:rPr>
                <w:sz w:val="16"/>
                <w:szCs w:val="16"/>
                <w:lang w:val="sr-Latn-ME"/>
              </w:rPr>
              <w:t xml:space="preserve">-ekonomski doprinos migranata. Razmjena podataka između institucija (MUP, Ministarstvo finansija, Poreska uprava, policija) se </w:t>
            </w:r>
            <w:proofErr w:type="spellStart"/>
            <w:r w:rsidRPr="005128AE">
              <w:rPr>
                <w:sz w:val="16"/>
                <w:szCs w:val="16"/>
                <w:lang w:val="sr-Latn-ME"/>
              </w:rPr>
              <w:t>unapređuje</w:t>
            </w:r>
            <w:proofErr w:type="spellEnd"/>
            <w:r w:rsidRPr="005128AE">
              <w:rPr>
                <w:sz w:val="16"/>
                <w:szCs w:val="16"/>
                <w:lang w:val="sr-Latn-ME"/>
              </w:rPr>
              <w:t>, ali još nije u potpunosti funkcionalna.</w:t>
            </w:r>
          </w:p>
        </w:tc>
      </w:tr>
      <w:tr w:rsidR="005128AE" w:rsidRPr="00425562" w14:paraId="3A31AE92" w14:textId="77777777" w:rsidTr="005128AE">
        <w:tc>
          <w:tcPr>
            <w:tcW w:w="610" w:type="pct"/>
          </w:tcPr>
          <w:p w14:paraId="3BF2089A" w14:textId="77777777" w:rsidR="005128AE" w:rsidRPr="005128AE" w:rsidRDefault="005128AE" w:rsidP="00FC410A">
            <w:pPr>
              <w:jc w:val="center"/>
              <w:rPr>
                <w:rFonts w:eastAsia="Times New Roman" w:cstheme="minorHAnsi"/>
                <w:b/>
                <w:bCs/>
                <w:sz w:val="16"/>
                <w:szCs w:val="16"/>
                <w:lang w:val="sr-Latn-ME"/>
              </w:rPr>
            </w:pPr>
            <w:r w:rsidRPr="005128AE">
              <w:rPr>
                <w:rFonts w:eastAsia="Times New Roman" w:cstheme="minorHAnsi"/>
                <w:b/>
                <w:bCs/>
                <w:sz w:val="16"/>
                <w:szCs w:val="16"/>
                <w:lang w:val="sr-Latn-ME"/>
              </w:rPr>
              <w:t>DC5</w:t>
            </w:r>
          </w:p>
        </w:tc>
        <w:tc>
          <w:tcPr>
            <w:tcW w:w="1054" w:type="pct"/>
          </w:tcPr>
          <w:p w14:paraId="4F40D3E9" w14:textId="77777777" w:rsidR="005128AE" w:rsidRPr="005128AE" w:rsidRDefault="005128AE" w:rsidP="00FC410A">
            <w:pPr>
              <w:rPr>
                <w:sz w:val="16"/>
                <w:szCs w:val="16"/>
                <w:lang w:val="sr-Latn-ME"/>
              </w:rPr>
            </w:pPr>
            <w:r w:rsidRPr="005128AE">
              <w:rPr>
                <w:sz w:val="16"/>
                <w:szCs w:val="16"/>
                <w:lang w:val="sr-Latn-ME"/>
              </w:rPr>
              <w:t xml:space="preserve">Slabi kapaciteti za </w:t>
            </w:r>
            <w:proofErr w:type="spellStart"/>
            <w:r w:rsidRPr="005128AE">
              <w:rPr>
                <w:sz w:val="16"/>
                <w:szCs w:val="16"/>
                <w:lang w:val="sr-Latn-ME"/>
              </w:rPr>
              <w:t>readmisiju</w:t>
            </w:r>
            <w:proofErr w:type="spellEnd"/>
            <w:r w:rsidRPr="005128AE">
              <w:rPr>
                <w:sz w:val="16"/>
                <w:szCs w:val="16"/>
                <w:lang w:val="sr-Latn-ME"/>
              </w:rPr>
              <w:t xml:space="preserve"> i povratak</w:t>
            </w:r>
          </w:p>
          <w:p w14:paraId="050E74EE" w14:textId="77777777" w:rsidR="005128AE" w:rsidRPr="005128AE" w:rsidRDefault="005128AE" w:rsidP="00FC410A">
            <w:pPr>
              <w:rPr>
                <w:sz w:val="16"/>
                <w:szCs w:val="16"/>
                <w:lang w:val="sr-Latn-ME"/>
              </w:rPr>
            </w:pPr>
          </w:p>
          <w:p w14:paraId="16A8756D" w14:textId="77777777" w:rsidR="005128AE" w:rsidRPr="005128AE" w:rsidRDefault="005128AE" w:rsidP="00FC410A">
            <w:pPr>
              <w:rPr>
                <w:sz w:val="16"/>
                <w:szCs w:val="16"/>
                <w:lang w:val="sr-Latn-ME"/>
              </w:rPr>
            </w:pPr>
            <w:r w:rsidRPr="005128AE">
              <w:rPr>
                <w:sz w:val="16"/>
                <w:szCs w:val="16"/>
                <w:lang w:val="sr-Latn-ME"/>
              </w:rPr>
              <w:t xml:space="preserve"> ( 329)</w:t>
            </w:r>
          </w:p>
        </w:tc>
        <w:tc>
          <w:tcPr>
            <w:tcW w:w="3336" w:type="pct"/>
          </w:tcPr>
          <w:p w14:paraId="57AD9B75" w14:textId="77777777" w:rsidR="005128AE" w:rsidRPr="005128AE" w:rsidRDefault="005128AE" w:rsidP="00FC410A">
            <w:pPr>
              <w:rPr>
                <w:sz w:val="16"/>
                <w:szCs w:val="16"/>
                <w:lang w:val="sr-Latn-ME"/>
              </w:rPr>
            </w:pPr>
            <w:r w:rsidRPr="005128AE">
              <w:rPr>
                <w:sz w:val="16"/>
                <w:szCs w:val="16"/>
                <w:lang w:val="sr-Latn-ME"/>
              </w:rPr>
              <w:t xml:space="preserve">Crna Gora je unaprijedila diplomatsku saradnju sa ključnim zemljama porijekla, ali operativni kapaciteti za sprovođenje povratka i </w:t>
            </w:r>
            <w:proofErr w:type="spellStart"/>
            <w:r w:rsidRPr="005128AE">
              <w:rPr>
                <w:sz w:val="16"/>
                <w:szCs w:val="16"/>
                <w:lang w:val="sr-Latn-ME"/>
              </w:rPr>
              <w:t>readmisije</w:t>
            </w:r>
            <w:proofErr w:type="spellEnd"/>
            <w:r w:rsidRPr="005128AE">
              <w:rPr>
                <w:sz w:val="16"/>
                <w:szCs w:val="16"/>
                <w:lang w:val="sr-Latn-ME"/>
              </w:rPr>
              <w:t xml:space="preserve"> ostaju ograničeni. Uprkos napretku u komunikaciji sa zemljama kao što su Bangladeš, Pakistan i Nepal, praktična implementacija povrataka i </w:t>
            </w:r>
            <w:proofErr w:type="spellStart"/>
            <w:r w:rsidRPr="005128AE">
              <w:rPr>
                <w:sz w:val="16"/>
                <w:szCs w:val="16"/>
                <w:lang w:val="sr-Latn-ME"/>
              </w:rPr>
              <w:t>readmisije</w:t>
            </w:r>
            <w:proofErr w:type="spellEnd"/>
            <w:r w:rsidRPr="005128AE">
              <w:rPr>
                <w:sz w:val="16"/>
                <w:szCs w:val="16"/>
                <w:lang w:val="sr-Latn-ME"/>
              </w:rPr>
              <w:t xml:space="preserve"> je i dalje slaba. Kapaciteti za prinudne povratke su ograničeni, a saradnju u borbi protiv krijumčarenja migranata potrebno je dodatno ojačati (poveznica sa PA15). Izazovi uključuju nedovoljnu infrastrukturu, manjak specijalizovanih resursa i slabu koordinaciju između nadležnih institucija. Mehanizmi reintegracije povratnika su nedovoljno razvijeni, što smanjuje održivost povratka.</w:t>
            </w:r>
          </w:p>
        </w:tc>
      </w:tr>
      <w:tr w:rsidR="005128AE" w:rsidRPr="00425562" w14:paraId="337D1420" w14:textId="77777777" w:rsidTr="005128AE">
        <w:tc>
          <w:tcPr>
            <w:tcW w:w="610" w:type="pct"/>
          </w:tcPr>
          <w:p w14:paraId="1F02F36E" w14:textId="77777777" w:rsidR="005128AE" w:rsidRPr="005128AE" w:rsidRDefault="005128AE" w:rsidP="00FC410A">
            <w:pPr>
              <w:jc w:val="center"/>
              <w:rPr>
                <w:b/>
                <w:sz w:val="16"/>
                <w:szCs w:val="16"/>
                <w:lang w:val="sr-Latn-ME"/>
              </w:rPr>
            </w:pPr>
            <w:r w:rsidRPr="005128AE">
              <w:rPr>
                <w:rFonts w:eastAsia="Times New Roman" w:cstheme="minorHAnsi"/>
                <w:b/>
                <w:bCs/>
                <w:sz w:val="16"/>
                <w:szCs w:val="16"/>
                <w:lang w:val="sr-Latn-ME"/>
              </w:rPr>
              <w:t>DC6</w:t>
            </w:r>
          </w:p>
        </w:tc>
        <w:tc>
          <w:tcPr>
            <w:tcW w:w="1054" w:type="pct"/>
          </w:tcPr>
          <w:p w14:paraId="4F417503" w14:textId="77777777" w:rsidR="005128AE" w:rsidRPr="005128AE" w:rsidRDefault="005128AE" w:rsidP="00FC410A">
            <w:pPr>
              <w:rPr>
                <w:sz w:val="16"/>
                <w:szCs w:val="16"/>
                <w:lang w:val="sr-Latn-ME"/>
              </w:rPr>
            </w:pPr>
            <w:r w:rsidRPr="005128AE">
              <w:rPr>
                <w:sz w:val="16"/>
                <w:szCs w:val="16"/>
                <w:lang w:val="sr-Latn-ME"/>
              </w:rPr>
              <w:t xml:space="preserve">Fragmentirano upravljanje migracionim podacima i </w:t>
            </w:r>
            <w:proofErr w:type="spellStart"/>
            <w:r w:rsidRPr="005128AE">
              <w:rPr>
                <w:sz w:val="16"/>
                <w:szCs w:val="16"/>
                <w:lang w:val="sr-Latn-ME"/>
              </w:rPr>
              <w:t>međuinstitucionalna</w:t>
            </w:r>
            <w:proofErr w:type="spellEnd"/>
            <w:r w:rsidRPr="005128AE">
              <w:rPr>
                <w:sz w:val="16"/>
                <w:szCs w:val="16"/>
                <w:lang w:val="sr-Latn-ME"/>
              </w:rPr>
              <w:t xml:space="preserve"> koordinacija </w:t>
            </w:r>
          </w:p>
          <w:p w14:paraId="1D32DAD2" w14:textId="77777777" w:rsidR="005128AE" w:rsidRPr="005128AE" w:rsidRDefault="005128AE" w:rsidP="00FC410A">
            <w:pPr>
              <w:rPr>
                <w:sz w:val="16"/>
                <w:szCs w:val="16"/>
                <w:lang w:val="sr-Latn-ME"/>
              </w:rPr>
            </w:pPr>
          </w:p>
          <w:p w14:paraId="43015EE4" w14:textId="77777777" w:rsidR="005128AE" w:rsidRPr="005128AE" w:rsidRDefault="005128AE" w:rsidP="00FC410A">
            <w:pPr>
              <w:rPr>
                <w:sz w:val="16"/>
                <w:szCs w:val="16"/>
                <w:lang w:val="sr-Latn-ME"/>
              </w:rPr>
            </w:pPr>
            <w:r w:rsidRPr="005128AE">
              <w:rPr>
                <w:sz w:val="16"/>
                <w:szCs w:val="16"/>
                <w:lang w:val="sr-Latn-ME"/>
              </w:rPr>
              <w:t>(333)</w:t>
            </w:r>
          </w:p>
        </w:tc>
        <w:tc>
          <w:tcPr>
            <w:tcW w:w="3336" w:type="pct"/>
          </w:tcPr>
          <w:p w14:paraId="26A217F0" w14:textId="77777777" w:rsidR="005128AE" w:rsidRPr="005128AE" w:rsidRDefault="005128AE" w:rsidP="00FC410A">
            <w:pPr>
              <w:rPr>
                <w:sz w:val="16"/>
                <w:szCs w:val="16"/>
                <w:lang w:val="sr-Latn-ME"/>
              </w:rPr>
            </w:pPr>
            <w:r w:rsidRPr="005128AE">
              <w:rPr>
                <w:sz w:val="16"/>
                <w:szCs w:val="16"/>
                <w:lang w:val="sr-Latn-ME"/>
              </w:rPr>
              <w:t>Podaci o migracijama u Crnoj Gori raspoređeni su između više institucija, uključujući graničnu policiju, organe za azil, službe zapošljavanja i statističke institucije, bez jedinstvenog sistema za prikupljanje, razmjenu i analizu podataka. Ova fragmentacija ograničava donošenje politika zasnovanih na dokazima, praćenje migracionih trendova i ispunjavanje zahtjeva EU za izvještavanje. Nedostatak integrisanih baza podataka dodatno otežava operativnu koordinaciju i procjenu rizika. Razvoj sveobuhvatnog sistema upravljanja migracionim podacima, usklađenog sa EU standardima interoperabilnosti, ključan je za efikasno upravljanje i planiranje politika. IOM MGI profil iz 2022. godine identifikuje ovo kao ključni upravljački nedostatak.</w:t>
            </w:r>
          </w:p>
        </w:tc>
      </w:tr>
    </w:tbl>
    <w:p w14:paraId="6079E378" w14:textId="77777777" w:rsidR="005128AE" w:rsidRPr="001B392E" w:rsidRDefault="005128AE" w:rsidP="005128AE">
      <w:pPr>
        <w:spacing w:line="259" w:lineRule="auto"/>
        <w:rPr>
          <w:b/>
          <w:lang w:val="sr-Latn-ME"/>
        </w:rPr>
      </w:pPr>
    </w:p>
    <w:p w14:paraId="44AE023B" w14:textId="77777777" w:rsidR="005128AE" w:rsidRPr="00171B3B" w:rsidRDefault="005128AE" w:rsidP="005128AE">
      <w:pPr>
        <w:pStyle w:val="Naslov1"/>
      </w:pPr>
      <w:r>
        <w:rPr>
          <w:rFonts w:eastAsia="Times New Roman"/>
          <w:lang w:val="sr-Latn-ME"/>
        </w:rPr>
        <w:t>Reference</w:t>
      </w:r>
      <w:r w:rsidRPr="00171B3B">
        <w:rPr>
          <w:rFonts w:eastAsia="Times New Roman"/>
          <w:lang w:val="sr-Latn-ME"/>
        </w:rPr>
        <w:t>:</w:t>
      </w:r>
    </w:p>
    <w:p w14:paraId="62986893" w14:textId="77777777" w:rsidR="005128AE" w:rsidRPr="00E41D24" w:rsidRDefault="005128AE" w:rsidP="005128AE">
      <w:pPr>
        <w:pStyle w:val="Odlomakpopisa"/>
        <w:numPr>
          <w:ilvl w:val="0"/>
          <w:numId w:val="1"/>
        </w:numPr>
        <w:spacing w:after="0" w:line="240" w:lineRule="auto"/>
        <w:rPr>
          <w:rFonts w:eastAsia="Times New Roman" w:cstheme="minorHAnsi"/>
          <w:bCs/>
          <w:sz w:val="20"/>
          <w:szCs w:val="20"/>
          <w:lang w:val="sr-Latn-ME"/>
        </w:rPr>
      </w:pPr>
      <w:r w:rsidRPr="00E41D24">
        <w:rPr>
          <w:rFonts w:eastAsia="Times New Roman" w:cstheme="minorHAnsi"/>
          <w:bCs/>
          <w:sz w:val="20"/>
          <w:szCs w:val="20"/>
          <w:lang w:val="sr-Latn-ME"/>
        </w:rPr>
        <w:t>CEPOL. (</w:t>
      </w:r>
      <w:proofErr w:type="spellStart"/>
      <w:r w:rsidRPr="00E41D24">
        <w:rPr>
          <w:rFonts w:eastAsia="Times New Roman" w:cstheme="minorHAnsi"/>
          <w:bCs/>
          <w:sz w:val="20"/>
          <w:szCs w:val="20"/>
          <w:lang w:val="sr-Latn-ME"/>
        </w:rPr>
        <w:t>n.d</w:t>
      </w:r>
      <w:proofErr w:type="spellEnd"/>
      <w:r w:rsidRPr="00E41D24">
        <w:rPr>
          <w:rFonts w:eastAsia="Times New Roman" w:cstheme="minorHAnsi"/>
          <w:bCs/>
          <w:sz w:val="20"/>
          <w:szCs w:val="20"/>
          <w:lang w:val="sr-Latn-ME"/>
        </w:rPr>
        <w:t>.). CEPOL jača saradnju sa Crnom Gorom. https://www.cepol.europa.eu/newsroom/news/cepol-strengthens-its-cooperation-montenegro</w:t>
      </w:r>
    </w:p>
    <w:p w14:paraId="0BF0B2C3" w14:textId="77777777" w:rsidR="005128AE" w:rsidRPr="00E41D24" w:rsidRDefault="005128AE" w:rsidP="005128AE">
      <w:pPr>
        <w:pStyle w:val="Odlomakpopisa"/>
        <w:numPr>
          <w:ilvl w:val="0"/>
          <w:numId w:val="1"/>
        </w:numPr>
        <w:spacing w:after="0" w:line="240" w:lineRule="auto"/>
        <w:rPr>
          <w:rFonts w:eastAsia="Times New Roman" w:cstheme="minorHAnsi"/>
          <w:bCs/>
          <w:sz w:val="20"/>
          <w:szCs w:val="20"/>
          <w:lang w:val="sr-Latn-ME"/>
        </w:rPr>
      </w:pPr>
      <w:proofErr w:type="spellStart"/>
      <w:r w:rsidRPr="00E41D24">
        <w:rPr>
          <w:rFonts w:eastAsia="Times New Roman" w:cstheme="minorHAnsi"/>
          <w:bCs/>
          <w:sz w:val="20"/>
          <w:szCs w:val="20"/>
          <w:lang w:val="sr-Latn-ME"/>
        </w:rPr>
        <w:t>Eurojust</w:t>
      </w:r>
      <w:proofErr w:type="spellEnd"/>
      <w:r w:rsidRPr="00E41D24">
        <w:rPr>
          <w:rFonts w:eastAsia="Times New Roman" w:cstheme="minorHAnsi"/>
          <w:bCs/>
          <w:sz w:val="20"/>
          <w:szCs w:val="20"/>
          <w:lang w:val="sr-Latn-ME"/>
        </w:rPr>
        <w:t>. (</w:t>
      </w:r>
      <w:proofErr w:type="spellStart"/>
      <w:r w:rsidRPr="00E41D24">
        <w:rPr>
          <w:rFonts w:eastAsia="Times New Roman" w:cstheme="minorHAnsi"/>
          <w:bCs/>
          <w:sz w:val="20"/>
          <w:szCs w:val="20"/>
          <w:lang w:val="sr-Latn-ME"/>
        </w:rPr>
        <w:t>n.d</w:t>
      </w:r>
      <w:proofErr w:type="spellEnd"/>
      <w:r w:rsidRPr="00E41D24">
        <w:rPr>
          <w:rFonts w:eastAsia="Times New Roman" w:cstheme="minorHAnsi"/>
          <w:bCs/>
          <w:sz w:val="20"/>
          <w:szCs w:val="20"/>
          <w:lang w:val="sr-Latn-ME"/>
        </w:rPr>
        <w:t xml:space="preserve">.). Sporazum o saradnji između </w:t>
      </w:r>
      <w:proofErr w:type="spellStart"/>
      <w:r w:rsidRPr="00E41D24">
        <w:rPr>
          <w:rFonts w:eastAsia="Times New Roman" w:cstheme="minorHAnsi"/>
          <w:bCs/>
          <w:sz w:val="20"/>
          <w:szCs w:val="20"/>
          <w:lang w:val="sr-Latn-ME"/>
        </w:rPr>
        <w:t>Eurojust</w:t>
      </w:r>
      <w:proofErr w:type="spellEnd"/>
      <w:r w:rsidRPr="00E41D24">
        <w:rPr>
          <w:rFonts w:eastAsia="Times New Roman" w:cstheme="minorHAnsi"/>
          <w:bCs/>
          <w:sz w:val="20"/>
          <w:szCs w:val="20"/>
          <w:lang w:val="sr-Latn-ME"/>
        </w:rPr>
        <w:t>-a i Crne Gore. https://www.eurojust.europa.eu/document/agreement-cooperation-between-eurojust-and-montenegro</w:t>
      </w:r>
    </w:p>
    <w:p w14:paraId="2C0690C6" w14:textId="77777777" w:rsidR="005128AE" w:rsidRPr="00E41D24" w:rsidRDefault="005128AE" w:rsidP="005128AE">
      <w:pPr>
        <w:pStyle w:val="Odlomakpopisa"/>
        <w:numPr>
          <w:ilvl w:val="0"/>
          <w:numId w:val="1"/>
        </w:numPr>
        <w:spacing w:after="0" w:line="240" w:lineRule="auto"/>
        <w:rPr>
          <w:rFonts w:eastAsia="Times New Roman" w:cstheme="minorHAnsi"/>
          <w:bCs/>
          <w:sz w:val="20"/>
          <w:szCs w:val="20"/>
          <w:lang w:val="sr-Latn-ME"/>
        </w:rPr>
      </w:pPr>
      <w:proofErr w:type="spellStart"/>
      <w:r w:rsidRPr="00E41D24">
        <w:rPr>
          <w:rFonts w:eastAsia="Times New Roman" w:cstheme="minorHAnsi"/>
          <w:bCs/>
          <w:sz w:val="20"/>
          <w:szCs w:val="20"/>
          <w:lang w:val="sr-Latn-ME"/>
        </w:rPr>
        <w:t>European</w:t>
      </w:r>
      <w:proofErr w:type="spellEnd"/>
      <w:r w:rsidRPr="00E41D24">
        <w:rPr>
          <w:rFonts w:eastAsia="Times New Roman" w:cstheme="minorHAnsi"/>
          <w:bCs/>
          <w:sz w:val="20"/>
          <w:szCs w:val="20"/>
          <w:lang w:val="sr-Latn-ME"/>
        </w:rPr>
        <w:t xml:space="preserve"> </w:t>
      </w:r>
      <w:proofErr w:type="spellStart"/>
      <w:r w:rsidRPr="00E41D24">
        <w:rPr>
          <w:rFonts w:eastAsia="Times New Roman" w:cstheme="minorHAnsi"/>
          <w:bCs/>
          <w:sz w:val="20"/>
          <w:szCs w:val="20"/>
          <w:lang w:val="sr-Latn-ME"/>
        </w:rPr>
        <w:t>Commission</w:t>
      </w:r>
      <w:proofErr w:type="spellEnd"/>
      <w:r w:rsidRPr="00E41D24">
        <w:rPr>
          <w:rFonts w:eastAsia="Times New Roman" w:cstheme="minorHAnsi"/>
          <w:bCs/>
          <w:sz w:val="20"/>
          <w:szCs w:val="20"/>
          <w:lang w:val="sr-Latn-ME"/>
        </w:rPr>
        <w:t xml:space="preserve">. (2023). Izvršna odluka Komisije C(2023) 4332 </w:t>
      </w:r>
      <w:proofErr w:type="spellStart"/>
      <w:r w:rsidRPr="00E41D24">
        <w:rPr>
          <w:rFonts w:eastAsia="Times New Roman" w:cstheme="minorHAnsi"/>
          <w:bCs/>
          <w:sz w:val="20"/>
          <w:szCs w:val="20"/>
          <w:lang w:val="sr-Latn-ME"/>
        </w:rPr>
        <w:t>final</w:t>
      </w:r>
      <w:proofErr w:type="spellEnd"/>
      <w:r w:rsidRPr="00E41D24">
        <w:rPr>
          <w:rFonts w:eastAsia="Times New Roman" w:cstheme="minorHAnsi"/>
          <w:bCs/>
          <w:sz w:val="20"/>
          <w:szCs w:val="20"/>
          <w:lang w:val="sr-Latn-ME"/>
        </w:rPr>
        <w:t xml:space="preserve"> o IPA akcionom dokumentu za integrisano upravljanje granicom u Crnoj Gori. https://enlargement.ec.europa.eu/document/download/7d879228-04bb-4eac-9089-acac59af551a_en</w:t>
      </w:r>
    </w:p>
    <w:p w14:paraId="12ECBCAC" w14:textId="77777777" w:rsidR="005128AE" w:rsidRPr="00E41D24" w:rsidRDefault="005128AE" w:rsidP="005128AE">
      <w:pPr>
        <w:pStyle w:val="Odlomakpopisa"/>
        <w:numPr>
          <w:ilvl w:val="0"/>
          <w:numId w:val="1"/>
        </w:numPr>
        <w:spacing w:after="0" w:line="240" w:lineRule="auto"/>
        <w:rPr>
          <w:rFonts w:eastAsia="Times New Roman" w:cstheme="minorHAnsi"/>
          <w:bCs/>
          <w:sz w:val="20"/>
          <w:szCs w:val="20"/>
          <w:lang w:val="sr-Latn-ME"/>
        </w:rPr>
      </w:pPr>
      <w:proofErr w:type="spellStart"/>
      <w:r w:rsidRPr="00E41D24">
        <w:rPr>
          <w:rFonts w:eastAsia="Times New Roman" w:cstheme="minorHAnsi"/>
          <w:bCs/>
          <w:sz w:val="20"/>
          <w:szCs w:val="20"/>
          <w:lang w:val="sr-Latn-ME"/>
        </w:rPr>
        <w:t>European</w:t>
      </w:r>
      <w:proofErr w:type="spellEnd"/>
      <w:r w:rsidRPr="00E41D24">
        <w:rPr>
          <w:rFonts w:eastAsia="Times New Roman" w:cstheme="minorHAnsi"/>
          <w:bCs/>
          <w:sz w:val="20"/>
          <w:szCs w:val="20"/>
          <w:lang w:val="sr-Latn-ME"/>
        </w:rPr>
        <w:t xml:space="preserve"> </w:t>
      </w:r>
      <w:proofErr w:type="spellStart"/>
      <w:r w:rsidRPr="00E41D24">
        <w:rPr>
          <w:rFonts w:eastAsia="Times New Roman" w:cstheme="minorHAnsi"/>
          <w:bCs/>
          <w:sz w:val="20"/>
          <w:szCs w:val="20"/>
          <w:lang w:val="sr-Latn-ME"/>
        </w:rPr>
        <w:t>Commission</w:t>
      </w:r>
      <w:proofErr w:type="spellEnd"/>
      <w:r w:rsidRPr="00E41D24">
        <w:rPr>
          <w:rFonts w:eastAsia="Times New Roman" w:cstheme="minorHAnsi"/>
          <w:bCs/>
          <w:sz w:val="20"/>
          <w:szCs w:val="20"/>
          <w:lang w:val="sr-Latn-ME"/>
        </w:rPr>
        <w:t xml:space="preserve">. (2023). Saopštenje o višegodišnjoj strateškoj politici za evropsko integrisano upravljanje granicom (COM(2023) 146 </w:t>
      </w:r>
      <w:proofErr w:type="spellStart"/>
      <w:r w:rsidRPr="00E41D24">
        <w:rPr>
          <w:rFonts w:eastAsia="Times New Roman" w:cstheme="minorHAnsi"/>
          <w:bCs/>
          <w:sz w:val="20"/>
          <w:szCs w:val="20"/>
          <w:lang w:val="sr-Latn-ME"/>
        </w:rPr>
        <w:t>final</w:t>
      </w:r>
      <w:proofErr w:type="spellEnd"/>
      <w:r w:rsidRPr="00E41D24">
        <w:rPr>
          <w:rFonts w:eastAsia="Times New Roman" w:cstheme="minorHAnsi"/>
          <w:bCs/>
          <w:sz w:val="20"/>
          <w:szCs w:val="20"/>
          <w:lang w:val="sr-Latn-ME"/>
        </w:rPr>
        <w:t>). https://eur-lex.europa.eu/legal-content/EN/ALL/?uri=CELEX:52023DC0146</w:t>
      </w:r>
    </w:p>
    <w:p w14:paraId="1F0EC391" w14:textId="77777777" w:rsidR="005128AE" w:rsidRPr="00E41D24" w:rsidRDefault="005128AE" w:rsidP="005128AE">
      <w:pPr>
        <w:pStyle w:val="Odlomakpopisa"/>
        <w:numPr>
          <w:ilvl w:val="0"/>
          <w:numId w:val="1"/>
        </w:numPr>
        <w:spacing w:after="0" w:line="240" w:lineRule="auto"/>
        <w:rPr>
          <w:rFonts w:eastAsia="Times New Roman" w:cstheme="minorHAnsi"/>
          <w:bCs/>
          <w:sz w:val="20"/>
          <w:szCs w:val="20"/>
          <w:lang w:val="sr-Latn-ME"/>
        </w:rPr>
      </w:pPr>
      <w:proofErr w:type="spellStart"/>
      <w:r w:rsidRPr="00E41D24">
        <w:rPr>
          <w:rFonts w:eastAsia="Times New Roman" w:cstheme="minorHAnsi"/>
          <w:bCs/>
          <w:sz w:val="20"/>
          <w:szCs w:val="20"/>
          <w:lang w:val="sr-Latn-ME"/>
        </w:rPr>
        <w:t>European</w:t>
      </w:r>
      <w:proofErr w:type="spellEnd"/>
      <w:r w:rsidRPr="00E41D24">
        <w:rPr>
          <w:rFonts w:eastAsia="Times New Roman" w:cstheme="minorHAnsi"/>
          <w:bCs/>
          <w:sz w:val="20"/>
          <w:szCs w:val="20"/>
          <w:lang w:val="sr-Latn-ME"/>
        </w:rPr>
        <w:t xml:space="preserve"> </w:t>
      </w:r>
      <w:proofErr w:type="spellStart"/>
      <w:r w:rsidRPr="00E41D24">
        <w:rPr>
          <w:rFonts w:eastAsia="Times New Roman" w:cstheme="minorHAnsi"/>
          <w:bCs/>
          <w:sz w:val="20"/>
          <w:szCs w:val="20"/>
          <w:lang w:val="sr-Latn-ME"/>
        </w:rPr>
        <w:t>Commission</w:t>
      </w:r>
      <w:proofErr w:type="spellEnd"/>
      <w:r w:rsidRPr="00E41D24">
        <w:rPr>
          <w:rFonts w:eastAsia="Times New Roman" w:cstheme="minorHAnsi"/>
          <w:bCs/>
          <w:sz w:val="20"/>
          <w:szCs w:val="20"/>
          <w:lang w:val="sr-Latn-ME"/>
        </w:rPr>
        <w:t xml:space="preserve">. (2025). Izvještaj o Crnoj Gori za 2025. godinu (SWD(2025) 429 </w:t>
      </w:r>
      <w:proofErr w:type="spellStart"/>
      <w:r w:rsidRPr="00E41D24">
        <w:rPr>
          <w:rFonts w:eastAsia="Times New Roman" w:cstheme="minorHAnsi"/>
          <w:bCs/>
          <w:sz w:val="20"/>
          <w:szCs w:val="20"/>
          <w:lang w:val="sr-Latn-ME"/>
        </w:rPr>
        <w:t>final</w:t>
      </w:r>
      <w:proofErr w:type="spellEnd"/>
      <w:r w:rsidRPr="00E41D24">
        <w:rPr>
          <w:rFonts w:eastAsia="Times New Roman" w:cstheme="minorHAnsi"/>
          <w:bCs/>
          <w:sz w:val="20"/>
          <w:szCs w:val="20"/>
          <w:lang w:val="sr-Latn-ME"/>
        </w:rPr>
        <w:t>). https://enlargement.ec.europa.eu/montenegro-report-2025_en</w:t>
      </w:r>
    </w:p>
    <w:p w14:paraId="1471442E" w14:textId="77777777" w:rsidR="005128AE" w:rsidRPr="00E41D24" w:rsidRDefault="005128AE" w:rsidP="005128AE">
      <w:pPr>
        <w:pStyle w:val="Odlomakpopisa"/>
        <w:numPr>
          <w:ilvl w:val="0"/>
          <w:numId w:val="1"/>
        </w:numPr>
        <w:spacing w:after="0" w:line="240" w:lineRule="auto"/>
        <w:rPr>
          <w:rFonts w:eastAsia="Times New Roman" w:cstheme="minorHAnsi"/>
          <w:bCs/>
          <w:sz w:val="20"/>
          <w:szCs w:val="20"/>
          <w:lang w:val="sr-Latn-ME"/>
        </w:rPr>
      </w:pPr>
      <w:proofErr w:type="spellStart"/>
      <w:r w:rsidRPr="00E41D24">
        <w:rPr>
          <w:rFonts w:eastAsia="Times New Roman" w:cstheme="minorHAnsi"/>
          <w:bCs/>
          <w:sz w:val="20"/>
          <w:szCs w:val="20"/>
          <w:lang w:val="sr-Latn-ME"/>
        </w:rPr>
        <w:t>European</w:t>
      </w:r>
      <w:proofErr w:type="spellEnd"/>
      <w:r w:rsidRPr="00E41D24">
        <w:rPr>
          <w:rFonts w:eastAsia="Times New Roman" w:cstheme="minorHAnsi"/>
          <w:bCs/>
          <w:sz w:val="20"/>
          <w:szCs w:val="20"/>
          <w:lang w:val="sr-Latn-ME"/>
        </w:rPr>
        <w:t xml:space="preserve"> </w:t>
      </w:r>
      <w:proofErr w:type="spellStart"/>
      <w:r w:rsidRPr="00E41D24">
        <w:rPr>
          <w:rFonts w:eastAsia="Times New Roman" w:cstheme="minorHAnsi"/>
          <w:bCs/>
          <w:sz w:val="20"/>
          <w:szCs w:val="20"/>
          <w:lang w:val="sr-Latn-ME"/>
        </w:rPr>
        <w:t>Commission</w:t>
      </w:r>
      <w:proofErr w:type="spellEnd"/>
      <w:r w:rsidRPr="00E41D24">
        <w:rPr>
          <w:rFonts w:eastAsia="Times New Roman" w:cstheme="minorHAnsi"/>
          <w:bCs/>
          <w:sz w:val="20"/>
          <w:szCs w:val="20"/>
          <w:lang w:val="sr-Latn-ME"/>
        </w:rPr>
        <w:t xml:space="preserve">. (2025). </w:t>
      </w:r>
      <w:proofErr w:type="spellStart"/>
      <w:r w:rsidRPr="00E41D24">
        <w:rPr>
          <w:rFonts w:eastAsia="Times New Roman" w:cstheme="minorHAnsi"/>
          <w:bCs/>
          <w:sz w:val="20"/>
          <w:szCs w:val="20"/>
          <w:lang w:val="sr-Latn-ME"/>
        </w:rPr>
        <w:t>Predlog</w:t>
      </w:r>
      <w:proofErr w:type="spellEnd"/>
      <w:r w:rsidRPr="00E41D24">
        <w:rPr>
          <w:rFonts w:eastAsia="Times New Roman" w:cstheme="minorHAnsi"/>
          <w:bCs/>
          <w:sz w:val="20"/>
          <w:szCs w:val="20"/>
          <w:lang w:val="sr-Latn-ME"/>
        </w:rPr>
        <w:t xml:space="preserve"> uredbe o uspostavljanju okvira za praćenje budžetske potrošnje i učinka (COM(2025) 545 </w:t>
      </w:r>
      <w:proofErr w:type="spellStart"/>
      <w:r w:rsidRPr="00E41D24">
        <w:rPr>
          <w:rFonts w:eastAsia="Times New Roman" w:cstheme="minorHAnsi"/>
          <w:bCs/>
          <w:sz w:val="20"/>
          <w:szCs w:val="20"/>
          <w:lang w:val="sr-Latn-ME"/>
        </w:rPr>
        <w:t>final</w:t>
      </w:r>
      <w:proofErr w:type="spellEnd"/>
      <w:r w:rsidRPr="00E41D24">
        <w:rPr>
          <w:rFonts w:eastAsia="Times New Roman" w:cstheme="minorHAnsi"/>
          <w:bCs/>
          <w:sz w:val="20"/>
          <w:szCs w:val="20"/>
          <w:lang w:val="sr-Latn-ME"/>
        </w:rPr>
        <w:t>, Aneks I). https://eur-lex.europa.eu/legal-content/EN/TXT/?uri=CELEX%3A52025PC0545</w:t>
      </w:r>
    </w:p>
    <w:p w14:paraId="58515C85" w14:textId="77777777" w:rsidR="005128AE" w:rsidRPr="00E41D24" w:rsidRDefault="005128AE" w:rsidP="005128AE">
      <w:pPr>
        <w:pStyle w:val="Odlomakpopisa"/>
        <w:numPr>
          <w:ilvl w:val="0"/>
          <w:numId w:val="1"/>
        </w:numPr>
        <w:spacing w:after="0" w:line="240" w:lineRule="auto"/>
        <w:rPr>
          <w:rFonts w:eastAsia="Times New Roman" w:cstheme="minorHAnsi"/>
          <w:bCs/>
          <w:sz w:val="20"/>
          <w:szCs w:val="20"/>
          <w:lang w:val="sr-Latn-ME"/>
        </w:rPr>
      </w:pPr>
      <w:proofErr w:type="spellStart"/>
      <w:r w:rsidRPr="00E41D24">
        <w:rPr>
          <w:rFonts w:eastAsia="Times New Roman" w:cstheme="minorHAnsi"/>
          <w:bCs/>
          <w:sz w:val="20"/>
          <w:szCs w:val="20"/>
          <w:lang w:val="sr-Latn-ME"/>
        </w:rPr>
        <w:t>European</w:t>
      </w:r>
      <w:proofErr w:type="spellEnd"/>
      <w:r w:rsidRPr="00E41D24">
        <w:rPr>
          <w:rFonts w:eastAsia="Times New Roman" w:cstheme="minorHAnsi"/>
          <w:bCs/>
          <w:sz w:val="20"/>
          <w:szCs w:val="20"/>
          <w:lang w:val="sr-Latn-ME"/>
        </w:rPr>
        <w:t xml:space="preserve"> </w:t>
      </w:r>
      <w:proofErr w:type="spellStart"/>
      <w:r w:rsidRPr="00E41D24">
        <w:rPr>
          <w:rFonts w:eastAsia="Times New Roman" w:cstheme="minorHAnsi"/>
          <w:bCs/>
          <w:sz w:val="20"/>
          <w:szCs w:val="20"/>
          <w:lang w:val="sr-Latn-ME"/>
        </w:rPr>
        <w:t>Commission</w:t>
      </w:r>
      <w:proofErr w:type="spellEnd"/>
      <w:r w:rsidRPr="00E41D24">
        <w:rPr>
          <w:rFonts w:eastAsia="Times New Roman" w:cstheme="minorHAnsi"/>
          <w:bCs/>
          <w:sz w:val="20"/>
          <w:szCs w:val="20"/>
          <w:lang w:val="sr-Latn-ME"/>
        </w:rPr>
        <w:t>. (</w:t>
      </w:r>
      <w:proofErr w:type="spellStart"/>
      <w:r w:rsidRPr="00E41D24">
        <w:rPr>
          <w:rFonts w:eastAsia="Times New Roman" w:cstheme="minorHAnsi"/>
          <w:bCs/>
          <w:sz w:val="20"/>
          <w:szCs w:val="20"/>
          <w:lang w:val="sr-Latn-ME"/>
        </w:rPr>
        <w:t>n.d</w:t>
      </w:r>
      <w:proofErr w:type="spellEnd"/>
      <w:r w:rsidRPr="00E41D24">
        <w:rPr>
          <w:rFonts w:eastAsia="Times New Roman" w:cstheme="minorHAnsi"/>
          <w:bCs/>
          <w:sz w:val="20"/>
          <w:szCs w:val="20"/>
          <w:lang w:val="sr-Latn-ME"/>
        </w:rPr>
        <w:t>.). Pakt EU o migracijama i azilu. https://home-affairs.ec.europa.eu/policies/migration-and-asylum/pact-migration-and-asylum_en</w:t>
      </w:r>
    </w:p>
    <w:p w14:paraId="445742EB" w14:textId="77777777" w:rsidR="005128AE" w:rsidRPr="00E41D24" w:rsidRDefault="005128AE" w:rsidP="005128AE">
      <w:pPr>
        <w:pStyle w:val="Odlomakpopisa"/>
        <w:numPr>
          <w:ilvl w:val="0"/>
          <w:numId w:val="1"/>
        </w:numPr>
        <w:spacing w:after="0" w:line="240" w:lineRule="auto"/>
        <w:rPr>
          <w:rFonts w:eastAsia="Times New Roman" w:cstheme="minorHAnsi"/>
          <w:bCs/>
          <w:sz w:val="20"/>
          <w:szCs w:val="20"/>
          <w:lang w:val="sr-Latn-ME"/>
        </w:rPr>
      </w:pPr>
      <w:proofErr w:type="spellStart"/>
      <w:r w:rsidRPr="00E41D24">
        <w:rPr>
          <w:rFonts w:eastAsia="Times New Roman" w:cstheme="minorHAnsi"/>
          <w:bCs/>
          <w:sz w:val="20"/>
          <w:szCs w:val="20"/>
          <w:lang w:val="sr-Latn-ME"/>
        </w:rPr>
        <w:t>European</w:t>
      </w:r>
      <w:proofErr w:type="spellEnd"/>
      <w:r w:rsidRPr="00E41D24">
        <w:rPr>
          <w:rFonts w:eastAsia="Times New Roman" w:cstheme="minorHAnsi"/>
          <w:bCs/>
          <w:sz w:val="20"/>
          <w:szCs w:val="20"/>
          <w:lang w:val="sr-Latn-ME"/>
        </w:rPr>
        <w:t xml:space="preserve"> </w:t>
      </w:r>
      <w:proofErr w:type="spellStart"/>
      <w:r w:rsidRPr="00E41D24">
        <w:rPr>
          <w:rFonts w:eastAsia="Times New Roman" w:cstheme="minorHAnsi"/>
          <w:bCs/>
          <w:sz w:val="20"/>
          <w:szCs w:val="20"/>
          <w:lang w:val="sr-Latn-ME"/>
        </w:rPr>
        <w:t>Commission</w:t>
      </w:r>
      <w:proofErr w:type="spellEnd"/>
      <w:r w:rsidRPr="00E41D24">
        <w:rPr>
          <w:rFonts w:eastAsia="Times New Roman" w:cstheme="minorHAnsi"/>
          <w:bCs/>
          <w:sz w:val="20"/>
          <w:szCs w:val="20"/>
          <w:lang w:val="sr-Latn-ME"/>
        </w:rPr>
        <w:t>. (</w:t>
      </w:r>
      <w:proofErr w:type="spellStart"/>
      <w:r w:rsidRPr="00E41D24">
        <w:rPr>
          <w:rFonts w:eastAsia="Times New Roman" w:cstheme="minorHAnsi"/>
          <w:bCs/>
          <w:sz w:val="20"/>
          <w:szCs w:val="20"/>
          <w:lang w:val="sr-Latn-ME"/>
        </w:rPr>
        <w:t>n.d</w:t>
      </w:r>
      <w:proofErr w:type="spellEnd"/>
      <w:r w:rsidRPr="00E41D24">
        <w:rPr>
          <w:rFonts w:eastAsia="Times New Roman" w:cstheme="minorHAnsi"/>
          <w:bCs/>
          <w:sz w:val="20"/>
          <w:szCs w:val="20"/>
          <w:lang w:val="sr-Latn-ME"/>
        </w:rPr>
        <w:t>.). Šengenski informacioni sistem (SIS). https://home-affairs.ec.europa.eu/policies/schengen/schengen-information-system_en</w:t>
      </w:r>
    </w:p>
    <w:p w14:paraId="62AEFAB9" w14:textId="77777777" w:rsidR="005128AE" w:rsidRPr="00E41D24" w:rsidRDefault="005128AE" w:rsidP="005128AE">
      <w:pPr>
        <w:pStyle w:val="Odlomakpopisa"/>
        <w:numPr>
          <w:ilvl w:val="0"/>
          <w:numId w:val="1"/>
        </w:numPr>
        <w:spacing w:after="0" w:line="240" w:lineRule="auto"/>
        <w:rPr>
          <w:rFonts w:eastAsia="Times New Roman" w:cstheme="minorHAnsi"/>
          <w:bCs/>
          <w:sz w:val="20"/>
          <w:szCs w:val="20"/>
          <w:lang w:val="sr-Latn-ME"/>
        </w:rPr>
      </w:pPr>
      <w:proofErr w:type="spellStart"/>
      <w:r w:rsidRPr="00E41D24">
        <w:rPr>
          <w:rFonts w:eastAsia="Times New Roman" w:cstheme="minorHAnsi"/>
          <w:bCs/>
          <w:sz w:val="20"/>
          <w:szCs w:val="20"/>
          <w:lang w:val="sr-Latn-ME"/>
        </w:rPr>
        <w:t>European</w:t>
      </w:r>
      <w:proofErr w:type="spellEnd"/>
      <w:r w:rsidRPr="00E41D24">
        <w:rPr>
          <w:rFonts w:eastAsia="Times New Roman" w:cstheme="minorHAnsi"/>
          <w:bCs/>
          <w:sz w:val="20"/>
          <w:szCs w:val="20"/>
          <w:lang w:val="sr-Latn-ME"/>
        </w:rPr>
        <w:t xml:space="preserve"> </w:t>
      </w:r>
      <w:proofErr w:type="spellStart"/>
      <w:r w:rsidRPr="00E41D24">
        <w:rPr>
          <w:rFonts w:eastAsia="Times New Roman" w:cstheme="minorHAnsi"/>
          <w:bCs/>
          <w:sz w:val="20"/>
          <w:szCs w:val="20"/>
          <w:lang w:val="sr-Latn-ME"/>
        </w:rPr>
        <w:t>Commission</w:t>
      </w:r>
      <w:proofErr w:type="spellEnd"/>
      <w:r w:rsidRPr="00E41D24">
        <w:rPr>
          <w:rFonts w:eastAsia="Times New Roman" w:cstheme="minorHAnsi"/>
          <w:bCs/>
          <w:sz w:val="20"/>
          <w:szCs w:val="20"/>
          <w:lang w:val="sr-Latn-ME"/>
        </w:rPr>
        <w:t>. (</w:t>
      </w:r>
      <w:proofErr w:type="spellStart"/>
      <w:r w:rsidRPr="00E41D24">
        <w:rPr>
          <w:rFonts w:eastAsia="Times New Roman" w:cstheme="minorHAnsi"/>
          <w:bCs/>
          <w:sz w:val="20"/>
          <w:szCs w:val="20"/>
          <w:lang w:val="sr-Latn-ME"/>
        </w:rPr>
        <w:t>n.d</w:t>
      </w:r>
      <w:proofErr w:type="spellEnd"/>
      <w:r w:rsidRPr="00E41D24">
        <w:rPr>
          <w:rFonts w:eastAsia="Times New Roman" w:cstheme="minorHAnsi"/>
          <w:bCs/>
          <w:sz w:val="20"/>
          <w:szCs w:val="20"/>
          <w:lang w:val="sr-Latn-ME"/>
        </w:rPr>
        <w:t xml:space="preserve">.). </w:t>
      </w:r>
      <w:proofErr w:type="spellStart"/>
      <w:r w:rsidRPr="00E41D24">
        <w:rPr>
          <w:rFonts w:eastAsia="Times New Roman" w:cstheme="minorHAnsi"/>
          <w:bCs/>
          <w:sz w:val="20"/>
          <w:szCs w:val="20"/>
          <w:lang w:val="sr-Latn-ME"/>
        </w:rPr>
        <w:t>Vizni</w:t>
      </w:r>
      <w:proofErr w:type="spellEnd"/>
      <w:r w:rsidRPr="00E41D24">
        <w:rPr>
          <w:rFonts w:eastAsia="Times New Roman" w:cstheme="minorHAnsi"/>
          <w:bCs/>
          <w:sz w:val="20"/>
          <w:szCs w:val="20"/>
          <w:lang w:val="sr-Latn-ME"/>
        </w:rPr>
        <w:t xml:space="preserve"> informacioni sistem (VIS). https://home-affairs.ec.europa.eu/policies/schengen/visa-information-system_en</w:t>
      </w:r>
    </w:p>
    <w:p w14:paraId="6DD584BD" w14:textId="77777777" w:rsidR="005128AE" w:rsidRPr="00E41D24" w:rsidRDefault="005128AE" w:rsidP="005128AE">
      <w:pPr>
        <w:pStyle w:val="Odlomakpopisa"/>
        <w:numPr>
          <w:ilvl w:val="0"/>
          <w:numId w:val="1"/>
        </w:numPr>
        <w:spacing w:after="0" w:line="240" w:lineRule="auto"/>
        <w:rPr>
          <w:rFonts w:eastAsia="Times New Roman" w:cstheme="minorHAnsi"/>
          <w:bCs/>
          <w:sz w:val="20"/>
          <w:szCs w:val="20"/>
          <w:lang w:val="sr-Latn-ME"/>
        </w:rPr>
      </w:pPr>
      <w:proofErr w:type="spellStart"/>
      <w:r w:rsidRPr="00E41D24">
        <w:rPr>
          <w:rFonts w:eastAsia="Times New Roman" w:cstheme="minorHAnsi"/>
          <w:bCs/>
          <w:sz w:val="20"/>
          <w:szCs w:val="20"/>
          <w:lang w:val="sr-Latn-ME"/>
        </w:rPr>
        <w:lastRenderedPageBreak/>
        <w:t>European</w:t>
      </w:r>
      <w:proofErr w:type="spellEnd"/>
      <w:r w:rsidRPr="00E41D24">
        <w:rPr>
          <w:rFonts w:eastAsia="Times New Roman" w:cstheme="minorHAnsi"/>
          <w:bCs/>
          <w:sz w:val="20"/>
          <w:szCs w:val="20"/>
          <w:lang w:val="sr-Latn-ME"/>
        </w:rPr>
        <w:t xml:space="preserve"> </w:t>
      </w:r>
      <w:proofErr w:type="spellStart"/>
      <w:r w:rsidRPr="00E41D24">
        <w:rPr>
          <w:rFonts w:eastAsia="Times New Roman" w:cstheme="minorHAnsi"/>
          <w:bCs/>
          <w:sz w:val="20"/>
          <w:szCs w:val="20"/>
          <w:lang w:val="sr-Latn-ME"/>
        </w:rPr>
        <w:t>External</w:t>
      </w:r>
      <w:proofErr w:type="spellEnd"/>
      <w:r w:rsidRPr="00E41D24">
        <w:rPr>
          <w:rFonts w:eastAsia="Times New Roman" w:cstheme="minorHAnsi"/>
          <w:bCs/>
          <w:sz w:val="20"/>
          <w:szCs w:val="20"/>
          <w:lang w:val="sr-Latn-ME"/>
        </w:rPr>
        <w:t xml:space="preserve"> </w:t>
      </w:r>
      <w:proofErr w:type="spellStart"/>
      <w:r w:rsidRPr="00E41D24">
        <w:rPr>
          <w:rFonts w:eastAsia="Times New Roman" w:cstheme="minorHAnsi"/>
          <w:bCs/>
          <w:sz w:val="20"/>
          <w:szCs w:val="20"/>
          <w:lang w:val="sr-Latn-ME"/>
        </w:rPr>
        <w:t>Action</w:t>
      </w:r>
      <w:proofErr w:type="spellEnd"/>
      <w:r w:rsidRPr="00E41D24">
        <w:rPr>
          <w:rFonts w:eastAsia="Times New Roman" w:cstheme="minorHAnsi"/>
          <w:bCs/>
          <w:sz w:val="20"/>
          <w:szCs w:val="20"/>
          <w:lang w:val="sr-Latn-ME"/>
        </w:rPr>
        <w:t xml:space="preserve"> </w:t>
      </w:r>
      <w:proofErr w:type="spellStart"/>
      <w:r w:rsidRPr="00E41D24">
        <w:rPr>
          <w:rFonts w:eastAsia="Times New Roman" w:cstheme="minorHAnsi"/>
          <w:bCs/>
          <w:sz w:val="20"/>
          <w:szCs w:val="20"/>
          <w:lang w:val="sr-Latn-ME"/>
        </w:rPr>
        <w:t>Service</w:t>
      </w:r>
      <w:proofErr w:type="spellEnd"/>
      <w:r w:rsidRPr="00E41D24">
        <w:rPr>
          <w:rFonts w:eastAsia="Times New Roman" w:cstheme="minorHAnsi"/>
          <w:bCs/>
          <w:sz w:val="20"/>
          <w:szCs w:val="20"/>
          <w:lang w:val="sr-Latn-ME"/>
        </w:rPr>
        <w:t>. (</w:t>
      </w:r>
      <w:proofErr w:type="spellStart"/>
      <w:r w:rsidRPr="00E41D24">
        <w:rPr>
          <w:rFonts w:eastAsia="Times New Roman" w:cstheme="minorHAnsi"/>
          <w:bCs/>
          <w:sz w:val="20"/>
          <w:szCs w:val="20"/>
          <w:lang w:val="sr-Latn-ME"/>
        </w:rPr>
        <w:t>n.d</w:t>
      </w:r>
      <w:proofErr w:type="spellEnd"/>
      <w:r w:rsidRPr="00E41D24">
        <w:rPr>
          <w:rFonts w:eastAsia="Times New Roman" w:cstheme="minorHAnsi"/>
          <w:bCs/>
          <w:sz w:val="20"/>
          <w:szCs w:val="20"/>
          <w:lang w:val="sr-Latn-ME"/>
        </w:rPr>
        <w:t xml:space="preserve">.). Otvoren tranzitni prihvatni centar za migrante i tražioce azila u </w:t>
      </w:r>
      <w:proofErr w:type="spellStart"/>
      <w:r w:rsidRPr="00E41D24">
        <w:rPr>
          <w:rFonts w:eastAsia="Times New Roman" w:cstheme="minorHAnsi"/>
          <w:bCs/>
          <w:sz w:val="20"/>
          <w:szCs w:val="20"/>
          <w:lang w:val="sr-Latn-ME"/>
        </w:rPr>
        <w:t>Božaju</w:t>
      </w:r>
      <w:proofErr w:type="spellEnd"/>
      <w:r w:rsidRPr="00E41D24">
        <w:rPr>
          <w:rFonts w:eastAsia="Times New Roman" w:cstheme="minorHAnsi"/>
          <w:bCs/>
          <w:sz w:val="20"/>
          <w:szCs w:val="20"/>
          <w:lang w:val="sr-Latn-ME"/>
        </w:rPr>
        <w:t>. https://www.eeas.europa.eu/delegations/montenegro/transit-reception-centre-migrants-and-asylum-seekers-opened-bo%C5%BEaj_en</w:t>
      </w:r>
    </w:p>
    <w:p w14:paraId="33523854" w14:textId="77777777" w:rsidR="005128AE" w:rsidRPr="00E41D24" w:rsidRDefault="005128AE" w:rsidP="005128AE">
      <w:pPr>
        <w:pStyle w:val="Odlomakpopisa"/>
        <w:numPr>
          <w:ilvl w:val="0"/>
          <w:numId w:val="1"/>
        </w:numPr>
        <w:spacing w:after="0" w:line="240" w:lineRule="auto"/>
        <w:rPr>
          <w:rFonts w:eastAsia="Times New Roman" w:cstheme="minorHAnsi"/>
          <w:bCs/>
          <w:sz w:val="20"/>
          <w:szCs w:val="20"/>
          <w:lang w:val="sr-Latn-ME"/>
        </w:rPr>
      </w:pPr>
      <w:proofErr w:type="spellStart"/>
      <w:r w:rsidRPr="00E41D24">
        <w:rPr>
          <w:rFonts w:eastAsia="Times New Roman" w:cstheme="minorHAnsi"/>
          <w:bCs/>
          <w:sz w:val="20"/>
          <w:szCs w:val="20"/>
          <w:lang w:val="sr-Latn-ME"/>
        </w:rPr>
        <w:t>European</w:t>
      </w:r>
      <w:proofErr w:type="spellEnd"/>
      <w:r w:rsidRPr="00E41D24">
        <w:rPr>
          <w:rFonts w:eastAsia="Times New Roman" w:cstheme="minorHAnsi"/>
          <w:bCs/>
          <w:sz w:val="20"/>
          <w:szCs w:val="20"/>
          <w:lang w:val="sr-Latn-ME"/>
        </w:rPr>
        <w:t xml:space="preserve"> </w:t>
      </w:r>
      <w:proofErr w:type="spellStart"/>
      <w:r w:rsidRPr="00E41D24">
        <w:rPr>
          <w:rFonts w:eastAsia="Times New Roman" w:cstheme="minorHAnsi"/>
          <w:bCs/>
          <w:sz w:val="20"/>
          <w:szCs w:val="20"/>
          <w:lang w:val="sr-Latn-ME"/>
        </w:rPr>
        <w:t>Parliament</w:t>
      </w:r>
      <w:proofErr w:type="spellEnd"/>
      <w:r w:rsidRPr="00E41D24">
        <w:rPr>
          <w:rFonts w:eastAsia="Times New Roman" w:cstheme="minorHAnsi"/>
          <w:bCs/>
          <w:sz w:val="20"/>
          <w:szCs w:val="20"/>
          <w:lang w:val="sr-Latn-ME"/>
        </w:rPr>
        <w:t>. (2025). Izvještaj o izvještajima Evropske komisije za Crnu Goru za 2023. i 2024. godinu (A10-0093/2025).</w:t>
      </w:r>
    </w:p>
    <w:p w14:paraId="7447B71E" w14:textId="77777777" w:rsidR="005128AE" w:rsidRPr="00E41D24" w:rsidRDefault="005128AE" w:rsidP="005128AE">
      <w:pPr>
        <w:pStyle w:val="Odlomakpopisa"/>
        <w:numPr>
          <w:ilvl w:val="0"/>
          <w:numId w:val="1"/>
        </w:numPr>
        <w:spacing w:after="0" w:line="240" w:lineRule="auto"/>
        <w:rPr>
          <w:rFonts w:eastAsia="Times New Roman" w:cstheme="minorHAnsi"/>
          <w:bCs/>
          <w:sz w:val="20"/>
          <w:szCs w:val="20"/>
          <w:lang w:val="sr-Latn-ME"/>
        </w:rPr>
      </w:pPr>
      <w:proofErr w:type="spellStart"/>
      <w:r w:rsidRPr="00E41D24">
        <w:rPr>
          <w:rFonts w:eastAsia="Times New Roman" w:cstheme="minorHAnsi"/>
          <w:bCs/>
          <w:sz w:val="20"/>
          <w:szCs w:val="20"/>
          <w:lang w:val="sr-Latn-ME"/>
        </w:rPr>
        <w:t>European</w:t>
      </w:r>
      <w:proofErr w:type="spellEnd"/>
      <w:r w:rsidRPr="00E41D24">
        <w:rPr>
          <w:rFonts w:eastAsia="Times New Roman" w:cstheme="minorHAnsi"/>
          <w:bCs/>
          <w:sz w:val="20"/>
          <w:szCs w:val="20"/>
          <w:lang w:val="sr-Latn-ME"/>
        </w:rPr>
        <w:t xml:space="preserve"> Union </w:t>
      </w:r>
      <w:proofErr w:type="spellStart"/>
      <w:r w:rsidRPr="00E41D24">
        <w:rPr>
          <w:rFonts w:eastAsia="Times New Roman" w:cstheme="minorHAnsi"/>
          <w:bCs/>
          <w:sz w:val="20"/>
          <w:szCs w:val="20"/>
          <w:lang w:val="sr-Latn-ME"/>
        </w:rPr>
        <w:t>Agency</w:t>
      </w:r>
      <w:proofErr w:type="spellEnd"/>
      <w:r w:rsidRPr="00E41D24">
        <w:rPr>
          <w:rFonts w:eastAsia="Times New Roman" w:cstheme="minorHAnsi"/>
          <w:bCs/>
          <w:sz w:val="20"/>
          <w:szCs w:val="20"/>
          <w:lang w:val="sr-Latn-ME"/>
        </w:rPr>
        <w:t xml:space="preserve"> </w:t>
      </w:r>
      <w:proofErr w:type="spellStart"/>
      <w:r w:rsidRPr="00E41D24">
        <w:rPr>
          <w:rFonts w:eastAsia="Times New Roman" w:cstheme="minorHAnsi"/>
          <w:bCs/>
          <w:sz w:val="20"/>
          <w:szCs w:val="20"/>
          <w:lang w:val="sr-Latn-ME"/>
        </w:rPr>
        <w:t>for</w:t>
      </w:r>
      <w:proofErr w:type="spellEnd"/>
      <w:r w:rsidRPr="00E41D24">
        <w:rPr>
          <w:rFonts w:eastAsia="Times New Roman" w:cstheme="minorHAnsi"/>
          <w:bCs/>
          <w:sz w:val="20"/>
          <w:szCs w:val="20"/>
          <w:lang w:val="sr-Latn-ME"/>
        </w:rPr>
        <w:t xml:space="preserve"> </w:t>
      </w:r>
      <w:proofErr w:type="spellStart"/>
      <w:r w:rsidRPr="00E41D24">
        <w:rPr>
          <w:rFonts w:eastAsia="Times New Roman" w:cstheme="minorHAnsi"/>
          <w:bCs/>
          <w:sz w:val="20"/>
          <w:szCs w:val="20"/>
          <w:lang w:val="sr-Latn-ME"/>
        </w:rPr>
        <w:t>Asylum</w:t>
      </w:r>
      <w:proofErr w:type="spellEnd"/>
      <w:r w:rsidRPr="00E41D24">
        <w:rPr>
          <w:rFonts w:eastAsia="Times New Roman" w:cstheme="minorHAnsi"/>
          <w:bCs/>
          <w:sz w:val="20"/>
          <w:szCs w:val="20"/>
          <w:lang w:val="sr-Latn-ME"/>
        </w:rPr>
        <w:t>. (2025). Mapa puta za saradnju između EUAA i Crne Gore 2025–2027. https://www.euaa.europa.eu/sites/default/files/publications/2025-04/Roadmap_EUAAandMontenegro_2025-2027.pdf</w:t>
      </w:r>
    </w:p>
    <w:p w14:paraId="7E48FA79" w14:textId="77777777" w:rsidR="005128AE" w:rsidRPr="00E41D24" w:rsidRDefault="005128AE" w:rsidP="005128AE">
      <w:pPr>
        <w:pStyle w:val="Odlomakpopisa"/>
        <w:numPr>
          <w:ilvl w:val="0"/>
          <w:numId w:val="1"/>
        </w:numPr>
        <w:spacing w:after="0" w:line="240" w:lineRule="auto"/>
        <w:rPr>
          <w:rFonts w:eastAsia="Times New Roman" w:cstheme="minorHAnsi"/>
          <w:bCs/>
          <w:sz w:val="20"/>
          <w:szCs w:val="20"/>
          <w:lang w:val="sr-Latn-ME"/>
        </w:rPr>
      </w:pPr>
      <w:proofErr w:type="spellStart"/>
      <w:r w:rsidRPr="00E41D24">
        <w:rPr>
          <w:rFonts w:eastAsia="Times New Roman" w:cstheme="minorHAnsi"/>
          <w:bCs/>
          <w:sz w:val="20"/>
          <w:szCs w:val="20"/>
          <w:lang w:val="sr-Latn-ME"/>
        </w:rPr>
        <w:t>European</w:t>
      </w:r>
      <w:proofErr w:type="spellEnd"/>
      <w:r w:rsidRPr="00E41D24">
        <w:rPr>
          <w:rFonts w:eastAsia="Times New Roman" w:cstheme="minorHAnsi"/>
          <w:bCs/>
          <w:sz w:val="20"/>
          <w:szCs w:val="20"/>
          <w:lang w:val="sr-Latn-ME"/>
        </w:rPr>
        <w:t xml:space="preserve"> Union. (2009). Uredba (EZ) br. 810/2009 o uspostavljanju Zajedničkog zakonika o vizama (</w:t>
      </w:r>
      <w:proofErr w:type="spellStart"/>
      <w:r w:rsidRPr="00E41D24">
        <w:rPr>
          <w:rFonts w:eastAsia="Times New Roman" w:cstheme="minorHAnsi"/>
          <w:bCs/>
          <w:sz w:val="20"/>
          <w:szCs w:val="20"/>
          <w:lang w:val="sr-Latn-ME"/>
        </w:rPr>
        <w:t>Vizni</w:t>
      </w:r>
      <w:proofErr w:type="spellEnd"/>
      <w:r w:rsidRPr="00E41D24">
        <w:rPr>
          <w:rFonts w:eastAsia="Times New Roman" w:cstheme="minorHAnsi"/>
          <w:bCs/>
          <w:sz w:val="20"/>
          <w:szCs w:val="20"/>
          <w:lang w:val="sr-Latn-ME"/>
        </w:rPr>
        <w:t xml:space="preserve"> kodeks), izmijenjena Uredbom (EU) 2019/1155. https://eur-lex.europa.eu/legal-content/EN/ALL/?uri=uriserv:OJ.L_.2019.188.01.0025.01.ENG</w:t>
      </w:r>
    </w:p>
    <w:p w14:paraId="50BDE878" w14:textId="77777777" w:rsidR="005128AE" w:rsidRPr="00E41D24" w:rsidRDefault="005128AE" w:rsidP="005128AE">
      <w:pPr>
        <w:pStyle w:val="Odlomakpopisa"/>
        <w:numPr>
          <w:ilvl w:val="0"/>
          <w:numId w:val="1"/>
        </w:numPr>
        <w:spacing w:after="0" w:line="240" w:lineRule="auto"/>
        <w:rPr>
          <w:rFonts w:eastAsia="Times New Roman" w:cstheme="minorHAnsi"/>
          <w:bCs/>
          <w:sz w:val="20"/>
          <w:szCs w:val="20"/>
          <w:lang w:val="sr-Latn-ME"/>
        </w:rPr>
      </w:pPr>
      <w:proofErr w:type="spellStart"/>
      <w:r w:rsidRPr="00E41D24">
        <w:rPr>
          <w:rFonts w:eastAsia="Times New Roman" w:cstheme="minorHAnsi"/>
          <w:bCs/>
          <w:sz w:val="20"/>
          <w:szCs w:val="20"/>
          <w:lang w:val="sr-Latn-ME"/>
        </w:rPr>
        <w:t>European</w:t>
      </w:r>
      <w:proofErr w:type="spellEnd"/>
      <w:r w:rsidRPr="00E41D24">
        <w:rPr>
          <w:rFonts w:eastAsia="Times New Roman" w:cstheme="minorHAnsi"/>
          <w:bCs/>
          <w:sz w:val="20"/>
          <w:szCs w:val="20"/>
          <w:lang w:val="sr-Latn-ME"/>
        </w:rPr>
        <w:t xml:space="preserve"> Union. (2018). Uredba (EU) 2018/1806 o utvrđivanju lista trećih zemalja čiji državljani moraju imati vizu prilikom prelaska spoljnjih granica i onih koji su izuzeti od te obaveze. https://eur-lex.europa.eu/eli/reg/2018/1806/oj/eng</w:t>
      </w:r>
    </w:p>
    <w:p w14:paraId="208C2ED2" w14:textId="77777777" w:rsidR="005128AE" w:rsidRPr="00E41D24" w:rsidRDefault="005128AE" w:rsidP="005128AE">
      <w:pPr>
        <w:pStyle w:val="Odlomakpopisa"/>
        <w:numPr>
          <w:ilvl w:val="0"/>
          <w:numId w:val="1"/>
        </w:numPr>
        <w:spacing w:after="0" w:line="240" w:lineRule="auto"/>
        <w:rPr>
          <w:rFonts w:eastAsia="Times New Roman" w:cstheme="minorHAnsi"/>
          <w:bCs/>
          <w:sz w:val="20"/>
          <w:szCs w:val="20"/>
          <w:lang w:val="sr-Latn-ME"/>
        </w:rPr>
      </w:pPr>
      <w:proofErr w:type="spellStart"/>
      <w:r w:rsidRPr="00E41D24">
        <w:rPr>
          <w:rFonts w:eastAsia="Times New Roman" w:cstheme="minorHAnsi"/>
          <w:bCs/>
          <w:sz w:val="20"/>
          <w:szCs w:val="20"/>
          <w:lang w:val="sr-Latn-ME"/>
        </w:rPr>
        <w:t>European</w:t>
      </w:r>
      <w:proofErr w:type="spellEnd"/>
      <w:r w:rsidRPr="00E41D24">
        <w:rPr>
          <w:rFonts w:eastAsia="Times New Roman" w:cstheme="minorHAnsi"/>
          <w:bCs/>
          <w:sz w:val="20"/>
          <w:szCs w:val="20"/>
          <w:lang w:val="sr-Latn-ME"/>
        </w:rPr>
        <w:t xml:space="preserve"> Union. (2019). Uredba (EU) 2019/1896 o Evropskoj graničnoj i obalskoj straži. https://eur-lex.europa.eu/eli/reg/2019/1896/oj</w:t>
      </w:r>
    </w:p>
    <w:p w14:paraId="3CECDEFE" w14:textId="77777777" w:rsidR="005128AE" w:rsidRPr="00E41D24" w:rsidRDefault="005128AE" w:rsidP="005128AE">
      <w:pPr>
        <w:pStyle w:val="Odlomakpopisa"/>
        <w:numPr>
          <w:ilvl w:val="0"/>
          <w:numId w:val="1"/>
        </w:numPr>
        <w:spacing w:after="0" w:line="240" w:lineRule="auto"/>
        <w:rPr>
          <w:rFonts w:eastAsia="Times New Roman" w:cstheme="minorHAnsi"/>
          <w:bCs/>
          <w:sz w:val="20"/>
          <w:szCs w:val="20"/>
          <w:lang w:val="sr-Latn-ME"/>
        </w:rPr>
      </w:pPr>
      <w:proofErr w:type="spellStart"/>
      <w:r w:rsidRPr="00E41D24">
        <w:rPr>
          <w:rFonts w:eastAsia="Times New Roman" w:cstheme="minorHAnsi"/>
          <w:bCs/>
          <w:sz w:val="20"/>
          <w:szCs w:val="20"/>
          <w:lang w:val="sr-Latn-ME"/>
        </w:rPr>
        <w:t>European</w:t>
      </w:r>
      <w:proofErr w:type="spellEnd"/>
      <w:r w:rsidRPr="00E41D24">
        <w:rPr>
          <w:rFonts w:eastAsia="Times New Roman" w:cstheme="minorHAnsi"/>
          <w:bCs/>
          <w:sz w:val="20"/>
          <w:szCs w:val="20"/>
          <w:lang w:val="sr-Latn-ME"/>
        </w:rPr>
        <w:t xml:space="preserve"> Union. (2024). Direktiva (EU) 2024/1346 Evropskog parlamenta i Savjeta. https://eur-lex.europa.eu/eli/dir/2024/1346/oj/eng</w:t>
      </w:r>
    </w:p>
    <w:p w14:paraId="663392A8" w14:textId="77777777" w:rsidR="005128AE" w:rsidRPr="00E41D24" w:rsidRDefault="005128AE" w:rsidP="005128AE">
      <w:pPr>
        <w:pStyle w:val="Odlomakpopisa"/>
        <w:numPr>
          <w:ilvl w:val="0"/>
          <w:numId w:val="1"/>
        </w:numPr>
        <w:spacing w:after="0" w:line="240" w:lineRule="auto"/>
        <w:rPr>
          <w:rFonts w:eastAsia="Times New Roman" w:cstheme="minorHAnsi"/>
          <w:bCs/>
          <w:sz w:val="20"/>
          <w:szCs w:val="20"/>
          <w:lang w:val="sr-Latn-ME"/>
        </w:rPr>
      </w:pPr>
      <w:proofErr w:type="spellStart"/>
      <w:r w:rsidRPr="00E41D24">
        <w:rPr>
          <w:rFonts w:eastAsia="Times New Roman" w:cstheme="minorHAnsi"/>
          <w:bCs/>
          <w:sz w:val="20"/>
          <w:szCs w:val="20"/>
          <w:lang w:val="sr-Latn-ME"/>
        </w:rPr>
        <w:t>European</w:t>
      </w:r>
      <w:proofErr w:type="spellEnd"/>
      <w:r w:rsidRPr="00E41D24">
        <w:rPr>
          <w:rFonts w:eastAsia="Times New Roman" w:cstheme="minorHAnsi"/>
          <w:bCs/>
          <w:sz w:val="20"/>
          <w:szCs w:val="20"/>
          <w:lang w:val="sr-Latn-ME"/>
        </w:rPr>
        <w:t xml:space="preserve"> Union. (2024). Uredba (EU) 2024/1348 Evropskog parlamenta i Savjeta. https://eur-lex.europa.eu/eli/reg/2024/1348/oj/eng</w:t>
      </w:r>
    </w:p>
    <w:p w14:paraId="638E35CF" w14:textId="77777777" w:rsidR="005128AE" w:rsidRPr="00E41D24" w:rsidRDefault="005128AE" w:rsidP="005128AE">
      <w:pPr>
        <w:pStyle w:val="Odlomakpopisa"/>
        <w:numPr>
          <w:ilvl w:val="0"/>
          <w:numId w:val="1"/>
        </w:numPr>
        <w:spacing w:after="0" w:line="240" w:lineRule="auto"/>
        <w:rPr>
          <w:rFonts w:eastAsia="Times New Roman" w:cstheme="minorHAnsi"/>
          <w:bCs/>
          <w:sz w:val="20"/>
          <w:szCs w:val="20"/>
          <w:lang w:val="sr-Latn-ME"/>
        </w:rPr>
      </w:pPr>
      <w:proofErr w:type="spellStart"/>
      <w:r w:rsidRPr="00E41D24">
        <w:rPr>
          <w:rFonts w:eastAsia="Times New Roman" w:cstheme="minorHAnsi"/>
          <w:bCs/>
          <w:sz w:val="20"/>
          <w:szCs w:val="20"/>
          <w:lang w:val="sr-Latn-ME"/>
        </w:rPr>
        <w:t>European</w:t>
      </w:r>
      <w:proofErr w:type="spellEnd"/>
      <w:r w:rsidRPr="00E41D24">
        <w:rPr>
          <w:rFonts w:eastAsia="Times New Roman" w:cstheme="minorHAnsi"/>
          <w:bCs/>
          <w:sz w:val="20"/>
          <w:szCs w:val="20"/>
          <w:lang w:val="sr-Latn-ME"/>
        </w:rPr>
        <w:t xml:space="preserve"> Union. (2024). Uredba (EU) 2024/1351 o upravljanju azilom i migracijama. https://eur-lex.europa.eu/eli/reg/2024/1351/oj</w:t>
      </w:r>
    </w:p>
    <w:p w14:paraId="61B32CED" w14:textId="77777777" w:rsidR="005128AE" w:rsidRPr="00E41D24" w:rsidRDefault="005128AE" w:rsidP="005128AE">
      <w:pPr>
        <w:pStyle w:val="Odlomakpopisa"/>
        <w:numPr>
          <w:ilvl w:val="0"/>
          <w:numId w:val="1"/>
        </w:numPr>
        <w:spacing w:after="0" w:line="240" w:lineRule="auto"/>
        <w:rPr>
          <w:rFonts w:eastAsia="Times New Roman" w:cstheme="minorHAnsi"/>
          <w:bCs/>
          <w:sz w:val="20"/>
          <w:szCs w:val="20"/>
          <w:lang w:val="sr-Latn-ME"/>
        </w:rPr>
      </w:pPr>
      <w:proofErr w:type="spellStart"/>
      <w:r w:rsidRPr="00E41D24">
        <w:rPr>
          <w:rFonts w:eastAsia="Times New Roman" w:cstheme="minorHAnsi"/>
          <w:bCs/>
          <w:sz w:val="20"/>
          <w:szCs w:val="20"/>
          <w:lang w:val="sr-Latn-ME"/>
        </w:rPr>
        <w:t>European</w:t>
      </w:r>
      <w:proofErr w:type="spellEnd"/>
      <w:r w:rsidRPr="00E41D24">
        <w:rPr>
          <w:rFonts w:eastAsia="Times New Roman" w:cstheme="minorHAnsi"/>
          <w:bCs/>
          <w:sz w:val="20"/>
          <w:szCs w:val="20"/>
          <w:lang w:val="sr-Latn-ME"/>
        </w:rPr>
        <w:t xml:space="preserve"> Union. (2024). Uredba (EU) 2024/1356 Evropskog parlamenta i Savjeta. https://eur-lex.europa.eu/eli/reg/2024/1356/oj/eng</w:t>
      </w:r>
    </w:p>
    <w:p w14:paraId="31CF5B10"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proofErr w:type="spellStart"/>
      <w:r w:rsidRPr="00E41D24">
        <w:rPr>
          <w:rFonts w:eastAsia="Times New Roman" w:cstheme="minorHAnsi"/>
          <w:bCs/>
          <w:sz w:val="20"/>
          <w:szCs w:val="20"/>
          <w:lang w:val="sr-Latn-ME"/>
        </w:rPr>
        <w:t>European</w:t>
      </w:r>
      <w:proofErr w:type="spellEnd"/>
      <w:r w:rsidRPr="00E41D24">
        <w:rPr>
          <w:rFonts w:eastAsia="Times New Roman" w:cstheme="minorHAnsi"/>
          <w:bCs/>
          <w:sz w:val="20"/>
          <w:szCs w:val="20"/>
          <w:lang w:val="sr-Latn-ME"/>
        </w:rPr>
        <w:t xml:space="preserve"> Union. (2024). Uredba (EU) 2024/1358 Evropskog parlamenta i Savjeta. </w:t>
      </w:r>
      <w:hyperlink r:id="rId7" w:history="1">
        <w:r w:rsidRPr="00E41D24">
          <w:rPr>
            <w:rStyle w:val="Hiperveza"/>
            <w:rFonts w:eastAsia="Times New Roman" w:cstheme="minorHAnsi"/>
            <w:bCs/>
            <w:sz w:val="20"/>
            <w:szCs w:val="20"/>
            <w:lang w:val="sr-Latn-ME"/>
          </w:rPr>
          <w:t>https://eur-lex.europa.eu/eli/reg/2024/1358/oj/eng</w:t>
        </w:r>
      </w:hyperlink>
    </w:p>
    <w:p w14:paraId="7AE53BEB"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proofErr w:type="spellStart"/>
      <w:r w:rsidRPr="00E41D24">
        <w:rPr>
          <w:rFonts w:eastAsia="Times New Roman" w:cstheme="minorHAnsi"/>
          <w:sz w:val="20"/>
          <w:szCs w:val="20"/>
          <w:lang w:val="sr-Latn-ME"/>
        </w:rPr>
        <w:t>European</w:t>
      </w:r>
      <w:proofErr w:type="spellEnd"/>
      <w:r w:rsidRPr="00E41D24">
        <w:rPr>
          <w:rFonts w:eastAsia="Times New Roman" w:cstheme="minorHAnsi"/>
          <w:sz w:val="20"/>
          <w:szCs w:val="20"/>
          <w:lang w:val="sr-Latn-ME"/>
        </w:rPr>
        <w:t xml:space="preserve"> Union. (2024). Uredba (EU) 2024/1359 Evropskog parlamenta i Savjeta. https://eur-lex.europa.eu/eli/reg/2024/1359/oj/eng</w:t>
      </w:r>
    </w:p>
    <w:p w14:paraId="47388EAC"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proofErr w:type="spellStart"/>
      <w:r w:rsidRPr="00E41D24">
        <w:rPr>
          <w:rFonts w:eastAsia="Times New Roman" w:cstheme="minorHAnsi"/>
          <w:sz w:val="20"/>
          <w:szCs w:val="20"/>
          <w:lang w:val="sr-Latn-ME"/>
        </w:rPr>
        <w:t>European</w:t>
      </w:r>
      <w:proofErr w:type="spellEnd"/>
      <w:r w:rsidRPr="00E41D24">
        <w:rPr>
          <w:rFonts w:eastAsia="Times New Roman" w:cstheme="minorHAnsi"/>
          <w:sz w:val="20"/>
          <w:szCs w:val="20"/>
          <w:lang w:val="sr-Latn-ME"/>
        </w:rPr>
        <w:t xml:space="preserve"> Union. (2024). Uredba (EU) 2024/1717 Evropskog parlamenta i Savjeta o izmjenama Šengenskog zakonika o granicama. https://eur-lex.europa.eu/eli/reg/2024/1717/oj/eng</w:t>
      </w:r>
    </w:p>
    <w:p w14:paraId="5FC63054"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proofErr w:type="spellStart"/>
      <w:r w:rsidRPr="00E41D24">
        <w:rPr>
          <w:rFonts w:eastAsia="Times New Roman" w:cstheme="minorHAnsi"/>
          <w:sz w:val="20"/>
          <w:szCs w:val="20"/>
          <w:lang w:val="sr-Latn-ME"/>
        </w:rPr>
        <w:t>European</w:t>
      </w:r>
      <w:proofErr w:type="spellEnd"/>
      <w:r w:rsidRPr="00E41D24">
        <w:rPr>
          <w:rFonts w:eastAsia="Times New Roman" w:cstheme="minorHAnsi"/>
          <w:sz w:val="20"/>
          <w:szCs w:val="20"/>
          <w:lang w:val="sr-Latn-ME"/>
        </w:rPr>
        <w:t xml:space="preserve"> Union. (</w:t>
      </w:r>
      <w:proofErr w:type="spellStart"/>
      <w:r w:rsidRPr="00E41D24">
        <w:rPr>
          <w:rFonts w:eastAsia="Times New Roman" w:cstheme="minorHAnsi"/>
          <w:sz w:val="20"/>
          <w:szCs w:val="20"/>
          <w:lang w:val="sr-Latn-ME"/>
        </w:rPr>
        <w:t>n.d</w:t>
      </w:r>
      <w:proofErr w:type="spellEnd"/>
      <w:r w:rsidRPr="00E41D24">
        <w:rPr>
          <w:rFonts w:eastAsia="Times New Roman" w:cstheme="minorHAnsi"/>
          <w:sz w:val="20"/>
          <w:szCs w:val="20"/>
          <w:lang w:val="sr-Latn-ME"/>
        </w:rPr>
        <w:t>.). Sistem ulaska/izlaska (EES). https://travel-europe.europa.eu/en/ees</w:t>
      </w:r>
    </w:p>
    <w:p w14:paraId="5138EA2B"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proofErr w:type="spellStart"/>
      <w:r w:rsidRPr="00E41D24">
        <w:rPr>
          <w:rFonts w:eastAsia="Times New Roman" w:cstheme="minorHAnsi"/>
          <w:sz w:val="20"/>
          <w:szCs w:val="20"/>
          <w:lang w:val="sr-Latn-ME"/>
        </w:rPr>
        <w:t>European</w:t>
      </w:r>
      <w:proofErr w:type="spellEnd"/>
      <w:r w:rsidRPr="00E41D24">
        <w:rPr>
          <w:rFonts w:eastAsia="Times New Roman" w:cstheme="minorHAnsi"/>
          <w:sz w:val="20"/>
          <w:szCs w:val="20"/>
          <w:lang w:val="sr-Latn-ME"/>
        </w:rPr>
        <w:t xml:space="preserve"> Union. (</w:t>
      </w:r>
      <w:proofErr w:type="spellStart"/>
      <w:r w:rsidRPr="00E41D24">
        <w:rPr>
          <w:rFonts w:eastAsia="Times New Roman" w:cstheme="minorHAnsi"/>
          <w:sz w:val="20"/>
          <w:szCs w:val="20"/>
          <w:lang w:val="sr-Latn-ME"/>
        </w:rPr>
        <w:t>n.d</w:t>
      </w:r>
      <w:proofErr w:type="spellEnd"/>
      <w:r w:rsidRPr="00E41D24">
        <w:rPr>
          <w:rFonts w:eastAsia="Times New Roman" w:cstheme="minorHAnsi"/>
          <w:sz w:val="20"/>
          <w:szCs w:val="20"/>
          <w:lang w:val="sr-Latn-ME"/>
        </w:rPr>
        <w:t>.). Evropski sistem za informacije o putovanjima i autorizaciju (ETIAS). https://travel-europe.europa.eu/en/etias</w:t>
      </w:r>
    </w:p>
    <w:p w14:paraId="0F7C63CB"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proofErr w:type="spellStart"/>
      <w:r w:rsidRPr="00E41D24">
        <w:rPr>
          <w:rFonts w:eastAsia="Times New Roman" w:cstheme="minorHAnsi"/>
          <w:sz w:val="20"/>
          <w:szCs w:val="20"/>
          <w:lang w:val="sr-Latn-ME"/>
        </w:rPr>
        <w:t>Europol</w:t>
      </w:r>
      <w:proofErr w:type="spellEnd"/>
      <w:r w:rsidRPr="00E41D24">
        <w:rPr>
          <w:rFonts w:eastAsia="Times New Roman" w:cstheme="minorHAnsi"/>
          <w:sz w:val="20"/>
          <w:szCs w:val="20"/>
          <w:lang w:val="sr-Latn-ME"/>
        </w:rPr>
        <w:t>. (</w:t>
      </w:r>
      <w:proofErr w:type="spellStart"/>
      <w:r w:rsidRPr="00E41D24">
        <w:rPr>
          <w:rFonts w:eastAsia="Times New Roman" w:cstheme="minorHAnsi"/>
          <w:sz w:val="20"/>
          <w:szCs w:val="20"/>
          <w:lang w:val="sr-Latn-ME"/>
        </w:rPr>
        <w:t>n.d</w:t>
      </w:r>
      <w:proofErr w:type="spellEnd"/>
      <w:r w:rsidRPr="00E41D24">
        <w:rPr>
          <w:rFonts w:eastAsia="Times New Roman" w:cstheme="minorHAnsi"/>
          <w:sz w:val="20"/>
          <w:szCs w:val="20"/>
          <w:lang w:val="sr-Latn-ME"/>
        </w:rPr>
        <w:t>.). Crna Gora. https://www.europol.europa.eu/sites/default/files/documents/montenegro.pdf</w:t>
      </w:r>
    </w:p>
    <w:p w14:paraId="320D1300"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r w:rsidRPr="00E41D24">
        <w:rPr>
          <w:rFonts w:eastAsia="Times New Roman" w:cstheme="minorHAnsi"/>
          <w:sz w:val="20"/>
          <w:szCs w:val="20"/>
          <w:lang w:val="sr-Latn-ME"/>
        </w:rPr>
        <w:t xml:space="preserve">Global </w:t>
      </w:r>
      <w:proofErr w:type="spellStart"/>
      <w:r w:rsidRPr="00E41D24">
        <w:rPr>
          <w:rFonts w:eastAsia="Times New Roman" w:cstheme="minorHAnsi"/>
          <w:sz w:val="20"/>
          <w:szCs w:val="20"/>
          <w:lang w:val="sr-Latn-ME"/>
        </w:rPr>
        <w:t>Compact</w:t>
      </w:r>
      <w:proofErr w:type="spellEnd"/>
      <w:r w:rsidRPr="00E41D24">
        <w:rPr>
          <w:rFonts w:eastAsia="Times New Roman" w:cstheme="minorHAnsi"/>
          <w:sz w:val="20"/>
          <w:szCs w:val="20"/>
          <w:lang w:val="sr-Latn-ME"/>
        </w:rPr>
        <w:t xml:space="preserve"> on </w:t>
      </w:r>
      <w:proofErr w:type="spellStart"/>
      <w:r w:rsidRPr="00E41D24">
        <w:rPr>
          <w:rFonts w:eastAsia="Times New Roman" w:cstheme="minorHAnsi"/>
          <w:sz w:val="20"/>
          <w:szCs w:val="20"/>
          <w:lang w:val="sr-Latn-ME"/>
        </w:rPr>
        <w:t>Refugees</w:t>
      </w:r>
      <w:proofErr w:type="spellEnd"/>
      <w:r w:rsidRPr="00E41D24">
        <w:rPr>
          <w:rFonts w:eastAsia="Times New Roman" w:cstheme="minorHAnsi"/>
          <w:sz w:val="20"/>
          <w:szCs w:val="20"/>
          <w:lang w:val="sr-Latn-ME"/>
        </w:rPr>
        <w:t>. (</w:t>
      </w:r>
      <w:proofErr w:type="spellStart"/>
      <w:r w:rsidRPr="00E41D24">
        <w:rPr>
          <w:rFonts w:eastAsia="Times New Roman" w:cstheme="minorHAnsi"/>
          <w:sz w:val="20"/>
          <w:szCs w:val="20"/>
          <w:lang w:val="sr-Latn-ME"/>
        </w:rPr>
        <w:t>n.d</w:t>
      </w:r>
      <w:proofErr w:type="spellEnd"/>
      <w:r w:rsidRPr="00E41D24">
        <w:rPr>
          <w:rFonts w:eastAsia="Times New Roman" w:cstheme="minorHAnsi"/>
          <w:sz w:val="20"/>
          <w:szCs w:val="20"/>
          <w:lang w:val="sr-Latn-ME"/>
        </w:rPr>
        <w:t>.). Crna Gora. https://globalcompactrefugees.org/gcr-action/countries/montenegro</w:t>
      </w:r>
    </w:p>
    <w:p w14:paraId="3A9EBFF1"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r w:rsidRPr="00E41D24">
        <w:rPr>
          <w:rFonts w:eastAsia="Times New Roman" w:cstheme="minorHAnsi"/>
          <w:sz w:val="20"/>
          <w:szCs w:val="20"/>
          <w:lang w:val="sr-Latn-ME"/>
        </w:rPr>
        <w:t>Vlada Crne Gore. (2021). Strategija o migracijama i reintegraciji povratnika u Crnoj Gori 2021–2025. https://www.gov.me/en/documents/15ef985b-eddb-4a41-a58a-63fee7e8455c</w:t>
      </w:r>
    </w:p>
    <w:p w14:paraId="77364B54"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r w:rsidRPr="00E41D24">
        <w:rPr>
          <w:rFonts w:eastAsia="Times New Roman" w:cstheme="minorHAnsi"/>
          <w:sz w:val="20"/>
          <w:szCs w:val="20"/>
          <w:lang w:val="sr-Latn-ME"/>
        </w:rPr>
        <w:t>Vlada Crne Gore. (2024). Reformska agenda Crne Gore 2024–2027. https://reform-monitor.org/wp-content/uploads/2025/05/Reform-agenda-Montenegro_.pdf</w:t>
      </w:r>
    </w:p>
    <w:p w14:paraId="78F4B9FE"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r w:rsidRPr="00E41D24">
        <w:rPr>
          <w:rFonts w:eastAsia="Times New Roman" w:cstheme="minorHAnsi"/>
          <w:sz w:val="20"/>
          <w:szCs w:val="20"/>
          <w:lang w:val="sr-Latn-ME"/>
        </w:rPr>
        <w:t>Vlada Crne Gore. (2025, 25. april). Akcioni plan za ispunjavanje završnih mjerila u Poglavlju 24. https://www.eu.me/en/poglavlje-24-pravda-sloboda-i-bezbjednost/</w:t>
      </w:r>
    </w:p>
    <w:p w14:paraId="5F903571"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r w:rsidRPr="00E41D24">
        <w:rPr>
          <w:rFonts w:eastAsia="Times New Roman" w:cstheme="minorHAnsi"/>
          <w:sz w:val="20"/>
          <w:szCs w:val="20"/>
          <w:lang w:val="sr-Latn-ME"/>
        </w:rPr>
        <w:t>Vlada Crne Gore. (2025, 12. novembar). Vlada usvojila izmjene Zakona o strancima: nove mjere za regulisanje boravka. https://www.gov.me/en/article/government-adopts-amendments-to-the-law-on-foreigners-new-measures-to-regulate-residence</w:t>
      </w:r>
    </w:p>
    <w:p w14:paraId="3A5F06BE"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r w:rsidRPr="00E41D24">
        <w:rPr>
          <w:rFonts w:eastAsia="Times New Roman" w:cstheme="minorHAnsi"/>
          <w:sz w:val="20"/>
          <w:szCs w:val="20"/>
          <w:lang w:val="sr-Latn-ME"/>
        </w:rPr>
        <w:t>Vlada Crne Gore. (2025). Zakon o unutrašnjim poslovima. https://www.gov.me/dokumenta/b0273041-dbaf-4400-983c-b645ca37fbd1</w:t>
      </w:r>
    </w:p>
    <w:p w14:paraId="6A9286EE"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r w:rsidRPr="00E41D24">
        <w:rPr>
          <w:rFonts w:eastAsia="Times New Roman" w:cstheme="minorHAnsi"/>
          <w:sz w:val="20"/>
          <w:szCs w:val="20"/>
          <w:lang w:val="sr-Latn-ME"/>
        </w:rPr>
        <w:t xml:space="preserve">Vlada Crne Gore. (2025). </w:t>
      </w:r>
      <w:proofErr w:type="spellStart"/>
      <w:r w:rsidRPr="00E41D24">
        <w:rPr>
          <w:rFonts w:eastAsia="Times New Roman" w:cstheme="minorHAnsi"/>
          <w:sz w:val="20"/>
          <w:szCs w:val="20"/>
          <w:lang w:val="sr-Latn-ME"/>
        </w:rPr>
        <w:t>Predlog</w:t>
      </w:r>
      <w:proofErr w:type="spellEnd"/>
      <w:r w:rsidRPr="00E41D24">
        <w:rPr>
          <w:rFonts w:eastAsia="Times New Roman" w:cstheme="minorHAnsi"/>
          <w:sz w:val="20"/>
          <w:szCs w:val="20"/>
          <w:lang w:val="sr-Latn-ME"/>
        </w:rPr>
        <w:t xml:space="preserve"> strategije integrisanog upravljanja granicom 2025–2028 sa </w:t>
      </w:r>
      <w:proofErr w:type="spellStart"/>
      <w:r w:rsidRPr="00E41D24">
        <w:rPr>
          <w:rFonts w:eastAsia="Times New Roman" w:cstheme="minorHAnsi"/>
          <w:sz w:val="20"/>
          <w:szCs w:val="20"/>
          <w:lang w:val="sr-Latn-ME"/>
        </w:rPr>
        <w:t>predlogom</w:t>
      </w:r>
      <w:proofErr w:type="spellEnd"/>
      <w:r w:rsidRPr="00E41D24">
        <w:rPr>
          <w:rFonts w:eastAsia="Times New Roman" w:cstheme="minorHAnsi"/>
          <w:sz w:val="20"/>
          <w:szCs w:val="20"/>
          <w:lang w:val="sr-Latn-ME"/>
        </w:rPr>
        <w:t xml:space="preserve"> akcionog plana za period 2025–2026. https://www.gov.me/dokumenta/9a482397-48e5-4ec5-865d-bdeb3c473201</w:t>
      </w:r>
    </w:p>
    <w:p w14:paraId="124F457C"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r w:rsidRPr="00E41D24">
        <w:rPr>
          <w:rFonts w:eastAsia="Times New Roman" w:cstheme="minorHAnsi"/>
          <w:sz w:val="20"/>
          <w:szCs w:val="20"/>
          <w:lang w:val="sr-Latn-ME"/>
        </w:rPr>
        <w:t>Vlada Crne Gore. (2020). Zakon o međunarodnoj i privremenoj zaštiti stranaca. https://www.gov.me/dokumenta/512fe62b-fcec-4ca5-a034-13a01048581b</w:t>
      </w:r>
    </w:p>
    <w:p w14:paraId="0629648A"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r w:rsidRPr="00E41D24">
        <w:rPr>
          <w:rFonts w:eastAsia="Times New Roman" w:cstheme="minorHAnsi"/>
          <w:sz w:val="20"/>
          <w:szCs w:val="20"/>
          <w:lang w:val="sr-Latn-ME"/>
        </w:rPr>
        <w:t xml:space="preserve">Vlada Crne Gore. (2022). Strategija za borbu protiv trgovine </w:t>
      </w:r>
      <w:proofErr w:type="spellStart"/>
      <w:r w:rsidRPr="00E41D24">
        <w:rPr>
          <w:rFonts w:eastAsia="Times New Roman" w:cstheme="minorHAnsi"/>
          <w:sz w:val="20"/>
          <w:szCs w:val="20"/>
          <w:lang w:val="sr-Latn-ME"/>
        </w:rPr>
        <w:t>ljudima</w:t>
      </w:r>
      <w:proofErr w:type="spellEnd"/>
      <w:r w:rsidRPr="00E41D24">
        <w:rPr>
          <w:rFonts w:eastAsia="Times New Roman" w:cstheme="minorHAnsi"/>
          <w:sz w:val="20"/>
          <w:szCs w:val="20"/>
          <w:lang w:val="sr-Latn-ME"/>
        </w:rPr>
        <w:t xml:space="preserve"> 2019–2024. https://www.gov.me/dokumenta/e0ada5d7-b0b4-4e84-a60c-12f6c4ddcf8a</w:t>
      </w:r>
    </w:p>
    <w:p w14:paraId="7D02C856"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r w:rsidRPr="00E41D24">
        <w:rPr>
          <w:rFonts w:eastAsia="Times New Roman" w:cstheme="minorHAnsi"/>
          <w:sz w:val="20"/>
          <w:szCs w:val="20"/>
          <w:lang w:val="sr-Latn-ME"/>
        </w:rPr>
        <w:lastRenderedPageBreak/>
        <w:t xml:space="preserve">Vlada Crne Gore. (2025). Nacrt strategije za borbu protiv trgovine </w:t>
      </w:r>
      <w:proofErr w:type="spellStart"/>
      <w:r w:rsidRPr="00E41D24">
        <w:rPr>
          <w:rFonts w:eastAsia="Times New Roman" w:cstheme="minorHAnsi"/>
          <w:sz w:val="20"/>
          <w:szCs w:val="20"/>
          <w:lang w:val="sr-Latn-ME"/>
        </w:rPr>
        <w:t>ljudima</w:t>
      </w:r>
      <w:proofErr w:type="spellEnd"/>
      <w:r w:rsidRPr="00E41D24">
        <w:rPr>
          <w:rFonts w:eastAsia="Times New Roman" w:cstheme="minorHAnsi"/>
          <w:sz w:val="20"/>
          <w:szCs w:val="20"/>
          <w:lang w:val="sr-Latn-ME"/>
        </w:rPr>
        <w:t xml:space="preserve"> za period 2025–2028. https://www.gov.me/dokumenta/b145b13d-9b48-41f7-bf82-9055b74bd8bd</w:t>
      </w:r>
    </w:p>
    <w:p w14:paraId="6ECC9302"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r w:rsidRPr="00E41D24">
        <w:rPr>
          <w:rFonts w:eastAsia="Times New Roman" w:cstheme="minorHAnsi"/>
          <w:sz w:val="20"/>
          <w:szCs w:val="20"/>
          <w:lang w:val="sr-Latn-ME"/>
        </w:rPr>
        <w:t>Vlada Crne Gore. (</w:t>
      </w:r>
      <w:proofErr w:type="spellStart"/>
      <w:r w:rsidRPr="00E41D24">
        <w:rPr>
          <w:rFonts w:eastAsia="Times New Roman" w:cstheme="minorHAnsi"/>
          <w:sz w:val="20"/>
          <w:szCs w:val="20"/>
          <w:lang w:val="sr-Latn-ME"/>
        </w:rPr>
        <w:t>n.d</w:t>
      </w:r>
      <w:proofErr w:type="spellEnd"/>
      <w:r w:rsidRPr="00E41D24">
        <w:rPr>
          <w:rFonts w:eastAsia="Times New Roman" w:cstheme="minorHAnsi"/>
          <w:sz w:val="20"/>
          <w:szCs w:val="20"/>
          <w:lang w:val="sr-Latn-ME"/>
        </w:rPr>
        <w:t>.). Granični prelazi. https://www.gov.me/en/article/border-crossing-points</w:t>
      </w:r>
    </w:p>
    <w:p w14:paraId="3930B906"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r w:rsidRPr="00E41D24">
        <w:rPr>
          <w:rFonts w:eastAsia="Times New Roman" w:cstheme="minorHAnsi"/>
          <w:sz w:val="20"/>
          <w:szCs w:val="20"/>
          <w:lang w:val="sr-Latn-ME"/>
        </w:rPr>
        <w:t>Vlada Crne Gore. (</w:t>
      </w:r>
      <w:proofErr w:type="spellStart"/>
      <w:r w:rsidRPr="00E41D24">
        <w:rPr>
          <w:rFonts w:eastAsia="Times New Roman" w:cstheme="minorHAnsi"/>
          <w:sz w:val="20"/>
          <w:szCs w:val="20"/>
          <w:lang w:val="sr-Latn-ME"/>
        </w:rPr>
        <w:t>n.d</w:t>
      </w:r>
      <w:proofErr w:type="spellEnd"/>
      <w:r w:rsidRPr="00E41D24">
        <w:rPr>
          <w:rFonts w:eastAsia="Times New Roman" w:cstheme="minorHAnsi"/>
          <w:sz w:val="20"/>
          <w:szCs w:val="20"/>
          <w:lang w:val="sr-Latn-ME"/>
        </w:rPr>
        <w:t>.). Zakon o graničnoj kontroli. https://www.gov.me/dokumenta/593a87db-6e5b-486c-84c6-89aebd0421c4</w:t>
      </w:r>
    </w:p>
    <w:p w14:paraId="1D36FA6A"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proofErr w:type="spellStart"/>
      <w:r w:rsidRPr="00E41D24">
        <w:rPr>
          <w:rFonts w:eastAsia="Times New Roman" w:cstheme="minorHAnsi"/>
          <w:sz w:val="20"/>
          <w:szCs w:val="20"/>
          <w:lang w:val="sr-Latn-ME"/>
        </w:rPr>
        <w:t>International</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Organization</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for</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Migration</w:t>
      </w:r>
      <w:proofErr w:type="spellEnd"/>
      <w:r w:rsidRPr="00E41D24">
        <w:rPr>
          <w:rFonts w:eastAsia="Times New Roman" w:cstheme="minorHAnsi"/>
          <w:sz w:val="20"/>
          <w:szCs w:val="20"/>
          <w:lang w:val="sr-Latn-ME"/>
        </w:rPr>
        <w:t>. (2024). DTM Crna Gora – kvartalni izvještaj: Q2 april–jun 2024. https://dtm.iom.int/reports/montenegro-quarterly-report-q2-april-june-2024</w:t>
      </w:r>
    </w:p>
    <w:p w14:paraId="6131892D"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proofErr w:type="spellStart"/>
      <w:r w:rsidRPr="00E41D24">
        <w:rPr>
          <w:rFonts w:eastAsia="Times New Roman" w:cstheme="minorHAnsi"/>
          <w:sz w:val="20"/>
          <w:szCs w:val="20"/>
          <w:lang w:val="sr-Latn-ME"/>
        </w:rPr>
        <w:t>International</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Organization</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for</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Migration</w:t>
      </w:r>
      <w:proofErr w:type="spellEnd"/>
      <w:r w:rsidRPr="00E41D24">
        <w:rPr>
          <w:rFonts w:eastAsia="Times New Roman" w:cstheme="minorHAnsi"/>
          <w:sz w:val="20"/>
          <w:szCs w:val="20"/>
          <w:lang w:val="sr-Latn-ME"/>
        </w:rPr>
        <w:t>. (2024). Pokretanje projekta podrške EU upravljanju migracijama i granicama u Crnoj Gori. https://montenegro.iom.int/news/project-kick-european-union-support-migration-and-border-management-montenegro</w:t>
      </w:r>
    </w:p>
    <w:p w14:paraId="446866ED"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proofErr w:type="spellStart"/>
      <w:r w:rsidRPr="00E41D24">
        <w:rPr>
          <w:rFonts w:eastAsia="Times New Roman" w:cstheme="minorHAnsi"/>
          <w:sz w:val="20"/>
          <w:szCs w:val="20"/>
          <w:lang w:val="sr-Latn-ME"/>
        </w:rPr>
        <w:t>International</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Organization</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for</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Migration</w:t>
      </w:r>
      <w:proofErr w:type="spellEnd"/>
      <w:r w:rsidRPr="00E41D24">
        <w:rPr>
          <w:rFonts w:eastAsia="Times New Roman" w:cstheme="minorHAnsi"/>
          <w:sz w:val="20"/>
          <w:szCs w:val="20"/>
          <w:lang w:val="sr-Latn-ME"/>
        </w:rPr>
        <w:t>. (</w:t>
      </w:r>
      <w:proofErr w:type="spellStart"/>
      <w:r w:rsidRPr="00E41D24">
        <w:rPr>
          <w:rFonts w:eastAsia="Times New Roman" w:cstheme="minorHAnsi"/>
          <w:sz w:val="20"/>
          <w:szCs w:val="20"/>
          <w:lang w:val="sr-Latn-ME"/>
        </w:rPr>
        <w:t>n.d</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Unapređenje</w:t>
      </w:r>
      <w:proofErr w:type="spellEnd"/>
      <w:r w:rsidRPr="00E41D24">
        <w:rPr>
          <w:rFonts w:eastAsia="Times New Roman" w:cstheme="minorHAnsi"/>
          <w:sz w:val="20"/>
          <w:szCs w:val="20"/>
          <w:lang w:val="sr-Latn-ME"/>
        </w:rPr>
        <w:t xml:space="preserve"> uslova u </w:t>
      </w:r>
      <w:proofErr w:type="spellStart"/>
      <w:r w:rsidRPr="00E41D24">
        <w:rPr>
          <w:rFonts w:eastAsia="Times New Roman" w:cstheme="minorHAnsi"/>
          <w:sz w:val="20"/>
          <w:szCs w:val="20"/>
          <w:lang w:val="sr-Latn-ME"/>
        </w:rPr>
        <w:t>Božaju</w:t>
      </w:r>
      <w:proofErr w:type="spellEnd"/>
      <w:r w:rsidRPr="00E41D24">
        <w:rPr>
          <w:rFonts w:eastAsia="Times New Roman" w:cstheme="minorHAnsi"/>
          <w:sz w:val="20"/>
          <w:szCs w:val="20"/>
          <w:lang w:val="sr-Latn-ME"/>
        </w:rPr>
        <w:t xml:space="preserve"> za prihvat migranata na granici. https://montenegro.iom.int/news/upgrading-conditions-migrants-reception-border</w:t>
      </w:r>
    </w:p>
    <w:p w14:paraId="74417B4B"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r w:rsidRPr="00E41D24">
        <w:rPr>
          <w:rFonts w:eastAsia="Times New Roman" w:cstheme="minorHAnsi"/>
          <w:sz w:val="20"/>
          <w:szCs w:val="20"/>
          <w:lang w:val="sr-Latn-ME"/>
        </w:rPr>
        <w:t xml:space="preserve">Mina </w:t>
      </w:r>
      <w:proofErr w:type="spellStart"/>
      <w:r w:rsidRPr="00E41D24">
        <w:rPr>
          <w:rFonts w:eastAsia="Times New Roman" w:cstheme="minorHAnsi"/>
          <w:sz w:val="20"/>
          <w:szCs w:val="20"/>
          <w:lang w:val="sr-Latn-ME"/>
        </w:rPr>
        <w:t>News</w:t>
      </w:r>
      <w:proofErr w:type="spellEnd"/>
      <w:r w:rsidRPr="00E41D24">
        <w:rPr>
          <w:rFonts w:eastAsia="Times New Roman" w:cstheme="minorHAnsi"/>
          <w:sz w:val="20"/>
          <w:szCs w:val="20"/>
          <w:lang w:val="sr-Latn-ME"/>
        </w:rPr>
        <w:t xml:space="preserve">. (2025). </w:t>
      </w:r>
      <w:proofErr w:type="spellStart"/>
      <w:r w:rsidRPr="00E41D24">
        <w:rPr>
          <w:rFonts w:eastAsia="Times New Roman" w:cstheme="minorHAnsi"/>
          <w:sz w:val="20"/>
          <w:szCs w:val="20"/>
          <w:lang w:val="sr-Latn-ME"/>
        </w:rPr>
        <w:t>Šaranović</w:t>
      </w:r>
      <w:proofErr w:type="spellEnd"/>
      <w:r w:rsidRPr="00E41D24">
        <w:rPr>
          <w:rFonts w:eastAsia="Times New Roman" w:cstheme="minorHAnsi"/>
          <w:sz w:val="20"/>
          <w:szCs w:val="20"/>
          <w:lang w:val="sr-Latn-ME"/>
        </w:rPr>
        <w:t>: 97.995 stranaca sa odobrenim boravkom u Crnoj Gori. https://new.mina.news/en/article/saranovic-97.995-foreigners-with-granted-residence-in-montenegro</w:t>
      </w:r>
    </w:p>
    <w:p w14:paraId="0F23ED5A"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proofErr w:type="spellStart"/>
      <w:r w:rsidRPr="00E41D24">
        <w:rPr>
          <w:rFonts w:eastAsia="Times New Roman" w:cstheme="minorHAnsi"/>
          <w:sz w:val="20"/>
          <w:szCs w:val="20"/>
          <w:lang w:val="sr-Latn-ME"/>
        </w:rPr>
        <w:t>Mixed</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Migration</w:t>
      </w:r>
      <w:proofErr w:type="spellEnd"/>
      <w:r w:rsidRPr="00E41D24">
        <w:rPr>
          <w:rFonts w:eastAsia="Times New Roman" w:cstheme="minorHAnsi"/>
          <w:sz w:val="20"/>
          <w:szCs w:val="20"/>
          <w:lang w:val="sr-Latn-ME"/>
        </w:rPr>
        <w:t xml:space="preserve"> Centre. (2025). Mješovite migracije na Zapadnom Balkanu. https://mixedmigration.org/wp-content/uploads/2025/02/351_Mixed-migration-in-the-Western-Balkans.pdf</w:t>
      </w:r>
    </w:p>
    <w:p w14:paraId="705547F8"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proofErr w:type="spellStart"/>
      <w:r w:rsidRPr="00E41D24">
        <w:rPr>
          <w:rFonts w:eastAsia="Times New Roman" w:cstheme="minorHAnsi"/>
          <w:sz w:val="20"/>
          <w:szCs w:val="20"/>
          <w:lang w:val="sr-Latn-ME"/>
        </w:rPr>
        <w:t>United</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Nations</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High</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Commissioner</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for</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Refugees</w:t>
      </w:r>
      <w:proofErr w:type="spellEnd"/>
      <w:r w:rsidRPr="00E41D24">
        <w:rPr>
          <w:rFonts w:eastAsia="Times New Roman" w:cstheme="minorHAnsi"/>
          <w:sz w:val="20"/>
          <w:szCs w:val="20"/>
          <w:lang w:val="sr-Latn-ME"/>
        </w:rPr>
        <w:t>. (2022). Informacije za osobe koje dolaze iz Ukrajine. https://help.unhcr.org/montenegro/information-for-people-arriving-from-ukraine/</w:t>
      </w:r>
    </w:p>
    <w:p w14:paraId="12B6F0BB"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proofErr w:type="spellStart"/>
      <w:r w:rsidRPr="00E41D24">
        <w:rPr>
          <w:rFonts w:eastAsia="Times New Roman" w:cstheme="minorHAnsi"/>
          <w:sz w:val="20"/>
          <w:szCs w:val="20"/>
          <w:lang w:val="sr-Latn-ME"/>
        </w:rPr>
        <w:t>United</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Nations</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High</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Commissioner</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for</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Refugees</w:t>
      </w:r>
      <w:proofErr w:type="spellEnd"/>
      <w:r w:rsidRPr="00E41D24">
        <w:rPr>
          <w:rFonts w:eastAsia="Times New Roman" w:cstheme="minorHAnsi"/>
          <w:sz w:val="20"/>
          <w:szCs w:val="20"/>
          <w:lang w:val="sr-Latn-ME"/>
        </w:rPr>
        <w:t xml:space="preserve">. (2024, februar). UNHCR Crna Gora – informativni </w:t>
      </w:r>
      <w:proofErr w:type="spellStart"/>
      <w:r w:rsidRPr="00E41D24">
        <w:rPr>
          <w:rFonts w:eastAsia="Times New Roman" w:cstheme="minorHAnsi"/>
          <w:sz w:val="20"/>
          <w:szCs w:val="20"/>
          <w:lang w:val="sr-Latn-ME"/>
        </w:rPr>
        <w:t>pregled</w:t>
      </w:r>
      <w:proofErr w:type="spellEnd"/>
      <w:r w:rsidRPr="00E41D24">
        <w:rPr>
          <w:rFonts w:eastAsia="Times New Roman" w:cstheme="minorHAnsi"/>
          <w:sz w:val="20"/>
          <w:szCs w:val="20"/>
          <w:lang w:val="sr-Latn-ME"/>
        </w:rPr>
        <w:t>. https://reliefweb.int/report/montenegro/unhcr-montenegro-fact-sheet-february-2024</w:t>
      </w:r>
    </w:p>
    <w:p w14:paraId="0F3DDE53"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proofErr w:type="spellStart"/>
      <w:r w:rsidRPr="00E41D24">
        <w:rPr>
          <w:rFonts w:eastAsia="Times New Roman" w:cstheme="minorHAnsi"/>
          <w:sz w:val="20"/>
          <w:szCs w:val="20"/>
          <w:lang w:val="sr-Latn-ME"/>
        </w:rPr>
        <w:t>United</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Nations</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High</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Commissioner</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for</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Refugees</w:t>
      </w:r>
      <w:proofErr w:type="spellEnd"/>
      <w:r w:rsidRPr="00E41D24">
        <w:rPr>
          <w:rFonts w:eastAsia="Times New Roman" w:cstheme="minorHAnsi"/>
          <w:sz w:val="20"/>
          <w:szCs w:val="20"/>
          <w:lang w:val="sr-Latn-ME"/>
        </w:rPr>
        <w:t>. (</w:t>
      </w:r>
      <w:proofErr w:type="spellStart"/>
      <w:r w:rsidRPr="00E41D24">
        <w:rPr>
          <w:rFonts w:eastAsia="Times New Roman" w:cstheme="minorHAnsi"/>
          <w:sz w:val="20"/>
          <w:szCs w:val="20"/>
          <w:lang w:val="sr-Latn-ME"/>
        </w:rPr>
        <w:t>n.d</w:t>
      </w:r>
      <w:proofErr w:type="spellEnd"/>
      <w:r w:rsidRPr="00E41D24">
        <w:rPr>
          <w:rFonts w:eastAsia="Times New Roman" w:cstheme="minorHAnsi"/>
          <w:sz w:val="20"/>
          <w:szCs w:val="20"/>
          <w:lang w:val="sr-Latn-ME"/>
        </w:rPr>
        <w:t>.). Azil u Crnoj Gori i način podnošenja zahtjeva. https://help.unhcr.org/montenegro/asylum-in-montenegro-and-how-to-apply/</w:t>
      </w:r>
    </w:p>
    <w:p w14:paraId="5386C5F5" w14:textId="77777777" w:rsidR="005128AE" w:rsidRPr="00E41D24" w:rsidRDefault="005128AE" w:rsidP="005128AE">
      <w:pPr>
        <w:pStyle w:val="Odlomakpopisa"/>
        <w:numPr>
          <w:ilvl w:val="0"/>
          <w:numId w:val="1"/>
        </w:numPr>
        <w:spacing w:after="0" w:line="240" w:lineRule="auto"/>
        <w:rPr>
          <w:rFonts w:eastAsia="Times New Roman" w:cstheme="minorHAnsi"/>
          <w:sz w:val="20"/>
          <w:szCs w:val="20"/>
          <w:lang w:val="sr-Latn-ME"/>
        </w:rPr>
      </w:pPr>
      <w:proofErr w:type="spellStart"/>
      <w:r w:rsidRPr="00E41D24">
        <w:rPr>
          <w:rFonts w:eastAsia="Times New Roman" w:cstheme="minorHAnsi"/>
          <w:sz w:val="20"/>
          <w:szCs w:val="20"/>
          <w:lang w:val="sr-Latn-ME"/>
        </w:rPr>
        <w:t>United</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Nations</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High</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Commissioner</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for</w:t>
      </w:r>
      <w:proofErr w:type="spellEnd"/>
      <w:r w:rsidRPr="00E41D24">
        <w:rPr>
          <w:rFonts w:eastAsia="Times New Roman" w:cstheme="minorHAnsi"/>
          <w:sz w:val="20"/>
          <w:szCs w:val="20"/>
          <w:lang w:val="sr-Latn-ME"/>
        </w:rPr>
        <w:t xml:space="preserve"> </w:t>
      </w:r>
      <w:proofErr w:type="spellStart"/>
      <w:r w:rsidRPr="00E41D24">
        <w:rPr>
          <w:rFonts w:eastAsia="Times New Roman" w:cstheme="minorHAnsi"/>
          <w:sz w:val="20"/>
          <w:szCs w:val="20"/>
          <w:lang w:val="sr-Latn-ME"/>
        </w:rPr>
        <w:t>Refugees</w:t>
      </w:r>
      <w:proofErr w:type="spellEnd"/>
      <w:r w:rsidRPr="00E41D24">
        <w:rPr>
          <w:rFonts w:eastAsia="Times New Roman" w:cstheme="minorHAnsi"/>
          <w:sz w:val="20"/>
          <w:szCs w:val="20"/>
          <w:lang w:val="sr-Latn-ME"/>
        </w:rPr>
        <w:t>. (</w:t>
      </w:r>
      <w:proofErr w:type="spellStart"/>
      <w:r w:rsidRPr="00E41D24">
        <w:rPr>
          <w:rFonts w:eastAsia="Times New Roman" w:cstheme="minorHAnsi"/>
          <w:sz w:val="20"/>
          <w:szCs w:val="20"/>
          <w:lang w:val="sr-Latn-ME"/>
        </w:rPr>
        <w:t>n.d</w:t>
      </w:r>
      <w:proofErr w:type="spellEnd"/>
      <w:r w:rsidRPr="00E41D24">
        <w:rPr>
          <w:rFonts w:eastAsia="Times New Roman" w:cstheme="minorHAnsi"/>
          <w:sz w:val="20"/>
          <w:szCs w:val="20"/>
          <w:lang w:val="sr-Latn-ME"/>
        </w:rPr>
        <w:t>.). Crna Gora. https://www.unhcr.org/where-we-work/countries/montenegro</w:t>
      </w:r>
    </w:p>
    <w:p w14:paraId="72725426" w14:textId="77777777" w:rsidR="0087152E" w:rsidRPr="005128AE" w:rsidRDefault="0087152E">
      <w:pPr>
        <w:rPr>
          <w:lang w:val="sr-Latn-ME"/>
        </w:rPr>
      </w:pPr>
    </w:p>
    <w:sectPr w:rsidR="0087152E" w:rsidRPr="005128AE" w:rsidSect="009313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9C206" w14:textId="77777777" w:rsidR="004D0684" w:rsidRDefault="004D0684" w:rsidP="005128AE">
      <w:pPr>
        <w:spacing w:after="0" w:line="240" w:lineRule="auto"/>
      </w:pPr>
      <w:r>
        <w:separator/>
      </w:r>
    </w:p>
  </w:endnote>
  <w:endnote w:type="continuationSeparator" w:id="0">
    <w:p w14:paraId="0820ED1E" w14:textId="77777777" w:rsidR="004D0684" w:rsidRDefault="004D0684" w:rsidP="00512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6A7A9" w14:textId="77777777" w:rsidR="004D0684" w:rsidRDefault="004D0684" w:rsidP="005128AE">
      <w:pPr>
        <w:spacing w:after="0" w:line="240" w:lineRule="auto"/>
      </w:pPr>
      <w:r>
        <w:separator/>
      </w:r>
    </w:p>
  </w:footnote>
  <w:footnote w:type="continuationSeparator" w:id="0">
    <w:p w14:paraId="064E6674" w14:textId="77777777" w:rsidR="004D0684" w:rsidRDefault="004D0684" w:rsidP="005128AE">
      <w:pPr>
        <w:spacing w:after="0" w:line="240" w:lineRule="auto"/>
      </w:pPr>
      <w:r>
        <w:continuationSeparator/>
      </w:r>
    </w:p>
  </w:footnote>
  <w:footnote w:id="1">
    <w:p w14:paraId="74651D7F" w14:textId="77777777" w:rsidR="005128AE" w:rsidRDefault="005128AE" w:rsidP="005128AE">
      <w:pPr>
        <w:pStyle w:val="Tekstfusnote"/>
      </w:pPr>
      <w:r>
        <w:rPr>
          <w:rStyle w:val="Referencafusnote"/>
        </w:rPr>
        <w:footnoteRef/>
      </w:r>
      <w:r>
        <w:t xml:space="preserve"> Proposal for a Regulation establishing a budget expenditure tracking and performance framework, COM(2025)545, Annex I. </w:t>
      </w:r>
      <w:hyperlink r:id="rId1" w:history="1">
        <w:r>
          <w:rPr>
            <w:rStyle w:val="Hiperveza"/>
          </w:rPr>
          <w:t>https://eur-lex.europa.eu/legal-content/EN/TXT/?uri=CELEX%3A52025PC0545</w:t>
        </w:r>
      </w:hyperlink>
    </w:p>
  </w:footnote>
  <w:footnote w:id="2">
    <w:p w14:paraId="662974A4" w14:textId="77777777" w:rsidR="005128AE" w:rsidRDefault="005128AE" w:rsidP="005128AE">
      <w:pPr>
        <w:pStyle w:val="Tekstfusnote"/>
      </w:pPr>
      <w:r>
        <w:rPr>
          <w:rStyle w:val="Referencafusnote"/>
        </w:rPr>
        <w:footnoteRef/>
      </w:r>
      <w:r>
        <w:t xml:space="preserve"> EU Pact on Migration and Asylum. </w:t>
      </w:r>
      <w:hyperlink r:id="rId2" w:history="1">
        <w:r>
          <w:rPr>
            <w:rStyle w:val="Hiperveza"/>
          </w:rPr>
          <w:t>https://home-affairs.ec.europa.eu/policies/migration-and-asylum/pact-migration-and-asylum_en</w:t>
        </w:r>
      </w:hyperlink>
      <w:r>
        <w:rPr>
          <w:rStyle w:val="Hiperveza"/>
        </w:rPr>
        <w:t xml:space="preserve">; </w:t>
      </w:r>
      <w:r>
        <w:t xml:space="preserve">European Commission. (2020). </w:t>
      </w:r>
      <w:r>
        <w:rPr>
          <w:rStyle w:val="Istaknuto"/>
        </w:rPr>
        <w:t>Communication from the Commission to the European Parliament, the Council, the European Economic and Social Committee and the Committee of the Regions on a New Pact on Migration and Asylum</w:t>
      </w:r>
      <w:r>
        <w:t xml:space="preserve"> (COM/2020/609 final). </w:t>
      </w:r>
      <w:hyperlink r:id="rId3" w:history="1">
        <w:r w:rsidRPr="005C0461">
          <w:rPr>
            <w:rStyle w:val="Hiperveza"/>
          </w:rPr>
          <w:t>https://eur-lex.europa.eu/legal-content/EN/TXT/?uri=CELEX:52020DC0609</w:t>
        </w:r>
      </w:hyperlink>
      <w:r>
        <w:t xml:space="preserve"> </w:t>
      </w:r>
    </w:p>
  </w:footnote>
  <w:footnote w:id="3">
    <w:p w14:paraId="5F6C99CF" w14:textId="77777777" w:rsidR="005128AE" w:rsidRDefault="005128AE" w:rsidP="005128AE">
      <w:pPr>
        <w:pStyle w:val="Tekstfusnote"/>
      </w:pPr>
      <w:r>
        <w:rPr>
          <w:rStyle w:val="Referencafusnote"/>
        </w:rPr>
        <w:footnoteRef/>
      </w:r>
      <w:r>
        <w:t xml:space="preserve"> Regulation (EU) 2024/1351 on asylum and migration management (AMMR). </w:t>
      </w:r>
      <w:hyperlink r:id="rId4" w:history="1">
        <w:r>
          <w:rPr>
            <w:rStyle w:val="Hiperveza"/>
          </w:rPr>
          <w:t>https://eur-lex.europa.eu/eli/reg/2024/1351/oj</w:t>
        </w:r>
      </w:hyperlink>
    </w:p>
  </w:footnote>
  <w:footnote w:id="4">
    <w:p w14:paraId="6455790E" w14:textId="77777777" w:rsidR="005128AE" w:rsidRDefault="005128AE" w:rsidP="005128AE">
      <w:pPr>
        <w:pStyle w:val="Tekstfusnote"/>
      </w:pPr>
      <w:r>
        <w:rPr>
          <w:rStyle w:val="Referencafusnote"/>
        </w:rPr>
        <w:footnoteRef/>
      </w:r>
      <w:r>
        <w:t xml:space="preserve"> </w:t>
      </w:r>
      <w:r w:rsidRPr="00E60CEF">
        <w:t>https://eur-lex.europa.eu/eli/reg/2024/1348/oj/eng</w:t>
      </w:r>
    </w:p>
  </w:footnote>
  <w:footnote w:id="5">
    <w:p w14:paraId="3E120CA4" w14:textId="77777777" w:rsidR="005128AE" w:rsidRDefault="005128AE" w:rsidP="005128AE">
      <w:pPr>
        <w:pStyle w:val="Tekstfusnote"/>
      </w:pPr>
      <w:r>
        <w:rPr>
          <w:rStyle w:val="Referencafusnote"/>
        </w:rPr>
        <w:footnoteRef/>
      </w:r>
      <w:r>
        <w:t xml:space="preserve"> </w:t>
      </w:r>
      <w:r w:rsidRPr="00E60CEF">
        <w:t>https://eur-lex.europa.eu/eli/reg/2024/1356/oj/eng</w:t>
      </w:r>
    </w:p>
  </w:footnote>
  <w:footnote w:id="6">
    <w:p w14:paraId="557BC166" w14:textId="77777777" w:rsidR="005128AE" w:rsidRDefault="005128AE" w:rsidP="005128AE">
      <w:pPr>
        <w:pStyle w:val="Tekstfusnote"/>
      </w:pPr>
      <w:r>
        <w:rPr>
          <w:rStyle w:val="Referencafusnote"/>
        </w:rPr>
        <w:footnoteRef/>
      </w:r>
      <w:r>
        <w:t xml:space="preserve"> </w:t>
      </w:r>
      <w:r w:rsidRPr="000D251A">
        <w:t>https://eur-lex.europa.eu/eli/reg/2024/1358/oj/eng</w:t>
      </w:r>
    </w:p>
  </w:footnote>
  <w:footnote w:id="7">
    <w:p w14:paraId="07B74D62" w14:textId="77777777" w:rsidR="005128AE" w:rsidRDefault="005128AE" w:rsidP="005128AE">
      <w:pPr>
        <w:pStyle w:val="Tekstfusnote"/>
      </w:pPr>
      <w:r>
        <w:rPr>
          <w:rStyle w:val="Referencafusnote"/>
        </w:rPr>
        <w:footnoteRef/>
      </w:r>
      <w:r>
        <w:t xml:space="preserve"> </w:t>
      </w:r>
      <w:r w:rsidRPr="000D251A">
        <w:t>https://eur-lex.europa.eu/eli/reg/2024/1359/oj/eng</w:t>
      </w:r>
    </w:p>
  </w:footnote>
  <w:footnote w:id="8">
    <w:p w14:paraId="1E206E96" w14:textId="77777777" w:rsidR="005128AE" w:rsidRDefault="005128AE" w:rsidP="005128AE">
      <w:pPr>
        <w:pStyle w:val="Tekstfusnote"/>
      </w:pPr>
      <w:r>
        <w:rPr>
          <w:rStyle w:val="Referencafusnote"/>
        </w:rPr>
        <w:footnoteRef/>
      </w:r>
      <w:r>
        <w:t xml:space="preserve"> </w:t>
      </w:r>
      <w:r w:rsidRPr="000D251A">
        <w:t>https://eur-lex.europa.eu/eli/dir/2024/1346/oj/eng</w:t>
      </w:r>
    </w:p>
  </w:footnote>
  <w:footnote w:id="9">
    <w:p w14:paraId="5D3F3CFE" w14:textId="77777777" w:rsidR="005128AE" w:rsidRDefault="005128AE" w:rsidP="005128AE">
      <w:pPr>
        <w:pStyle w:val="Tekstfusnote"/>
      </w:pPr>
      <w:r>
        <w:rPr>
          <w:rStyle w:val="Referencafusnote"/>
        </w:rPr>
        <w:footnoteRef/>
      </w:r>
      <w:r>
        <w:t xml:space="preserve"> EU Multiannual Strategic Policy for European Integrated Border Management, COM(2023)146. </w:t>
      </w:r>
      <w:hyperlink r:id="rId5" w:history="1">
        <w:r>
          <w:rPr>
            <w:rStyle w:val="Hiperveza"/>
          </w:rPr>
          <w:t>https://eur-lex.europa.eu/legal-content/EN/ALL/?uri=CELEX:52023DC0146</w:t>
        </w:r>
      </w:hyperlink>
    </w:p>
  </w:footnote>
  <w:footnote w:id="10">
    <w:p w14:paraId="5E13C792" w14:textId="77777777" w:rsidR="005128AE" w:rsidRDefault="005128AE" w:rsidP="005128AE">
      <w:pPr>
        <w:pStyle w:val="Tekstfusnote"/>
      </w:pPr>
      <w:r>
        <w:rPr>
          <w:rStyle w:val="Referencafusnote"/>
        </w:rPr>
        <w:footnoteRef/>
      </w:r>
      <w:r>
        <w:t xml:space="preserve"> Regulation (EU) 2019/1896 on the European Border and Coast Guard (Frontex). </w:t>
      </w:r>
      <w:hyperlink r:id="rId6" w:history="1">
        <w:r>
          <w:rPr>
            <w:rStyle w:val="Hiperveza"/>
          </w:rPr>
          <w:t>https://eur-lex.europa.eu/eli/reg/2019/1896/oj</w:t>
        </w:r>
      </w:hyperlink>
    </w:p>
  </w:footnote>
  <w:footnote w:id="11">
    <w:p w14:paraId="37DC0A13" w14:textId="77777777" w:rsidR="005128AE" w:rsidRDefault="005128AE" w:rsidP="005128AE">
      <w:pPr>
        <w:pStyle w:val="Tekstfusnote"/>
      </w:pPr>
      <w:r>
        <w:rPr>
          <w:rStyle w:val="Referencafusnote"/>
        </w:rPr>
        <w:footnoteRef/>
      </w:r>
      <w:r>
        <w:t xml:space="preserve"> Regulation (EU) 2024/1717 - revised Schengen Borders Code. </w:t>
      </w:r>
      <w:r w:rsidRPr="000D251A">
        <w:t>https://eur-lex.europa.eu/eli/reg/2024/1717/oj/eng</w:t>
      </w:r>
    </w:p>
  </w:footnote>
  <w:footnote w:id="12">
    <w:p w14:paraId="0F7B532C" w14:textId="77777777" w:rsidR="005128AE" w:rsidRDefault="005128AE" w:rsidP="005128AE">
      <w:pPr>
        <w:pStyle w:val="Tekstfusnote"/>
      </w:pPr>
      <w:r>
        <w:rPr>
          <w:rStyle w:val="Referencafusnote"/>
        </w:rPr>
        <w:footnoteRef/>
      </w:r>
      <w:r>
        <w:t xml:space="preserve"> </w:t>
      </w:r>
      <w:r w:rsidRPr="000D251A">
        <w:t>https://home-affairs.ec.europa.eu/policies/schengen/schengen-information-system_en</w:t>
      </w:r>
    </w:p>
  </w:footnote>
  <w:footnote w:id="13">
    <w:p w14:paraId="0932716A" w14:textId="77777777" w:rsidR="005128AE" w:rsidRDefault="005128AE" w:rsidP="005128AE">
      <w:pPr>
        <w:pStyle w:val="Tekstfusnote"/>
      </w:pPr>
      <w:r>
        <w:rPr>
          <w:rStyle w:val="Referencafusnote"/>
        </w:rPr>
        <w:footnoteRef/>
      </w:r>
      <w:r>
        <w:t xml:space="preserve"> </w:t>
      </w:r>
      <w:r w:rsidRPr="000D251A">
        <w:t>https://home-affairs.ec.europa.eu/policies/schengen/visa-information-system_en</w:t>
      </w:r>
    </w:p>
  </w:footnote>
  <w:footnote w:id="14">
    <w:p w14:paraId="6F35AC59" w14:textId="77777777" w:rsidR="005128AE" w:rsidRDefault="005128AE" w:rsidP="005128AE">
      <w:pPr>
        <w:pStyle w:val="Tekstfusnote"/>
      </w:pPr>
      <w:r>
        <w:rPr>
          <w:rStyle w:val="Referencafusnote"/>
        </w:rPr>
        <w:footnoteRef/>
      </w:r>
      <w:r>
        <w:t xml:space="preserve"> </w:t>
      </w:r>
      <w:r w:rsidRPr="000D251A">
        <w:t>https://travel-europe.europa.eu/en/ees</w:t>
      </w:r>
    </w:p>
  </w:footnote>
  <w:footnote w:id="15">
    <w:p w14:paraId="7921BF0D" w14:textId="77777777" w:rsidR="005128AE" w:rsidRDefault="005128AE" w:rsidP="005128AE">
      <w:pPr>
        <w:pStyle w:val="Tekstfusnote"/>
      </w:pPr>
      <w:r>
        <w:rPr>
          <w:rStyle w:val="Referencafusnote"/>
        </w:rPr>
        <w:footnoteRef/>
      </w:r>
      <w:r>
        <w:t xml:space="preserve"> </w:t>
      </w:r>
      <w:r w:rsidRPr="000D251A">
        <w:t>https://travel-europe.europa.eu/en/etias</w:t>
      </w:r>
    </w:p>
  </w:footnote>
  <w:footnote w:id="16">
    <w:p w14:paraId="1EAB4525" w14:textId="77777777" w:rsidR="005128AE" w:rsidRDefault="005128AE" w:rsidP="005128AE">
      <w:pPr>
        <w:pStyle w:val="Tekstfusnote"/>
      </w:pPr>
      <w:r>
        <w:rPr>
          <w:rStyle w:val="Referencafusnote"/>
        </w:rPr>
        <w:footnoteRef/>
      </w:r>
      <w:r>
        <w:t xml:space="preserve"> Regulation (EU) 2024/1717 - revised Schengen Borders Code. </w:t>
      </w:r>
      <w:r w:rsidRPr="000D251A">
        <w:t>https://eur-lex.europa.eu/eli/reg/2024/1717/oj/eng</w:t>
      </w:r>
    </w:p>
  </w:footnote>
  <w:footnote w:id="17">
    <w:p w14:paraId="2B8853D1" w14:textId="77777777" w:rsidR="005128AE" w:rsidRDefault="005128AE" w:rsidP="005128AE">
      <w:pPr>
        <w:pStyle w:val="Tekstfusnote"/>
      </w:pPr>
      <w:r>
        <w:rPr>
          <w:rStyle w:val="Referencafusnote"/>
        </w:rPr>
        <w:footnoteRef/>
      </w:r>
      <w:r>
        <w:t xml:space="preserve"> Visa Code, Regulation (EC) No 810/2009 as amended by Regulation (EU) 2019/1155; visa lists Regulation (EU) 2018/1806. </w:t>
      </w:r>
      <w:r w:rsidRPr="000D251A">
        <w:t>https://eur-lex.europa.eu/legal-content/EN/ALL/?uri=uriserv:OJ.L_.2019.188.01.0025.01.ENG</w:t>
      </w:r>
    </w:p>
  </w:footnote>
  <w:footnote w:id="18">
    <w:p w14:paraId="28043552" w14:textId="77777777" w:rsidR="005128AE" w:rsidRDefault="005128AE" w:rsidP="005128AE">
      <w:pPr>
        <w:pStyle w:val="Tekstfusnote"/>
      </w:pPr>
      <w:r>
        <w:rPr>
          <w:rStyle w:val="Referencafusnote"/>
        </w:rPr>
        <w:footnoteRef/>
      </w:r>
      <w:r>
        <w:t xml:space="preserve"> </w:t>
      </w:r>
      <w:r w:rsidRPr="000D251A">
        <w:t>https://eur-lex.europa.eu/eli/reg/2018/1806/oj/eng</w:t>
      </w:r>
    </w:p>
  </w:footnote>
  <w:footnote w:id="19">
    <w:p w14:paraId="447E4DB3" w14:textId="77777777" w:rsidR="005128AE" w:rsidRPr="008A5A33" w:rsidRDefault="005128AE" w:rsidP="005128AE">
      <w:pPr>
        <w:pStyle w:val="Tekstfusnote"/>
      </w:pPr>
      <w:r>
        <w:rPr>
          <w:rStyle w:val="Referencafusnote"/>
        </w:rPr>
        <w:footnoteRef/>
      </w:r>
      <w:r>
        <w:t xml:space="preserve"> </w:t>
      </w:r>
      <w:r w:rsidRPr="008A5A33">
        <w:t xml:space="preserve">European Commission. (2026). </w:t>
      </w:r>
      <w:r w:rsidRPr="008A5A33">
        <w:rPr>
          <w:i/>
          <w:iCs/>
        </w:rPr>
        <w:t>Communication from the Commission to the European Parliament and the Council on EU visa policy strategy</w:t>
      </w:r>
      <w:r w:rsidRPr="008A5A33">
        <w:t xml:space="preserve"> (COM/2026/43 final). </w:t>
      </w:r>
      <w:hyperlink r:id="rId7" w:tgtFrame="_new" w:history="1">
        <w:r w:rsidRPr="008A5A33">
          <w:t>https://eur-lex.europa.eu/</w:t>
        </w:r>
      </w:hyperlink>
    </w:p>
  </w:footnote>
  <w:footnote w:id="20">
    <w:p w14:paraId="3C77ADBC" w14:textId="77777777" w:rsidR="005128AE" w:rsidRDefault="005128AE" w:rsidP="005128AE">
      <w:pPr>
        <w:pStyle w:val="Tekstfusnote"/>
      </w:pPr>
      <w:r>
        <w:rPr>
          <w:rStyle w:val="Referencafusnote"/>
        </w:rPr>
        <w:footnoteRef/>
      </w:r>
      <w:r>
        <w:t xml:space="preserve"> EC Montenegro Report 2025, SWD(2025) 429 final, section on IBM. </w:t>
      </w:r>
      <w:hyperlink r:id="rId8" w:history="1">
        <w:r>
          <w:rPr>
            <w:rStyle w:val="Hiperveza"/>
          </w:rPr>
          <w:t>https://enlargement.ec.europa.eu/montenegro-report-2025_en</w:t>
        </w:r>
      </w:hyperlink>
      <w:r>
        <w:t>; European Parliament Resolution A10-0093/2025.</w:t>
      </w:r>
    </w:p>
  </w:footnote>
  <w:footnote w:id="21">
    <w:p w14:paraId="5650D9BD" w14:textId="77777777" w:rsidR="005128AE" w:rsidRDefault="005128AE" w:rsidP="005128AE">
      <w:pPr>
        <w:pStyle w:val="Tekstfusnote"/>
      </w:pPr>
      <w:r>
        <w:rPr>
          <w:rStyle w:val="Referencafusnote"/>
        </w:rPr>
        <w:footnoteRef/>
      </w:r>
      <w:r>
        <w:t xml:space="preserve"> </w:t>
      </w:r>
      <w:r w:rsidRPr="0096070B">
        <w:t>https://www.euaa.europa.eu/sites/default/files/publications/2025-04/Roadmap_EUAAandMontenegro_2025-2027.pdf</w:t>
      </w:r>
    </w:p>
  </w:footnote>
  <w:footnote w:id="22">
    <w:p w14:paraId="76BE1CB2" w14:textId="77777777" w:rsidR="005128AE" w:rsidRDefault="005128AE" w:rsidP="005128AE">
      <w:pPr>
        <w:pStyle w:val="Tekstfusnote"/>
      </w:pPr>
      <w:r>
        <w:rPr>
          <w:rStyle w:val="Referencafusnote"/>
        </w:rPr>
        <w:footnoteRef/>
      </w:r>
      <w:r>
        <w:t xml:space="preserve"> </w:t>
      </w:r>
      <w:r w:rsidRPr="0096070B">
        <w:t>https://www.europol.europa.eu/sites/default/files/documents/montenegro.pdf</w:t>
      </w:r>
    </w:p>
  </w:footnote>
  <w:footnote w:id="23">
    <w:p w14:paraId="765FCE39" w14:textId="77777777" w:rsidR="005128AE" w:rsidRDefault="005128AE" w:rsidP="005128AE">
      <w:pPr>
        <w:pStyle w:val="Tekstfusnote"/>
      </w:pPr>
      <w:r>
        <w:rPr>
          <w:rStyle w:val="Referencafusnote"/>
        </w:rPr>
        <w:footnoteRef/>
      </w:r>
      <w:r>
        <w:t xml:space="preserve"> </w:t>
      </w:r>
      <w:r w:rsidRPr="0096070B">
        <w:t>https://www.eurojust.europa.eu/document/agreement-cooperation-between-eurojust-and-montenegro</w:t>
      </w:r>
    </w:p>
  </w:footnote>
  <w:footnote w:id="24">
    <w:p w14:paraId="547760C2" w14:textId="77777777" w:rsidR="005128AE" w:rsidRDefault="005128AE" w:rsidP="005128AE">
      <w:pPr>
        <w:pStyle w:val="Tekstfusnote"/>
      </w:pPr>
      <w:r>
        <w:rPr>
          <w:rStyle w:val="Referencafusnote"/>
        </w:rPr>
        <w:footnoteRef/>
      </w:r>
      <w:r>
        <w:t xml:space="preserve"> </w:t>
      </w:r>
      <w:r w:rsidRPr="0096070B">
        <w:t>https://www.cepol.europa.eu/newsroom/news/cepol-strengthens-its-cooperation-montenegro</w:t>
      </w:r>
    </w:p>
  </w:footnote>
  <w:footnote w:id="25">
    <w:p w14:paraId="02C7DCA7" w14:textId="77777777" w:rsidR="005128AE" w:rsidRDefault="005128AE" w:rsidP="005128AE">
      <w:pPr>
        <w:pStyle w:val="Tekstfusnote"/>
      </w:pPr>
      <w:r>
        <w:rPr>
          <w:rStyle w:val="Referencafusnote"/>
        </w:rPr>
        <w:footnoteRef/>
      </w:r>
      <w:r>
        <w:t xml:space="preserve"> Government of Montenegro, Action Plan for fulfilling closing benchmarks in Chapter 24, adopted 25 April 2025. </w:t>
      </w:r>
      <w:hyperlink r:id="rId9" w:history="1">
        <w:r>
          <w:rPr>
            <w:rStyle w:val="Hiperveza"/>
          </w:rPr>
          <w:t>https://www.eu.me/en/poglavlje-24-pravda-sloboda-i-bezbjednost/</w:t>
        </w:r>
      </w:hyperlink>
    </w:p>
  </w:footnote>
  <w:footnote w:id="26">
    <w:p w14:paraId="4868B4E8" w14:textId="77777777" w:rsidR="005128AE" w:rsidRPr="00F3233B" w:rsidRDefault="005128AE" w:rsidP="005128AE">
      <w:pPr>
        <w:pStyle w:val="Tekstfusnote"/>
      </w:pPr>
      <w:r>
        <w:rPr>
          <w:rStyle w:val="Referencafusnote"/>
        </w:rPr>
        <w:footnoteRef/>
      </w:r>
      <w:r w:rsidRPr="00F3233B">
        <w:t xml:space="preserve"> Ibid.</w:t>
      </w:r>
    </w:p>
  </w:footnote>
  <w:footnote w:id="27">
    <w:p w14:paraId="73F0F1A3" w14:textId="77777777" w:rsidR="005128AE" w:rsidRPr="00F3233B" w:rsidRDefault="005128AE" w:rsidP="005128AE">
      <w:pPr>
        <w:pStyle w:val="Tekstfusnote"/>
      </w:pPr>
      <w:r>
        <w:rPr>
          <w:rStyle w:val="Referencafusnote"/>
        </w:rPr>
        <w:footnoteRef/>
      </w:r>
      <w:r w:rsidRPr="00F3233B">
        <w:t xml:space="preserve"> https://www.gov.me/dokumenta/9a482397-48e5-4ec5-865d-bdeb3c473201</w:t>
      </w:r>
    </w:p>
  </w:footnote>
  <w:footnote w:id="28">
    <w:p w14:paraId="7D72E463" w14:textId="77777777" w:rsidR="005128AE" w:rsidRDefault="005128AE" w:rsidP="005128AE">
      <w:pPr>
        <w:pStyle w:val="Tekstfusnote"/>
      </w:pPr>
      <w:r>
        <w:rPr>
          <w:rStyle w:val="Referencafusnote"/>
        </w:rPr>
        <w:footnoteRef/>
      </w:r>
      <w:r>
        <w:t xml:space="preserve"> </w:t>
      </w:r>
      <w:hyperlink r:id="rId10" w:history="1">
        <w:r w:rsidRPr="0079252C">
          <w:rPr>
            <w:rStyle w:val="Hiperveza"/>
          </w:rPr>
          <w:t>https://montenegro.iom.int/news/project-kick-european-union-support-migration-and-border-management-montenegro</w:t>
        </w:r>
      </w:hyperlink>
      <w:r>
        <w:t xml:space="preserve"> also </w:t>
      </w:r>
      <w:r w:rsidRPr="003B0458">
        <w:t>referenced in EC Montenegro Report and IPA IBM support documents.</w:t>
      </w:r>
    </w:p>
  </w:footnote>
  <w:footnote w:id="29">
    <w:p w14:paraId="3BB092A4" w14:textId="77777777" w:rsidR="005128AE" w:rsidRDefault="005128AE" w:rsidP="005128AE">
      <w:pPr>
        <w:pStyle w:val="Tekstfusnote"/>
      </w:pPr>
      <w:r>
        <w:rPr>
          <w:rStyle w:val="Referencafusnote"/>
        </w:rPr>
        <w:footnoteRef/>
      </w:r>
      <w:r>
        <w:t xml:space="preserve"> </w:t>
      </w:r>
      <w:r w:rsidRPr="009840C6">
        <w:t>https://www.gov.me/en/article/border-crossing-points</w:t>
      </w:r>
    </w:p>
  </w:footnote>
  <w:footnote w:id="30">
    <w:p w14:paraId="7FF66DF9" w14:textId="77777777" w:rsidR="005128AE" w:rsidRDefault="005128AE" w:rsidP="005128AE">
      <w:pPr>
        <w:pStyle w:val="Tekstfusnote"/>
      </w:pPr>
      <w:r>
        <w:rPr>
          <w:rStyle w:val="Referencafusnote"/>
        </w:rPr>
        <w:footnoteRef/>
      </w:r>
      <w:r>
        <w:t xml:space="preserve"> EC IPA Action Document for IBM, C(2023)4332. </w:t>
      </w:r>
      <w:hyperlink r:id="rId11" w:history="1">
        <w:r>
          <w:rPr>
            <w:rStyle w:val="Hiperveza"/>
          </w:rPr>
          <w:t>https://enlargement.ec.europa.eu/document/download/7d879228-04bb-4eac-9089-acac59af551a_en</w:t>
        </w:r>
      </w:hyperlink>
    </w:p>
  </w:footnote>
  <w:footnote w:id="31">
    <w:p w14:paraId="2BE5E5D7" w14:textId="77777777" w:rsidR="005128AE" w:rsidRDefault="005128AE" w:rsidP="005128AE">
      <w:pPr>
        <w:pStyle w:val="Tekstfusnote"/>
      </w:pPr>
      <w:r>
        <w:rPr>
          <w:rStyle w:val="Referencafusnote"/>
        </w:rPr>
        <w:footnoteRef/>
      </w:r>
      <w:r>
        <w:t xml:space="preserve"> Ibid. "the border police do not have a biometric registration system and takes fingerprints with ink on paper."</w:t>
      </w:r>
    </w:p>
  </w:footnote>
  <w:footnote w:id="32">
    <w:p w14:paraId="2DAF30AA" w14:textId="77777777" w:rsidR="005128AE" w:rsidRDefault="005128AE" w:rsidP="005128AE">
      <w:pPr>
        <w:pStyle w:val="Tekstfusnote"/>
      </w:pPr>
      <w:r>
        <w:rPr>
          <w:rStyle w:val="Referencafusnote"/>
        </w:rPr>
        <w:footnoteRef/>
      </w:r>
      <w:r>
        <w:t xml:space="preserve"> EC Montenegro Report 2025, SWD(2025) 429 final.</w:t>
      </w:r>
    </w:p>
  </w:footnote>
  <w:footnote w:id="33">
    <w:p w14:paraId="34EAAF24" w14:textId="77777777" w:rsidR="005128AE" w:rsidRDefault="005128AE" w:rsidP="005128AE">
      <w:pPr>
        <w:pStyle w:val="Tekstfusnote"/>
      </w:pPr>
      <w:r>
        <w:rPr>
          <w:rStyle w:val="Referencafusnote"/>
        </w:rPr>
        <w:footnoteRef/>
      </w:r>
      <w:r>
        <w:t xml:space="preserve"> </w:t>
      </w:r>
      <w:r w:rsidRPr="008E618D">
        <w:t>https://help.unhcr.org/montenegro/information-for-people-arriving-from-ukraine/#:~:text=In%20March%202022%2C%20the%20Government,Telegram%2C%20Viber%2C%20or%20Zoom.</w:t>
      </w:r>
    </w:p>
  </w:footnote>
  <w:footnote w:id="34">
    <w:p w14:paraId="2A4DD990" w14:textId="77777777" w:rsidR="005128AE" w:rsidRDefault="005128AE" w:rsidP="005128AE">
      <w:pPr>
        <w:pStyle w:val="Tekstfusnote"/>
      </w:pPr>
      <w:r>
        <w:rPr>
          <w:rStyle w:val="Referencafusnote"/>
        </w:rPr>
        <w:footnoteRef/>
      </w:r>
      <w:r>
        <w:t xml:space="preserve"> </w:t>
      </w:r>
      <w:r w:rsidRPr="008E618D">
        <w:t>https://www.unhcr.org/where-we-work/countries/montenegro</w:t>
      </w:r>
    </w:p>
  </w:footnote>
  <w:footnote w:id="35">
    <w:p w14:paraId="07A028DB" w14:textId="77777777" w:rsidR="005128AE" w:rsidRDefault="005128AE" w:rsidP="005128AE">
      <w:pPr>
        <w:pStyle w:val="Tekstfusnote"/>
      </w:pPr>
      <w:r>
        <w:rPr>
          <w:rStyle w:val="Referencafusnote"/>
        </w:rPr>
        <w:footnoteRef/>
      </w:r>
      <w:r>
        <w:t xml:space="preserve"> Ibid. </w:t>
      </w:r>
    </w:p>
  </w:footnote>
  <w:footnote w:id="36">
    <w:p w14:paraId="264C0E3C" w14:textId="77777777" w:rsidR="005128AE" w:rsidRDefault="005128AE" w:rsidP="005128AE">
      <w:pPr>
        <w:pStyle w:val="Tekstfusnote"/>
      </w:pPr>
      <w:r>
        <w:rPr>
          <w:rStyle w:val="Referencafusnote"/>
        </w:rPr>
        <w:footnoteRef/>
      </w:r>
      <w:r>
        <w:t xml:space="preserve"> </w:t>
      </w:r>
      <w:r w:rsidRPr="008E618D">
        <w:t>https://help.unhcr.org/montenegro/asylum-in-montenegro-and-how-to-apply/</w:t>
      </w:r>
    </w:p>
  </w:footnote>
  <w:footnote w:id="37">
    <w:p w14:paraId="4ECAE1DF" w14:textId="77777777" w:rsidR="005128AE" w:rsidRDefault="005128AE" w:rsidP="005128AE">
      <w:pPr>
        <w:pStyle w:val="Tekstfusnote"/>
      </w:pPr>
      <w:r>
        <w:rPr>
          <w:rStyle w:val="Referencafusnote"/>
        </w:rPr>
        <w:footnoteRef/>
      </w:r>
      <w:r>
        <w:t xml:space="preserve"> IOM Montenegro, Upgrading Conditions at Bozaj. </w:t>
      </w:r>
      <w:hyperlink r:id="rId12" w:history="1">
        <w:r>
          <w:rPr>
            <w:rStyle w:val="Hiperveza"/>
          </w:rPr>
          <w:t>https://montenegro.iom.int/news/upgrading-conditions-migrants-reception-border</w:t>
        </w:r>
      </w:hyperlink>
      <w:r>
        <w:t xml:space="preserve">; EEAS, Transit Reception Centre opened in Božaj. </w:t>
      </w:r>
      <w:hyperlink r:id="rId13" w:history="1">
        <w:r>
          <w:rPr>
            <w:rStyle w:val="Hiperveza"/>
          </w:rPr>
          <w:t>https://www.eeas.europa.eu/delegations/montenegro/transit-reception-centre-migrants-and-asylum-seekers-opened-božaj_en</w:t>
        </w:r>
      </w:hyperlink>
    </w:p>
  </w:footnote>
  <w:footnote w:id="38">
    <w:p w14:paraId="58480C31" w14:textId="77777777" w:rsidR="005128AE" w:rsidRDefault="005128AE" w:rsidP="005128AE">
      <w:pPr>
        <w:pStyle w:val="Tekstfusnote"/>
      </w:pPr>
      <w:r>
        <w:rPr>
          <w:rStyle w:val="Referencafusnote"/>
        </w:rPr>
        <w:footnoteRef/>
      </w:r>
      <w:r>
        <w:t xml:space="preserve"> </w:t>
      </w:r>
      <w:hyperlink r:id="rId14" w:history="1">
        <w:r w:rsidRPr="0079252C">
          <w:rPr>
            <w:rStyle w:val="Hiperveza"/>
          </w:rPr>
          <w:t>https://www.euaa.europa.eu/publications/roadmap-cooperation-between-euaa-and-montenegro-2025-2027</w:t>
        </w:r>
      </w:hyperlink>
      <w:r>
        <w:t xml:space="preserve"> and EC Montenegro Report 2025, SWD(2025) 429 final.</w:t>
      </w:r>
    </w:p>
  </w:footnote>
  <w:footnote w:id="39">
    <w:p w14:paraId="5F088805" w14:textId="77777777" w:rsidR="005128AE" w:rsidRDefault="005128AE" w:rsidP="005128AE">
      <w:pPr>
        <w:pStyle w:val="Tekstfusnote"/>
      </w:pPr>
      <w:r>
        <w:rPr>
          <w:rStyle w:val="Referencafusnote"/>
        </w:rPr>
        <w:footnoteRef/>
      </w:r>
      <w:r>
        <w:t xml:space="preserve"> UNHCR Montenegro Fact Sheet. </w:t>
      </w:r>
      <w:hyperlink r:id="rId15" w:history="1">
        <w:r>
          <w:rPr>
            <w:rStyle w:val="Hiperveza"/>
          </w:rPr>
          <w:t>https://reliefweb.int/report/montenegro/unhcr-montenegro-fact-sheet-february-2024</w:t>
        </w:r>
      </w:hyperlink>
      <w:r>
        <w:t xml:space="preserve">; UNHCR Global Compact on Refugees - Montenegro. </w:t>
      </w:r>
      <w:hyperlink r:id="rId16" w:history="1">
        <w:r>
          <w:rPr>
            <w:rStyle w:val="Hiperveza"/>
          </w:rPr>
          <w:t>https://globalcompactrefugees.org/gcr-action/countries/montenegro</w:t>
        </w:r>
      </w:hyperlink>
    </w:p>
  </w:footnote>
  <w:footnote w:id="40">
    <w:p w14:paraId="655707F3" w14:textId="77777777" w:rsidR="005128AE" w:rsidRDefault="005128AE" w:rsidP="005128AE">
      <w:pPr>
        <w:pStyle w:val="Tekstfusnote"/>
      </w:pPr>
      <w:r>
        <w:rPr>
          <w:rStyle w:val="Referencafusnote"/>
        </w:rPr>
        <w:footnoteRef/>
      </w:r>
      <w:r>
        <w:t xml:space="preserve"> Strategy on Migration and Reintegration of Returnees in Montenegro 2021–2025. </w:t>
      </w:r>
      <w:r w:rsidRPr="00977AFF">
        <w:t>https://www.gov.me/en/documents/15ef985b-eddb-4a41-a58a-63fee7e8455c</w:t>
      </w:r>
    </w:p>
  </w:footnote>
  <w:footnote w:id="41">
    <w:p w14:paraId="56D8D0D7" w14:textId="77777777" w:rsidR="005128AE" w:rsidRDefault="005128AE" w:rsidP="005128AE">
      <w:pPr>
        <w:pStyle w:val="Tekstfusnote"/>
      </w:pPr>
      <w:r>
        <w:rPr>
          <w:rStyle w:val="Referencafusnote"/>
        </w:rPr>
        <w:footnoteRef/>
      </w:r>
      <w:r>
        <w:t xml:space="preserve"> </w:t>
      </w:r>
      <w:r w:rsidRPr="00977AFF">
        <w:t>https://www.gov.me/dokumenta/e0ada5d7-b0b4-4e84-a60c-12f6c4ddcf8a</w:t>
      </w:r>
    </w:p>
  </w:footnote>
  <w:footnote w:id="42">
    <w:p w14:paraId="56D0A098" w14:textId="77777777" w:rsidR="005128AE" w:rsidRDefault="005128AE" w:rsidP="005128AE">
      <w:pPr>
        <w:pStyle w:val="Tekstfusnote"/>
      </w:pPr>
      <w:r>
        <w:rPr>
          <w:rStyle w:val="Referencafusnote"/>
        </w:rPr>
        <w:footnoteRef/>
      </w:r>
      <w:r>
        <w:t xml:space="preserve"> </w:t>
      </w:r>
      <w:r w:rsidRPr="00977AFF">
        <w:t>https://www.gov.me/dokumenta/b145b13d-9b48-41f7-bf82-9055b74bd8bd</w:t>
      </w:r>
    </w:p>
  </w:footnote>
  <w:footnote w:id="43">
    <w:p w14:paraId="1CADD4EB" w14:textId="77777777" w:rsidR="005128AE" w:rsidRDefault="005128AE" w:rsidP="005128AE">
      <w:pPr>
        <w:pStyle w:val="Tekstfusnote"/>
      </w:pPr>
      <w:r>
        <w:rPr>
          <w:rStyle w:val="Referencafusnote"/>
        </w:rPr>
        <w:footnoteRef/>
      </w:r>
      <w:r>
        <w:t xml:space="preserve"> Mixed Migration Centre, Mixed migration in the Western Balkans, 2025. </w:t>
      </w:r>
      <w:hyperlink r:id="rId17" w:history="1">
        <w:r>
          <w:rPr>
            <w:rStyle w:val="Hiperveza"/>
          </w:rPr>
          <w:t>https://mixedmigration.org/wp-content/uploads/2025/02/351_Mixed-migration-in-the-Western-Balkans.pdf</w:t>
        </w:r>
      </w:hyperlink>
    </w:p>
  </w:footnote>
  <w:footnote w:id="44">
    <w:p w14:paraId="53CDEBD9" w14:textId="77777777" w:rsidR="005128AE" w:rsidRDefault="005128AE" w:rsidP="005128AE">
      <w:pPr>
        <w:pStyle w:val="Tekstfusnote"/>
      </w:pPr>
      <w:r>
        <w:rPr>
          <w:rStyle w:val="Referencafusnote"/>
        </w:rPr>
        <w:footnoteRef/>
      </w:r>
      <w:r>
        <w:t xml:space="preserve"> </w:t>
      </w:r>
      <w:r w:rsidRPr="00082A02">
        <w:t xml:space="preserve">IOM DTM Montenegro Quarterly Reports. </w:t>
      </w:r>
      <w:hyperlink r:id="rId18" w:history="1">
        <w:r w:rsidRPr="0079252C">
          <w:rPr>
            <w:rStyle w:val="Hiperveza"/>
          </w:rPr>
          <w:t>https://dtm.iom.int/reports/montenegro-quarterly-report-q2-april-june-2024</w:t>
        </w:r>
      </w:hyperlink>
      <w:r>
        <w:t xml:space="preserve"> </w:t>
      </w:r>
    </w:p>
  </w:footnote>
  <w:footnote w:id="45">
    <w:p w14:paraId="1DDDD1AE" w14:textId="77777777" w:rsidR="005128AE" w:rsidRDefault="005128AE" w:rsidP="005128AE">
      <w:pPr>
        <w:pStyle w:val="Tekstfusnote"/>
      </w:pPr>
      <w:r>
        <w:rPr>
          <w:rStyle w:val="Referencafusnote"/>
        </w:rPr>
        <w:footnoteRef/>
      </w:r>
      <w:r>
        <w:t xml:space="preserve"> EC Montenegro Report 2025, SWD(2025) 429: "Montenegro made significant progress in 2024 in building communication channels with key countries of origin, notably Bangladesh, Pakistan, and Nepal."</w:t>
      </w:r>
    </w:p>
  </w:footnote>
  <w:footnote w:id="46">
    <w:p w14:paraId="61C1BEA0" w14:textId="77777777" w:rsidR="005128AE" w:rsidRDefault="005128AE" w:rsidP="005128AE">
      <w:pPr>
        <w:pStyle w:val="Tekstfusnote"/>
      </w:pPr>
      <w:r>
        <w:rPr>
          <w:rStyle w:val="Referencafusnote"/>
        </w:rPr>
        <w:footnoteRef/>
      </w:r>
      <w:r>
        <w:t xml:space="preserve"> EC Montenegro Report 2025: "Individual Measure for Strengthening Integrated Border Management Capacities in Montenegro, implemented by IOM."</w:t>
      </w:r>
    </w:p>
  </w:footnote>
  <w:footnote w:id="47">
    <w:p w14:paraId="60BAE5BA" w14:textId="77777777" w:rsidR="005128AE" w:rsidRDefault="005128AE" w:rsidP="005128AE">
      <w:pPr>
        <w:pStyle w:val="Tekstfusnote"/>
      </w:pPr>
      <w:r>
        <w:rPr>
          <w:rStyle w:val="Referencafusnote"/>
        </w:rPr>
        <w:footnoteRef/>
      </w:r>
      <w:r>
        <w:t xml:space="preserve"> EC IPA Action Document C(2023)4332: refurbishment of the Kulla border crossing point.</w:t>
      </w:r>
    </w:p>
  </w:footnote>
  <w:footnote w:id="48">
    <w:p w14:paraId="7D0BF618" w14:textId="77777777" w:rsidR="005128AE" w:rsidRDefault="005128AE" w:rsidP="005128AE">
      <w:pPr>
        <w:pStyle w:val="Tekstfusnote"/>
      </w:pPr>
      <w:r>
        <w:rPr>
          <w:rStyle w:val="Referencafusnote"/>
        </w:rPr>
        <w:footnoteRef/>
      </w:r>
      <w:r>
        <w:t xml:space="preserve"> Reform Agenda of Montenegro 2024–2027. </w:t>
      </w:r>
      <w:hyperlink r:id="rId19" w:history="1">
        <w:r>
          <w:rPr>
            <w:rStyle w:val="Hiperveza"/>
          </w:rPr>
          <w:t>https://reform-monitor.org/wp-content/uploads/2025/05/Reform-agenda-Montenegro_.pdf</w:t>
        </w:r>
      </w:hyperlink>
    </w:p>
  </w:footnote>
  <w:footnote w:id="49">
    <w:p w14:paraId="4EECFBA4" w14:textId="77777777" w:rsidR="005128AE" w:rsidRDefault="005128AE" w:rsidP="005128AE">
      <w:pPr>
        <w:pStyle w:val="Tekstfusnote"/>
      </w:pPr>
      <w:r>
        <w:rPr>
          <w:rStyle w:val="Referencafusnote"/>
        </w:rPr>
        <w:footnoteRef/>
      </w:r>
      <w:r>
        <w:t xml:space="preserve"> EC Montenegro Report 2025. </w:t>
      </w:r>
      <w:hyperlink r:id="rId20" w:history="1">
        <w:r>
          <w:rPr>
            <w:rStyle w:val="Hiperveza"/>
          </w:rPr>
          <w:t>https://enlargement.ec.europa.eu/montenegro-report-2025_en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4363"/>
    <w:multiLevelType w:val="multilevel"/>
    <w:tmpl w:val="041A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 w15:restartNumberingAfterBreak="0">
    <w:nsid w:val="12E345FD"/>
    <w:multiLevelType w:val="hybridMultilevel"/>
    <w:tmpl w:val="DD965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36709"/>
    <w:multiLevelType w:val="hybridMultilevel"/>
    <w:tmpl w:val="715C4718"/>
    <w:lvl w:ilvl="0" w:tplc="04090001">
      <w:start w:val="1"/>
      <w:numFmt w:val="bullet"/>
      <w:lvlText w:val=""/>
      <w:lvlJc w:val="left"/>
      <w:pPr>
        <w:ind w:left="720" w:hanging="360"/>
      </w:pPr>
      <w:rPr>
        <w:rFonts w:ascii="Symbol" w:hAnsi="Symbol" w:hint="default"/>
      </w:rPr>
    </w:lvl>
    <w:lvl w:ilvl="1" w:tplc="D1CAEA44">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F82ED8"/>
    <w:multiLevelType w:val="hybridMultilevel"/>
    <w:tmpl w:val="AFB2B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630653"/>
    <w:multiLevelType w:val="hybridMultilevel"/>
    <w:tmpl w:val="A58A2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560ACD"/>
    <w:multiLevelType w:val="hybridMultilevel"/>
    <w:tmpl w:val="F8A22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EE446B"/>
    <w:multiLevelType w:val="hybridMultilevel"/>
    <w:tmpl w:val="DBBC6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B81928"/>
    <w:multiLevelType w:val="hybridMultilevel"/>
    <w:tmpl w:val="BB9CCEA2"/>
    <w:lvl w:ilvl="0" w:tplc="04090001">
      <w:start w:val="1"/>
      <w:numFmt w:val="bullet"/>
      <w:lvlText w:val=""/>
      <w:lvlJc w:val="left"/>
      <w:pPr>
        <w:ind w:left="720" w:hanging="360"/>
      </w:pPr>
      <w:rPr>
        <w:rFonts w:ascii="Symbol" w:hAnsi="Symbol" w:hint="default"/>
      </w:rPr>
    </w:lvl>
    <w:lvl w:ilvl="1" w:tplc="B5589B74">
      <w:numFmt w:val="bullet"/>
      <w:lvlText w:val="•"/>
      <w:lvlJc w:val="left"/>
      <w:pPr>
        <w:ind w:left="1440" w:hanging="360"/>
      </w:pPr>
      <w:rPr>
        <w:rFonts w:ascii="Calibri" w:eastAsiaTheme="minorHAnsi" w:hAnsi="Calibri" w:cs="Calibri"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59880976"/>
    <w:multiLevelType w:val="hybridMultilevel"/>
    <w:tmpl w:val="48F65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CF5B77"/>
    <w:multiLevelType w:val="hybridMultilevel"/>
    <w:tmpl w:val="00FC375C"/>
    <w:lvl w:ilvl="0" w:tplc="04090001">
      <w:start w:val="1"/>
      <w:numFmt w:val="bullet"/>
      <w:lvlText w:val=""/>
      <w:lvlJc w:val="left"/>
      <w:pPr>
        <w:ind w:left="720" w:hanging="360"/>
      </w:pPr>
      <w:rPr>
        <w:rFonts w:ascii="Symbol" w:hAnsi="Symbol" w:hint="default"/>
      </w:rPr>
    </w:lvl>
    <w:lvl w:ilvl="1" w:tplc="3F9C9A1E">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9243D7"/>
    <w:multiLevelType w:val="hybridMultilevel"/>
    <w:tmpl w:val="A65A3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9185052">
    <w:abstractNumId w:val="1"/>
  </w:num>
  <w:num w:numId="2" w16cid:durableId="1200702789">
    <w:abstractNumId w:val="2"/>
  </w:num>
  <w:num w:numId="3" w16cid:durableId="651327680">
    <w:abstractNumId w:val="10"/>
  </w:num>
  <w:num w:numId="4" w16cid:durableId="515459541">
    <w:abstractNumId w:val="3"/>
  </w:num>
  <w:num w:numId="5" w16cid:durableId="932471435">
    <w:abstractNumId w:val="8"/>
  </w:num>
  <w:num w:numId="6" w16cid:durableId="1667901892">
    <w:abstractNumId w:val="9"/>
  </w:num>
  <w:num w:numId="7" w16cid:durableId="201022077">
    <w:abstractNumId w:val="7"/>
  </w:num>
  <w:num w:numId="8" w16cid:durableId="1822039787">
    <w:abstractNumId w:val="6"/>
  </w:num>
  <w:num w:numId="9" w16cid:durableId="864366389">
    <w:abstractNumId w:val="5"/>
  </w:num>
  <w:num w:numId="10" w16cid:durableId="171189511">
    <w:abstractNumId w:val="4"/>
  </w:num>
  <w:num w:numId="11" w16cid:durableId="1042247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8AE"/>
    <w:rsid w:val="00112D31"/>
    <w:rsid w:val="002A663A"/>
    <w:rsid w:val="002D6FE8"/>
    <w:rsid w:val="003630F9"/>
    <w:rsid w:val="003878A9"/>
    <w:rsid w:val="003B160F"/>
    <w:rsid w:val="00425562"/>
    <w:rsid w:val="004D0684"/>
    <w:rsid w:val="005128AE"/>
    <w:rsid w:val="00672BA3"/>
    <w:rsid w:val="006A1BFC"/>
    <w:rsid w:val="00761A5A"/>
    <w:rsid w:val="00811E78"/>
    <w:rsid w:val="0087152E"/>
    <w:rsid w:val="0093136E"/>
    <w:rsid w:val="009A0264"/>
    <w:rsid w:val="00A1491C"/>
    <w:rsid w:val="00B17B5B"/>
    <w:rsid w:val="00B722BD"/>
    <w:rsid w:val="00B96841"/>
    <w:rsid w:val="00BD1487"/>
    <w:rsid w:val="00C94037"/>
    <w:rsid w:val="00D13A85"/>
    <w:rsid w:val="00E92DFE"/>
    <w:rsid w:val="00F4622C"/>
    <w:rsid w:val="00FD176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AAB01"/>
  <w15:chartTrackingRefBased/>
  <w15:docId w15:val="{2786B15C-7D06-48FF-92BA-944BB8651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8AE"/>
    <w:pPr>
      <w:jc w:val="both"/>
    </w:pPr>
    <w:rPr>
      <w:sz w:val="22"/>
    </w:rPr>
  </w:style>
  <w:style w:type="paragraph" w:styleId="Naslov1">
    <w:name w:val="heading 1"/>
    <w:basedOn w:val="Normal"/>
    <w:next w:val="Normal"/>
    <w:link w:val="Naslov1Char"/>
    <w:uiPriority w:val="9"/>
    <w:qFormat/>
    <w:rsid w:val="005128AE"/>
    <w:pPr>
      <w:keepNext/>
      <w:keepLines/>
      <w:numPr>
        <w:numId w:val="11"/>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unhideWhenUsed/>
    <w:qFormat/>
    <w:rsid w:val="005128AE"/>
    <w:pPr>
      <w:keepNext/>
      <w:keepLines/>
      <w:numPr>
        <w:ilvl w:val="1"/>
        <w:numId w:val="11"/>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unhideWhenUsed/>
    <w:qFormat/>
    <w:rsid w:val="005128AE"/>
    <w:pPr>
      <w:keepNext/>
      <w:keepLines/>
      <w:numPr>
        <w:ilvl w:val="2"/>
        <w:numId w:val="11"/>
      </w:numPr>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unhideWhenUsed/>
    <w:qFormat/>
    <w:rsid w:val="005128AE"/>
    <w:pPr>
      <w:keepNext/>
      <w:keepLines/>
      <w:numPr>
        <w:ilvl w:val="3"/>
        <w:numId w:val="11"/>
      </w:numPr>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5128AE"/>
    <w:pPr>
      <w:keepNext/>
      <w:keepLines/>
      <w:numPr>
        <w:ilvl w:val="4"/>
        <w:numId w:val="11"/>
      </w:numPr>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5128AE"/>
    <w:pPr>
      <w:keepNext/>
      <w:keepLines/>
      <w:numPr>
        <w:ilvl w:val="5"/>
        <w:numId w:val="11"/>
      </w:numPr>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5128AE"/>
    <w:pPr>
      <w:keepNext/>
      <w:keepLines/>
      <w:numPr>
        <w:ilvl w:val="6"/>
        <w:numId w:val="11"/>
      </w:numPr>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5128AE"/>
    <w:pPr>
      <w:keepNext/>
      <w:keepLines/>
      <w:numPr>
        <w:ilvl w:val="7"/>
        <w:numId w:val="11"/>
      </w:numPr>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5128AE"/>
    <w:pPr>
      <w:keepNext/>
      <w:keepLines/>
      <w:numPr>
        <w:ilvl w:val="8"/>
        <w:numId w:val="11"/>
      </w:numPr>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128AE"/>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5128AE"/>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5128AE"/>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rsid w:val="005128AE"/>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5128AE"/>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5128AE"/>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5128AE"/>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5128AE"/>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5128AE"/>
    <w:rPr>
      <w:rFonts w:eastAsiaTheme="majorEastAsia" w:cstheme="majorBidi"/>
      <w:color w:val="272727" w:themeColor="text1" w:themeTint="D8"/>
    </w:rPr>
  </w:style>
  <w:style w:type="paragraph" w:styleId="Naslov">
    <w:name w:val="Title"/>
    <w:basedOn w:val="Normal"/>
    <w:next w:val="Normal"/>
    <w:link w:val="NaslovChar"/>
    <w:uiPriority w:val="10"/>
    <w:qFormat/>
    <w:rsid w:val="005128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5128AE"/>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5128AE"/>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5128A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128AE"/>
    <w:pPr>
      <w:spacing w:before="160"/>
      <w:jc w:val="center"/>
    </w:pPr>
    <w:rPr>
      <w:i/>
      <w:iCs/>
      <w:color w:val="404040" w:themeColor="text1" w:themeTint="BF"/>
    </w:rPr>
  </w:style>
  <w:style w:type="character" w:customStyle="1" w:styleId="CitatChar">
    <w:name w:val="Citat Char"/>
    <w:basedOn w:val="Zadanifontodlomka"/>
    <w:link w:val="Citat"/>
    <w:uiPriority w:val="29"/>
    <w:rsid w:val="005128AE"/>
    <w:rPr>
      <w:i/>
      <w:iCs/>
      <w:color w:val="404040" w:themeColor="text1" w:themeTint="BF"/>
    </w:rPr>
  </w:style>
  <w:style w:type="paragraph" w:styleId="Odlomakpopisa">
    <w:name w:val="List Paragraph"/>
    <w:basedOn w:val="Normal"/>
    <w:uiPriority w:val="34"/>
    <w:qFormat/>
    <w:rsid w:val="005128AE"/>
    <w:pPr>
      <w:ind w:left="720"/>
      <w:contextualSpacing/>
    </w:pPr>
  </w:style>
  <w:style w:type="character" w:styleId="Jakoisticanje">
    <w:name w:val="Intense Emphasis"/>
    <w:basedOn w:val="Zadanifontodlomka"/>
    <w:uiPriority w:val="21"/>
    <w:qFormat/>
    <w:rsid w:val="005128AE"/>
    <w:rPr>
      <w:i/>
      <w:iCs/>
      <w:color w:val="0F4761" w:themeColor="accent1" w:themeShade="BF"/>
    </w:rPr>
  </w:style>
  <w:style w:type="paragraph" w:styleId="Naglaencitat">
    <w:name w:val="Intense Quote"/>
    <w:basedOn w:val="Normal"/>
    <w:next w:val="Normal"/>
    <w:link w:val="NaglaencitatChar"/>
    <w:uiPriority w:val="30"/>
    <w:qFormat/>
    <w:rsid w:val="005128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5128AE"/>
    <w:rPr>
      <w:i/>
      <w:iCs/>
      <w:color w:val="0F4761" w:themeColor="accent1" w:themeShade="BF"/>
    </w:rPr>
  </w:style>
  <w:style w:type="character" w:styleId="Istaknutareferenca">
    <w:name w:val="Intense Reference"/>
    <w:basedOn w:val="Zadanifontodlomka"/>
    <w:uiPriority w:val="32"/>
    <w:qFormat/>
    <w:rsid w:val="005128AE"/>
    <w:rPr>
      <w:b/>
      <w:bCs/>
      <w:smallCaps/>
      <w:color w:val="0F4761" w:themeColor="accent1" w:themeShade="BF"/>
      <w:spacing w:val="5"/>
    </w:rPr>
  </w:style>
  <w:style w:type="character" w:styleId="Naglaeno">
    <w:name w:val="Strong"/>
    <w:basedOn w:val="Zadanifontodlomka"/>
    <w:uiPriority w:val="22"/>
    <w:qFormat/>
    <w:rsid w:val="005128AE"/>
    <w:rPr>
      <w:b/>
      <w:bCs/>
    </w:rPr>
  </w:style>
  <w:style w:type="table" w:styleId="Reetkatablice">
    <w:name w:val="Table Grid"/>
    <w:basedOn w:val="Obinatablica"/>
    <w:uiPriority w:val="39"/>
    <w:rsid w:val="005128AE"/>
    <w:pPr>
      <w:spacing w:after="0" w:line="240" w:lineRule="auto"/>
    </w:pPr>
    <w:rPr>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aliases w:val="single space,Texte de note de bas de page,Note de bas de page Car,ALTS FOOTNOTE,ADB,fn,ft,Footnote Text Char Char,FOOTNOTES,Fodnotetekst Tegn,Footnote Text1,footnote text Char,footnote text Char Char Char,Fußnotentextf,Footnote Text Char1"/>
    <w:basedOn w:val="Normal"/>
    <w:link w:val="TekstfusnoteChar"/>
    <w:uiPriority w:val="99"/>
    <w:unhideWhenUsed/>
    <w:qFormat/>
    <w:rsid w:val="005128AE"/>
    <w:pPr>
      <w:spacing w:after="0" w:line="240" w:lineRule="auto"/>
    </w:pPr>
    <w:rPr>
      <w:sz w:val="16"/>
      <w:szCs w:val="16"/>
      <w:lang w:val="en-US"/>
      <w14:ligatures w14:val="none"/>
    </w:rPr>
  </w:style>
  <w:style w:type="character" w:customStyle="1" w:styleId="TekstfusnoteChar">
    <w:name w:val="Tekst fusnote Char"/>
    <w:aliases w:val="single space Char,Texte de note de bas de page Char,Note de bas de page Car Char,ALTS FOOTNOTE Char,ADB Char,fn Char,ft Char,Footnote Text Char Char Char,FOOTNOTES Char,Fodnotetekst Tegn Char,Footnote Text1 Char,Fußnotentextf Char"/>
    <w:basedOn w:val="Zadanifontodlomka"/>
    <w:link w:val="Tekstfusnote"/>
    <w:uiPriority w:val="99"/>
    <w:qFormat/>
    <w:rsid w:val="005128AE"/>
    <w:rPr>
      <w:sz w:val="16"/>
      <w:szCs w:val="16"/>
      <w:lang w:val="en-US"/>
      <w14:ligatures w14:val="none"/>
    </w:rPr>
  </w:style>
  <w:style w:type="character" w:styleId="Referencafusnote">
    <w:name w:val="footnote reference"/>
    <w:aliases w:val="BVI fnr,BVI fnr Car Car,BVI fnr Char,BVI fnr Car Car Char,BVI fnr Car Char,BVI fnr Car Car Car Car Char,BVI fnr Car Car Car Car Char Char,4_,FNRefe Char Char,BVI fnr Char Char,BVI fnr Char Char Char,BVI fnr Car Car Char Char Char,ftre"/>
    <w:basedOn w:val="Zadanifontodlomka"/>
    <w:link w:val="Char2"/>
    <w:unhideWhenUsed/>
    <w:qFormat/>
    <w:rsid w:val="005128AE"/>
    <w:rPr>
      <w:vertAlign w:val="superscript"/>
    </w:rPr>
  </w:style>
  <w:style w:type="character" w:styleId="Hiperveza">
    <w:name w:val="Hyperlink"/>
    <w:basedOn w:val="Zadanifontodlomka"/>
    <w:uiPriority w:val="99"/>
    <w:unhideWhenUsed/>
    <w:rsid w:val="005128AE"/>
    <w:rPr>
      <w:color w:val="467886" w:themeColor="hyperlink"/>
      <w:u w:val="single"/>
    </w:rPr>
  </w:style>
  <w:style w:type="character" w:styleId="Istaknuto">
    <w:name w:val="Emphasis"/>
    <w:basedOn w:val="Zadanifontodlomka"/>
    <w:uiPriority w:val="20"/>
    <w:qFormat/>
    <w:rsid w:val="005128AE"/>
    <w:rPr>
      <w:i/>
      <w:iCs/>
    </w:rPr>
  </w:style>
  <w:style w:type="paragraph" w:customStyle="1" w:styleId="Char2">
    <w:name w:val="Char2"/>
    <w:basedOn w:val="Normal"/>
    <w:link w:val="Referencafusnote"/>
    <w:rsid w:val="005128AE"/>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r-lex.europa.eu/eli/reg/2024/1358/oj/e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nlargement.ec.europa.eu/montenegro-report-2025_en" TargetMode="External"/><Relationship Id="rId13" Type="http://schemas.openxmlformats.org/officeDocument/2006/relationships/hyperlink" Target="https://www.eeas.europa.eu/delegations/montenegro/transit-reception-centre-migrants-and-asylum-seekers-opened-bo%C5%BEaj_en" TargetMode="External"/><Relationship Id="rId18" Type="http://schemas.openxmlformats.org/officeDocument/2006/relationships/hyperlink" Target="https://dtm.iom.int/reports/montenegro-quarterly-report-q2-april-june-2024" TargetMode="External"/><Relationship Id="rId3" Type="http://schemas.openxmlformats.org/officeDocument/2006/relationships/hyperlink" Target="https://eur-lex.europa.eu/legal-content/EN/TXT/?uri=CELEX:52020DC0609" TargetMode="External"/><Relationship Id="rId7" Type="http://schemas.openxmlformats.org/officeDocument/2006/relationships/hyperlink" Target="https://eur-lex.europa.eu/" TargetMode="External"/><Relationship Id="rId12" Type="http://schemas.openxmlformats.org/officeDocument/2006/relationships/hyperlink" Target="https://montenegro.iom.int/news/upgrading-conditions-migrants-reception-border" TargetMode="External"/><Relationship Id="rId17" Type="http://schemas.openxmlformats.org/officeDocument/2006/relationships/hyperlink" Target="https://mixedmigration.org/wp-content/uploads/2025/02/351_Mixed-migration-in-the-Western-Balkans.pdf" TargetMode="External"/><Relationship Id="rId2" Type="http://schemas.openxmlformats.org/officeDocument/2006/relationships/hyperlink" Target="https://home-affairs.ec.europa.eu/policies/migration-and-asylum/pact-migration-and-asylum_en" TargetMode="External"/><Relationship Id="rId16" Type="http://schemas.openxmlformats.org/officeDocument/2006/relationships/hyperlink" Target="https://globalcompactrefugees.org/gcr-action/countries/montenegro" TargetMode="External"/><Relationship Id="rId20" Type="http://schemas.openxmlformats.org/officeDocument/2006/relationships/hyperlink" Target="https://enlargement.ec.europa.eu/montenegro-report-2025_en" TargetMode="External"/><Relationship Id="rId1" Type="http://schemas.openxmlformats.org/officeDocument/2006/relationships/hyperlink" Target="https://eur-lex.europa.eu/legal-content/EN/TXT/?uri=CELEX%3A52025PC0545" TargetMode="External"/><Relationship Id="rId6" Type="http://schemas.openxmlformats.org/officeDocument/2006/relationships/hyperlink" Target="https://eur-lex.europa.eu/eli/reg/2019/1896/oj" TargetMode="External"/><Relationship Id="rId11" Type="http://schemas.openxmlformats.org/officeDocument/2006/relationships/hyperlink" Target="https://enlargement.ec.europa.eu/document/download/7d879228-04bb-4eac-9089-acac59af551a_en" TargetMode="External"/><Relationship Id="rId5" Type="http://schemas.openxmlformats.org/officeDocument/2006/relationships/hyperlink" Target="https://eur-lex.europa.eu/legal-content/EN/ALL/?uri=CELEX:52023DC0146" TargetMode="External"/><Relationship Id="rId15" Type="http://schemas.openxmlformats.org/officeDocument/2006/relationships/hyperlink" Target="https://reliefweb.int/report/montenegro/unhcr-montenegro-fact-sheet-february-2024" TargetMode="External"/><Relationship Id="rId10" Type="http://schemas.openxmlformats.org/officeDocument/2006/relationships/hyperlink" Target="https://montenegro.iom.int/news/project-kick-european-union-support-migration-and-border-management-montenegro" TargetMode="External"/><Relationship Id="rId19" Type="http://schemas.openxmlformats.org/officeDocument/2006/relationships/hyperlink" Target="https://reform-monitor.org/wp-content/uploads/2025/05/Reform-agenda-Montenegro_.pdf" TargetMode="External"/><Relationship Id="rId4" Type="http://schemas.openxmlformats.org/officeDocument/2006/relationships/hyperlink" Target="https://eur-lex.europa.eu/eli/reg/2024/1351/oj" TargetMode="External"/><Relationship Id="rId9" Type="http://schemas.openxmlformats.org/officeDocument/2006/relationships/hyperlink" Target="https://www.eu.me/en/poglavlje-24-pravda-sloboda-i-bezbjednost/" TargetMode="External"/><Relationship Id="rId14" Type="http://schemas.openxmlformats.org/officeDocument/2006/relationships/hyperlink" Target="https://www.euaa.europa.eu/publications/roadmap-cooperation-between-euaa-and-montenegro-2025-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5184</Words>
  <Characters>29553</Characters>
  <Application>Microsoft Office Word</Application>
  <DocSecurity>0</DocSecurity>
  <Lines>246</Lines>
  <Paragraphs>69</Paragraphs>
  <ScaleCrop>false</ScaleCrop>
  <Company/>
  <LinksUpToDate>false</LinksUpToDate>
  <CharactersWithSpaces>34668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Krešimir Ivančić</dc:creator>
  <cp:keywords/>
  <dc:description/>
  <cp:lastModifiedBy>Krešimir Ivančić</cp:lastModifiedBy>
  <cp:revision>3</cp:revision>
  <dcterms:created xsi:type="dcterms:W3CDTF">2026-04-29T04:00:00Z</dcterms:created>
  <dcterms:modified xsi:type="dcterms:W3CDTF">2026-04-29T04:58:00Z</dcterms:modified>
</cp:coreProperties>
</file>