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0C63" w14:textId="3AB306F0" w:rsidR="00D959B1" w:rsidRPr="00D959B1" w:rsidRDefault="00D959B1" w:rsidP="00D959B1">
      <w:pPr>
        <w:jc w:val="center"/>
        <w:rPr>
          <w:lang w:val="hr-HR"/>
        </w:rPr>
      </w:pPr>
      <w:r w:rsidRPr="00D959B1">
        <w:rPr>
          <w:lang w:val="hr-HR"/>
        </w:rPr>
        <w:drawing>
          <wp:inline distT="0" distB="0" distL="0" distR="0" wp14:anchorId="06583B21" wp14:editId="01E11571">
            <wp:extent cx="4177324" cy="2088662"/>
            <wp:effectExtent l="0" t="0" r="0" b="0"/>
            <wp:docPr id="11"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177324" cy="2088662"/>
                    </a:xfrm>
                    <a:prstGeom prst="rect">
                      <a:avLst/>
                    </a:prstGeom>
                  </pic:spPr>
                </pic:pic>
              </a:graphicData>
            </a:graphic>
          </wp:inline>
        </w:drawing>
      </w:r>
      <w:r w:rsidRPr="00D959B1">
        <w:rPr>
          <w:noProof/>
          <w:lang w:val="hr-HR"/>
        </w:rPr>
        <w:drawing>
          <wp:inline distT="0" distB="0" distL="0" distR="0" wp14:anchorId="47057187" wp14:editId="0415282D">
            <wp:extent cx="5752465" cy="5752465"/>
            <wp:effectExtent l="0" t="0" r="635" b="635"/>
            <wp:docPr id="33087391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2465" cy="5752465"/>
                    </a:xfrm>
                    <a:prstGeom prst="rect">
                      <a:avLst/>
                    </a:prstGeom>
                    <a:noFill/>
                    <a:ln>
                      <a:noFill/>
                    </a:ln>
                  </pic:spPr>
                </pic:pic>
              </a:graphicData>
            </a:graphic>
          </wp:inline>
        </w:drawing>
      </w:r>
    </w:p>
    <w:p w14:paraId="13BB42F1" w14:textId="77777777" w:rsidR="00D959B1" w:rsidRPr="00D959B1" w:rsidRDefault="00D959B1" w:rsidP="00D959B1">
      <w:pPr>
        <w:rPr>
          <w:lang w:val="hr-HR"/>
        </w:rPr>
      </w:pPr>
    </w:p>
    <w:p w14:paraId="3673DE82" w14:textId="77777777" w:rsidR="00D959B1" w:rsidRPr="00D959B1" w:rsidRDefault="00D959B1">
      <w:pPr>
        <w:jc w:val="left"/>
        <w:rPr>
          <w:rFonts w:asciiTheme="majorHAnsi" w:eastAsiaTheme="majorEastAsia" w:hAnsiTheme="majorHAnsi" w:cstheme="majorBidi"/>
          <w:color w:val="0F4761" w:themeColor="accent1" w:themeShade="BF"/>
          <w:sz w:val="40"/>
          <w:szCs w:val="40"/>
          <w:lang w:val="hr-HR"/>
        </w:rPr>
      </w:pPr>
      <w:r w:rsidRPr="00D959B1">
        <w:rPr>
          <w:lang w:val="hr-HR"/>
        </w:rPr>
        <w:br w:type="page"/>
      </w:r>
    </w:p>
    <w:p w14:paraId="40CCBA78" w14:textId="1203CA48" w:rsidR="004D67BC" w:rsidRPr="00D959B1" w:rsidRDefault="00417444" w:rsidP="004D67BC">
      <w:pPr>
        <w:pStyle w:val="Naslov1"/>
        <w:rPr>
          <w:lang w:val="hr-HR"/>
        </w:rPr>
      </w:pPr>
      <w:r w:rsidRPr="00D959B1">
        <w:rPr>
          <w:lang w:val="hr-HR"/>
        </w:rPr>
        <w:lastRenderedPageBreak/>
        <w:t xml:space="preserve">1 </w:t>
      </w:r>
      <w:r w:rsidR="004D67BC" w:rsidRPr="00D959B1">
        <w:rPr>
          <w:lang w:val="hr-HR"/>
        </w:rPr>
        <w:t>Uvod i važnost</w:t>
      </w:r>
    </w:p>
    <w:p w14:paraId="091A5647" w14:textId="77777777" w:rsidR="004D67BC" w:rsidRPr="00D959B1" w:rsidRDefault="004D67BC" w:rsidP="004D67BC">
      <w:pPr>
        <w:rPr>
          <w:lang w:val="hr-HR"/>
        </w:rPr>
      </w:pPr>
      <w:proofErr w:type="spellStart"/>
      <w:r w:rsidRPr="00D959B1">
        <w:rPr>
          <w:lang w:val="hr-HR"/>
        </w:rPr>
        <w:t>Situaciona</w:t>
      </w:r>
      <w:proofErr w:type="spellEnd"/>
      <w:r w:rsidRPr="00D959B1">
        <w:rPr>
          <w:lang w:val="hr-HR"/>
        </w:rPr>
        <w:t xml:space="preserve"> analiza predstavlja analitičku osnovu za pripremu Strateškog planskog dokumenta Crne Gore za potrebe </w:t>
      </w:r>
      <w:proofErr w:type="spellStart"/>
      <w:r w:rsidRPr="00D959B1">
        <w:rPr>
          <w:lang w:val="hr-HR"/>
        </w:rPr>
        <w:t>korišćenja</w:t>
      </w:r>
      <w:proofErr w:type="spellEnd"/>
      <w:r w:rsidRPr="00D959B1">
        <w:rPr>
          <w:lang w:val="hr-HR"/>
        </w:rPr>
        <w:t xml:space="preserve"> fondova Evropske unije u okviru budućeg Nacionalnog i regionalnog partnerskog plana. Njena svrha je da, na sistematičan i na dokazima zasnovan način, </w:t>
      </w:r>
      <w:proofErr w:type="spellStart"/>
      <w:r w:rsidRPr="00D959B1">
        <w:rPr>
          <w:lang w:val="hr-HR"/>
        </w:rPr>
        <w:t>identifikuje</w:t>
      </w:r>
      <w:proofErr w:type="spellEnd"/>
      <w:r w:rsidRPr="00D959B1">
        <w:rPr>
          <w:lang w:val="hr-HR"/>
        </w:rPr>
        <w:t xml:space="preserve"> glavne razvojne izazove, potrebe, ciljne grupe, razvojne nejednakosti i investiciona uska grla u okviru predmetne oblasti politike, uzimajući u obzir ekonomske, socijalne, teritorijalne i, gdje je relevantno, ekološke dimenzije razvoja.</w:t>
      </w:r>
    </w:p>
    <w:p w14:paraId="526C9C9C" w14:textId="77777777" w:rsidR="004D67BC" w:rsidRPr="00D959B1" w:rsidRDefault="004D67BC" w:rsidP="004D67BC">
      <w:pPr>
        <w:rPr>
          <w:rFonts w:ascii="Aptos" w:eastAsia="Aptos" w:hAnsi="Aptos" w:cs="Aptos"/>
          <w:color w:val="000000" w:themeColor="text1"/>
          <w:lang w:val="hr-HR"/>
        </w:rPr>
      </w:pPr>
      <w:r w:rsidRPr="00D959B1">
        <w:rPr>
          <w:rFonts w:ascii="Aptos" w:eastAsia="Aptos" w:hAnsi="Aptos" w:cs="Aptos"/>
          <w:color w:val="000000" w:themeColor="text1"/>
          <w:lang w:val="hr-HR"/>
        </w:rPr>
        <w:t xml:space="preserve">Značaj </w:t>
      </w:r>
      <w:proofErr w:type="spellStart"/>
      <w:r w:rsidRPr="00D959B1">
        <w:rPr>
          <w:rFonts w:ascii="Aptos" w:eastAsia="Aptos" w:hAnsi="Aptos" w:cs="Aptos"/>
          <w:color w:val="000000" w:themeColor="text1"/>
          <w:lang w:val="hr-HR"/>
        </w:rPr>
        <w:t>situacione</w:t>
      </w:r>
      <w:proofErr w:type="spellEnd"/>
      <w:r w:rsidRPr="00D959B1">
        <w:rPr>
          <w:rFonts w:ascii="Aptos" w:eastAsia="Aptos" w:hAnsi="Aptos" w:cs="Aptos"/>
          <w:color w:val="000000" w:themeColor="text1"/>
          <w:lang w:val="hr-HR"/>
        </w:rPr>
        <w:t xml:space="preserv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w:t>
      </w:r>
      <w:proofErr w:type="spellStart"/>
      <w:r w:rsidRPr="00D959B1">
        <w:rPr>
          <w:rFonts w:ascii="Aptos" w:eastAsia="Aptos" w:hAnsi="Aptos" w:cs="Aptos"/>
          <w:color w:val="000000" w:themeColor="text1"/>
          <w:lang w:val="hr-HR"/>
        </w:rPr>
        <w:t>finansijske</w:t>
      </w:r>
      <w:proofErr w:type="spellEnd"/>
      <w:r w:rsidRPr="00D959B1">
        <w:rPr>
          <w:rFonts w:ascii="Aptos" w:eastAsia="Aptos" w:hAnsi="Aptos" w:cs="Aptos"/>
          <w:color w:val="000000" w:themeColor="text1"/>
          <w:lang w:val="hr-HR"/>
        </w:rPr>
        <w:t xml:space="preserve"> perspektive 2021–2027 odgovara logici „</w:t>
      </w:r>
      <w:proofErr w:type="spellStart"/>
      <w:r w:rsidRPr="00D959B1">
        <w:rPr>
          <w:rFonts w:ascii="Aptos" w:eastAsia="Aptos" w:hAnsi="Aptos" w:cs="Aptos"/>
          <w:color w:val="000000" w:themeColor="text1"/>
          <w:lang w:val="hr-HR"/>
        </w:rPr>
        <w:t>Partnership</w:t>
      </w:r>
      <w:proofErr w:type="spellEnd"/>
      <w:r w:rsidRPr="00D959B1">
        <w:rPr>
          <w:rFonts w:ascii="Aptos" w:eastAsia="Aptos" w:hAnsi="Aptos" w:cs="Aptos"/>
          <w:color w:val="000000" w:themeColor="text1"/>
          <w:lang w:val="hr-HR"/>
        </w:rPr>
        <w:t xml:space="preserve"> </w:t>
      </w:r>
      <w:proofErr w:type="spellStart"/>
      <w:r w:rsidRPr="00D959B1">
        <w:rPr>
          <w:rFonts w:ascii="Aptos" w:eastAsia="Aptos" w:hAnsi="Aptos" w:cs="Aptos"/>
          <w:color w:val="000000" w:themeColor="text1"/>
          <w:lang w:val="hr-HR"/>
        </w:rPr>
        <w:t>Agreement</w:t>
      </w:r>
      <w:proofErr w:type="spellEnd"/>
      <w:r w:rsidRPr="00D959B1">
        <w:rPr>
          <w:rFonts w:ascii="Aptos" w:eastAsia="Aptos" w:hAnsi="Aptos" w:cs="Aptos"/>
          <w:color w:val="000000" w:themeColor="text1"/>
          <w:lang w:val="hr-HR"/>
        </w:rPr>
        <w:t xml:space="preserve">“, a koji treba da obuhvati stratešku analizu, uključujući izazove, potrebe i ciljne grupe, odabrane prioritete i ciljeve, glavne očekivane rezultate, planirane tematske cjeline i izvore </w:t>
      </w:r>
      <w:proofErr w:type="spellStart"/>
      <w:r w:rsidRPr="00D959B1">
        <w:rPr>
          <w:rFonts w:ascii="Aptos" w:eastAsia="Aptos" w:hAnsi="Aptos" w:cs="Aptos"/>
          <w:color w:val="000000" w:themeColor="text1"/>
          <w:lang w:val="hr-HR"/>
        </w:rPr>
        <w:t>finansiranja</w:t>
      </w:r>
      <w:proofErr w:type="spellEnd"/>
      <w:r w:rsidRPr="00D959B1">
        <w:rPr>
          <w:rFonts w:ascii="Aptos" w:eastAsia="Aptos" w:hAnsi="Aptos" w:cs="Aptos"/>
          <w:color w:val="000000" w:themeColor="text1"/>
          <w:lang w:val="hr-HR"/>
        </w:rPr>
        <w:t xml:space="preserve">, mehanizme za </w:t>
      </w:r>
      <w:proofErr w:type="spellStart"/>
      <w:r w:rsidRPr="00D959B1">
        <w:rPr>
          <w:rFonts w:ascii="Aptos" w:eastAsia="Aptos" w:hAnsi="Aptos" w:cs="Aptos"/>
          <w:color w:val="000000" w:themeColor="text1"/>
          <w:lang w:val="hr-HR"/>
        </w:rPr>
        <w:t>obezbjeđivanje</w:t>
      </w:r>
      <w:proofErr w:type="spellEnd"/>
      <w:r w:rsidRPr="00D959B1">
        <w:rPr>
          <w:rFonts w:ascii="Aptos" w:eastAsia="Aptos" w:hAnsi="Aptos" w:cs="Aptos"/>
          <w:color w:val="000000" w:themeColor="text1"/>
          <w:lang w:val="hr-HR"/>
        </w:rPr>
        <w:t xml:space="preserve"> usklađenosti sa relevantnim prioritetima i strategijama Evropske unije, kao i okvir upravljanja u skladu sa Evropskim kodeksom ponašanja o partnerstvu.</w:t>
      </w:r>
    </w:p>
    <w:p w14:paraId="2BC0FD11" w14:textId="77777777" w:rsidR="004D67BC" w:rsidRPr="00D959B1" w:rsidRDefault="004D67BC" w:rsidP="004D67BC">
      <w:pPr>
        <w:rPr>
          <w:rFonts w:ascii="Aptos" w:eastAsia="Aptos" w:hAnsi="Aptos" w:cs="Aptos"/>
          <w:color w:val="000000" w:themeColor="text1"/>
          <w:lang w:val="hr-HR"/>
        </w:rPr>
      </w:pPr>
      <w:r w:rsidRPr="00D959B1">
        <w:rPr>
          <w:rFonts w:ascii="Aptos" w:eastAsia="Aptos" w:hAnsi="Aptos" w:cs="Aptos"/>
          <w:color w:val="000000" w:themeColor="text1"/>
          <w:lang w:val="hr-HR"/>
        </w:rPr>
        <w:t xml:space="preserve">U tom smislu, </w:t>
      </w:r>
      <w:proofErr w:type="spellStart"/>
      <w:r w:rsidRPr="00D959B1">
        <w:rPr>
          <w:rFonts w:ascii="Aptos" w:eastAsia="Aptos" w:hAnsi="Aptos" w:cs="Aptos"/>
          <w:color w:val="000000" w:themeColor="text1"/>
          <w:lang w:val="hr-HR"/>
        </w:rPr>
        <w:t>situaciona</w:t>
      </w:r>
      <w:proofErr w:type="spellEnd"/>
      <w:r w:rsidRPr="00D959B1">
        <w:rPr>
          <w:rFonts w:ascii="Aptos" w:eastAsia="Aptos" w:hAnsi="Aptos" w:cs="Aptos"/>
          <w:color w:val="000000" w:themeColor="text1"/>
          <w:lang w:val="hr-HR"/>
        </w:rPr>
        <w:t xml:space="preserve"> analiza ne služi samo kao opis postojećeg stanja, već kao polazna tačka za </w:t>
      </w:r>
      <w:proofErr w:type="spellStart"/>
      <w:r w:rsidRPr="00D959B1">
        <w:rPr>
          <w:rFonts w:ascii="Aptos" w:eastAsia="Aptos" w:hAnsi="Aptos" w:cs="Aptos"/>
          <w:color w:val="000000" w:themeColor="text1"/>
          <w:lang w:val="hr-HR"/>
        </w:rPr>
        <w:t>definisanje</w:t>
      </w:r>
      <w:proofErr w:type="spellEnd"/>
      <w:r w:rsidRPr="00D959B1">
        <w:rPr>
          <w:rFonts w:ascii="Aptos" w:eastAsia="Aptos" w:hAnsi="Aptos" w:cs="Aptos"/>
          <w:color w:val="000000" w:themeColor="text1"/>
          <w:lang w:val="hr-HR"/>
        </w:rPr>
        <w:t xml:space="preserve"> prioritetnih pravaca djelovanja, očekivanih rezultata i budućih reformskih i investicionih intervencija. U skladu sa metodološkim pristupom za izradu Strateškog planskog dokumenta, razvojni izazovi se </w:t>
      </w:r>
      <w:proofErr w:type="spellStart"/>
      <w:r w:rsidRPr="00D959B1">
        <w:rPr>
          <w:rFonts w:ascii="Aptos" w:eastAsia="Aptos" w:hAnsi="Aptos" w:cs="Aptos"/>
          <w:color w:val="000000" w:themeColor="text1"/>
          <w:lang w:val="hr-HR"/>
        </w:rPr>
        <w:t>posmatraju</w:t>
      </w:r>
      <w:proofErr w:type="spellEnd"/>
      <w:r w:rsidRPr="00D959B1">
        <w:rPr>
          <w:rFonts w:ascii="Aptos" w:eastAsia="Aptos" w:hAnsi="Aptos" w:cs="Aptos"/>
          <w:color w:val="000000" w:themeColor="text1"/>
          <w:lang w:val="hr-HR"/>
        </w:rPr>
        <w:t xml:space="preserve"> kao problemi koji zahtijevaju </w:t>
      </w:r>
      <w:proofErr w:type="spellStart"/>
      <w:r w:rsidRPr="00D959B1">
        <w:rPr>
          <w:rFonts w:ascii="Aptos" w:eastAsia="Aptos" w:hAnsi="Aptos" w:cs="Aptos"/>
          <w:color w:val="000000" w:themeColor="text1"/>
          <w:lang w:val="hr-HR"/>
        </w:rPr>
        <w:t>javnopolitički</w:t>
      </w:r>
      <w:proofErr w:type="spellEnd"/>
      <w:r w:rsidRPr="00D959B1">
        <w:rPr>
          <w:rFonts w:ascii="Aptos" w:eastAsia="Aptos" w:hAnsi="Aptos" w:cs="Aptos"/>
          <w:color w:val="000000" w:themeColor="text1"/>
          <w:lang w:val="hr-HR"/>
        </w:rPr>
        <w:t xml:space="preserve"> odgovor, a ne kao unaprijed </w:t>
      </w:r>
      <w:proofErr w:type="spellStart"/>
      <w:r w:rsidRPr="00D959B1">
        <w:rPr>
          <w:rFonts w:ascii="Aptos" w:eastAsia="Aptos" w:hAnsi="Aptos" w:cs="Aptos"/>
          <w:color w:val="000000" w:themeColor="text1"/>
          <w:lang w:val="hr-HR"/>
        </w:rPr>
        <w:t>definisane</w:t>
      </w:r>
      <w:proofErr w:type="spellEnd"/>
      <w:r w:rsidRPr="00D959B1">
        <w:rPr>
          <w:rFonts w:ascii="Aptos" w:eastAsia="Aptos" w:hAnsi="Aptos" w:cs="Aptos"/>
          <w:color w:val="000000" w:themeColor="text1"/>
          <w:lang w:val="hr-HR"/>
        </w:rPr>
        <w:t xml:space="preserve"> mjere ili rješenja. Zbog toga analiza mora da poveže raspoložive statističke i administrativne podatke, nalaze nacionalnih strateških dokumenata, relevantne međunarodne i EU izvore, kao i uvide ključnih institucija i partnera.</w:t>
      </w:r>
    </w:p>
    <w:p w14:paraId="25B93A56" w14:textId="77777777" w:rsidR="004D67BC" w:rsidRPr="00D959B1" w:rsidRDefault="004D67BC" w:rsidP="004D67BC">
      <w:pPr>
        <w:rPr>
          <w:rFonts w:ascii="Aptos" w:eastAsia="Aptos" w:hAnsi="Aptos" w:cs="Aptos"/>
          <w:color w:val="000000" w:themeColor="text1"/>
          <w:lang w:val="hr-HR"/>
        </w:rPr>
      </w:pPr>
      <w:proofErr w:type="spellStart"/>
      <w:r w:rsidRPr="00D959B1">
        <w:rPr>
          <w:rFonts w:ascii="Aptos" w:eastAsia="Aptos" w:hAnsi="Aptos" w:cs="Aptos"/>
          <w:color w:val="000000" w:themeColor="text1"/>
          <w:lang w:val="hr-HR"/>
        </w:rPr>
        <w:t>Situaciona</w:t>
      </w:r>
      <w:proofErr w:type="spellEnd"/>
      <w:r w:rsidRPr="00D959B1">
        <w:rPr>
          <w:rFonts w:ascii="Aptos" w:eastAsia="Aptos" w:hAnsi="Aptos" w:cs="Aptos"/>
          <w:color w:val="000000" w:themeColor="text1"/>
          <w:lang w:val="hr-HR"/>
        </w:rPr>
        <w:t xml:space="preserve"> analiza istovremeno ima i važnu funkciju u </w:t>
      </w:r>
      <w:proofErr w:type="spellStart"/>
      <w:r w:rsidRPr="00D959B1">
        <w:rPr>
          <w:rFonts w:ascii="Aptos" w:eastAsia="Aptos" w:hAnsi="Aptos" w:cs="Aptos"/>
          <w:color w:val="000000" w:themeColor="text1"/>
          <w:lang w:val="hr-HR"/>
        </w:rPr>
        <w:t>obezbjeđivanju</w:t>
      </w:r>
      <w:proofErr w:type="spellEnd"/>
      <w:r w:rsidRPr="00D959B1">
        <w:rPr>
          <w:rFonts w:ascii="Aptos" w:eastAsia="Aptos" w:hAnsi="Aptos" w:cs="Aptos"/>
          <w:color w:val="000000" w:themeColor="text1"/>
          <w:lang w:val="hr-HR"/>
        </w:rPr>
        <w:t xml:space="preserve"> usklađenosti budućeg strateškog dokumenta sa prioritetima Evropske unije, pravnom tekovinom EU i programskim okvirom za period nakon 2027. godine. Kroz pregled međunarodnog i nacionalnog strateškog i pravnog okvira, planiranih reformi i ključnih pokazatelja, analiza omogućava da se predmetna oblast politike sagleda u širem razvojnom i pristupnom kontekstu, uključujući doprinos pametnom, održivom i inkluzivnom rastu, ekonomskoj, socijalnoj i teritorijalnoj koheziji, kao i smanjenju razvojnih dispariteta.</w:t>
      </w:r>
    </w:p>
    <w:p w14:paraId="4DFFC1D2" w14:textId="6D54637D" w:rsidR="004D67BC" w:rsidRPr="00D959B1" w:rsidRDefault="004D67BC" w:rsidP="004D67BC">
      <w:pPr>
        <w:rPr>
          <w:rFonts w:ascii="Aptos" w:eastAsia="Aptos" w:hAnsi="Aptos" w:cs="Aptos"/>
          <w:color w:val="000000" w:themeColor="text1"/>
          <w:lang w:val="hr-HR"/>
        </w:rPr>
      </w:pPr>
      <w:r w:rsidRPr="00D959B1">
        <w:rPr>
          <w:rFonts w:ascii="Aptos" w:eastAsia="Aptos" w:hAnsi="Aptos" w:cs="Aptos"/>
          <w:color w:val="000000" w:themeColor="text1"/>
          <w:lang w:val="hr-HR"/>
        </w:rPr>
        <w:t xml:space="preserve">Pored toga, </w:t>
      </w:r>
      <w:proofErr w:type="spellStart"/>
      <w:r w:rsidRPr="00D959B1">
        <w:rPr>
          <w:rFonts w:ascii="Aptos" w:eastAsia="Aptos" w:hAnsi="Aptos" w:cs="Aptos"/>
          <w:color w:val="000000" w:themeColor="text1"/>
          <w:lang w:val="hr-HR"/>
        </w:rPr>
        <w:t>situaciona</w:t>
      </w:r>
      <w:proofErr w:type="spellEnd"/>
      <w:r w:rsidRPr="00D959B1">
        <w:rPr>
          <w:rFonts w:ascii="Aptos" w:eastAsia="Aptos" w:hAnsi="Aptos" w:cs="Aptos"/>
          <w:color w:val="000000" w:themeColor="text1"/>
          <w:lang w:val="hr-HR"/>
        </w:rPr>
        <w:t xml:space="preserve"> analiza je važan alat za strukturiranje dijaloga unutar radnih grupa i sa širim krugom partnera. Njome se </w:t>
      </w:r>
      <w:proofErr w:type="spellStart"/>
      <w:r w:rsidRPr="00D959B1">
        <w:rPr>
          <w:rFonts w:ascii="Aptos" w:eastAsia="Aptos" w:hAnsi="Aptos" w:cs="Aptos"/>
          <w:color w:val="000000" w:themeColor="text1"/>
          <w:lang w:val="hr-HR"/>
        </w:rPr>
        <w:t>obezbjeđuje</w:t>
      </w:r>
      <w:proofErr w:type="spellEnd"/>
      <w:r w:rsidRPr="00D959B1">
        <w:rPr>
          <w:rFonts w:ascii="Aptos" w:eastAsia="Aptos" w:hAnsi="Aptos" w:cs="Aptos"/>
          <w:color w:val="000000" w:themeColor="text1"/>
          <w:lang w:val="hr-HR"/>
        </w:rPr>
        <w:t xml:space="preserve"> zajednička analitička osnova za SWOT razmatranje, validaciju nalaza i identifikaciju dugog spiska razvojnih izazova, koji će u narednim koracima biti </w:t>
      </w:r>
      <w:proofErr w:type="spellStart"/>
      <w:r w:rsidRPr="00D959B1">
        <w:rPr>
          <w:rFonts w:ascii="Aptos" w:eastAsia="Aptos" w:hAnsi="Aptos" w:cs="Aptos"/>
          <w:color w:val="000000" w:themeColor="text1"/>
          <w:lang w:val="hr-HR"/>
        </w:rPr>
        <w:t>prioritizovani</w:t>
      </w:r>
      <w:proofErr w:type="spellEnd"/>
      <w:r w:rsidRPr="00D959B1">
        <w:rPr>
          <w:rFonts w:ascii="Aptos" w:eastAsia="Aptos" w:hAnsi="Aptos" w:cs="Aptos"/>
          <w:color w:val="000000" w:themeColor="text1"/>
          <w:lang w:val="hr-HR"/>
        </w:rPr>
        <w:t xml:space="preserve">. Na taj način, </w:t>
      </w:r>
      <w:proofErr w:type="spellStart"/>
      <w:r w:rsidRPr="00D959B1">
        <w:rPr>
          <w:rFonts w:ascii="Aptos" w:eastAsia="Aptos" w:hAnsi="Aptos" w:cs="Aptos"/>
          <w:color w:val="000000" w:themeColor="text1"/>
          <w:lang w:val="hr-HR"/>
        </w:rPr>
        <w:t>situaciona</w:t>
      </w:r>
      <w:proofErr w:type="spellEnd"/>
      <w:r w:rsidRPr="00D959B1">
        <w:rPr>
          <w:rFonts w:ascii="Aptos" w:eastAsia="Aptos" w:hAnsi="Aptos" w:cs="Aptos"/>
          <w:color w:val="000000" w:themeColor="text1"/>
          <w:lang w:val="hr-HR"/>
        </w:rPr>
        <w:t xml:space="preserve"> analiza doprinosi transparentnom, participativnom i metodološki utemeljenom procesu planiranja, u skladu sa principom partnerstva i upravljanj</w:t>
      </w:r>
      <w:r w:rsidR="002A1BB8" w:rsidRPr="00D959B1">
        <w:rPr>
          <w:rFonts w:ascii="Aptos" w:eastAsia="Aptos" w:hAnsi="Aptos" w:cs="Aptos"/>
          <w:color w:val="000000" w:themeColor="text1"/>
          <w:lang w:val="hr-HR"/>
        </w:rPr>
        <w:t>em na više nivoa</w:t>
      </w:r>
      <w:r w:rsidRPr="00D959B1">
        <w:rPr>
          <w:rFonts w:ascii="Aptos" w:eastAsia="Aptos" w:hAnsi="Aptos" w:cs="Aptos"/>
          <w:color w:val="000000" w:themeColor="text1"/>
          <w:lang w:val="hr-HR"/>
        </w:rPr>
        <w:t>.</w:t>
      </w:r>
    </w:p>
    <w:p w14:paraId="3F3F587D" w14:textId="009FF47F" w:rsidR="004D67BC" w:rsidRPr="00D959B1" w:rsidRDefault="00417444" w:rsidP="004D67BC">
      <w:pPr>
        <w:pStyle w:val="Naslov1"/>
        <w:rPr>
          <w:rFonts w:eastAsia="Times New Roman"/>
          <w:lang w:val="hr-HR"/>
        </w:rPr>
      </w:pPr>
      <w:r w:rsidRPr="00D959B1">
        <w:rPr>
          <w:rFonts w:eastAsia="Times New Roman"/>
          <w:lang w:val="hr-HR"/>
        </w:rPr>
        <w:lastRenderedPageBreak/>
        <w:t xml:space="preserve">2 </w:t>
      </w:r>
      <w:r w:rsidR="004D67BC" w:rsidRPr="00D959B1">
        <w:rPr>
          <w:rFonts w:eastAsia="Times New Roman"/>
          <w:lang w:val="hr-HR"/>
        </w:rPr>
        <w:t xml:space="preserve">Opis prioritetnih područja </w:t>
      </w:r>
    </w:p>
    <w:tbl>
      <w:tblPr>
        <w:tblStyle w:val="Reetkatablice"/>
        <w:tblW w:w="0" w:type="auto"/>
        <w:tblLook w:val="04A0" w:firstRow="1" w:lastRow="0" w:firstColumn="1" w:lastColumn="0" w:noHBand="0" w:noVBand="1"/>
      </w:tblPr>
      <w:tblGrid>
        <w:gridCol w:w="1306"/>
        <w:gridCol w:w="2035"/>
        <w:gridCol w:w="1142"/>
        <w:gridCol w:w="4579"/>
      </w:tblGrid>
      <w:tr w:rsidR="004D67BC" w:rsidRPr="00D959B1" w14:paraId="1721A834" w14:textId="77777777" w:rsidTr="00E27755">
        <w:trPr>
          <w:trHeight w:val="20"/>
        </w:trPr>
        <w:tc>
          <w:tcPr>
            <w:tcW w:w="1345" w:type="dxa"/>
            <w:shd w:val="clear" w:color="auto" w:fill="83CAEB" w:themeFill="accent1" w:themeFillTint="66"/>
            <w:vAlign w:val="center"/>
          </w:tcPr>
          <w:p w14:paraId="7C327797" w14:textId="688D2079" w:rsidR="004D67BC" w:rsidRPr="00D959B1" w:rsidRDefault="004D41F0" w:rsidP="00E27755">
            <w:pPr>
              <w:jc w:val="center"/>
              <w:rPr>
                <w:b/>
                <w:bCs/>
                <w:sz w:val="20"/>
                <w:lang w:val="hr-HR"/>
              </w:rPr>
            </w:pPr>
            <w:r w:rsidRPr="00D959B1">
              <w:rPr>
                <w:b/>
                <w:bCs/>
                <w:sz w:val="20"/>
                <w:lang w:val="hr-HR"/>
              </w:rPr>
              <w:t>Šifra PA1</w:t>
            </w:r>
          </w:p>
        </w:tc>
        <w:tc>
          <w:tcPr>
            <w:tcW w:w="2070" w:type="dxa"/>
            <w:shd w:val="clear" w:color="auto" w:fill="83CAEB" w:themeFill="accent1" w:themeFillTint="66"/>
            <w:vAlign w:val="center"/>
          </w:tcPr>
          <w:p w14:paraId="3722E74C" w14:textId="60176B82" w:rsidR="004D67BC" w:rsidRPr="00D959B1" w:rsidRDefault="004D41F0" w:rsidP="00E27755">
            <w:pPr>
              <w:jc w:val="center"/>
              <w:rPr>
                <w:b/>
                <w:bCs/>
                <w:sz w:val="20"/>
                <w:lang w:val="hr-HR"/>
              </w:rPr>
            </w:pPr>
            <w:r w:rsidRPr="00D959B1">
              <w:rPr>
                <w:b/>
                <w:bCs/>
                <w:sz w:val="20"/>
                <w:lang w:val="hr-HR"/>
              </w:rPr>
              <w:t>Naziv PA1</w:t>
            </w:r>
          </w:p>
        </w:tc>
        <w:tc>
          <w:tcPr>
            <w:tcW w:w="1170" w:type="dxa"/>
            <w:shd w:val="clear" w:color="auto" w:fill="83CAEB" w:themeFill="accent1" w:themeFillTint="66"/>
            <w:vAlign w:val="center"/>
          </w:tcPr>
          <w:p w14:paraId="511029CC" w14:textId="1C8DD1CB" w:rsidR="004D67BC" w:rsidRPr="00D959B1" w:rsidRDefault="004D41F0" w:rsidP="00E27755">
            <w:pPr>
              <w:jc w:val="center"/>
              <w:rPr>
                <w:b/>
                <w:bCs/>
                <w:sz w:val="20"/>
                <w:lang w:val="hr-HR"/>
              </w:rPr>
            </w:pPr>
            <w:r w:rsidRPr="00D959B1">
              <w:rPr>
                <w:b/>
                <w:bCs/>
                <w:sz w:val="20"/>
                <w:lang w:val="hr-HR"/>
              </w:rPr>
              <w:t>Šifra PA 2</w:t>
            </w:r>
          </w:p>
        </w:tc>
        <w:tc>
          <w:tcPr>
            <w:tcW w:w="4765" w:type="dxa"/>
            <w:shd w:val="clear" w:color="auto" w:fill="83CAEB" w:themeFill="accent1" w:themeFillTint="66"/>
            <w:vAlign w:val="center"/>
          </w:tcPr>
          <w:p w14:paraId="7420531E" w14:textId="409E3D12" w:rsidR="004D67BC" w:rsidRPr="00D959B1" w:rsidRDefault="004D41F0" w:rsidP="00E27755">
            <w:pPr>
              <w:jc w:val="center"/>
              <w:rPr>
                <w:b/>
                <w:bCs/>
                <w:sz w:val="20"/>
                <w:lang w:val="hr-HR"/>
              </w:rPr>
            </w:pPr>
            <w:r w:rsidRPr="00D959B1">
              <w:rPr>
                <w:b/>
                <w:bCs/>
                <w:sz w:val="20"/>
                <w:lang w:val="hr-HR"/>
              </w:rPr>
              <w:t>Naziv PA</w:t>
            </w:r>
            <w:r w:rsidR="004D67BC" w:rsidRPr="00D959B1">
              <w:rPr>
                <w:b/>
                <w:bCs/>
                <w:sz w:val="20"/>
                <w:lang w:val="hr-HR"/>
              </w:rPr>
              <w:t xml:space="preserve"> 2</w:t>
            </w:r>
            <w:r w:rsidRPr="00D959B1">
              <w:rPr>
                <w:b/>
                <w:bCs/>
                <w:sz w:val="20"/>
                <w:lang w:val="hr-HR"/>
              </w:rPr>
              <w:t xml:space="preserve"> nivoa</w:t>
            </w:r>
          </w:p>
        </w:tc>
      </w:tr>
      <w:tr w:rsidR="004D67BC" w:rsidRPr="00D959B1" w14:paraId="70A2D674" w14:textId="77777777" w:rsidTr="00E27755">
        <w:trPr>
          <w:trHeight w:val="20"/>
        </w:trPr>
        <w:tc>
          <w:tcPr>
            <w:tcW w:w="1345" w:type="dxa"/>
            <w:vMerge w:val="restart"/>
            <w:vAlign w:val="center"/>
          </w:tcPr>
          <w:p w14:paraId="013E8193" w14:textId="77777777" w:rsidR="004D67BC" w:rsidRPr="00D959B1" w:rsidRDefault="004D67BC" w:rsidP="00E27755">
            <w:pPr>
              <w:jc w:val="center"/>
              <w:rPr>
                <w:lang w:val="hr-HR"/>
              </w:rPr>
            </w:pPr>
            <w:r w:rsidRPr="00D959B1">
              <w:rPr>
                <w:lang w:val="hr-HR"/>
              </w:rPr>
              <w:t>6</w:t>
            </w:r>
          </w:p>
          <w:p w14:paraId="55FD9E19" w14:textId="77777777" w:rsidR="004D67BC" w:rsidRPr="00D959B1" w:rsidRDefault="004D67BC" w:rsidP="00E27755">
            <w:pPr>
              <w:rPr>
                <w:lang w:val="hr-HR"/>
              </w:rPr>
            </w:pPr>
          </w:p>
        </w:tc>
        <w:tc>
          <w:tcPr>
            <w:tcW w:w="2070" w:type="dxa"/>
            <w:vMerge w:val="restart"/>
            <w:vAlign w:val="center"/>
          </w:tcPr>
          <w:p w14:paraId="7DA6F9AC" w14:textId="77777777" w:rsidR="004D67BC" w:rsidRPr="00D959B1" w:rsidRDefault="004D67BC" w:rsidP="00E27755">
            <w:pPr>
              <w:jc w:val="left"/>
              <w:rPr>
                <w:lang w:val="hr-HR"/>
              </w:rPr>
            </w:pPr>
            <w:r w:rsidRPr="00D959B1">
              <w:rPr>
                <w:lang w:val="hr-HR"/>
              </w:rPr>
              <w:t>Obrazovanje i vještine</w:t>
            </w:r>
          </w:p>
          <w:p w14:paraId="09C549ED" w14:textId="77777777" w:rsidR="004D67BC" w:rsidRPr="00D959B1" w:rsidRDefault="004D67BC" w:rsidP="00E27755">
            <w:pPr>
              <w:rPr>
                <w:lang w:val="hr-HR"/>
              </w:rPr>
            </w:pPr>
          </w:p>
        </w:tc>
        <w:tc>
          <w:tcPr>
            <w:tcW w:w="1170" w:type="dxa"/>
            <w:vAlign w:val="center"/>
          </w:tcPr>
          <w:p w14:paraId="70B1C81C" w14:textId="77777777" w:rsidR="004D67BC" w:rsidRPr="00D959B1" w:rsidRDefault="004D67BC" w:rsidP="00E27755">
            <w:pPr>
              <w:jc w:val="center"/>
              <w:rPr>
                <w:sz w:val="20"/>
                <w:lang w:val="hr-HR"/>
              </w:rPr>
            </w:pPr>
            <w:r w:rsidRPr="00D959B1">
              <w:rPr>
                <w:sz w:val="20"/>
                <w:lang w:val="hr-HR"/>
              </w:rPr>
              <w:t>6.16</w:t>
            </w:r>
          </w:p>
        </w:tc>
        <w:tc>
          <w:tcPr>
            <w:tcW w:w="4765" w:type="dxa"/>
            <w:vAlign w:val="center"/>
          </w:tcPr>
          <w:p w14:paraId="6F56D128" w14:textId="77777777" w:rsidR="004D67BC" w:rsidRPr="00D959B1" w:rsidRDefault="004D67BC" w:rsidP="00E27755">
            <w:pPr>
              <w:rPr>
                <w:sz w:val="20"/>
                <w:lang w:val="hr-HR"/>
              </w:rPr>
            </w:pPr>
            <w:r w:rsidRPr="00D959B1">
              <w:rPr>
                <w:sz w:val="20"/>
                <w:lang w:val="hr-HR"/>
              </w:rPr>
              <w:t>Obrazovanje</w:t>
            </w:r>
          </w:p>
        </w:tc>
      </w:tr>
      <w:tr w:rsidR="004D67BC" w:rsidRPr="00D959B1" w14:paraId="77913031" w14:textId="77777777" w:rsidTr="00E27755">
        <w:trPr>
          <w:trHeight w:val="20"/>
        </w:trPr>
        <w:tc>
          <w:tcPr>
            <w:tcW w:w="1345" w:type="dxa"/>
            <w:vMerge/>
            <w:vAlign w:val="center"/>
          </w:tcPr>
          <w:p w14:paraId="320A01C6" w14:textId="77777777" w:rsidR="004D67BC" w:rsidRPr="00D959B1" w:rsidRDefault="004D67BC" w:rsidP="00E27755">
            <w:pPr>
              <w:spacing w:line="216" w:lineRule="auto"/>
              <w:rPr>
                <w:sz w:val="20"/>
                <w:szCs w:val="20"/>
                <w:lang w:val="hr-HR"/>
              </w:rPr>
            </w:pPr>
          </w:p>
        </w:tc>
        <w:tc>
          <w:tcPr>
            <w:tcW w:w="2070" w:type="dxa"/>
            <w:vMerge/>
            <w:vAlign w:val="center"/>
          </w:tcPr>
          <w:p w14:paraId="44F2D67B" w14:textId="77777777" w:rsidR="004D67BC" w:rsidRPr="00D959B1" w:rsidRDefault="004D67BC" w:rsidP="00E27755">
            <w:pPr>
              <w:spacing w:line="216" w:lineRule="auto"/>
              <w:rPr>
                <w:sz w:val="20"/>
                <w:lang w:val="hr-HR"/>
              </w:rPr>
            </w:pPr>
          </w:p>
        </w:tc>
        <w:tc>
          <w:tcPr>
            <w:tcW w:w="1170" w:type="dxa"/>
            <w:vAlign w:val="center"/>
          </w:tcPr>
          <w:p w14:paraId="331B0673" w14:textId="77777777" w:rsidR="004D67BC" w:rsidRPr="00D959B1" w:rsidRDefault="004D67BC" w:rsidP="00E27755">
            <w:pPr>
              <w:jc w:val="center"/>
              <w:rPr>
                <w:sz w:val="20"/>
                <w:lang w:val="hr-HR"/>
              </w:rPr>
            </w:pPr>
            <w:r w:rsidRPr="00D959B1">
              <w:rPr>
                <w:sz w:val="20"/>
                <w:lang w:val="hr-HR"/>
              </w:rPr>
              <w:t>6.05</w:t>
            </w:r>
          </w:p>
        </w:tc>
        <w:tc>
          <w:tcPr>
            <w:tcW w:w="4765" w:type="dxa"/>
            <w:vAlign w:val="center"/>
          </w:tcPr>
          <w:p w14:paraId="2ED3347B" w14:textId="77777777" w:rsidR="004D67BC" w:rsidRPr="00D959B1" w:rsidRDefault="004D67BC" w:rsidP="00E27755">
            <w:pPr>
              <w:rPr>
                <w:sz w:val="20"/>
                <w:lang w:val="hr-HR"/>
              </w:rPr>
            </w:pPr>
            <w:r w:rsidRPr="00D959B1">
              <w:rPr>
                <w:sz w:val="20"/>
                <w:lang w:val="hr-HR"/>
              </w:rPr>
              <w:t>Reforme</w:t>
            </w:r>
          </w:p>
        </w:tc>
      </w:tr>
      <w:tr w:rsidR="004D67BC" w:rsidRPr="00D959B1" w14:paraId="5367B3AD" w14:textId="77777777" w:rsidTr="00E27755">
        <w:trPr>
          <w:trHeight w:val="20"/>
        </w:trPr>
        <w:tc>
          <w:tcPr>
            <w:tcW w:w="1345" w:type="dxa"/>
            <w:vMerge/>
            <w:vAlign w:val="center"/>
          </w:tcPr>
          <w:p w14:paraId="17F2BC04" w14:textId="77777777" w:rsidR="004D67BC" w:rsidRPr="00D959B1" w:rsidRDefault="004D67BC" w:rsidP="00E27755">
            <w:pPr>
              <w:spacing w:line="216" w:lineRule="auto"/>
              <w:rPr>
                <w:sz w:val="20"/>
                <w:szCs w:val="20"/>
                <w:lang w:val="hr-HR"/>
              </w:rPr>
            </w:pPr>
          </w:p>
        </w:tc>
        <w:tc>
          <w:tcPr>
            <w:tcW w:w="2070" w:type="dxa"/>
            <w:vMerge/>
            <w:vAlign w:val="center"/>
          </w:tcPr>
          <w:p w14:paraId="5623B4CD" w14:textId="77777777" w:rsidR="004D67BC" w:rsidRPr="00D959B1" w:rsidRDefault="004D67BC" w:rsidP="00E27755">
            <w:pPr>
              <w:spacing w:line="216" w:lineRule="auto"/>
              <w:rPr>
                <w:sz w:val="20"/>
                <w:lang w:val="hr-HR"/>
              </w:rPr>
            </w:pPr>
          </w:p>
        </w:tc>
        <w:tc>
          <w:tcPr>
            <w:tcW w:w="1170" w:type="dxa"/>
            <w:vAlign w:val="center"/>
          </w:tcPr>
          <w:p w14:paraId="32DC0406" w14:textId="77777777" w:rsidR="004D67BC" w:rsidRPr="00D959B1" w:rsidRDefault="004D67BC" w:rsidP="00E27755">
            <w:pPr>
              <w:jc w:val="center"/>
              <w:rPr>
                <w:sz w:val="20"/>
                <w:lang w:val="hr-HR"/>
              </w:rPr>
            </w:pPr>
            <w:r w:rsidRPr="00D959B1">
              <w:rPr>
                <w:sz w:val="20"/>
                <w:lang w:val="hr-HR"/>
              </w:rPr>
              <w:t>6.17</w:t>
            </w:r>
          </w:p>
        </w:tc>
        <w:tc>
          <w:tcPr>
            <w:tcW w:w="4765" w:type="dxa"/>
            <w:vAlign w:val="center"/>
          </w:tcPr>
          <w:p w14:paraId="3D933511" w14:textId="77777777" w:rsidR="004D67BC" w:rsidRPr="00D959B1" w:rsidRDefault="004D67BC" w:rsidP="00E27755">
            <w:pPr>
              <w:rPr>
                <w:sz w:val="20"/>
                <w:lang w:val="hr-HR"/>
              </w:rPr>
            </w:pPr>
            <w:r w:rsidRPr="00D959B1">
              <w:rPr>
                <w:sz w:val="20"/>
                <w:lang w:val="hr-HR"/>
              </w:rPr>
              <w:t>Vještine</w:t>
            </w:r>
          </w:p>
        </w:tc>
      </w:tr>
      <w:tr w:rsidR="004D67BC" w:rsidRPr="00D959B1" w14:paraId="0732AEE6" w14:textId="77777777" w:rsidTr="00E27755">
        <w:trPr>
          <w:trHeight w:val="20"/>
        </w:trPr>
        <w:tc>
          <w:tcPr>
            <w:tcW w:w="1345" w:type="dxa"/>
            <w:vMerge/>
            <w:vAlign w:val="center"/>
          </w:tcPr>
          <w:p w14:paraId="4C64E045" w14:textId="77777777" w:rsidR="004D67BC" w:rsidRPr="00D959B1" w:rsidRDefault="004D67BC" w:rsidP="00E27755">
            <w:pPr>
              <w:spacing w:line="216" w:lineRule="auto"/>
              <w:rPr>
                <w:sz w:val="20"/>
                <w:szCs w:val="20"/>
                <w:lang w:val="hr-HR"/>
              </w:rPr>
            </w:pPr>
          </w:p>
        </w:tc>
        <w:tc>
          <w:tcPr>
            <w:tcW w:w="2070" w:type="dxa"/>
            <w:vMerge/>
            <w:vAlign w:val="center"/>
          </w:tcPr>
          <w:p w14:paraId="54FC8A89" w14:textId="77777777" w:rsidR="004D67BC" w:rsidRPr="00D959B1" w:rsidRDefault="004D67BC" w:rsidP="00E27755">
            <w:pPr>
              <w:spacing w:line="216" w:lineRule="auto"/>
              <w:rPr>
                <w:sz w:val="20"/>
                <w:lang w:val="hr-HR"/>
              </w:rPr>
            </w:pPr>
          </w:p>
        </w:tc>
        <w:tc>
          <w:tcPr>
            <w:tcW w:w="1170" w:type="dxa"/>
            <w:vAlign w:val="center"/>
          </w:tcPr>
          <w:p w14:paraId="775B90F1" w14:textId="77777777" w:rsidR="004D67BC" w:rsidRPr="00D959B1" w:rsidRDefault="004D67BC" w:rsidP="00E27755">
            <w:pPr>
              <w:jc w:val="center"/>
              <w:rPr>
                <w:sz w:val="20"/>
                <w:lang w:val="hr-HR"/>
              </w:rPr>
            </w:pPr>
            <w:r w:rsidRPr="00D959B1">
              <w:rPr>
                <w:sz w:val="20"/>
                <w:lang w:val="hr-HR"/>
              </w:rPr>
              <w:t>6.18</w:t>
            </w:r>
          </w:p>
        </w:tc>
        <w:tc>
          <w:tcPr>
            <w:tcW w:w="4765" w:type="dxa"/>
            <w:vAlign w:val="center"/>
          </w:tcPr>
          <w:p w14:paraId="0ED47254" w14:textId="77777777" w:rsidR="004D67BC" w:rsidRPr="00D959B1" w:rsidRDefault="004D67BC" w:rsidP="00E27755">
            <w:pPr>
              <w:rPr>
                <w:sz w:val="20"/>
                <w:lang w:val="hr-HR"/>
              </w:rPr>
            </w:pPr>
            <w:r w:rsidRPr="00D959B1">
              <w:rPr>
                <w:sz w:val="20"/>
                <w:lang w:val="hr-HR"/>
              </w:rPr>
              <w:t>Sport</w:t>
            </w:r>
          </w:p>
        </w:tc>
      </w:tr>
      <w:tr w:rsidR="004D67BC" w:rsidRPr="00D959B1" w14:paraId="5CF55997" w14:textId="77777777" w:rsidTr="00E27755">
        <w:trPr>
          <w:trHeight w:val="20"/>
        </w:trPr>
        <w:tc>
          <w:tcPr>
            <w:tcW w:w="1345" w:type="dxa"/>
            <w:vMerge/>
            <w:vAlign w:val="center"/>
          </w:tcPr>
          <w:p w14:paraId="3E6C71BD" w14:textId="77777777" w:rsidR="004D67BC" w:rsidRPr="00D959B1" w:rsidRDefault="004D67BC" w:rsidP="00E27755">
            <w:pPr>
              <w:spacing w:line="216" w:lineRule="auto"/>
              <w:rPr>
                <w:sz w:val="20"/>
                <w:szCs w:val="20"/>
                <w:lang w:val="hr-HR"/>
              </w:rPr>
            </w:pPr>
          </w:p>
        </w:tc>
        <w:tc>
          <w:tcPr>
            <w:tcW w:w="2070" w:type="dxa"/>
            <w:vMerge/>
            <w:vAlign w:val="center"/>
          </w:tcPr>
          <w:p w14:paraId="615444BD" w14:textId="77777777" w:rsidR="004D67BC" w:rsidRPr="00D959B1" w:rsidRDefault="004D67BC" w:rsidP="00E27755">
            <w:pPr>
              <w:spacing w:line="216" w:lineRule="auto"/>
              <w:rPr>
                <w:sz w:val="20"/>
                <w:lang w:val="hr-HR"/>
              </w:rPr>
            </w:pPr>
          </w:p>
        </w:tc>
        <w:tc>
          <w:tcPr>
            <w:tcW w:w="1170" w:type="dxa"/>
            <w:vAlign w:val="center"/>
          </w:tcPr>
          <w:p w14:paraId="78DDE1C5" w14:textId="77777777" w:rsidR="004D67BC" w:rsidRPr="00D959B1" w:rsidRDefault="004D67BC" w:rsidP="00E27755">
            <w:pPr>
              <w:jc w:val="center"/>
              <w:rPr>
                <w:sz w:val="20"/>
                <w:lang w:val="hr-HR"/>
              </w:rPr>
            </w:pPr>
            <w:r w:rsidRPr="00D959B1">
              <w:rPr>
                <w:sz w:val="20"/>
                <w:lang w:val="hr-HR"/>
              </w:rPr>
              <w:t>6.19</w:t>
            </w:r>
          </w:p>
        </w:tc>
        <w:tc>
          <w:tcPr>
            <w:tcW w:w="4765" w:type="dxa"/>
            <w:vAlign w:val="center"/>
          </w:tcPr>
          <w:p w14:paraId="732B3DF8" w14:textId="77777777" w:rsidR="004D67BC" w:rsidRPr="00D959B1" w:rsidRDefault="004D67BC" w:rsidP="00E27755">
            <w:pPr>
              <w:rPr>
                <w:sz w:val="20"/>
                <w:lang w:val="hr-HR"/>
              </w:rPr>
            </w:pPr>
            <w:r w:rsidRPr="00D959B1">
              <w:rPr>
                <w:sz w:val="20"/>
                <w:lang w:val="hr-HR"/>
              </w:rPr>
              <w:t>Mladi</w:t>
            </w:r>
          </w:p>
        </w:tc>
      </w:tr>
    </w:tbl>
    <w:p w14:paraId="62E4CED2" w14:textId="4C1F3C19" w:rsidR="004D67BC" w:rsidRPr="00D959B1" w:rsidRDefault="00417444" w:rsidP="004D67BC">
      <w:pPr>
        <w:pStyle w:val="Naslov1"/>
        <w:rPr>
          <w:rFonts w:eastAsia="Times New Roman"/>
          <w:lang w:val="hr-HR"/>
        </w:rPr>
      </w:pPr>
      <w:r w:rsidRPr="00D959B1">
        <w:rPr>
          <w:rFonts w:eastAsia="Times New Roman"/>
          <w:lang w:val="hr-HR"/>
        </w:rPr>
        <w:t xml:space="preserve">3 </w:t>
      </w:r>
      <w:proofErr w:type="spellStart"/>
      <w:r w:rsidR="004D67BC" w:rsidRPr="00D959B1">
        <w:rPr>
          <w:rFonts w:eastAsia="Times New Roman"/>
          <w:lang w:val="hr-HR"/>
        </w:rPr>
        <w:t>Situaciona</w:t>
      </w:r>
      <w:proofErr w:type="spellEnd"/>
      <w:r w:rsidR="004D67BC" w:rsidRPr="00D959B1">
        <w:rPr>
          <w:rFonts w:eastAsia="Times New Roman"/>
          <w:lang w:val="hr-HR"/>
        </w:rPr>
        <w:t xml:space="preserve"> analiza</w:t>
      </w:r>
    </w:p>
    <w:p w14:paraId="41C3AE3B" w14:textId="1D04DEE4" w:rsidR="004D67BC" w:rsidRPr="00D959B1" w:rsidRDefault="00417444" w:rsidP="004D67BC">
      <w:pPr>
        <w:pStyle w:val="Naslov2"/>
        <w:rPr>
          <w:rFonts w:eastAsia="Times New Roman"/>
          <w:lang w:val="hr-HR"/>
        </w:rPr>
      </w:pPr>
      <w:r w:rsidRPr="00D959B1">
        <w:rPr>
          <w:rFonts w:eastAsia="Times New Roman"/>
          <w:lang w:val="hr-HR"/>
        </w:rPr>
        <w:t xml:space="preserve">3.1 </w:t>
      </w:r>
      <w:proofErr w:type="spellStart"/>
      <w:r w:rsidR="004D67BC" w:rsidRPr="00D959B1">
        <w:rPr>
          <w:rFonts w:eastAsia="Times New Roman"/>
          <w:lang w:val="hr-HR"/>
        </w:rPr>
        <w:t>Priritetno</w:t>
      </w:r>
      <w:proofErr w:type="spellEnd"/>
      <w:r w:rsidR="004D67BC" w:rsidRPr="00D959B1">
        <w:rPr>
          <w:rFonts w:eastAsia="Times New Roman"/>
          <w:lang w:val="hr-HR"/>
        </w:rPr>
        <w:t xml:space="preserve"> područje nivo 1: Obrazovanje i vještine</w:t>
      </w:r>
    </w:p>
    <w:p w14:paraId="18B3DEF2" w14:textId="07016E46" w:rsidR="004D67BC" w:rsidRPr="00D959B1" w:rsidRDefault="004D67BC" w:rsidP="004D67BC">
      <w:pPr>
        <w:rPr>
          <w:lang w:val="hr-HR"/>
        </w:rPr>
      </w:pPr>
      <w:r w:rsidRPr="00D959B1">
        <w:rPr>
          <w:lang w:val="hr-HR"/>
        </w:rPr>
        <w:t xml:space="preserve">Oblast obrazovanja i vještina obuhvata sve nivoe obrazovanja, od ranog i predškolskog </w:t>
      </w:r>
      <w:proofErr w:type="spellStart"/>
      <w:r w:rsidRPr="00D959B1">
        <w:rPr>
          <w:lang w:val="hr-HR"/>
        </w:rPr>
        <w:t>vaspitanja</w:t>
      </w:r>
      <w:proofErr w:type="spellEnd"/>
      <w:r w:rsidRPr="00D959B1">
        <w:rPr>
          <w:lang w:val="hr-HR"/>
        </w:rPr>
        <w:t xml:space="preserve"> i obrazovanja (ECEC), preko osnovnog, srednjeg i stručnog, do visokog obrazovanja, kao i obrazovanje odraslih, digitalne i zelene vještine, sport i omladinu. U Crnoj Gori ovu oblast </w:t>
      </w:r>
      <w:proofErr w:type="spellStart"/>
      <w:r w:rsidRPr="00D959B1">
        <w:rPr>
          <w:lang w:val="hr-HR"/>
        </w:rPr>
        <w:t>karakteriše</w:t>
      </w:r>
      <w:proofErr w:type="spellEnd"/>
      <w:r w:rsidRPr="00D959B1">
        <w:rPr>
          <w:lang w:val="hr-HR"/>
        </w:rPr>
        <w:t xml:space="preserve"> paradoks: snažni formalni pokazatelji u pogledu upisa u škole i niska stopa ranog napuštanja školovanja koegzistiraju sa značajnim deficitima u ishodima učenja. Rezultati PISA</w:t>
      </w:r>
      <w:r w:rsidR="00E27755" w:rsidRPr="00D959B1">
        <w:rPr>
          <w:rStyle w:val="Referencafusnote"/>
          <w:lang w:val="hr-HR"/>
        </w:rPr>
        <w:footnoteReference w:id="1"/>
      </w:r>
      <w:r w:rsidRPr="00D959B1">
        <w:rPr>
          <w:lang w:val="hr-HR"/>
        </w:rPr>
        <w:t xml:space="preserve"> 2022 </w:t>
      </w:r>
      <w:r w:rsidRPr="00D959B1">
        <w:rPr>
          <w:rStyle w:val="Referencafusnote"/>
          <w:lang w:val="hr-HR"/>
        </w:rPr>
        <w:footnoteReference w:id="2"/>
      </w:r>
      <w:r w:rsidRPr="00D959B1">
        <w:rPr>
          <w:lang w:val="hr-HR"/>
        </w:rPr>
        <w:t>pokazuju da petnaestogodišnjaci ostvaruju rezultate koji su približno 65–80 bodova ispod OECD prosjeka u sva tri domena, što odgovara zaostatku od oko dvije godine učenja. Neusklađenost između ishoda obrazovnog sistema i potreba tržišta rada predstavlja strukturni uzrok nezaposlenosti mladih i emigracije, čineći ovu oblast snažno povezanom sa socijalnom politikom (PA17), u okviru koje se rješavaju pitanja zapošljavanja mladih, smanjenja NEET stope i kroz Garancije za mlade.</w:t>
      </w:r>
    </w:p>
    <w:p w14:paraId="15273A8D" w14:textId="77777777" w:rsidR="004D67BC" w:rsidRPr="00D959B1" w:rsidRDefault="004D67BC" w:rsidP="004D67BC">
      <w:pPr>
        <w:rPr>
          <w:lang w:val="hr-HR"/>
        </w:rPr>
      </w:pPr>
      <w:r w:rsidRPr="00D959B1">
        <w:rPr>
          <w:lang w:val="hr-HR"/>
        </w:rPr>
        <w:t xml:space="preserve">U okviru Nacrta regulative o praćenju budžetske potrošnje i učinka za Višegodišnji </w:t>
      </w:r>
      <w:proofErr w:type="spellStart"/>
      <w:r w:rsidRPr="00D959B1">
        <w:rPr>
          <w:lang w:val="hr-HR"/>
        </w:rPr>
        <w:t>finansijski</w:t>
      </w:r>
      <w:proofErr w:type="spellEnd"/>
      <w:r w:rsidRPr="00D959B1">
        <w:rPr>
          <w:lang w:val="hr-HR"/>
        </w:rPr>
        <w:t xml:space="preserve"> okvir (MFF) 2028–2034 (Aneks I)</w:t>
      </w:r>
      <w:r w:rsidRPr="00D959B1">
        <w:rPr>
          <w:rStyle w:val="Referencafusnote"/>
          <w:lang w:val="hr-HR"/>
        </w:rPr>
        <w:footnoteReference w:id="3"/>
      </w:r>
      <w:r w:rsidRPr="00D959B1">
        <w:rPr>
          <w:lang w:val="hr-HR"/>
        </w:rPr>
        <w:t xml:space="preserve">, politika oblast 6 „Obrazovanje i vještine“ obuhvata pet </w:t>
      </w:r>
      <w:proofErr w:type="spellStart"/>
      <w:r w:rsidRPr="00D959B1">
        <w:rPr>
          <w:lang w:val="hr-HR"/>
        </w:rPr>
        <w:t>podoblasti</w:t>
      </w:r>
      <w:proofErr w:type="spellEnd"/>
      <w:r w:rsidRPr="00D959B1">
        <w:rPr>
          <w:lang w:val="hr-HR"/>
        </w:rPr>
        <w:t xml:space="preserve"> na nivou 2: Obrazovanje (6.16, 12 tematskih jedinica), Reforme (6.05, 4 tematske jedinice), Vještine (6.17, 6 tematskih jedinica), Sport (6.18, 1 tematska jedinica) i Mladi (6.19, 2 tematske jedinice), što ukupno čini 25 tematskih jedinica. Tematska jedinica 6.16.118 „Obrazovanje za izbjeglice u trećim zemljama“ nije relevantna za Crnu Goru i isključena je iz ove analize. Cjelokupna lista tematskih jedinica prikazana je u okviru poglavlja 4.3.</w:t>
      </w:r>
    </w:p>
    <w:p w14:paraId="1CFDF456" w14:textId="77777777" w:rsidR="004D67BC" w:rsidRPr="00D959B1" w:rsidRDefault="004D67BC" w:rsidP="004D67BC">
      <w:pPr>
        <w:spacing w:after="240"/>
        <w:rPr>
          <w:sz w:val="8"/>
          <w:lang w:val="hr-HR"/>
        </w:rPr>
      </w:pPr>
    </w:p>
    <w:p w14:paraId="55935B29" w14:textId="01B5DD1F" w:rsidR="004D67BC" w:rsidRPr="00D959B1" w:rsidRDefault="00417444" w:rsidP="004D67BC">
      <w:pPr>
        <w:pStyle w:val="Naslov3"/>
        <w:rPr>
          <w:rFonts w:eastAsia="Times New Roman"/>
          <w:lang w:val="hr-HR"/>
        </w:rPr>
      </w:pPr>
      <w:r w:rsidRPr="00D959B1">
        <w:rPr>
          <w:rFonts w:eastAsia="Times New Roman"/>
          <w:lang w:val="hr-HR"/>
        </w:rPr>
        <w:t xml:space="preserve">3.1.1 </w:t>
      </w:r>
      <w:r w:rsidR="004D67BC" w:rsidRPr="00D959B1">
        <w:rPr>
          <w:rFonts w:eastAsia="Times New Roman"/>
          <w:lang w:val="hr-HR"/>
        </w:rPr>
        <w:t>Međunarodni i EU strateški i pravni okvir</w:t>
      </w:r>
    </w:p>
    <w:p w14:paraId="111D1E85" w14:textId="77777777" w:rsidR="004D67BC" w:rsidRPr="00D959B1" w:rsidRDefault="004D67BC" w:rsidP="004D67BC">
      <w:pPr>
        <w:rPr>
          <w:lang w:val="hr-HR"/>
        </w:rPr>
      </w:pPr>
      <w:r w:rsidRPr="00D959B1">
        <w:rPr>
          <w:b/>
          <w:lang w:val="hr-HR"/>
        </w:rPr>
        <w:t>Okvir Evropskog prostora obrazovanja</w:t>
      </w:r>
      <w:r w:rsidRPr="00D959B1">
        <w:rPr>
          <w:rStyle w:val="Referencafusnote"/>
          <w:b/>
          <w:lang w:val="hr-HR"/>
        </w:rPr>
        <w:footnoteReference w:id="4"/>
      </w:r>
      <w:r w:rsidRPr="00D959B1">
        <w:rPr>
          <w:lang w:val="hr-HR"/>
        </w:rPr>
        <w:t xml:space="preserve"> (European </w:t>
      </w:r>
      <w:proofErr w:type="spellStart"/>
      <w:r w:rsidRPr="00D959B1">
        <w:rPr>
          <w:lang w:val="hr-HR"/>
        </w:rPr>
        <w:t>Education</w:t>
      </w:r>
      <w:proofErr w:type="spellEnd"/>
      <w:r w:rsidRPr="00D959B1">
        <w:rPr>
          <w:lang w:val="hr-HR"/>
        </w:rPr>
        <w:t xml:space="preserve"> </w:t>
      </w:r>
      <w:proofErr w:type="spellStart"/>
      <w:r w:rsidRPr="00D959B1">
        <w:rPr>
          <w:lang w:val="hr-HR"/>
        </w:rPr>
        <w:t>Area</w:t>
      </w:r>
      <w:proofErr w:type="spellEnd"/>
      <w:r w:rsidRPr="00D959B1">
        <w:rPr>
          <w:lang w:val="hr-HR"/>
        </w:rPr>
        <w:t xml:space="preserve"> – EEA), uspostavljen Rezolucijom Savjeta EU iz 2021. godine, </w:t>
      </w:r>
      <w:proofErr w:type="spellStart"/>
      <w:r w:rsidRPr="00D959B1">
        <w:rPr>
          <w:lang w:val="hr-HR"/>
        </w:rPr>
        <w:t>definiše</w:t>
      </w:r>
      <w:proofErr w:type="spellEnd"/>
      <w:r w:rsidRPr="00D959B1">
        <w:rPr>
          <w:lang w:val="hr-HR"/>
        </w:rPr>
        <w:t xml:space="preserve"> strateški okvir saradnje u oblasti obrazovanja do </w:t>
      </w:r>
      <w:r w:rsidRPr="00D959B1">
        <w:rPr>
          <w:lang w:val="hr-HR"/>
        </w:rPr>
        <w:lastRenderedPageBreak/>
        <w:t xml:space="preserve">2030. godine. Pet strateških prioriteta su: unapređenje kvaliteta, pravičnosti, inkluzije i uspješnosti; ostvarivanje cjeloživotnog učenja i mobilnosti; jačanje kompetencija i motivacije u obrazovnoj profesiji; jačanje evropskog visokog obrazovanja; te podrška zelenoj i digitalnoj </w:t>
      </w:r>
      <w:proofErr w:type="spellStart"/>
      <w:r w:rsidRPr="00D959B1">
        <w:rPr>
          <w:lang w:val="hr-HR"/>
        </w:rPr>
        <w:t>tranziciji.EEA</w:t>
      </w:r>
      <w:proofErr w:type="spellEnd"/>
      <w:r w:rsidRPr="00D959B1">
        <w:rPr>
          <w:lang w:val="hr-HR"/>
        </w:rPr>
        <w:t xml:space="preserve"> postavlja ciljeve na nivou EU do 2030. godine: stopa ranog napuštanja školovanja ispod 9%; udio visokoobrazovanih među osobama uzrasta 25–34 godine iznad 45%; učešće u ranom i predškolskom </w:t>
      </w:r>
      <w:proofErr w:type="spellStart"/>
      <w:r w:rsidRPr="00D959B1">
        <w:rPr>
          <w:lang w:val="hr-HR"/>
        </w:rPr>
        <w:t>vaspitanju</w:t>
      </w:r>
      <w:proofErr w:type="spellEnd"/>
      <w:r w:rsidRPr="00D959B1">
        <w:rPr>
          <w:lang w:val="hr-HR"/>
        </w:rPr>
        <w:t xml:space="preserve"> i obrazovanju (ECEC) iznad 96%; udio učenika sa slabim postignućima u čitanju, matematici i prirodnim naukama (uzrast 15 godina) ispod 15%; te učešće odraslih u učenju od najmanje 60% godišnje, kako je </w:t>
      </w:r>
      <w:proofErr w:type="spellStart"/>
      <w:r w:rsidRPr="00D959B1">
        <w:rPr>
          <w:lang w:val="hr-HR"/>
        </w:rPr>
        <w:t>definisano</w:t>
      </w:r>
      <w:proofErr w:type="spellEnd"/>
      <w:r w:rsidRPr="00D959B1">
        <w:rPr>
          <w:lang w:val="hr-HR"/>
        </w:rPr>
        <w:t xml:space="preserve"> Evropskom agendom vještina i Akcionim planom Evropskog stuba socijalnih prava</w:t>
      </w:r>
      <w:r w:rsidRPr="00D959B1">
        <w:rPr>
          <w:rStyle w:val="Referencafusnote"/>
          <w:lang w:val="hr-HR"/>
        </w:rPr>
        <w:footnoteReference w:id="5"/>
      </w:r>
      <w:r w:rsidRPr="00D959B1">
        <w:rPr>
          <w:lang w:val="hr-HR"/>
        </w:rPr>
        <w:t>.</w:t>
      </w:r>
    </w:p>
    <w:p w14:paraId="21A8C8FE" w14:textId="77777777" w:rsidR="004D67BC" w:rsidRPr="00D959B1" w:rsidRDefault="004D67BC" w:rsidP="004D67BC">
      <w:pPr>
        <w:rPr>
          <w:lang w:val="hr-HR"/>
        </w:rPr>
      </w:pPr>
      <w:r w:rsidRPr="00D959B1">
        <w:rPr>
          <w:lang w:val="hr-HR"/>
        </w:rPr>
        <w:t xml:space="preserve">Preporuka Savjeta o </w:t>
      </w:r>
      <w:r w:rsidRPr="00D959B1">
        <w:rPr>
          <w:b/>
          <w:lang w:val="hr-HR"/>
        </w:rPr>
        <w:t>stručnom obrazovanju i osposobljavanju</w:t>
      </w:r>
      <w:r w:rsidRPr="00D959B1">
        <w:rPr>
          <w:lang w:val="hr-HR"/>
        </w:rPr>
        <w:t xml:space="preserve"> (VET)</w:t>
      </w:r>
      <w:r w:rsidRPr="00D959B1">
        <w:rPr>
          <w:rStyle w:val="Referencafusnote"/>
          <w:lang w:val="hr-HR"/>
        </w:rPr>
        <w:footnoteReference w:id="6"/>
      </w:r>
      <w:r w:rsidRPr="00D959B1">
        <w:rPr>
          <w:lang w:val="hr-HR"/>
        </w:rPr>
        <w:t xml:space="preserve"> i </w:t>
      </w:r>
      <w:proofErr w:type="spellStart"/>
      <w:r w:rsidRPr="00D959B1">
        <w:rPr>
          <w:lang w:val="hr-HR"/>
        </w:rPr>
        <w:t>Osnabrück</w:t>
      </w:r>
      <w:proofErr w:type="spellEnd"/>
      <w:r w:rsidRPr="00D959B1">
        <w:rPr>
          <w:lang w:val="hr-HR"/>
        </w:rPr>
        <w:t xml:space="preserve"> deklaracija (2020)</w:t>
      </w:r>
      <w:r w:rsidRPr="00D959B1">
        <w:rPr>
          <w:rStyle w:val="Referencafusnote"/>
          <w:lang w:val="hr-HR"/>
        </w:rPr>
        <w:footnoteReference w:id="7"/>
      </w:r>
      <w:r w:rsidRPr="00D959B1">
        <w:rPr>
          <w:lang w:val="hr-HR"/>
        </w:rPr>
        <w:t xml:space="preserve">, koju nasljeđuje </w:t>
      </w:r>
      <w:proofErr w:type="spellStart"/>
      <w:r w:rsidRPr="00D959B1">
        <w:rPr>
          <w:lang w:val="hr-HR"/>
        </w:rPr>
        <w:t>Herning</w:t>
      </w:r>
      <w:proofErr w:type="spellEnd"/>
      <w:r w:rsidRPr="00D959B1">
        <w:rPr>
          <w:lang w:val="hr-HR"/>
        </w:rPr>
        <w:t xml:space="preserve"> deklaracija (septembar 2025)</w:t>
      </w:r>
      <w:r w:rsidRPr="00D959B1">
        <w:rPr>
          <w:rStyle w:val="Referencafusnote"/>
          <w:lang w:val="hr-HR"/>
        </w:rPr>
        <w:footnoteReference w:id="8"/>
      </w:r>
      <w:r w:rsidRPr="00D959B1">
        <w:rPr>
          <w:lang w:val="hr-HR"/>
        </w:rPr>
        <w:t>, uspostavljaju okvir EU za modernizaciju stručnog obrazovanja, uključujući učenje kroz rad, osiguranje kvaliteta, digitalizaciju, zelene vještine i Centre izvrsnosti u stručnom obrazovanju (</w:t>
      </w:r>
      <w:proofErr w:type="spellStart"/>
      <w:r w:rsidRPr="00D959B1">
        <w:rPr>
          <w:lang w:val="hr-HR"/>
        </w:rPr>
        <w:t>CoVE</w:t>
      </w:r>
      <w:proofErr w:type="spellEnd"/>
      <w:r w:rsidRPr="00D959B1">
        <w:rPr>
          <w:lang w:val="hr-HR"/>
        </w:rPr>
        <w:t xml:space="preserve"> - </w:t>
      </w:r>
      <w:proofErr w:type="spellStart"/>
      <w:r w:rsidRPr="00D959B1">
        <w:rPr>
          <w:lang w:val="hr-HR"/>
        </w:rPr>
        <w:t>Centres</w:t>
      </w:r>
      <w:proofErr w:type="spellEnd"/>
      <w:r w:rsidRPr="00D959B1">
        <w:rPr>
          <w:lang w:val="hr-HR"/>
        </w:rPr>
        <w:t xml:space="preserve"> </w:t>
      </w:r>
      <w:proofErr w:type="spellStart"/>
      <w:r w:rsidRPr="00D959B1">
        <w:rPr>
          <w:lang w:val="hr-HR"/>
        </w:rPr>
        <w:t>of</w:t>
      </w:r>
      <w:proofErr w:type="spellEnd"/>
      <w:r w:rsidRPr="00D959B1">
        <w:rPr>
          <w:lang w:val="hr-HR"/>
        </w:rPr>
        <w:t xml:space="preserve"> </w:t>
      </w:r>
      <w:proofErr w:type="spellStart"/>
      <w:r w:rsidRPr="00D959B1">
        <w:rPr>
          <w:lang w:val="hr-HR"/>
        </w:rPr>
        <w:t>Vocational</w:t>
      </w:r>
      <w:proofErr w:type="spellEnd"/>
      <w:r w:rsidRPr="00D959B1">
        <w:rPr>
          <w:lang w:val="hr-HR"/>
        </w:rPr>
        <w:t xml:space="preserve"> </w:t>
      </w:r>
      <w:proofErr w:type="spellStart"/>
      <w:r w:rsidRPr="00D959B1">
        <w:rPr>
          <w:lang w:val="hr-HR"/>
        </w:rPr>
        <w:t>Excellence</w:t>
      </w:r>
      <w:proofErr w:type="spellEnd"/>
      <w:r w:rsidRPr="00D959B1">
        <w:rPr>
          <w:lang w:val="hr-HR"/>
        </w:rPr>
        <w:t xml:space="preserve">). Evropska fondacija za obuku (ETF - European Training </w:t>
      </w:r>
      <w:proofErr w:type="spellStart"/>
      <w:r w:rsidRPr="00D959B1">
        <w:rPr>
          <w:lang w:val="hr-HR"/>
        </w:rPr>
        <w:t>Foundation</w:t>
      </w:r>
      <w:proofErr w:type="spellEnd"/>
      <w:r w:rsidRPr="00D959B1">
        <w:rPr>
          <w:lang w:val="hr-HR"/>
        </w:rPr>
        <w:t xml:space="preserve">) podržava reforme stručnog obrazovanja u zemljama kandidatima, uključujući kroz procese kao što je Torino proces. Zajednički monitoring CEDEFOP-a (Evropskog centra za razvoj stručnog obrazovanja - European Centre for </w:t>
      </w:r>
      <w:proofErr w:type="spellStart"/>
      <w:r w:rsidRPr="00D959B1">
        <w:rPr>
          <w:lang w:val="hr-HR"/>
        </w:rPr>
        <w:t>the</w:t>
      </w:r>
      <w:proofErr w:type="spellEnd"/>
      <w:r w:rsidRPr="00D959B1">
        <w:rPr>
          <w:lang w:val="hr-HR"/>
        </w:rPr>
        <w:t xml:space="preserve"> Development </w:t>
      </w:r>
      <w:proofErr w:type="spellStart"/>
      <w:r w:rsidRPr="00D959B1">
        <w:rPr>
          <w:lang w:val="hr-HR"/>
        </w:rPr>
        <w:t>of</w:t>
      </w:r>
      <w:proofErr w:type="spellEnd"/>
      <w:r w:rsidRPr="00D959B1">
        <w:rPr>
          <w:lang w:val="hr-HR"/>
        </w:rPr>
        <w:t xml:space="preserve"> </w:t>
      </w:r>
      <w:proofErr w:type="spellStart"/>
      <w:r w:rsidRPr="00D959B1">
        <w:rPr>
          <w:lang w:val="hr-HR"/>
        </w:rPr>
        <w:t>Vocational</w:t>
      </w:r>
      <w:proofErr w:type="spellEnd"/>
      <w:r w:rsidRPr="00D959B1">
        <w:rPr>
          <w:lang w:val="hr-HR"/>
        </w:rPr>
        <w:t xml:space="preserve"> Training) i ETF-a prati napredak reformi stručnog obrazovanja u državama članicama EU i zemljama kandidatima, uključujući Crnu Goru</w:t>
      </w:r>
      <w:r w:rsidRPr="00D959B1">
        <w:rPr>
          <w:rStyle w:val="Referencafusnote"/>
          <w:lang w:val="hr-HR"/>
        </w:rPr>
        <w:footnoteReference w:id="9"/>
      </w:r>
      <w:r w:rsidRPr="00D959B1">
        <w:rPr>
          <w:lang w:val="hr-HR"/>
        </w:rPr>
        <w:t>.</w:t>
      </w:r>
    </w:p>
    <w:p w14:paraId="4BCF9BD6" w14:textId="77777777" w:rsidR="004D67BC" w:rsidRPr="00D959B1" w:rsidRDefault="004D67BC" w:rsidP="004D67BC">
      <w:pPr>
        <w:rPr>
          <w:lang w:val="hr-HR"/>
        </w:rPr>
      </w:pPr>
      <w:r w:rsidRPr="00D959B1">
        <w:rPr>
          <w:lang w:val="hr-HR"/>
        </w:rPr>
        <w:t xml:space="preserve">Relevantnost ovih EU okvira za Crnu Goru potvrđena je u </w:t>
      </w:r>
      <w:r w:rsidRPr="00D959B1">
        <w:rPr>
          <w:b/>
          <w:lang w:val="hr-HR"/>
        </w:rPr>
        <w:t>ETF izvještaju</w:t>
      </w:r>
      <w:r w:rsidRPr="00D959B1">
        <w:rPr>
          <w:lang w:val="hr-HR"/>
        </w:rPr>
        <w:t xml:space="preserve"> za 2024. godinu</w:t>
      </w:r>
      <w:r w:rsidRPr="00D959B1">
        <w:rPr>
          <w:rStyle w:val="Referencafusnote"/>
          <w:lang w:val="hr-HR"/>
        </w:rPr>
        <w:footnoteReference w:id="10"/>
      </w:r>
      <w:r w:rsidRPr="00D959B1">
        <w:rPr>
          <w:lang w:val="hr-HR"/>
        </w:rPr>
        <w:t xml:space="preserve">. ETF navodi da Crna Gora ostvaruje napredak u reformama, uključujući pripremu sveobuhvatne strategije obrazovanja i sprovođenje Strategije razvoja stručnog obrazovanja 2020–2024 i Akcionog plana za 2024, uz sve veći fokus na digitalizaciju, zelene vještine, učenje kroz rad i karijerno vođenje. Istovremeno, ETF </w:t>
      </w:r>
      <w:proofErr w:type="spellStart"/>
      <w:r w:rsidRPr="00D959B1">
        <w:rPr>
          <w:lang w:val="hr-HR"/>
        </w:rPr>
        <w:t>identifikuje</w:t>
      </w:r>
      <w:proofErr w:type="spellEnd"/>
      <w:r w:rsidRPr="00D959B1">
        <w:rPr>
          <w:lang w:val="hr-HR"/>
        </w:rPr>
        <w:t xml:space="preserve"> trajne strukturne izazove: učešće u ranom i predškolskom </w:t>
      </w:r>
      <w:proofErr w:type="spellStart"/>
      <w:r w:rsidRPr="00D959B1">
        <w:rPr>
          <w:lang w:val="hr-HR"/>
        </w:rPr>
        <w:t>vaspitanju</w:t>
      </w:r>
      <w:proofErr w:type="spellEnd"/>
      <w:r w:rsidRPr="00D959B1">
        <w:rPr>
          <w:lang w:val="hr-HR"/>
        </w:rPr>
        <w:t xml:space="preserve"> i obrazovanju ostaje ispod EU ciljeva; ishodi učenja su i dalje slabi; NEET stopa ((udio mladih koji </w:t>
      </w:r>
      <w:proofErr w:type="spellStart"/>
      <w:r w:rsidRPr="00D959B1">
        <w:rPr>
          <w:lang w:val="hr-HR"/>
        </w:rPr>
        <w:t>nijesu</w:t>
      </w:r>
      <w:proofErr w:type="spellEnd"/>
      <w:r w:rsidRPr="00D959B1">
        <w:rPr>
          <w:lang w:val="hr-HR"/>
        </w:rPr>
        <w:t xml:space="preserve"> u zaposlenju, obrazovanju ili obuci) iznosi približno jednu petinu mladih i gotovo je dvostruko veća od EU prosjeka; a upravljanje, </w:t>
      </w:r>
      <w:proofErr w:type="spellStart"/>
      <w:r w:rsidRPr="00D959B1">
        <w:rPr>
          <w:lang w:val="hr-HR"/>
        </w:rPr>
        <w:t>finansiranje</w:t>
      </w:r>
      <w:proofErr w:type="spellEnd"/>
      <w:r w:rsidRPr="00D959B1">
        <w:rPr>
          <w:lang w:val="hr-HR"/>
        </w:rPr>
        <w:t xml:space="preserve">, uključenost poslodavaca i ponuda obrazovanja odraslih u okviru stručnog obrazovanja zahtijevaju dodatno jačanje. Ovi nalazi ukazuju da Evropski prostor obrazovanja, Evropska agenda vještina i EU okvir </w:t>
      </w:r>
      <w:r w:rsidRPr="00D959B1">
        <w:rPr>
          <w:lang w:val="hr-HR"/>
        </w:rPr>
        <w:lastRenderedPageBreak/>
        <w:t xml:space="preserve">za stručno obrazovanje </w:t>
      </w:r>
      <w:proofErr w:type="spellStart"/>
      <w:r w:rsidRPr="00D959B1">
        <w:rPr>
          <w:lang w:val="hr-HR"/>
        </w:rPr>
        <w:t>nijesu</w:t>
      </w:r>
      <w:proofErr w:type="spellEnd"/>
      <w:r w:rsidRPr="00D959B1">
        <w:rPr>
          <w:lang w:val="hr-HR"/>
        </w:rPr>
        <w:t xml:space="preserve"> samo opšti referentni okviri, već su direktno relevantni za reformsku agendu Crne Gore.</w:t>
      </w:r>
    </w:p>
    <w:p w14:paraId="17A64235" w14:textId="77777777" w:rsidR="004D67BC" w:rsidRPr="00D959B1" w:rsidRDefault="004D67BC" w:rsidP="004D67BC">
      <w:pPr>
        <w:rPr>
          <w:lang w:val="hr-HR"/>
        </w:rPr>
      </w:pPr>
      <w:r w:rsidRPr="00D959B1">
        <w:rPr>
          <w:b/>
          <w:lang w:val="hr-HR"/>
        </w:rPr>
        <w:t>Evropska agenda vještina</w:t>
      </w:r>
      <w:r w:rsidRPr="00D959B1">
        <w:rPr>
          <w:rStyle w:val="Referencafusnote"/>
          <w:b/>
          <w:lang w:val="hr-HR"/>
        </w:rPr>
        <w:footnoteReference w:id="11"/>
      </w:r>
      <w:r w:rsidRPr="00D959B1">
        <w:rPr>
          <w:lang w:val="hr-HR"/>
        </w:rPr>
        <w:t xml:space="preserve"> (2020) </w:t>
      </w:r>
      <w:proofErr w:type="spellStart"/>
      <w:r w:rsidRPr="00D959B1">
        <w:rPr>
          <w:lang w:val="hr-HR"/>
        </w:rPr>
        <w:t>definiše</w:t>
      </w:r>
      <w:proofErr w:type="spellEnd"/>
      <w:r w:rsidRPr="00D959B1">
        <w:rPr>
          <w:lang w:val="hr-HR"/>
        </w:rPr>
        <w:t xml:space="preserve"> 12 akcija za unapređenje vještina i prekvalifikaciju. U okviru nje, </w:t>
      </w:r>
      <w:r w:rsidRPr="00D959B1">
        <w:rPr>
          <w:b/>
          <w:lang w:val="hr-HR"/>
        </w:rPr>
        <w:t>Pakt za vještine</w:t>
      </w:r>
      <w:r w:rsidRPr="00D959B1">
        <w:rPr>
          <w:lang w:val="hr-HR"/>
        </w:rPr>
        <w:t xml:space="preserve"> </w:t>
      </w:r>
      <w:proofErr w:type="spellStart"/>
      <w:r w:rsidRPr="00D959B1">
        <w:rPr>
          <w:lang w:val="hr-HR"/>
        </w:rPr>
        <w:t>mobiliše</w:t>
      </w:r>
      <w:proofErr w:type="spellEnd"/>
      <w:r w:rsidRPr="00D959B1">
        <w:rPr>
          <w:lang w:val="hr-HR"/>
        </w:rPr>
        <w:t xml:space="preserve"> relevantne aktere. </w:t>
      </w:r>
      <w:r w:rsidRPr="00D959B1">
        <w:rPr>
          <w:b/>
          <w:lang w:val="hr-HR"/>
        </w:rPr>
        <w:t>Akcioni plan za digitalno obrazovanje</w:t>
      </w:r>
      <w:r w:rsidRPr="00D959B1">
        <w:rPr>
          <w:rStyle w:val="Referencafusnote"/>
          <w:lang w:val="hr-HR"/>
        </w:rPr>
        <w:footnoteReference w:id="12"/>
      </w:r>
      <w:r w:rsidRPr="00D959B1">
        <w:rPr>
          <w:lang w:val="hr-HR"/>
        </w:rPr>
        <w:t xml:space="preserve"> (2021–2027) usmjeren je na razvoj digitalnih kompetencija. Preporuka Savjeta o ključnim kompetencijama za cjeloživotno učenje</w:t>
      </w:r>
      <w:r w:rsidRPr="00D959B1">
        <w:rPr>
          <w:rStyle w:val="Referencafusnote"/>
          <w:lang w:val="hr-HR"/>
        </w:rPr>
        <w:footnoteReference w:id="13"/>
      </w:r>
      <w:r w:rsidRPr="00D959B1">
        <w:rPr>
          <w:lang w:val="hr-HR"/>
        </w:rPr>
        <w:t xml:space="preserve"> (2018) </w:t>
      </w:r>
      <w:proofErr w:type="spellStart"/>
      <w:r w:rsidRPr="00D959B1">
        <w:rPr>
          <w:lang w:val="hr-HR"/>
        </w:rPr>
        <w:t>definiše</w:t>
      </w:r>
      <w:proofErr w:type="spellEnd"/>
      <w:r w:rsidRPr="00D959B1">
        <w:rPr>
          <w:lang w:val="hr-HR"/>
        </w:rPr>
        <w:t xml:space="preserve"> osam ključnih kompetencija. Inicijativa „Unija vještina“ dodatno potvrđuje značaj vještina kao horizontalnog prioriteta EU</w:t>
      </w:r>
      <w:r w:rsidRPr="00D959B1">
        <w:rPr>
          <w:rStyle w:val="Referencafusnote"/>
          <w:lang w:val="hr-HR"/>
        </w:rPr>
        <w:footnoteReference w:id="14"/>
      </w:r>
      <w:r w:rsidRPr="00D959B1">
        <w:rPr>
          <w:lang w:val="hr-HR"/>
        </w:rPr>
        <w:t>.</w:t>
      </w:r>
    </w:p>
    <w:p w14:paraId="6046A0AD" w14:textId="77777777" w:rsidR="004D67BC" w:rsidRPr="00D959B1" w:rsidRDefault="004D67BC" w:rsidP="004D67BC">
      <w:pPr>
        <w:rPr>
          <w:lang w:val="hr-HR"/>
        </w:rPr>
      </w:pPr>
      <w:proofErr w:type="spellStart"/>
      <w:r w:rsidRPr="00D959B1">
        <w:rPr>
          <w:lang w:val="hr-HR"/>
        </w:rPr>
        <w:t>Bolonjski</w:t>
      </w:r>
      <w:proofErr w:type="spellEnd"/>
      <w:r w:rsidRPr="00D959B1">
        <w:rPr>
          <w:lang w:val="hr-HR"/>
        </w:rPr>
        <w:t xml:space="preserve"> proces uspostavlja okvir </w:t>
      </w:r>
      <w:r w:rsidRPr="00D959B1">
        <w:rPr>
          <w:b/>
          <w:lang w:val="hr-HR"/>
        </w:rPr>
        <w:t>Evropskog prostora visokog obrazovanja</w:t>
      </w:r>
      <w:r w:rsidRPr="00D959B1">
        <w:rPr>
          <w:lang w:val="hr-HR"/>
        </w:rPr>
        <w:t xml:space="preserve"> (EHEA)</w:t>
      </w:r>
      <w:r w:rsidRPr="00D959B1">
        <w:rPr>
          <w:rStyle w:val="Referencafusnote"/>
          <w:lang w:val="hr-HR"/>
        </w:rPr>
        <w:footnoteReference w:id="15"/>
      </w:r>
      <w:r w:rsidRPr="00D959B1">
        <w:rPr>
          <w:lang w:val="hr-HR"/>
        </w:rPr>
        <w:t>. Evropska strategija za univerzitete (2022)</w:t>
      </w:r>
      <w:r w:rsidRPr="00D959B1">
        <w:rPr>
          <w:rStyle w:val="Referencafusnote"/>
          <w:lang w:val="hr-HR"/>
        </w:rPr>
        <w:footnoteReference w:id="16"/>
      </w:r>
      <w:r w:rsidRPr="00D959B1">
        <w:rPr>
          <w:lang w:val="hr-HR"/>
        </w:rPr>
        <w:t xml:space="preserve"> i inicijativa Evropskih univerziteta imaju za cilj jačanje transnacionalne saradnje.</w:t>
      </w:r>
    </w:p>
    <w:p w14:paraId="5822FDDB" w14:textId="77777777" w:rsidR="004D67BC" w:rsidRPr="00D959B1" w:rsidRDefault="004D67BC" w:rsidP="004D67BC">
      <w:pPr>
        <w:rPr>
          <w:lang w:val="hr-HR"/>
        </w:rPr>
      </w:pPr>
      <w:r w:rsidRPr="00D959B1">
        <w:rPr>
          <w:lang w:val="hr-HR"/>
        </w:rPr>
        <w:t xml:space="preserve">EU </w:t>
      </w:r>
      <w:proofErr w:type="spellStart"/>
      <w:r w:rsidRPr="00D959B1">
        <w:rPr>
          <w:lang w:val="hr-HR"/>
        </w:rPr>
        <w:t>finansijski</w:t>
      </w:r>
      <w:proofErr w:type="spellEnd"/>
      <w:r w:rsidRPr="00D959B1">
        <w:rPr>
          <w:lang w:val="hr-HR"/>
        </w:rPr>
        <w:t xml:space="preserve"> instrumenti za obrazovanje u zemljama kandidatima uključuju: Erasmus+ (Crna Gora učestvuje od 2014. godine)</w:t>
      </w:r>
      <w:r w:rsidRPr="00D959B1">
        <w:rPr>
          <w:rStyle w:val="Referencafusnote"/>
          <w:lang w:val="hr-HR"/>
        </w:rPr>
        <w:footnoteReference w:id="17"/>
      </w:r>
      <w:r w:rsidRPr="00D959B1">
        <w:rPr>
          <w:lang w:val="hr-HR"/>
        </w:rPr>
        <w:t>; IPA III komponente za obrazovanje i vještine; Kreativnu Evropu (u kojoj Crna Gora u potpunosti učestvuje); i Horizont Evropa (uz pristup kroz status pridružene zemlje).</w:t>
      </w:r>
    </w:p>
    <w:p w14:paraId="0D0F01F7" w14:textId="77777777" w:rsidR="004D67BC" w:rsidRPr="00D959B1" w:rsidRDefault="004D67BC" w:rsidP="004D67BC">
      <w:pPr>
        <w:rPr>
          <w:lang w:val="hr-HR"/>
        </w:rPr>
      </w:pPr>
      <w:r w:rsidRPr="00D959B1">
        <w:rPr>
          <w:lang w:val="hr-HR"/>
        </w:rPr>
        <w:t>Za zemlje kandidate, obrazovanje i kultura ocjenjuju se u okviru Poglavlja 26 (Obrazovanje i kultura), gdje Izvještaj Evropske komisije za Crnu Goru za 2025. godinu navodi „dobar nivo pripremljenosti“</w:t>
      </w:r>
      <w:r w:rsidRPr="00D959B1">
        <w:rPr>
          <w:rStyle w:val="Referencafusnote"/>
          <w:lang w:val="hr-HR"/>
        </w:rPr>
        <w:footnoteReference w:id="18"/>
      </w:r>
      <w:r w:rsidRPr="00D959B1">
        <w:rPr>
          <w:lang w:val="hr-HR"/>
        </w:rPr>
        <w:t xml:space="preserve">. Ovo poglavlje je otvoreno i privremeno zatvoreno 15. aprila 2013. godine na Međuvladinoj konferenciji u </w:t>
      </w:r>
      <w:proofErr w:type="spellStart"/>
      <w:r w:rsidRPr="00D959B1">
        <w:rPr>
          <w:lang w:val="hr-HR"/>
        </w:rPr>
        <w:t>Briselu</w:t>
      </w:r>
      <w:proofErr w:type="spellEnd"/>
      <w:r w:rsidRPr="00D959B1">
        <w:rPr>
          <w:lang w:val="hr-HR"/>
        </w:rPr>
        <w:t>.</w:t>
      </w:r>
    </w:p>
    <w:p w14:paraId="6EF2FC85" w14:textId="33060329" w:rsidR="004D67BC" w:rsidRPr="00D959B1" w:rsidRDefault="00417444" w:rsidP="004D67BC">
      <w:pPr>
        <w:pStyle w:val="Naslov3"/>
        <w:rPr>
          <w:rFonts w:eastAsia="Times New Roman"/>
          <w:lang w:val="hr-HR"/>
        </w:rPr>
      </w:pPr>
      <w:r w:rsidRPr="00D959B1">
        <w:rPr>
          <w:rFonts w:eastAsia="Times New Roman"/>
          <w:lang w:val="hr-HR"/>
        </w:rPr>
        <w:t xml:space="preserve">3.1.2  </w:t>
      </w:r>
      <w:r w:rsidR="004D67BC" w:rsidRPr="00D959B1">
        <w:rPr>
          <w:rFonts w:eastAsia="Times New Roman"/>
          <w:lang w:val="hr-HR"/>
        </w:rPr>
        <w:t>Crnogorski strateški i pravni okvir</w:t>
      </w:r>
    </w:p>
    <w:p w14:paraId="5DD4B6EC" w14:textId="77777777" w:rsidR="004D67BC" w:rsidRPr="00D959B1" w:rsidRDefault="004D67BC" w:rsidP="004D67BC">
      <w:pPr>
        <w:pStyle w:val="Naslov4"/>
        <w:rPr>
          <w:rFonts w:eastAsia="Times New Roman"/>
          <w:lang w:val="hr-HR"/>
        </w:rPr>
      </w:pPr>
      <w:r w:rsidRPr="00D959B1">
        <w:rPr>
          <w:rFonts w:eastAsia="Times New Roman"/>
          <w:lang w:val="hr-HR"/>
        </w:rPr>
        <w:t>Obrazovni sistem – Struktura i upravljanje</w:t>
      </w:r>
    </w:p>
    <w:p w14:paraId="37CFFDE4" w14:textId="77777777" w:rsidR="003E084B" w:rsidRPr="00D959B1" w:rsidRDefault="004D67BC" w:rsidP="004D67BC">
      <w:pPr>
        <w:rPr>
          <w:lang w:val="hr-HR"/>
        </w:rPr>
      </w:pPr>
      <w:r w:rsidRPr="00D959B1">
        <w:rPr>
          <w:b/>
          <w:lang w:val="hr-HR"/>
        </w:rPr>
        <w:t>Obrazovni sistem u Crnoj Gori</w:t>
      </w:r>
      <w:r w:rsidRPr="00D959B1">
        <w:rPr>
          <w:lang w:val="hr-HR"/>
        </w:rPr>
        <w:t xml:space="preserve"> uređen je sljedećim propisima: </w:t>
      </w:r>
    </w:p>
    <w:p w14:paraId="1631EA18" w14:textId="77777777" w:rsidR="003E084B" w:rsidRPr="00D959B1" w:rsidRDefault="004D67BC" w:rsidP="003E084B">
      <w:pPr>
        <w:pStyle w:val="Odlomakpopisa"/>
        <w:numPr>
          <w:ilvl w:val="0"/>
          <w:numId w:val="18"/>
        </w:numPr>
        <w:spacing w:after="0"/>
        <w:rPr>
          <w:lang w:val="hr-HR"/>
        </w:rPr>
      </w:pPr>
      <w:r w:rsidRPr="00D959B1">
        <w:rPr>
          <w:b/>
          <w:lang w:val="hr-HR"/>
        </w:rPr>
        <w:t xml:space="preserve">Opštim zakonom o obrazovanju i </w:t>
      </w:r>
      <w:proofErr w:type="spellStart"/>
      <w:r w:rsidRPr="00D959B1">
        <w:rPr>
          <w:b/>
          <w:lang w:val="hr-HR"/>
        </w:rPr>
        <w:t>vaspitanju</w:t>
      </w:r>
      <w:proofErr w:type="spellEnd"/>
      <w:r w:rsidRPr="00D959B1">
        <w:rPr>
          <w:lang w:val="hr-HR"/>
        </w:rPr>
        <w:t xml:space="preserve"> (Sl. list RCG br. 64/02, 31/05, 49/07, Sl. list CG br. 4/08, 21/09, 45/10, 73/10, 40/11, 45/11, 36/13, 39/13, 44/13, 47/17, 59/21, 76/21, 146/21, 3/23, 84/24, 89/25, 12/26); </w:t>
      </w:r>
    </w:p>
    <w:p w14:paraId="3823A6DF" w14:textId="77777777" w:rsidR="003E084B" w:rsidRPr="00D959B1" w:rsidRDefault="004D67BC" w:rsidP="003E084B">
      <w:pPr>
        <w:pStyle w:val="Odlomakpopisa"/>
        <w:numPr>
          <w:ilvl w:val="0"/>
          <w:numId w:val="18"/>
        </w:numPr>
        <w:spacing w:after="0"/>
        <w:rPr>
          <w:lang w:val="hr-HR"/>
        </w:rPr>
      </w:pPr>
      <w:r w:rsidRPr="00D959B1">
        <w:rPr>
          <w:b/>
          <w:lang w:val="hr-HR"/>
        </w:rPr>
        <w:t xml:space="preserve">Zakonom o predškolskom </w:t>
      </w:r>
      <w:proofErr w:type="spellStart"/>
      <w:r w:rsidRPr="00D959B1">
        <w:rPr>
          <w:b/>
          <w:lang w:val="hr-HR"/>
        </w:rPr>
        <w:t>vaspitanju</w:t>
      </w:r>
      <w:proofErr w:type="spellEnd"/>
      <w:r w:rsidRPr="00D959B1">
        <w:rPr>
          <w:b/>
          <w:lang w:val="hr-HR"/>
        </w:rPr>
        <w:t xml:space="preserve"> i obrazovanju</w:t>
      </w:r>
      <w:r w:rsidRPr="00D959B1">
        <w:rPr>
          <w:lang w:val="hr-HR"/>
        </w:rPr>
        <w:t xml:space="preserve"> (Sl. list CG br. 3/26); </w:t>
      </w:r>
    </w:p>
    <w:p w14:paraId="17BF50F5" w14:textId="77777777" w:rsidR="003E084B" w:rsidRPr="00D959B1" w:rsidRDefault="004D67BC" w:rsidP="003E084B">
      <w:pPr>
        <w:pStyle w:val="Odlomakpopisa"/>
        <w:numPr>
          <w:ilvl w:val="0"/>
          <w:numId w:val="18"/>
        </w:numPr>
        <w:spacing w:after="0"/>
        <w:rPr>
          <w:lang w:val="hr-HR"/>
        </w:rPr>
      </w:pPr>
      <w:r w:rsidRPr="00D959B1">
        <w:rPr>
          <w:b/>
          <w:lang w:val="hr-HR"/>
        </w:rPr>
        <w:t xml:space="preserve">Zakonom o osnovnom obrazovanju i </w:t>
      </w:r>
      <w:proofErr w:type="spellStart"/>
      <w:r w:rsidRPr="00D959B1">
        <w:rPr>
          <w:b/>
          <w:lang w:val="hr-HR"/>
        </w:rPr>
        <w:t>vaspitanju</w:t>
      </w:r>
      <w:proofErr w:type="spellEnd"/>
      <w:r w:rsidRPr="00D959B1">
        <w:rPr>
          <w:lang w:val="hr-HR"/>
        </w:rPr>
        <w:t xml:space="preserve"> (Sl. list RCG br. 64/02, 49/07, Sl. list CG br. 45/10, 40/11, 39/13, 47/17, 59/21, 3/23 i 51/25); </w:t>
      </w:r>
    </w:p>
    <w:p w14:paraId="6730FA0A" w14:textId="77777777" w:rsidR="003E084B" w:rsidRPr="00D959B1" w:rsidRDefault="004D67BC" w:rsidP="003E084B">
      <w:pPr>
        <w:pStyle w:val="Odlomakpopisa"/>
        <w:numPr>
          <w:ilvl w:val="0"/>
          <w:numId w:val="18"/>
        </w:numPr>
        <w:spacing w:after="0"/>
        <w:rPr>
          <w:lang w:val="hr-HR"/>
        </w:rPr>
      </w:pPr>
      <w:r w:rsidRPr="00D959B1">
        <w:rPr>
          <w:b/>
          <w:lang w:val="hr-HR"/>
        </w:rPr>
        <w:t>Zakonom o gimnaziji</w:t>
      </w:r>
      <w:r w:rsidRPr="00D959B1">
        <w:rPr>
          <w:lang w:val="hr-HR"/>
        </w:rPr>
        <w:t xml:space="preserve"> (Sl. list RCG br. 64/02, 49/07, Sl. list CG br. 45/10, 73/10, 39/13, 47/17, 145/21, 60/25); </w:t>
      </w:r>
    </w:p>
    <w:p w14:paraId="49209E1F" w14:textId="77777777" w:rsidR="003E084B" w:rsidRPr="00D959B1" w:rsidRDefault="004D67BC" w:rsidP="003E084B">
      <w:pPr>
        <w:pStyle w:val="Odlomakpopisa"/>
        <w:numPr>
          <w:ilvl w:val="0"/>
          <w:numId w:val="18"/>
        </w:numPr>
        <w:spacing w:after="0"/>
        <w:rPr>
          <w:lang w:val="hr-HR"/>
        </w:rPr>
      </w:pPr>
      <w:r w:rsidRPr="00D959B1">
        <w:rPr>
          <w:b/>
          <w:lang w:val="hr-HR"/>
        </w:rPr>
        <w:lastRenderedPageBreak/>
        <w:t>Zakonom o stručnom obrazovanju</w:t>
      </w:r>
      <w:r w:rsidRPr="00D959B1">
        <w:rPr>
          <w:lang w:val="hr-HR"/>
        </w:rPr>
        <w:t xml:space="preserve"> (Sl. list RCG br. 64/02, 49/07, Sl. list CG br. 45/10, 39/13, 47/17, 145/21, 69/25, 3/26); </w:t>
      </w:r>
    </w:p>
    <w:p w14:paraId="6CAFCF49" w14:textId="77777777" w:rsidR="003E084B" w:rsidRPr="00D959B1" w:rsidRDefault="004D67BC" w:rsidP="003E084B">
      <w:pPr>
        <w:pStyle w:val="Odlomakpopisa"/>
        <w:numPr>
          <w:ilvl w:val="0"/>
          <w:numId w:val="18"/>
        </w:numPr>
        <w:spacing w:after="0"/>
        <w:rPr>
          <w:lang w:val="hr-HR"/>
        </w:rPr>
      </w:pPr>
      <w:r w:rsidRPr="00D959B1">
        <w:rPr>
          <w:b/>
          <w:lang w:val="hr-HR"/>
        </w:rPr>
        <w:t>Zakonom o visokom obrazovanju</w:t>
      </w:r>
      <w:r w:rsidRPr="00D959B1">
        <w:rPr>
          <w:lang w:val="hr-HR"/>
        </w:rPr>
        <w:t xml:space="preserve"> (Sl. list CG br. 122/25); </w:t>
      </w:r>
    </w:p>
    <w:p w14:paraId="27DF35A5" w14:textId="2B9AF5A5" w:rsidR="003E084B" w:rsidRPr="00D959B1" w:rsidRDefault="004D67BC" w:rsidP="003E084B">
      <w:pPr>
        <w:pStyle w:val="Odlomakpopisa"/>
        <w:numPr>
          <w:ilvl w:val="0"/>
          <w:numId w:val="18"/>
        </w:numPr>
        <w:spacing w:after="0"/>
        <w:rPr>
          <w:lang w:val="hr-HR"/>
        </w:rPr>
      </w:pPr>
      <w:r w:rsidRPr="00D959B1">
        <w:rPr>
          <w:b/>
          <w:lang w:val="hr-HR"/>
        </w:rPr>
        <w:t>Zakonom o obrazovanju odraslih</w:t>
      </w:r>
      <w:r w:rsidRPr="00D959B1">
        <w:rPr>
          <w:lang w:val="hr-HR"/>
        </w:rPr>
        <w:t xml:space="preserve"> (Sl. list CG br. 51/25); </w:t>
      </w:r>
    </w:p>
    <w:p w14:paraId="72CE8724" w14:textId="49DB527C" w:rsidR="003E084B" w:rsidRPr="00D959B1" w:rsidRDefault="004D67BC" w:rsidP="003E084B">
      <w:pPr>
        <w:pStyle w:val="Odlomakpopisa"/>
        <w:numPr>
          <w:ilvl w:val="0"/>
          <w:numId w:val="18"/>
        </w:numPr>
        <w:spacing w:after="0"/>
        <w:rPr>
          <w:lang w:val="hr-HR"/>
        </w:rPr>
      </w:pPr>
      <w:r w:rsidRPr="00D959B1">
        <w:rPr>
          <w:b/>
          <w:lang w:val="hr-HR"/>
        </w:rPr>
        <w:t xml:space="preserve">Zakonom o </w:t>
      </w:r>
      <w:proofErr w:type="spellStart"/>
      <w:r w:rsidRPr="00D959B1">
        <w:rPr>
          <w:b/>
          <w:lang w:val="hr-HR"/>
        </w:rPr>
        <w:t>vaspitanju</w:t>
      </w:r>
      <w:proofErr w:type="spellEnd"/>
      <w:r w:rsidRPr="00D959B1">
        <w:rPr>
          <w:b/>
          <w:lang w:val="hr-HR"/>
        </w:rPr>
        <w:t xml:space="preserve"> i obrazovanju djece sa posebnim obrazovnim potrebama</w:t>
      </w:r>
      <w:r w:rsidRPr="00D959B1">
        <w:rPr>
          <w:lang w:val="hr-HR"/>
        </w:rPr>
        <w:t xml:space="preserve"> (Sl. list RCG br. 80/04, Sl. list CG br.</w:t>
      </w:r>
      <w:r w:rsidR="003E084B" w:rsidRPr="00D959B1">
        <w:rPr>
          <w:lang w:val="hr-HR"/>
        </w:rPr>
        <w:t xml:space="preserve"> 45/10, 47/17, 145/21, 122/25)</w:t>
      </w:r>
    </w:p>
    <w:p w14:paraId="7DF83F40" w14:textId="2EFE34AE" w:rsidR="003E084B" w:rsidRPr="00D959B1" w:rsidRDefault="003E084B" w:rsidP="003E084B">
      <w:pPr>
        <w:pStyle w:val="Odlomakpopisa"/>
        <w:numPr>
          <w:ilvl w:val="0"/>
          <w:numId w:val="18"/>
        </w:numPr>
        <w:spacing w:after="0"/>
        <w:rPr>
          <w:lang w:val="hr-HR"/>
        </w:rPr>
      </w:pPr>
      <w:r w:rsidRPr="00D959B1">
        <w:rPr>
          <w:lang w:val="hr-HR"/>
        </w:rPr>
        <w:t xml:space="preserve">Zakonom o nacionalnom okviru kvalifikacija (Sl. list CG, </w:t>
      </w:r>
      <w:proofErr w:type="spellStart"/>
      <w:r w:rsidRPr="00D959B1">
        <w:rPr>
          <w:lang w:val="hr-HR"/>
        </w:rPr>
        <w:t>br</w:t>
      </w:r>
      <w:proofErr w:type="spellEnd"/>
      <w:r w:rsidRPr="00D959B1">
        <w:rPr>
          <w:lang w:val="hr-HR"/>
        </w:rPr>
        <w:t xml:space="preserve"> 80/10, 53/25),</w:t>
      </w:r>
    </w:p>
    <w:p w14:paraId="6937C3C9" w14:textId="68137232" w:rsidR="003E084B" w:rsidRPr="00D959B1" w:rsidRDefault="003E084B" w:rsidP="003E084B">
      <w:pPr>
        <w:pStyle w:val="Odlomakpopisa"/>
        <w:numPr>
          <w:ilvl w:val="0"/>
          <w:numId w:val="18"/>
        </w:numPr>
        <w:spacing w:after="0"/>
        <w:rPr>
          <w:lang w:val="hr-HR"/>
        </w:rPr>
      </w:pPr>
      <w:r w:rsidRPr="00D959B1">
        <w:rPr>
          <w:lang w:val="hr-HR"/>
        </w:rPr>
        <w:t xml:space="preserve">Zakonom o </w:t>
      </w:r>
      <w:proofErr w:type="spellStart"/>
      <w:r w:rsidRPr="00D959B1">
        <w:rPr>
          <w:lang w:val="hr-HR"/>
        </w:rPr>
        <w:t>nacionlanim</w:t>
      </w:r>
      <w:proofErr w:type="spellEnd"/>
      <w:r w:rsidRPr="00D959B1">
        <w:rPr>
          <w:lang w:val="hr-HR"/>
        </w:rPr>
        <w:t xml:space="preserve"> stručnim kvalifikacijama (Sl. list CG, </w:t>
      </w:r>
      <w:proofErr w:type="spellStart"/>
      <w:r w:rsidRPr="00D959B1">
        <w:rPr>
          <w:lang w:val="hr-HR"/>
        </w:rPr>
        <w:t>bjr</w:t>
      </w:r>
      <w:proofErr w:type="spellEnd"/>
      <w:r w:rsidRPr="00D959B1">
        <w:rPr>
          <w:lang w:val="hr-HR"/>
        </w:rPr>
        <w:t>. 51/25).</w:t>
      </w:r>
    </w:p>
    <w:p w14:paraId="4D10E931" w14:textId="77777777" w:rsidR="003E084B" w:rsidRPr="00D959B1" w:rsidRDefault="003E084B" w:rsidP="003E084B">
      <w:pPr>
        <w:pStyle w:val="Odlomakpopisa"/>
        <w:spacing w:after="0"/>
        <w:rPr>
          <w:lang w:val="hr-HR"/>
        </w:rPr>
      </w:pPr>
    </w:p>
    <w:p w14:paraId="447A6229" w14:textId="03CE2BCD" w:rsidR="004D67BC" w:rsidRPr="00D959B1" w:rsidRDefault="004D67BC" w:rsidP="004D67BC">
      <w:pPr>
        <w:rPr>
          <w:lang w:val="hr-HR"/>
        </w:rPr>
      </w:pPr>
      <w:r w:rsidRPr="00D959B1">
        <w:rPr>
          <w:lang w:val="hr-HR"/>
        </w:rPr>
        <w:t>Institucionalne nadležnosti podijeljene su između Ministarstva prosvjete, nauke i inovacija, Zavoda za školstvo (razvoj kurikuluma, obuka nastavnika, osiguranje kvaliteta), Ispitnog centra (eksterne provjere znanja i koordinacija međunarodnih istraživanja), Centra za stručno obrazovanje i Nacionalnog savjeta za obrazovanje.</w:t>
      </w:r>
    </w:p>
    <w:p w14:paraId="00F1C1ED" w14:textId="77777777" w:rsidR="004D67BC" w:rsidRPr="00D959B1" w:rsidRDefault="004D67BC" w:rsidP="004D67BC">
      <w:pPr>
        <w:rPr>
          <w:lang w:val="hr-HR"/>
        </w:rPr>
      </w:pPr>
      <w:r w:rsidRPr="00D959B1">
        <w:rPr>
          <w:lang w:val="hr-HR"/>
        </w:rPr>
        <w:t>Javna potrošnja za obrazovanje (bez visokog obrazovanja) iznosila je približno 8,99% državnog budžeta u 2024. godini. Budžet za 2024</w:t>
      </w:r>
      <w:r w:rsidRPr="00D959B1">
        <w:rPr>
          <w:rStyle w:val="Referencafusnote"/>
          <w:lang w:val="hr-HR"/>
        </w:rPr>
        <w:footnoteReference w:id="19"/>
      </w:r>
      <w:r w:rsidRPr="00D959B1">
        <w:rPr>
          <w:lang w:val="hr-HR"/>
        </w:rPr>
        <w:t xml:space="preserve">. povećan je za oko 20% u dijelu rashoda koji </w:t>
      </w:r>
      <w:proofErr w:type="spellStart"/>
      <w:r w:rsidRPr="00D959B1">
        <w:rPr>
          <w:lang w:val="hr-HR"/>
        </w:rPr>
        <w:t>nijesu</w:t>
      </w:r>
      <w:proofErr w:type="spellEnd"/>
      <w:r w:rsidRPr="00D959B1">
        <w:rPr>
          <w:lang w:val="hr-HR"/>
        </w:rPr>
        <w:t xml:space="preserve"> zarade, uključujući gotovo osmostruko povećanje izdvajanja za stručno usavršavanje nastavnika u odnosu na 2023. godinu</w:t>
      </w:r>
      <w:r w:rsidRPr="00D959B1">
        <w:rPr>
          <w:rStyle w:val="Referencafusnote"/>
          <w:lang w:val="hr-HR"/>
        </w:rPr>
        <w:footnoteReference w:id="20"/>
      </w:r>
      <w:r w:rsidRPr="00D959B1">
        <w:rPr>
          <w:lang w:val="hr-HR"/>
        </w:rPr>
        <w:t xml:space="preserve">. Novi Granski kolektivni ugovor za oblast obrazovanja usvojen je 23. septembra 2024. godine, nakon socijalnog dijaloga između Vlade i reprezentativnog sindikata, kojim su </w:t>
      </w:r>
      <w:proofErr w:type="spellStart"/>
      <w:r w:rsidRPr="00D959B1">
        <w:rPr>
          <w:lang w:val="hr-HR"/>
        </w:rPr>
        <w:t>korigovani</w:t>
      </w:r>
      <w:proofErr w:type="spellEnd"/>
      <w:r w:rsidRPr="00D959B1">
        <w:rPr>
          <w:lang w:val="hr-HR"/>
        </w:rPr>
        <w:t xml:space="preserve"> koeficijenti zarada</w:t>
      </w:r>
      <w:r w:rsidRPr="00D959B1">
        <w:rPr>
          <w:rStyle w:val="Referencafusnote"/>
          <w:lang w:val="hr-HR"/>
        </w:rPr>
        <w:footnoteReference w:id="21"/>
      </w:r>
      <w:r w:rsidRPr="00D959B1">
        <w:rPr>
          <w:lang w:val="hr-HR"/>
        </w:rPr>
        <w:t>.</w:t>
      </w:r>
    </w:p>
    <w:p w14:paraId="5E0FA6B3" w14:textId="77777777" w:rsidR="004D67BC" w:rsidRPr="00D959B1" w:rsidRDefault="004D67BC" w:rsidP="004D67BC">
      <w:pPr>
        <w:rPr>
          <w:lang w:val="hr-HR"/>
        </w:rPr>
      </w:pPr>
      <w:r w:rsidRPr="00D959B1">
        <w:rPr>
          <w:b/>
          <w:lang w:val="hr-HR"/>
        </w:rPr>
        <w:t>Strategija reforme obrazovanja 2025–2035</w:t>
      </w:r>
      <w:r w:rsidRPr="00D959B1">
        <w:rPr>
          <w:rStyle w:val="Referencafusnote"/>
          <w:b/>
          <w:lang w:val="hr-HR"/>
        </w:rPr>
        <w:footnoteReference w:id="22"/>
      </w:r>
      <w:r w:rsidRPr="00D959B1">
        <w:rPr>
          <w:lang w:val="hr-HR"/>
        </w:rPr>
        <w:t xml:space="preserve">, koju je Vlada Crne Gore usvojila u junu 2025. godine, predstavlja prvi sveobuhvatni strateški okvir na nivou sistema koji </w:t>
      </w:r>
      <w:r w:rsidRPr="00D959B1">
        <w:rPr>
          <w:b/>
          <w:lang w:val="hr-HR"/>
        </w:rPr>
        <w:t>obuhvata sve nivoe obrazovanja</w:t>
      </w:r>
      <w:r w:rsidRPr="00D959B1">
        <w:rPr>
          <w:lang w:val="hr-HR"/>
        </w:rPr>
        <w:t xml:space="preserve">, od ranog i predškolskog </w:t>
      </w:r>
      <w:proofErr w:type="spellStart"/>
      <w:r w:rsidRPr="00D959B1">
        <w:rPr>
          <w:lang w:val="hr-HR"/>
        </w:rPr>
        <w:t>vaspitanja</w:t>
      </w:r>
      <w:proofErr w:type="spellEnd"/>
      <w:r w:rsidRPr="00D959B1">
        <w:rPr>
          <w:lang w:val="hr-HR"/>
        </w:rPr>
        <w:t xml:space="preserve"> i obrazovanja (ECEC), preko osnovnog i srednjeg obrazovanja, uključujući i obrazovanje nastavnika i njihov profesionalni razvoj. Strategija je razvijena u okviru inicijative „Kvalitetno obrazovanje za svako dijete u Crnoj Gori“, u partnerstvu sa UNICEF-om i Delegacijom EU, i </w:t>
      </w:r>
      <w:proofErr w:type="spellStart"/>
      <w:r w:rsidRPr="00D959B1">
        <w:rPr>
          <w:lang w:val="hr-HR"/>
        </w:rPr>
        <w:t>definiše</w:t>
      </w:r>
      <w:proofErr w:type="spellEnd"/>
      <w:r w:rsidRPr="00D959B1">
        <w:rPr>
          <w:lang w:val="hr-HR"/>
        </w:rPr>
        <w:t xml:space="preserve"> dugoročnu viziju modernog, inkluzivnog i kvalitetnog obrazovnog sistema usklađenog sa standardima EU.</w:t>
      </w:r>
    </w:p>
    <w:p w14:paraId="197B15D8" w14:textId="77777777" w:rsidR="004D67BC" w:rsidRPr="00D959B1" w:rsidRDefault="004D67BC" w:rsidP="004D67BC">
      <w:pPr>
        <w:rPr>
          <w:lang w:val="hr-HR"/>
        </w:rPr>
      </w:pPr>
      <w:r w:rsidRPr="00D959B1">
        <w:rPr>
          <w:lang w:val="hr-HR"/>
        </w:rPr>
        <w:t xml:space="preserve">Strategija utvrđuje strateške ciljeve, prioritetne mjere i mehanizme implementacije usmjerene na unapređenje ishoda učenja, jačanje pravičnosti i inkluzije, unapređenje kvaliteta nastavnog kadra i razvoj ključnih kompetencija za 21. vijek, uključujući digitalne, zelene i transverzalne vještine. Ona odgovara na strukturne izazove </w:t>
      </w:r>
      <w:proofErr w:type="spellStart"/>
      <w:r w:rsidRPr="00D959B1">
        <w:rPr>
          <w:lang w:val="hr-HR"/>
        </w:rPr>
        <w:t>identifikovane</w:t>
      </w:r>
      <w:proofErr w:type="spellEnd"/>
      <w:r w:rsidRPr="00D959B1">
        <w:rPr>
          <w:lang w:val="hr-HR"/>
        </w:rPr>
        <w:t xml:space="preserve"> u nacionalnim i međunarodnim procjenama, uključujući jaz između relativno visokog obuhvata obrazovanjem i slabih ishoda učenja, kao i neusklađenost između obrazovnih ishoda i potreba tržišta rada. Poseban fokus stavljen je na reformu kurikuluma, osiguranje kvaliteta, unapređenje upravljanja sistemom i donošenje politika zasnovanih na dokazima, uključujući jačanje kapaciteta za monitoring i evaluaciju. U skladu sa prioritetima EU, Strategija </w:t>
      </w:r>
      <w:proofErr w:type="spellStart"/>
      <w:r w:rsidRPr="00D959B1">
        <w:rPr>
          <w:lang w:val="hr-HR"/>
        </w:rPr>
        <w:t>promoviše</w:t>
      </w:r>
      <w:proofErr w:type="spellEnd"/>
      <w:r w:rsidRPr="00D959B1">
        <w:rPr>
          <w:lang w:val="hr-HR"/>
        </w:rPr>
        <w:t xml:space="preserve"> razvoj sistema cjeloživotnog učenja, jačanje veza sa stručnim obrazovanjem i osposobljavanjem (VET), kao i unapređenje karijernog vođenja i </w:t>
      </w:r>
      <w:r w:rsidRPr="00D959B1">
        <w:rPr>
          <w:lang w:val="hr-HR"/>
        </w:rPr>
        <w:lastRenderedPageBreak/>
        <w:t>tranzicije iz obrazovanja u zaposlenje. Strategija je dodatno podržana aktivnijim učešćem Crne Gore u mehanizmima saradnje na nivou EU. U novembru 2024. godine imenovani su predstavnici u svim radnim grupama u okviru strateškog okvira Evropskog prostora obrazovanja (EEA) za period 2021–2025, čime se omogućava sistemsko usklađivanje sa razvojem politika EU, učenje kroz razmjenu iskustava i preuzimanje dobrih praksi. Ovo učešće dodatno podržava sprovođenje nacionalnih reformi u skladu sa EU prioritetima u oblasti kvaliteta, inkluzije, digitalne i zelene tranzicije u obrazovanju</w:t>
      </w:r>
      <w:r w:rsidRPr="00D959B1">
        <w:rPr>
          <w:rStyle w:val="Referencafusnote"/>
          <w:lang w:val="hr-HR"/>
        </w:rPr>
        <w:footnoteReference w:id="23"/>
      </w:r>
      <w:r w:rsidRPr="00D959B1">
        <w:rPr>
          <w:lang w:val="hr-HR"/>
        </w:rPr>
        <w:t>.</w:t>
      </w:r>
    </w:p>
    <w:p w14:paraId="374053D1" w14:textId="77777777" w:rsidR="004D67BC" w:rsidRPr="00D959B1" w:rsidRDefault="004D67BC" w:rsidP="004D67BC">
      <w:pPr>
        <w:pStyle w:val="Naslov4"/>
        <w:rPr>
          <w:rFonts w:eastAsia="Times New Roman"/>
          <w:lang w:val="hr-HR"/>
        </w:rPr>
      </w:pPr>
      <w:r w:rsidRPr="00D959B1">
        <w:rPr>
          <w:rFonts w:eastAsia="Times New Roman"/>
          <w:lang w:val="hr-HR"/>
        </w:rPr>
        <w:t xml:space="preserve">Rano i predškolsko </w:t>
      </w:r>
      <w:proofErr w:type="spellStart"/>
      <w:r w:rsidRPr="00D959B1">
        <w:rPr>
          <w:rFonts w:eastAsia="Times New Roman"/>
          <w:lang w:val="hr-HR"/>
        </w:rPr>
        <w:t>vaspitanje</w:t>
      </w:r>
      <w:proofErr w:type="spellEnd"/>
      <w:r w:rsidRPr="00D959B1">
        <w:rPr>
          <w:rFonts w:eastAsia="Times New Roman"/>
          <w:lang w:val="hr-HR"/>
        </w:rPr>
        <w:t xml:space="preserve"> i obrazovanje (ECEC)</w:t>
      </w:r>
    </w:p>
    <w:p w14:paraId="39DC5AEF" w14:textId="6CCBD86A" w:rsidR="004D67BC" w:rsidRPr="00D959B1" w:rsidRDefault="004D67BC" w:rsidP="004D67BC">
      <w:pPr>
        <w:rPr>
          <w:lang w:val="hr-HR"/>
        </w:rPr>
      </w:pPr>
      <w:r w:rsidRPr="00D959B1">
        <w:rPr>
          <w:b/>
          <w:lang w:val="hr-HR"/>
        </w:rPr>
        <w:t xml:space="preserve">Strategija ranog i predškolskog </w:t>
      </w:r>
      <w:proofErr w:type="spellStart"/>
      <w:r w:rsidRPr="00D959B1">
        <w:rPr>
          <w:b/>
          <w:lang w:val="hr-HR"/>
        </w:rPr>
        <w:t>vaspitanja</w:t>
      </w:r>
      <w:proofErr w:type="spellEnd"/>
      <w:r w:rsidRPr="00D959B1">
        <w:rPr>
          <w:b/>
          <w:lang w:val="hr-HR"/>
        </w:rPr>
        <w:t xml:space="preserve"> i obrazovanja 2021–2025</w:t>
      </w:r>
      <w:r w:rsidRPr="00D959B1">
        <w:rPr>
          <w:rStyle w:val="Referencafusnote"/>
          <w:b/>
          <w:lang w:val="hr-HR"/>
        </w:rPr>
        <w:footnoteReference w:id="24"/>
      </w:r>
      <w:r w:rsidRPr="00D959B1">
        <w:rPr>
          <w:lang w:val="hr-HR"/>
        </w:rPr>
        <w:t xml:space="preserve"> </w:t>
      </w:r>
      <w:proofErr w:type="spellStart"/>
      <w:r w:rsidRPr="00D959B1">
        <w:rPr>
          <w:lang w:val="hr-HR"/>
        </w:rPr>
        <w:t>defin</w:t>
      </w:r>
      <w:r w:rsidR="00B44439" w:rsidRPr="00D959B1">
        <w:rPr>
          <w:lang w:val="hr-HR"/>
        </w:rPr>
        <w:t>isala</w:t>
      </w:r>
      <w:proofErr w:type="spellEnd"/>
      <w:r w:rsidR="00B44439" w:rsidRPr="00D959B1">
        <w:rPr>
          <w:lang w:val="hr-HR"/>
        </w:rPr>
        <w:t xml:space="preserve"> je</w:t>
      </w:r>
      <w:r w:rsidRPr="00D959B1">
        <w:rPr>
          <w:lang w:val="hr-HR"/>
        </w:rPr>
        <w:t xml:space="preserve"> tri operativna cilja: (1) povećanje obuhvata; (2) unapređenje kvaliteta; i (3) poboljšanje </w:t>
      </w:r>
      <w:proofErr w:type="spellStart"/>
      <w:r w:rsidRPr="00D959B1">
        <w:rPr>
          <w:lang w:val="hr-HR"/>
        </w:rPr>
        <w:t>uslova</w:t>
      </w:r>
      <w:proofErr w:type="spellEnd"/>
      <w:r w:rsidRPr="00D959B1">
        <w:rPr>
          <w:lang w:val="hr-HR"/>
        </w:rPr>
        <w:t xml:space="preserve"> za rani razvoj djece iz ranjivih grupa. Obuhvat djece predškolskim obrazovanjem značajno je porastao u posljednjih pet godina, pri čemu je stopa obuhvata djece uzrasta 3–6 godina dostigla 79,6% u školskoj 2024/2025. godini, što predstavlja povećanje od 3,4 procentna poena u odnosu na prethodnu godinu i približno 20 procentnih poena u odnosu na period od prije pet godina</w:t>
      </w:r>
      <w:r w:rsidRPr="00D959B1">
        <w:rPr>
          <w:rStyle w:val="Referencafusnote"/>
          <w:lang w:val="hr-HR"/>
        </w:rPr>
        <w:footnoteReference w:id="25"/>
      </w:r>
      <w:r w:rsidRPr="00D959B1">
        <w:rPr>
          <w:lang w:val="hr-HR"/>
        </w:rPr>
        <w:t xml:space="preserve">. Međutim, ovaj nivo i dalje je za oko 15 procentnih poena ispod prosjeka EU (94,6%) i 16 poena ispod cilja EU za 2030. godinu (96%). Dostupnost ranog i predškolskog </w:t>
      </w:r>
      <w:proofErr w:type="spellStart"/>
      <w:r w:rsidRPr="00D959B1">
        <w:rPr>
          <w:lang w:val="hr-HR"/>
        </w:rPr>
        <w:t>vaspitanja</w:t>
      </w:r>
      <w:proofErr w:type="spellEnd"/>
      <w:r w:rsidRPr="00D959B1">
        <w:rPr>
          <w:lang w:val="hr-HR"/>
        </w:rPr>
        <w:t xml:space="preserve"> i obrazovanja predstavlja i važan faktor učešća žena na tržištu rada (vidjeti PA17 Socijalna politika, gdje se razmatra povezanost dostupnosti brige o djeci i zaposlenosti žena). U narednom periodu biće potrebno razviti novu strategiju u okviru Strategije reforme obrazovanja 2025–2035.</w:t>
      </w:r>
    </w:p>
    <w:p w14:paraId="752352D8" w14:textId="77777777" w:rsidR="004D67BC" w:rsidRPr="00D959B1" w:rsidRDefault="004D67BC" w:rsidP="004D67BC">
      <w:pPr>
        <w:rPr>
          <w:lang w:val="hr-HR"/>
        </w:rPr>
      </w:pPr>
      <w:r w:rsidRPr="00D959B1">
        <w:rPr>
          <w:b/>
          <w:bCs/>
          <w:lang w:val="hr-HR"/>
        </w:rPr>
        <w:t>Strategija ranog razvoja 2023 – 2027</w:t>
      </w:r>
      <w:r w:rsidRPr="00D959B1">
        <w:rPr>
          <w:rStyle w:val="Referencafusnote"/>
          <w:b/>
          <w:bCs/>
          <w:lang w:val="hr-HR"/>
        </w:rPr>
        <w:footnoteReference w:id="26"/>
      </w:r>
      <w:r w:rsidRPr="00D959B1">
        <w:rPr>
          <w:b/>
          <w:bCs/>
          <w:lang w:val="hr-HR"/>
        </w:rPr>
        <w:t xml:space="preserve"> </w:t>
      </w:r>
      <w:r w:rsidRPr="00D959B1">
        <w:rPr>
          <w:lang w:val="hr-HR"/>
        </w:rPr>
        <w:t xml:space="preserve">stavlja akcenat na to da sva djeca dobiju adekvatnu podršku za rano učenje u sistemu i porodičnom okruženju, kao i na to da dovoljno osnaži roditelje da budu ravnopravni partneri u podršci dječjem razvoju. </w:t>
      </w:r>
      <w:proofErr w:type="spellStart"/>
      <w:r w:rsidRPr="00D959B1">
        <w:rPr>
          <w:lang w:val="hr-HR"/>
        </w:rPr>
        <w:t>Takođe</w:t>
      </w:r>
      <w:proofErr w:type="spellEnd"/>
      <w:r w:rsidRPr="00D959B1">
        <w:rPr>
          <w:lang w:val="hr-HR"/>
        </w:rPr>
        <w:t xml:space="preserve">, predviđa unapređenje koordinacije u sistemu pružanja </w:t>
      </w:r>
      <w:proofErr w:type="spellStart"/>
      <w:r w:rsidRPr="00D959B1">
        <w:rPr>
          <w:lang w:val="hr-HR"/>
        </w:rPr>
        <w:t>savremene</w:t>
      </w:r>
      <w:proofErr w:type="spellEnd"/>
      <w:r w:rsidRPr="00D959B1">
        <w:rPr>
          <w:lang w:val="hr-HR"/>
        </w:rPr>
        <w:t xml:space="preserve"> rane intervencije zasnovane na dokazima za djecu sa smetnjama u razvoju.</w:t>
      </w:r>
    </w:p>
    <w:p w14:paraId="6F7C7002" w14:textId="71CB0455" w:rsidR="004D67BC" w:rsidRPr="00D959B1" w:rsidRDefault="004D67BC" w:rsidP="004D67BC">
      <w:pPr>
        <w:rPr>
          <w:lang w:val="hr-HR"/>
        </w:rPr>
      </w:pPr>
      <w:r w:rsidRPr="00D959B1">
        <w:rPr>
          <w:b/>
          <w:bCs/>
          <w:lang w:val="hr-HR"/>
        </w:rPr>
        <w:t>Strategija inkluzivnog obrazovanja 2019 – 2025</w:t>
      </w:r>
      <w:r w:rsidRPr="00D959B1">
        <w:rPr>
          <w:rStyle w:val="Referencafusnote"/>
          <w:b/>
          <w:bCs/>
          <w:lang w:val="hr-HR"/>
        </w:rPr>
        <w:footnoteReference w:id="27"/>
      </w:r>
      <w:r w:rsidRPr="00D959B1">
        <w:rPr>
          <w:b/>
          <w:bCs/>
          <w:sz w:val="14"/>
          <w:szCs w:val="14"/>
          <w:lang w:val="hr-HR"/>
        </w:rPr>
        <w:t xml:space="preserve"> </w:t>
      </w:r>
      <w:proofErr w:type="spellStart"/>
      <w:r w:rsidR="00B44439" w:rsidRPr="00D959B1">
        <w:rPr>
          <w:lang w:val="hr-HR"/>
        </w:rPr>
        <w:t>afirmisala</w:t>
      </w:r>
      <w:proofErr w:type="spellEnd"/>
      <w:r w:rsidR="00B44439" w:rsidRPr="00D959B1">
        <w:rPr>
          <w:lang w:val="hr-HR"/>
        </w:rPr>
        <w:t xml:space="preserve"> je princip</w:t>
      </w:r>
      <w:r w:rsidRPr="00D959B1">
        <w:rPr>
          <w:lang w:val="hr-HR"/>
        </w:rPr>
        <w:t xml:space="preserve"> jednakih mogućnosti kroz inkluzivno obrazovanje</w:t>
      </w:r>
      <w:r w:rsidR="00B44439" w:rsidRPr="00D959B1">
        <w:rPr>
          <w:lang w:val="hr-HR"/>
        </w:rPr>
        <w:t>, pri čemu treba da se</w:t>
      </w:r>
      <w:r w:rsidRPr="00D959B1">
        <w:rPr>
          <w:lang w:val="hr-HR"/>
        </w:rPr>
        <w:t xml:space="preserve"> pruž</w:t>
      </w:r>
      <w:r w:rsidR="00B44439" w:rsidRPr="00D959B1">
        <w:rPr>
          <w:lang w:val="hr-HR"/>
        </w:rPr>
        <w:t>i</w:t>
      </w:r>
      <w:r w:rsidRPr="00D959B1">
        <w:rPr>
          <w:lang w:val="hr-HR"/>
        </w:rPr>
        <w:t xml:space="preserve"> izbor u skladu s individualnim mogućnostima djeteta s posebnim obrazovnim potrebama, </w:t>
      </w:r>
      <w:r w:rsidR="00B44439" w:rsidRPr="00D959B1">
        <w:rPr>
          <w:lang w:val="hr-HR"/>
        </w:rPr>
        <w:t xml:space="preserve">te </w:t>
      </w:r>
      <w:r w:rsidRPr="00D959B1">
        <w:rPr>
          <w:lang w:val="hr-HR"/>
        </w:rPr>
        <w:t xml:space="preserve">sprovodi edukacija bez diskriminacije. Aktivno se </w:t>
      </w:r>
      <w:proofErr w:type="spellStart"/>
      <w:r w:rsidRPr="00D959B1">
        <w:rPr>
          <w:lang w:val="hr-HR"/>
        </w:rPr>
        <w:t>promoviše</w:t>
      </w:r>
      <w:proofErr w:type="spellEnd"/>
      <w:r w:rsidRPr="00D959B1">
        <w:rPr>
          <w:lang w:val="hr-HR"/>
        </w:rPr>
        <w:t xml:space="preserve"> i implementira socijalni model gdje je akcenat na prilagođavanju društva i otklanjanju prepreka i barijera u okruženju, stavovima, uslugama, a ne na smetnji ili teškoći u razvoju djeteta. Pored toga, omogućava se podrška i kontinuitet na svim nivoima za postizanje obrazovnih ishoda i individualnih karakteristika. Da bi se to ostvarilo, neophodna je bliska saradnja relevantnih javnih subjekata, partnera i civilnog društva koje vode promjeni na nivou zajednice i škole.</w:t>
      </w:r>
    </w:p>
    <w:p w14:paraId="5B86981C" w14:textId="77777777" w:rsidR="004D67BC" w:rsidRPr="00D959B1" w:rsidRDefault="004D67BC" w:rsidP="004D67BC">
      <w:pPr>
        <w:pStyle w:val="Naslov4"/>
        <w:rPr>
          <w:rFonts w:eastAsia="Times New Roman"/>
          <w:lang w:val="hr-HR"/>
        </w:rPr>
      </w:pPr>
      <w:r w:rsidRPr="00D959B1">
        <w:rPr>
          <w:rFonts w:eastAsia="Times New Roman"/>
          <w:lang w:val="hr-HR"/>
        </w:rPr>
        <w:t xml:space="preserve">Osnovno i srednje obrazovanje </w:t>
      </w:r>
    </w:p>
    <w:p w14:paraId="5586644E" w14:textId="77777777" w:rsidR="004D67BC" w:rsidRPr="00D959B1" w:rsidRDefault="004D67BC" w:rsidP="004D67BC">
      <w:pPr>
        <w:rPr>
          <w:lang w:val="hr-HR"/>
        </w:rPr>
      </w:pPr>
      <w:r w:rsidRPr="00D959B1">
        <w:rPr>
          <w:lang w:val="hr-HR"/>
        </w:rPr>
        <w:t xml:space="preserve">Crna Gora ima devetogodišnji sistem obaveznog osnovnog obrazovanja, nakon kojeg slijedi trogodišnje ili </w:t>
      </w:r>
      <w:proofErr w:type="spellStart"/>
      <w:r w:rsidRPr="00D959B1">
        <w:rPr>
          <w:lang w:val="hr-HR"/>
        </w:rPr>
        <w:t>četvorogodišnje</w:t>
      </w:r>
      <w:proofErr w:type="spellEnd"/>
      <w:r w:rsidRPr="00D959B1">
        <w:rPr>
          <w:lang w:val="hr-HR"/>
        </w:rPr>
        <w:t xml:space="preserve"> srednje obrazovanje. Srednje obrazovanje obuhvata opšte </w:t>
      </w:r>
      <w:r w:rsidRPr="00D959B1">
        <w:rPr>
          <w:lang w:val="hr-HR"/>
        </w:rPr>
        <w:lastRenderedPageBreak/>
        <w:t xml:space="preserve">gimnazije (akademski smjer) i stručne škole. </w:t>
      </w:r>
      <w:r w:rsidRPr="00D959B1">
        <w:rPr>
          <w:b/>
          <w:lang w:val="hr-HR"/>
        </w:rPr>
        <w:t xml:space="preserve">Program razvoja </w:t>
      </w:r>
      <w:proofErr w:type="spellStart"/>
      <w:r w:rsidRPr="00D959B1">
        <w:rPr>
          <w:b/>
          <w:lang w:val="hr-HR"/>
        </w:rPr>
        <w:t>opšteg</w:t>
      </w:r>
      <w:proofErr w:type="spellEnd"/>
      <w:r w:rsidRPr="00D959B1">
        <w:rPr>
          <w:b/>
          <w:lang w:val="hr-HR"/>
        </w:rPr>
        <w:t xml:space="preserve"> srednjeg obrazovanja 2024–2026</w:t>
      </w:r>
      <w:r w:rsidRPr="00D959B1">
        <w:rPr>
          <w:rStyle w:val="Referencafusnote"/>
          <w:b/>
          <w:lang w:val="hr-HR"/>
        </w:rPr>
        <w:footnoteReference w:id="28"/>
      </w:r>
      <w:r w:rsidRPr="00D959B1">
        <w:rPr>
          <w:lang w:val="hr-HR"/>
        </w:rPr>
        <w:t xml:space="preserve"> usvojen je sa četiri strateška cilja: unapređenje regulatornog okvira; unapređenje kvaliteta nastave i učenja; jačanje profesionalnog razvoja nastavnika; i unapređenje kurikuluma i obrazovne ponude.</w:t>
      </w:r>
    </w:p>
    <w:p w14:paraId="1FC2E106" w14:textId="77777777" w:rsidR="004D67BC" w:rsidRPr="00D959B1" w:rsidRDefault="004D67BC" w:rsidP="004D67BC">
      <w:pPr>
        <w:rPr>
          <w:lang w:val="hr-HR"/>
        </w:rPr>
      </w:pPr>
      <w:r w:rsidRPr="00D959B1">
        <w:rPr>
          <w:lang w:val="hr-HR"/>
        </w:rPr>
        <w:t>Stopa ranog napuštanja školovanja iznosila je 4.9% u 2024. godini</w:t>
      </w:r>
      <w:r w:rsidRPr="00D959B1">
        <w:rPr>
          <w:rStyle w:val="Referencafusnote"/>
          <w:lang w:val="hr-HR"/>
        </w:rPr>
        <w:footnoteReference w:id="29"/>
      </w:r>
      <w:r w:rsidRPr="00D959B1">
        <w:rPr>
          <w:lang w:val="hr-HR"/>
        </w:rPr>
        <w:t>, što je znatno ispod prosjeka EU (9.5%) i cilja EU za 2030. godinu (&lt;9%). Međutim, ovaj pokazatelj prikriva osnovni problem kvaliteta. Pandemija COVID-19 dovela je do porasta na 6.7–6.8% u periodu 2021–2023, a stopa je viša kod starijih kohorti, što ukazuje na slabosti sistema „druge šanse“ u obrazovanju</w:t>
      </w:r>
      <w:r w:rsidRPr="00D959B1">
        <w:rPr>
          <w:rStyle w:val="Referencafusnote"/>
          <w:lang w:val="hr-HR"/>
        </w:rPr>
        <w:footnoteReference w:id="30"/>
      </w:r>
      <w:r w:rsidRPr="00D959B1">
        <w:rPr>
          <w:lang w:val="hr-HR"/>
        </w:rPr>
        <w:t>.</w:t>
      </w:r>
    </w:p>
    <w:p w14:paraId="26E2EF0E" w14:textId="77777777" w:rsidR="004D67BC" w:rsidRPr="00D959B1" w:rsidRDefault="004D67BC" w:rsidP="004D67BC">
      <w:pPr>
        <w:rPr>
          <w:lang w:val="hr-HR"/>
        </w:rPr>
      </w:pPr>
      <w:r w:rsidRPr="00D959B1">
        <w:rPr>
          <w:lang w:val="hr-HR"/>
        </w:rPr>
        <w:t>Ključni izazov odnosi se na ishode učenja. Crna Gora učestvuje u PISA istraživanju od 2006. godine, a rezultati PISA 2022 ukazuju na značajan i rastući jaz u postignućima</w:t>
      </w:r>
      <w:r w:rsidRPr="00D959B1">
        <w:rPr>
          <w:rStyle w:val="Referencafusnote"/>
          <w:lang w:val="hr-HR"/>
        </w:rPr>
        <w:footnoteReference w:id="31"/>
      </w:r>
      <w:r w:rsidRPr="00D959B1">
        <w:rPr>
          <w:lang w:val="hr-HR"/>
        </w:rPr>
        <w:t>:</w:t>
      </w:r>
    </w:p>
    <w:p w14:paraId="6AF9A22F" w14:textId="77777777" w:rsidR="004D67BC" w:rsidRPr="00D959B1" w:rsidRDefault="004D67BC" w:rsidP="004D67BC">
      <w:pPr>
        <w:pStyle w:val="Odlomakpopisa"/>
        <w:numPr>
          <w:ilvl w:val="0"/>
          <w:numId w:val="6"/>
        </w:numPr>
        <w:rPr>
          <w:lang w:val="hr-HR"/>
        </w:rPr>
      </w:pPr>
      <w:r w:rsidRPr="00D959B1">
        <w:rPr>
          <w:lang w:val="hr-HR"/>
        </w:rPr>
        <w:t>Matematika: 406 bodova (OECD prosjek: 472) – 66 bodova manje</w:t>
      </w:r>
    </w:p>
    <w:p w14:paraId="05CFC476" w14:textId="77777777" w:rsidR="004D67BC" w:rsidRPr="00D959B1" w:rsidRDefault="004D67BC" w:rsidP="004D67BC">
      <w:pPr>
        <w:pStyle w:val="Odlomakpopisa"/>
        <w:numPr>
          <w:ilvl w:val="0"/>
          <w:numId w:val="6"/>
        </w:numPr>
        <w:rPr>
          <w:lang w:val="hr-HR"/>
        </w:rPr>
      </w:pPr>
      <w:r w:rsidRPr="00D959B1">
        <w:rPr>
          <w:lang w:val="hr-HR"/>
        </w:rPr>
        <w:t>Čitanje: 405 bodova (OECD prosjek: 476) – 71 bod manje</w:t>
      </w:r>
    </w:p>
    <w:p w14:paraId="0EB09F30" w14:textId="77777777" w:rsidR="004D67BC" w:rsidRPr="00D959B1" w:rsidRDefault="004D67BC" w:rsidP="004D67BC">
      <w:pPr>
        <w:pStyle w:val="Odlomakpopisa"/>
        <w:numPr>
          <w:ilvl w:val="0"/>
          <w:numId w:val="6"/>
        </w:numPr>
        <w:rPr>
          <w:lang w:val="hr-HR"/>
        </w:rPr>
      </w:pPr>
      <w:r w:rsidRPr="00D959B1">
        <w:rPr>
          <w:lang w:val="hr-HR"/>
        </w:rPr>
        <w:t>Prirodne nauke: 403 boda (OECD prosjek: 485) – 82 boda manje</w:t>
      </w:r>
    </w:p>
    <w:p w14:paraId="75965F10" w14:textId="77777777" w:rsidR="004D67BC" w:rsidRPr="00D959B1" w:rsidRDefault="004D67BC" w:rsidP="004D67BC">
      <w:pPr>
        <w:rPr>
          <w:lang w:val="hr-HR"/>
        </w:rPr>
      </w:pPr>
      <w:r w:rsidRPr="00D959B1">
        <w:rPr>
          <w:lang w:val="hr-HR"/>
        </w:rPr>
        <w:t xml:space="preserve">Samo 40% učenika dostiglo je najmanje nivo 2 znanja iz matematike (OECD prosjek: 69%), što znači da 60% petnaestogodišnjaka u Crnoj Gori ne posjeduje osnovne matematičke kompetencije potrebne za </w:t>
      </w:r>
      <w:proofErr w:type="spellStart"/>
      <w:r w:rsidRPr="00D959B1">
        <w:rPr>
          <w:lang w:val="hr-HR"/>
        </w:rPr>
        <w:t>funkcionisanje</w:t>
      </w:r>
      <w:proofErr w:type="spellEnd"/>
      <w:r w:rsidRPr="00D959B1">
        <w:rPr>
          <w:lang w:val="hr-HR"/>
        </w:rPr>
        <w:t xml:space="preserve"> u </w:t>
      </w:r>
      <w:proofErr w:type="spellStart"/>
      <w:r w:rsidRPr="00D959B1">
        <w:rPr>
          <w:lang w:val="hr-HR"/>
        </w:rPr>
        <w:t>savremenom</w:t>
      </w:r>
      <w:proofErr w:type="spellEnd"/>
      <w:r w:rsidRPr="00D959B1">
        <w:rPr>
          <w:lang w:val="hr-HR"/>
        </w:rPr>
        <w:t xml:space="preserve"> društvu. Samo 1% učenika spada u vrhunske učenike (nivo 5 ili 6), u </w:t>
      </w:r>
      <w:proofErr w:type="spellStart"/>
      <w:r w:rsidRPr="00D959B1">
        <w:rPr>
          <w:lang w:val="hr-HR"/>
        </w:rPr>
        <w:t>poređenju</w:t>
      </w:r>
      <w:proofErr w:type="spellEnd"/>
      <w:r w:rsidRPr="00D959B1">
        <w:rPr>
          <w:lang w:val="hr-HR"/>
        </w:rPr>
        <w:t xml:space="preserve"> sa 9% u OECD-u</w:t>
      </w:r>
      <w:r w:rsidRPr="00D959B1">
        <w:rPr>
          <w:rStyle w:val="Referencafusnote"/>
          <w:rFonts w:eastAsia="Times New Roman" w:cstheme="minorHAnsi"/>
          <w:bCs/>
          <w:lang w:val="hr-HR"/>
        </w:rPr>
        <w:footnoteReference w:id="32"/>
      </w:r>
      <w:r w:rsidRPr="00D959B1">
        <w:rPr>
          <w:lang w:val="hr-HR"/>
        </w:rPr>
        <w:t>. Prosječni rezultati su opali u odnosu na 2018. i 2015. godinu, vraćajući se na nivo približan onom iz 2009. godine i brišući deceniju napretka. Jaz u postignućima odgovara zaostatku od približno dvije godine učenja u odnosu na OECD zemlje.</w:t>
      </w:r>
    </w:p>
    <w:p w14:paraId="24C9E33F" w14:textId="63B64A99" w:rsidR="004D67BC" w:rsidRPr="00D959B1" w:rsidRDefault="004D67BC" w:rsidP="004D67BC">
      <w:pPr>
        <w:rPr>
          <w:lang w:val="hr-HR"/>
        </w:rPr>
      </w:pPr>
      <w:r w:rsidRPr="00D959B1">
        <w:rPr>
          <w:lang w:val="hr-HR"/>
        </w:rPr>
        <w:t>Važno je napomenuti da je Crna Gora učestvovala u istraživanju TALIS 2024 (Međunarodno istraživanje o nastavi i učenju), te učestvuje u PISA 2025, uz potvrđeno učešće u PIRLS 2026, TIMSS 2027 i ICILS 2028</w:t>
      </w:r>
      <w:r w:rsidR="00E27755" w:rsidRPr="00D959B1">
        <w:rPr>
          <w:rStyle w:val="Referencafusnote"/>
          <w:lang w:val="hr-HR"/>
        </w:rPr>
        <w:footnoteReference w:id="33"/>
      </w:r>
      <w:r w:rsidRPr="00D959B1">
        <w:rPr>
          <w:lang w:val="hr-HR"/>
        </w:rPr>
        <w:t xml:space="preserve">, što predstavlja snažnu posvećenost međunarodnom </w:t>
      </w:r>
      <w:proofErr w:type="spellStart"/>
      <w:r w:rsidRPr="00D959B1">
        <w:rPr>
          <w:lang w:val="hr-HR"/>
        </w:rPr>
        <w:t>upoređivanju</w:t>
      </w:r>
      <w:proofErr w:type="spellEnd"/>
      <w:r w:rsidRPr="00D959B1">
        <w:rPr>
          <w:lang w:val="hr-HR"/>
        </w:rPr>
        <w:t xml:space="preserve"> i praćenju kvaliteta obrazovanja</w:t>
      </w:r>
      <w:r w:rsidRPr="00D959B1">
        <w:rPr>
          <w:rStyle w:val="Referencafusnote"/>
          <w:rFonts w:eastAsia="Times New Roman" w:cstheme="minorHAnsi"/>
          <w:bCs/>
          <w:lang w:val="hr-HR"/>
        </w:rPr>
        <w:footnoteReference w:id="34"/>
      </w:r>
      <w:r w:rsidRPr="00D959B1">
        <w:rPr>
          <w:lang w:val="hr-HR"/>
        </w:rPr>
        <w:t>.</w:t>
      </w:r>
    </w:p>
    <w:p w14:paraId="701FBA3B" w14:textId="77777777" w:rsidR="004D67BC" w:rsidRPr="00D959B1" w:rsidRDefault="004D67BC" w:rsidP="004D67BC">
      <w:pPr>
        <w:pStyle w:val="Naslov4"/>
        <w:rPr>
          <w:rFonts w:eastAsia="Times New Roman"/>
          <w:lang w:val="hr-HR"/>
        </w:rPr>
      </w:pPr>
      <w:r w:rsidRPr="00D959B1">
        <w:rPr>
          <w:rFonts w:eastAsia="Times New Roman"/>
          <w:lang w:val="hr-HR"/>
        </w:rPr>
        <w:lastRenderedPageBreak/>
        <w:t>Stručno obrazovanje i osposobljavanje (VET)</w:t>
      </w:r>
    </w:p>
    <w:p w14:paraId="0C385B2E" w14:textId="78C2BEAE" w:rsidR="004D67BC" w:rsidRPr="00D959B1" w:rsidRDefault="004D67BC" w:rsidP="004D67BC">
      <w:pPr>
        <w:rPr>
          <w:lang w:val="hr-HR"/>
        </w:rPr>
      </w:pPr>
      <w:r w:rsidRPr="00D959B1">
        <w:rPr>
          <w:lang w:val="hr-HR"/>
        </w:rPr>
        <w:t xml:space="preserve">Crna Gora je imala </w:t>
      </w:r>
      <w:r w:rsidRPr="00D959B1">
        <w:rPr>
          <w:b/>
          <w:lang w:val="hr-HR"/>
        </w:rPr>
        <w:t>Strategiju razvoja stručnog obrazovanja</w:t>
      </w:r>
      <w:r w:rsidRPr="00D959B1">
        <w:rPr>
          <w:lang w:val="hr-HR"/>
        </w:rPr>
        <w:t xml:space="preserve"> za period 2020–2024</w:t>
      </w:r>
      <w:r w:rsidRPr="00D959B1">
        <w:rPr>
          <w:rStyle w:val="Referencafusnote"/>
          <w:lang w:val="hr-HR"/>
        </w:rPr>
        <w:footnoteReference w:id="35"/>
      </w:r>
      <w:r w:rsidRPr="00D959B1">
        <w:rPr>
          <w:lang w:val="hr-HR"/>
        </w:rPr>
        <w:t xml:space="preserve">, sa pripadajućim Akcionim planom, bila </w:t>
      </w:r>
      <w:r w:rsidR="00813534" w:rsidRPr="00D959B1">
        <w:rPr>
          <w:lang w:val="hr-HR"/>
        </w:rPr>
        <w:t xml:space="preserve">je </w:t>
      </w:r>
      <w:r w:rsidRPr="00D959B1">
        <w:rPr>
          <w:lang w:val="hr-HR"/>
        </w:rPr>
        <w:t>zasebna, ali usklađena sa širim obrazovnim okvirom. Prioriteti Strategije bili su: kvalitetno i inkluzivno stručno obrazovanje koje omogućava cjeloživotno učenje; usklađivanje ponude stručnog obrazovanja sa potrebama tržišta rada; osiguranje kvaliteta sa fokusom na učenje kroz rad (WBL); i digitalizacija (digitalne škole)</w:t>
      </w:r>
      <w:r w:rsidRPr="00D959B1">
        <w:rPr>
          <w:rStyle w:val="Referencafusnote"/>
          <w:lang w:val="hr-HR"/>
        </w:rPr>
        <w:footnoteReference w:id="36"/>
      </w:r>
      <w:r w:rsidRPr="00D959B1">
        <w:rPr>
          <w:lang w:val="hr-HR"/>
        </w:rPr>
        <w:t>. U prethodnom periodu, Centar za stručno obrazovanje razvio je, a Nacionalni savjet za obrazovanje usvojio 18 standarda zanimanja, 24 standarda stručnih kvalifikacija, 10 standarda nivoa obrazovanja i 10 novih obrazovnih programa</w:t>
      </w:r>
      <w:r w:rsidRPr="00D959B1">
        <w:rPr>
          <w:rStyle w:val="Referencafusnote"/>
          <w:lang w:val="hr-HR"/>
        </w:rPr>
        <w:footnoteReference w:id="37"/>
      </w:r>
      <w:r w:rsidRPr="00D959B1">
        <w:rPr>
          <w:lang w:val="hr-HR"/>
        </w:rPr>
        <w:t>.</w:t>
      </w:r>
    </w:p>
    <w:p w14:paraId="70A9BFB2" w14:textId="77777777" w:rsidR="004D67BC" w:rsidRPr="00D959B1" w:rsidRDefault="004D67BC" w:rsidP="004D67BC">
      <w:pPr>
        <w:rPr>
          <w:lang w:val="hr-HR"/>
        </w:rPr>
      </w:pPr>
      <w:r w:rsidRPr="00D959B1">
        <w:rPr>
          <w:lang w:val="hr-HR"/>
        </w:rPr>
        <w:t xml:space="preserve">U školskoj 2024/2025. godini u javnim srednjim školama bilo je upisano 26.389 učenika. U </w:t>
      </w:r>
      <w:proofErr w:type="spellStart"/>
      <w:r w:rsidRPr="00D959B1">
        <w:rPr>
          <w:lang w:val="hr-HR"/>
        </w:rPr>
        <w:t>četvorogodišnjim</w:t>
      </w:r>
      <w:proofErr w:type="spellEnd"/>
      <w:r w:rsidRPr="00D959B1">
        <w:rPr>
          <w:lang w:val="hr-HR"/>
        </w:rPr>
        <w:t xml:space="preserve"> programima stručnog obrazovanja najveći broj učenika bio je upisan u oblasti ekonomije i prava (3.610), zdravstva (3.100), turizma i ugostiteljstva (2.176) i saobraćaja (1.231). U proizvodnim oblastima upis je znatno manji: elektrotehnika (958), građevinarstvo (678), poljoprivreda (402) i mašinstvo (306). Stipendije za dualno obrazovanje su </w:t>
      </w:r>
      <w:proofErr w:type="spellStart"/>
      <w:r w:rsidRPr="00D959B1">
        <w:rPr>
          <w:lang w:val="hr-HR"/>
        </w:rPr>
        <w:t>sufinansirane</w:t>
      </w:r>
      <w:proofErr w:type="spellEnd"/>
      <w:r w:rsidRPr="00D959B1">
        <w:rPr>
          <w:lang w:val="hr-HR"/>
        </w:rPr>
        <w:t xml:space="preserve"> od strane Privredne komore (prva godina), Ministarstva (druga godina) i poslodavaca (treća godina)</w:t>
      </w:r>
      <w:r w:rsidRPr="00D959B1">
        <w:rPr>
          <w:rStyle w:val="Referencafusnote"/>
          <w:rFonts w:eastAsia="Times New Roman" w:cstheme="minorHAnsi"/>
          <w:bCs/>
          <w:lang w:val="hr-HR"/>
        </w:rPr>
        <w:footnoteReference w:id="38"/>
      </w:r>
      <w:r w:rsidRPr="00D959B1">
        <w:rPr>
          <w:lang w:val="hr-HR"/>
        </w:rPr>
        <w:t>.</w:t>
      </w:r>
    </w:p>
    <w:p w14:paraId="2219640A" w14:textId="6274EA7C" w:rsidR="004D67BC" w:rsidRPr="00D959B1" w:rsidRDefault="004D67BC" w:rsidP="004D67BC">
      <w:pPr>
        <w:rPr>
          <w:lang w:val="hr-HR"/>
        </w:rPr>
      </w:pPr>
      <w:r w:rsidRPr="00D959B1">
        <w:rPr>
          <w:lang w:val="hr-HR"/>
        </w:rPr>
        <w:t xml:space="preserve">Zakon o stručnom obrazovanju </w:t>
      </w:r>
      <w:r w:rsidR="00A52279" w:rsidRPr="00D959B1">
        <w:rPr>
          <w:lang w:val="hr-HR"/>
        </w:rPr>
        <w:t>uvodi</w:t>
      </w:r>
      <w:r w:rsidRPr="00D959B1">
        <w:rPr>
          <w:lang w:val="hr-HR"/>
        </w:rPr>
        <w:t xml:space="preserve"> Fond za podršku dualnom obrazovanju</w:t>
      </w:r>
      <w:r w:rsidR="00A52279" w:rsidRPr="00D959B1">
        <w:rPr>
          <w:lang w:val="hr-HR"/>
        </w:rPr>
        <w:t xml:space="preserve">, odnosno podršku praktičnom obrazovanju kod poslodavca </w:t>
      </w:r>
      <w:r w:rsidRPr="00D959B1">
        <w:rPr>
          <w:lang w:val="hr-HR"/>
        </w:rPr>
        <w:t xml:space="preserve">i preciznije </w:t>
      </w:r>
      <w:proofErr w:type="spellStart"/>
      <w:r w:rsidRPr="00D959B1">
        <w:rPr>
          <w:lang w:val="hr-HR"/>
        </w:rPr>
        <w:t>defini</w:t>
      </w:r>
      <w:r w:rsidR="00A52279" w:rsidRPr="00D959B1">
        <w:rPr>
          <w:lang w:val="hr-HR"/>
        </w:rPr>
        <w:t>še</w:t>
      </w:r>
      <w:proofErr w:type="spellEnd"/>
      <w:r w:rsidRPr="00D959B1">
        <w:rPr>
          <w:lang w:val="hr-HR"/>
        </w:rPr>
        <w:t xml:space="preserve"> ulog</w:t>
      </w:r>
      <w:r w:rsidR="00A52279" w:rsidRPr="00D959B1">
        <w:rPr>
          <w:lang w:val="hr-HR"/>
        </w:rPr>
        <w:t xml:space="preserve">u </w:t>
      </w:r>
      <w:r w:rsidRPr="00D959B1">
        <w:rPr>
          <w:lang w:val="hr-HR"/>
        </w:rPr>
        <w:t>organizatora praktične nastave</w:t>
      </w:r>
      <w:r w:rsidRPr="00D959B1">
        <w:rPr>
          <w:rStyle w:val="Referencafusnote"/>
          <w:lang w:val="hr-HR"/>
        </w:rPr>
        <w:footnoteReference w:id="39"/>
      </w:r>
      <w:r w:rsidRPr="00D959B1">
        <w:rPr>
          <w:lang w:val="hr-HR"/>
        </w:rPr>
        <w:t>. Procjena ETF-a iz 2018. godine</w:t>
      </w:r>
      <w:r w:rsidR="00A52279" w:rsidRPr="00D959B1">
        <w:rPr>
          <w:rStyle w:val="Referencafusnote"/>
          <w:lang w:val="hr-HR"/>
        </w:rPr>
        <w:footnoteReference w:id="40"/>
      </w:r>
      <w:r w:rsidRPr="00D959B1">
        <w:rPr>
          <w:lang w:val="hr-HR"/>
        </w:rPr>
        <w:t xml:space="preserve"> ukazala je na potrebu jačanja upravljanja i </w:t>
      </w:r>
      <w:proofErr w:type="spellStart"/>
      <w:r w:rsidRPr="00D959B1">
        <w:rPr>
          <w:lang w:val="hr-HR"/>
        </w:rPr>
        <w:t>finansiranja</w:t>
      </w:r>
      <w:proofErr w:type="spellEnd"/>
      <w:r w:rsidRPr="00D959B1">
        <w:rPr>
          <w:lang w:val="hr-HR"/>
        </w:rPr>
        <w:t xml:space="preserve"> stručnog obrazovanja, uz preporuke za uvođenje modela </w:t>
      </w:r>
      <w:proofErr w:type="spellStart"/>
      <w:r w:rsidRPr="00D959B1">
        <w:rPr>
          <w:lang w:val="hr-HR"/>
        </w:rPr>
        <w:t>finansiranja</w:t>
      </w:r>
      <w:proofErr w:type="spellEnd"/>
      <w:r w:rsidRPr="00D959B1">
        <w:rPr>
          <w:lang w:val="hr-HR"/>
        </w:rPr>
        <w:t xml:space="preserve"> po učeniku, unapređenje međuresorne koordinacije i jačanje učešća privatnog sektora. Zajednički monitoring CEDEFOP-a i ETF-a iz 2025. godine prati napredak reformi stručnog obrazovanja u Crnoj Gori u odnosu na prioritete EU, uključujući </w:t>
      </w:r>
      <w:proofErr w:type="spellStart"/>
      <w:r w:rsidRPr="00D959B1">
        <w:rPr>
          <w:lang w:val="hr-HR"/>
        </w:rPr>
        <w:t>Herning</w:t>
      </w:r>
      <w:proofErr w:type="spellEnd"/>
      <w:r w:rsidRPr="00D959B1">
        <w:rPr>
          <w:lang w:val="hr-HR"/>
        </w:rPr>
        <w:t xml:space="preserve"> deklaraciju (2025)</w:t>
      </w:r>
      <w:r w:rsidRPr="00D959B1">
        <w:rPr>
          <w:rStyle w:val="Referencafusnote"/>
          <w:lang w:val="hr-HR"/>
        </w:rPr>
        <w:footnoteReference w:id="41"/>
      </w:r>
      <w:r w:rsidRPr="00D959B1">
        <w:rPr>
          <w:lang w:val="hr-HR"/>
        </w:rPr>
        <w:t>.</w:t>
      </w:r>
    </w:p>
    <w:p w14:paraId="6C08AE2B" w14:textId="77777777" w:rsidR="004D67BC" w:rsidRPr="00D959B1" w:rsidRDefault="004D67BC" w:rsidP="004D67BC">
      <w:pPr>
        <w:pStyle w:val="Naslov4"/>
        <w:rPr>
          <w:rFonts w:eastAsia="Times New Roman"/>
          <w:lang w:val="hr-HR"/>
        </w:rPr>
      </w:pPr>
      <w:r w:rsidRPr="00D959B1">
        <w:rPr>
          <w:rFonts w:eastAsia="Times New Roman"/>
          <w:lang w:val="hr-HR"/>
        </w:rPr>
        <w:t>Visoko obrazovanje</w:t>
      </w:r>
    </w:p>
    <w:p w14:paraId="240E9804" w14:textId="77777777" w:rsidR="004D67BC" w:rsidRPr="00D959B1" w:rsidRDefault="004D67BC" w:rsidP="004D67BC">
      <w:pPr>
        <w:rPr>
          <w:lang w:val="hr-HR"/>
        </w:rPr>
      </w:pPr>
      <w:r w:rsidRPr="00D959B1">
        <w:rPr>
          <w:lang w:val="hr-HR"/>
        </w:rPr>
        <w:t xml:space="preserve">Sistem visokog obrazovanja u Crnoj Gori usklađen je sa </w:t>
      </w:r>
      <w:proofErr w:type="spellStart"/>
      <w:r w:rsidRPr="00D959B1">
        <w:rPr>
          <w:lang w:val="hr-HR"/>
        </w:rPr>
        <w:t>Bolonjskim</w:t>
      </w:r>
      <w:proofErr w:type="spellEnd"/>
      <w:r w:rsidRPr="00D959B1">
        <w:rPr>
          <w:lang w:val="hr-HR"/>
        </w:rPr>
        <w:t xml:space="preserve"> procesom (</w:t>
      </w:r>
      <w:proofErr w:type="spellStart"/>
      <w:r w:rsidRPr="00D959B1">
        <w:rPr>
          <w:lang w:val="hr-HR"/>
        </w:rPr>
        <w:t>trociklična</w:t>
      </w:r>
      <w:proofErr w:type="spellEnd"/>
      <w:r w:rsidRPr="00D959B1">
        <w:rPr>
          <w:lang w:val="hr-HR"/>
        </w:rPr>
        <w:t xml:space="preserve"> struktura: osnovne, master i doktorske studije; ECTS sistem </w:t>
      </w:r>
      <w:proofErr w:type="spellStart"/>
      <w:r w:rsidRPr="00D959B1">
        <w:rPr>
          <w:lang w:val="hr-HR"/>
        </w:rPr>
        <w:t>prenosa</w:t>
      </w:r>
      <w:proofErr w:type="spellEnd"/>
      <w:r w:rsidRPr="00D959B1">
        <w:rPr>
          <w:lang w:val="hr-HR"/>
        </w:rPr>
        <w:t xml:space="preserve"> bodova). Ključne institucije uključuju Univerzitet Crne Gore (glavni javni univerzitet sa fakultetima u više gradova), privatne ustanove visokog obrazovanja (Univerzitet Donja Gorica, Univerzitet Mediteran, Univerzitet </w:t>
      </w:r>
      <w:proofErr w:type="spellStart"/>
      <w:r w:rsidRPr="00D959B1">
        <w:rPr>
          <w:lang w:val="hr-HR"/>
        </w:rPr>
        <w:t>Adriatik</w:t>
      </w:r>
      <w:proofErr w:type="spellEnd"/>
      <w:r w:rsidRPr="00D959B1">
        <w:rPr>
          <w:lang w:val="hr-HR"/>
        </w:rPr>
        <w:t xml:space="preserve">), Fakultet za crnogorski jezik i književnost (državna samostalna ustanova visokog obrazovanja), te više </w:t>
      </w:r>
      <w:proofErr w:type="spellStart"/>
      <w:r w:rsidRPr="00D959B1">
        <w:rPr>
          <w:lang w:val="hr-HR"/>
        </w:rPr>
        <w:t>privatnnih</w:t>
      </w:r>
      <w:proofErr w:type="spellEnd"/>
      <w:r w:rsidRPr="00D959B1">
        <w:rPr>
          <w:lang w:val="hr-HR"/>
        </w:rPr>
        <w:t xml:space="preserve"> samostalnih ustanova visokog obrazovanja (Fakultet za državne i evropske studije, Fakultet za poslovni menadžment, Fakultet za </w:t>
      </w:r>
      <w:proofErr w:type="spellStart"/>
      <w:r w:rsidRPr="00D959B1">
        <w:rPr>
          <w:lang w:val="hr-HR"/>
        </w:rPr>
        <w:t>internatcionalni</w:t>
      </w:r>
      <w:proofErr w:type="spellEnd"/>
      <w:r w:rsidRPr="00D959B1">
        <w:rPr>
          <w:lang w:val="hr-HR"/>
        </w:rPr>
        <w:t xml:space="preserve"> menadžment u </w:t>
      </w:r>
      <w:r w:rsidRPr="00D959B1">
        <w:rPr>
          <w:lang w:val="hr-HR"/>
        </w:rPr>
        <w:lastRenderedPageBreak/>
        <w:t>turizmu i hotelijerstvu, i Visoka medicinska škola ICEPS u Kotoru)</w:t>
      </w:r>
      <w:r w:rsidRPr="00D959B1">
        <w:rPr>
          <w:rStyle w:val="Referencafusnote"/>
          <w:rFonts w:eastAsia="Times New Roman" w:cstheme="minorHAnsi"/>
          <w:bCs/>
          <w:lang w:val="hr-HR"/>
        </w:rPr>
        <w:footnoteReference w:id="42"/>
      </w:r>
      <w:r w:rsidRPr="00D959B1">
        <w:rPr>
          <w:lang w:val="hr-HR"/>
        </w:rPr>
        <w:t xml:space="preserve">.  </w:t>
      </w:r>
      <w:r w:rsidRPr="00D959B1">
        <w:rPr>
          <w:b/>
          <w:lang w:val="hr-HR"/>
        </w:rPr>
        <w:t>Strategija razvoja visokog obrazovanja 2024–2027</w:t>
      </w:r>
      <w:r w:rsidRPr="00D959B1">
        <w:rPr>
          <w:rStyle w:val="Referencafusnote"/>
          <w:rFonts w:eastAsia="Times New Roman" w:cstheme="minorHAnsi"/>
          <w:b/>
          <w:bCs/>
          <w:lang w:val="hr-HR"/>
        </w:rPr>
        <w:footnoteReference w:id="43"/>
      </w:r>
      <w:r w:rsidRPr="00D959B1">
        <w:rPr>
          <w:lang w:val="hr-HR"/>
        </w:rPr>
        <w:t xml:space="preserve"> usvojena je od strane Vlade u julu 2024. godine, sa četiri strateška cilja: (1) unapređenje usklađenosti studijskih programa sa potrebama tržišta rada i priznavanja kvalifikacija; (2) unapređenje infrastrukture; (3) jačanje osiguranja kvaliteta; i (4) </w:t>
      </w:r>
      <w:proofErr w:type="spellStart"/>
      <w:r w:rsidRPr="00D959B1">
        <w:rPr>
          <w:lang w:val="hr-HR"/>
        </w:rPr>
        <w:t>podsticanje</w:t>
      </w:r>
      <w:proofErr w:type="spellEnd"/>
      <w:r w:rsidRPr="00D959B1">
        <w:rPr>
          <w:lang w:val="hr-HR"/>
        </w:rPr>
        <w:t xml:space="preserve"> internacionalizacije. Zakon o visokom obrazovanju, sa nedavnim izmjenama, povećao je iznose studentskih kredita i stipendija za najbolje studente. Etički odbor (treći saziv imenovan u martu 2025. godine) nadzire akademski integritet, uključujući primjenu Etičkog kodeksa i provjeru validnosti kvalifikacija. Master studije na javnim ustanovama su besplatne od septembra 2020. godine</w:t>
      </w:r>
      <w:r w:rsidRPr="00D959B1">
        <w:rPr>
          <w:rStyle w:val="Referencafusnote"/>
          <w:rFonts w:eastAsia="Times New Roman" w:cstheme="minorHAnsi"/>
          <w:bCs/>
          <w:lang w:val="hr-HR"/>
        </w:rPr>
        <w:footnoteReference w:id="44"/>
      </w:r>
      <w:r w:rsidRPr="00D959B1">
        <w:rPr>
          <w:lang w:val="hr-HR"/>
        </w:rPr>
        <w:t xml:space="preserve">. </w:t>
      </w:r>
    </w:p>
    <w:p w14:paraId="2B7F04EB" w14:textId="21B29EE7" w:rsidR="00FC15BF" w:rsidRPr="00D959B1" w:rsidRDefault="00FC15BF" w:rsidP="004D67BC">
      <w:pPr>
        <w:rPr>
          <w:lang w:val="hr-HR"/>
        </w:rPr>
      </w:pPr>
      <w:r w:rsidRPr="00D959B1">
        <w:rPr>
          <w:lang w:val="hr-HR"/>
        </w:rPr>
        <w:t xml:space="preserve">Agencija za kontrolu i </w:t>
      </w:r>
      <w:proofErr w:type="spellStart"/>
      <w:r w:rsidRPr="00D959B1">
        <w:rPr>
          <w:lang w:val="hr-HR"/>
        </w:rPr>
        <w:t>obezbjeđenje</w:t>
      </w:r>
      <w:proofErr w:type="spellEnd"/>
      <w:r w:rsidRPr="00D959B1">
        <w:rPr>
          <w:lang w:val="hr-HR"/>
        </w:rPr>
        <w:t xml:space="preserve"> kvaliteta visokog obrazovanja (AKOKVO) je vodeće državno tijelo za eksterno </w:t>
      </w:r>
      <w:proofErr w:type="spellStart"/>
      <w:r w:rsidRPr="00D959B1">
        <w:rPr>
          <w:lang w:val="hr-HR"/>
        </w:rPr>
        <w:t>obezbjeđenje</w:t>
      </w:r>
      <w:proofErr w:type="spellEnd"/>
      <w:r w:rsidRPr="00D959B1">
        <w:rPr>
          <w:lang w:val="hr-HR"/>
        </w:rPr>
        <w:t xml:space="preserve"> kvaliteta visokog obrazovanja,</w:t>
      </w:r>
      <w:r w:rsidRPr="00D959B1">
        <w:rPr>
          <w:rFonts w:ascii="Roboto" w:hAnsi="Roboto"/>
          <w:color w:val="444444"/>
          <w:shd w:val="clear" w:color="auto" w:fill="FFFFFF"/>
          <w:lang w:val="hr-HR"/>
        </w:rPr>
        <w:t xml:space="preserve"> </w:t>
      </w:r>
      <w:r w:rsidRPr="00D959B1">
        <w:rPr>
          <w:lang w:val="hr-HR"/>
        </w:rPr>
        <w:t xml:space="preserve">upravlja procesom evaluacije i </w:t>
      </w:r>
      <w:proofErr w:type="spellStart"/>
      <w:r w:rsidRPr="00D959B1">
        <w:rPr>
          <w:lang w:val="hr-HR"/>
        </w:rPr>
        <w:t>sertifikacije</w:t>
      </w:r>
      <w:proofErr w:type="spellEnd"/>
      <w:r w:rsidRPr="00D959B1">
        <w:rPr>
          <w:lang w:val="hr-HR"/>
        </w:rPr>
        <w:t xml:space="preserve"> ustanova visokog obrazovanja i studijskih programa u skladu sa Evropskim standardima i smjernicama za </w:t>
      </w:r>
      <w:proofErr w:type="spellStart"/>
      <w:r w:rsidRPr="00D959B1">
        <w:rPr>
          <w:lang w:val="hr-HR"/>
        </w:rPr>
        <w:t>obezbjeđenje</w:t>
      </w:r>
      <w:proofErr w:type="spellEnd"/>
      <w:r w:rsidRPr="00D959B1">
        <w:rPr>
          <w:lang w:val="hr-HR"/>
        </w:rPr>
        <w:t xml:space="preserve"> kvaliteta u Evropskom prostoru visokog obrazovanja.</w:t>
      </w:r>
    </w:p>
    <w:p w14:paraId="5EEA969C" w14:textId="77777777" w:rsidR="004D67BC" w:rsidRPr="00D959B1" w:rsidRDefault="004D67BC" w:rsidP="004D67BC">
      <w:pPr>
        <w:rPr>
          <w:lang w:val="hr-HR"/>
        </w:rPr>
      </w:pPr>
      <w:r w:rsidRPr="00D959B1">
        <w:rPr>
          <w:lang w:val="hr-HR"/>
        </w:rPr>
        <w:t>Crna Gora učestvuje u programu Erasmus+ od 2014. godine</w:t>
      </w:r>
      <w:r w:rsidRPr="00D959B1">
        <w:rPr>
          <w:rStyle w:val="Referencafusnote"/>
          <w:lang w:val="hr-HR"/>
        </w:rPr>
        <w:footnoteReference w:id="45"/>
      </w:r>
      <w:r w:rsidRPr="00D959B1">
        <w:rPr>
          <w:lang w:val="hr-HR"/>
        </w:rPr>
        <w:t xml:space="preserve">, što omogućava mobilnost studenata i osoblja, jačanje kapaciteta i realizaciju Jean </w:t>
      </w:r>
      <w:proofErr w:type="spellStart"/>
      <w:r w:rsidRPr="00D959B1">
        <w:rPr>
          <w:lang w:val="hr-HR"/>
        </w:rPr>
        <w:t>Monnet</w:t>
      </w:r>
      <w:proofErr w:type="spellEnd"/>
      <w:r w:rsidRPr="00D959B1">
        <w:rPr>
          <w:lang w:val="hr-HR"/>
        </w:rPr>
        <w:t xml:space="preserve"> aktivnosti. Jedan crnogorski univerzitet izabran je kao partner u okviru </w:t>
      </w:r>
      <w:proofErr w:type="spellStart"/>
      <w:r w:rsidRPr="00D959B1">
        <w:rPr>
          <w:lang w:val="hr-HR"/>
        </w:rPr>
        <w:t>finansirane</w:t>
      </w:r>
      <w:proofErr w:type="spellEnd"/>
      <w:r w:rsidRPr="00D959B1">
        <w:rPr>
          <w:lang w:val="hr-HR"/>
        </w:rPr>
        <w:t xml:space="preserve"> alijanse Evropske inicijative univerziteta</w:t>
      </w:r>
      <w:r w:rsidRPr="00D959B1">
        <w:rPr>
          <w:rStyle w:val="Referencafusnote"/>
          <w:lang w:val="hr-HR"/>
        </w:rPr>
        <w:footnoteReference w:id="46"/>
      </w:r>
      <w:r w:rsidRPr="00D959B1">
        <w:rPr>
          <w:lang w:val="hr-HR"/>
        </w:rPr>
        <w:t xml:space="preserve">, odnosno transnacionalnih mreža visokoškolskih institucija uspostavljenih u okviru ove inicijative. One predstavljaju jednu od ključnih inicijativa Evropske komisije usmjerenu na izgradnju </w:t>
      </w:r>
      <w:proofErr w:type="spellStart"/>
      <w:r w:rsidRPr="00D959B1">
        <w:rPr>
          <w:lang w:val="hr-HR"/>
        </w:rPr>
        <w:t>integrisanijeg</w:t>
      </w:r>
      <w:proofErr w:type="spellEnd"/>
      <w:r w:rsidRPr="00D959B1">
        <w:rPr>
          <w:lang w:val="hr-HR"/>
        </w:rPr>
        <w:t xml:space="preserve"> Evropskog prostora obrazovanja. Strategija pametne specijalizacije (prvi ciklus završen) pruža okvir za jačanje saradnje između akademskog sektora i privrede</w:t>
      </w:r>
      <w:r w:rsidRPr="00D959B1">
        <w:rPr>
          <w:rStyle w:val="Referencafusnote"/>
          <w:lang w:val="hr-HR"/>
        </w:rPr>
        <w:footnoteReference w:id="47"/>
      </w:r>
      <w:r w:rsidRPr="00D959B1">
        <w:rPr>
          <w:lang w:val="hr-HR"/>
        </w:rPr>
        <w:t xml:space="preserve">. Crna Gora </w:t>
      </w:r>
      <w:proofErr w:type="spellStart"/>
      <w:r w:rsidRPr="00D959B1">
        <w:rPr>
          <w:lang w:val="hr-HR"/>
        </w:rPr>
        <w:t>takođe</w:t>
      </w:r>
      <w:proofErr w:type="spellEnd"/>
      <w:r w:rsidRPr="00D959B1">
        <w:rPr>
          <w:lang w:val="hr-HR"/>
        </w:rPr>
        <w:t xml:space="preserve"> učestvuje u programu Kreativna Evropa i ima pristup programu Horizont Evropa i istraživačkim pozivima. Cilj je uspostavljanje Agencije za EU programe do trenutka pristupanja EU, radi unapređenja kvaliteta i kapaciteta za upravljanje programima</w:t>
      </w:r>
      <w:r w:rsidRPr="00D959B1">
        <w:rPr>
          <w:rStyle w:val="Referencafusnote"/>
          <w:lang w:val="hr-HR"/>
        </w:rPr>
        <w:footnoteReference w:id="48"/>
      </w:r>
      <w:r w:rsidRPr="00D959B1">
        <w:rPr>
          <w:lang w:val="hr-HR"/>
        </w:rPr>
        <w:t>.</w:t>
      </w:r>
    </w:p>
    <w:p w14:paraId="7C963FEF" w14:textId="77777777" w:rsidR="004D67BC" w:rsidRPr="00D959B1" w:rsidRDefault="004D67BC" w:rsidP="004D67BC">
      <w:pPr>
        <w:pStyle w:val="Naslov4"/>
        <w:rPr>
          <w:rFonts w:eastAsia="Times New Roman"/>
          <w:lang w:val="hr-HR"/>
        </w:rPr>
      </w:pPr>
      <w:r w:rsidRPr="00D959B1">
        <w:rPr>
          <w:rFonts w:eastAsia="Times New Roman"/>
          <w:lang w:val="hr-HR"/>
        </w:rPr>
        <w:t xml:space="preserve">Obrazovanje odraslih i vještine </w:t>
      </w:r>
    </w:p>
    <w:p w14:paraId="4532125E" w14:textId="69BF6190" w:rsidR="00174792" w:rsidRPr="00D959B1" w:rsidRDefault="004D67BC" w:rsidP="004D67BC">
      <w:pPr>
        <w:rPr>
          <w:lang w:val="hr-HR"/>
        </w:rPr>
      </w:pPr>
      <w:r w:rsidRPr="00D959B1">
        <w:rPr>
          <w:lang w:val="hr-HR"/>
        </w:rPr>
        <w:t>Obrazovanje odraslih uređeno je Zakonom o obrazovanju odraslih</w:t>
      </w:r>
      <w:r w:rsidR="00813534" w:rsidRPr="00D959B1">
        <w:rPr>
          <w:lang w:val="hr-HR"/>
        </w:rPr>
        <w:t>, a dodatno je uređeno</w:t>
      </w:r>
      <w:r w:rsidR="00621981" w:rsidRPr="00D959B1">
        <w:rPr>
          <w:lang w:val="hr-HR"/>
        </w:rPr>
        <w:t xml:space="preserve"> i </w:t>
      </w:r>
      <w:r w:rsidR="00AC410E" w:rsidRPr="00D959B1">
        <w:rPr>
          <w:b/>
          <w:lang w:val="hr-HR"/>
        </w:rPr>
        <w:t>Planom obrazovanja odraslih 2025–2029</w:t>
      </w:r>
      <w:r w:rsidR="00813534" w:rsidRPr="00D959B1">
        <w:rPr>
          <w:rStyle w:val="Referencafusnote"/>
          <w:b/>
          <w:lang w:val="hr-HR"/>
        </w:rPr>
        <w:footnoteReference w:id="49"/>
      </w:r>
      <w:r w:rsidR="00AC410E" w:rsidRPr="00D959B1">
        <w:rPr>
          <w:lang w:val="hr-HR"/>
        </w:rPr>
        <w:t xml:space="preserve">, koji </w:t>
      </w:r>
      <w:proofErr w:type="spellStart"/>
      <w:r w:rsidR="00AC410E" w:rsidRPr="00D959B1">
        <w:rPr>
          <w:lang w:val="hr-HR"/>
        </w:rPr>
        <w:t>definiše</w:t>
      </w:r>
      <w:proofErr w:type="spellEnd"/>
      <w:r w:rsidR="00AC410E" w:rsidRPr="00D959B1">
        <w:rPr>
          <w:lang w:val="hr-HR"/>
        </w:rPr>
        <w:t xml:space="preserve"> prioritetne mjere za unapređenje cjeloživotnog učenja, digitalnih i osnovnih kompetencija odraslih, prekvalifikaciju i dokvalifikaciju, kao i jačanje saradnje sa poslodavcima i dostupnosti programa obrazovanja odraslih.</w:t>
      </w:r>
      <w:r w:rsidR="00DE2FF4" w:rsidRPr="00D959B1">
        <w:rPr>
          <w:lang w:val="hr-HR"/>
        </w:rPr>
        <w:t xml:space="preserve"> Navedeno se dalje razrađuje kroz godišnje planove obrazovanja odraslih. </w:t>
      </w:r>
      <w:r w:rsidR="00AC410E" w:rsidRPr="00D959B1">
        <w:rPr>
          <w:lang w:val="hr-HR"/>
        </w:rPr>
        <w:t xml:space="preserve"> </w:t>
      </w:r>
      <w:r w:rsidR="000363E7" w:rsidRPr="00D959B1">
        <w:rPr>
          <w:lang w:val="hr-HR"/>
        </w:rPr>
        <w:t xml:space="preserve">Najveći broj obuka u obrazovanju odraslih </w:t>
      </w:r>
      <w:proofErr w:type="spellStart"/>
      <w:r w:rsidR="000363E7" w:rsidRPr="00D959B1">
        <w:rPr>
          <w:lang w:val="hr-HR"/>
        </w:rPr>
        <w:t>finansira</w:t>
      </w:r>
      <w:proofErr w:type="spellEnd"/>
      <w:r w:rsidR="000363E7" w:rsidRPr="00D959B1">
        <w:rPr>
          <w:lang w:val="hr-HR"/>
        </w:rPr>
        <w:t xml:space="preserve"> se preko programa Zavoda za zapošljavanje, a programi </w:t>
      </w:r>
      <w:r w:rsidR="000363E7" w:rsidRPr="00D959B1">
        <w:rPr>
          <w:lang w:val="hr-HR"/>
        </w:rPr>
        <w:lastRenderedPageBreak/>
        <w:t xml:space="preserve">bi se mogli dalje unaprijediti uvođenjem sistema vaučera (država daje vaučer direktno polazniku, koji bira </w:t>
      </w:r>
      <w:proofErr w:type="spellStart"/>
      <w:r w:rsidR="000363E7" w:rsidRPr="00D959B1">
        <w:rPr>
          <w:lang w:val="hr-HR"/>
        </w:rPr>
        <w:t>akreditovani</w:t>
      </w:r>
      <w:proofErr w:type="spellEnd"/>
      <w:r w:rsidR="000363E7" w:rsidRPr="00D959B1">
        <w:rPr>
          <w:lang w:val="hr-HR"/>
        </w:rPr>
        <w:t xml:space="preserve"> program i organizatora). Osnovno obrazovanje odraslih je besplatno, a te troškove pokriva MPNI. </w:t>
      </w:r>
      <w:r w:rsidRPr="00D959B1">
        <w:rPr>
          <w:lang w:val="hr-HR"/>
        </w:rPr>
        <w:t xml:space="preserve">Učešće odraslih u učenju u Crnoj Gori i dalje je značajno ispod prosjeka EU i cilja EU za 2030. godinu od 60% godišnjeg učešća. Infrastruktura </w:t>
      </w:r>
      <w:r w:rsidR="006008DB" w:rsidRPr="00D959B1">
        <w:rPr>
          <w:lang w:val="hr-HR"/>
        </w:rPr>
        <w:t xml:space="preserve">i institucionalno-operativni kapaciteti za obrazovanje odraslih su </w:t>
      </w:r>
      <w:r w:rsidRPr="00D959B1">
        <w:rPr>
          <w:lang w:val="hr-HR"/>
        </w:rPr>
        <w:t>nedovoljno razvijen</w:t>
      </w:r>
      <w:r w:rsidR="00174792" w:rsidRPr="00D959B1">
        <w:rPr>
          <w:lang w:val="hr-HR"/>
        </w:rPr>
        <w:t>i</w:t>
      </w:r>
      <w:r w:rsidRPr="00D959B1">
        <w:rPr>
          <w:lang w:val="hr-HR"/>
        </w:rPr>
        <w:t xml:space="preserve">, </w:t>
      </w:r>
      <w:r w:rsidR="00DE2FF4" w:rsidRPr="00D959B1">
        <w:rPr>
          <w:lang w:val="hr-HR"/>
        </w:rPr>
        <w:t xml:space="preserve">a potrebno je i dalje povećavati </w:t>
      </w:r>
      <w:r w:rsidRPr="00D959B1">
        <w:rPr>
          <w:lang w:val="hr-HR"/>
        </w:rPr>
        <w:t xml:space="preserve">uključenost poslodavaca </w:t>
      </w:r>
      <w:r w:rsidR="00DE2FF4" w:rsidRPr="00D959B1">
        <w:rPr>
          <w:lang w:val="hr-HR"/>
        </w:rPr>
        <w:t xml:space="preserve"> kao organizatora obrazovanja u proces obrazovanja odraslih (trenutno ima oko 140 organizatora obrazovanja odraslih u Crnoj Gori).</w:t>
      </w:r>
      <w:r w:rsidRPr="00D959B1">
        <w:rPr>
          <w:lang w:val="hr-HR"/>
        </w:rPr>
        <w:t xml:space="preserve"> Nacionalni okvir kvalifikacija (NOK), uspostavljen Zakonom o nacionalnim stručnim kvalifikacijama (Sl. list CG, br. 80/10, 53/25) i usklađen sa Evropskim kvalifikacionim okvirom (EQF), pruža osnovu za priznavanje prethodnog učenja, ali je njegova primjena za odrasle polaznike još uvijek u ranoj fazi</w:t>
      </w:r>
      <w:r w:rsidR="00174792" w:rsidRPr="00D959B1">
        <w:rPr>
          <w:lang w:val="hr-HR"/>
        </w:rPr>
        <w:t xml:space="preserve"> (priznavanje prethodnog učenja se trenutno može sprovesti preko direktne provjere znanja, u skladu sa Zakonom o obrazovanju odraslih; MPNI je pokrenulo izradu pravilnika kojim bi se ovaj postupak dodatno pravno </w:t>
      </w:r>
      <w:proofErr w:type="spellStart"/>
      <w:r w:rsidR="00174792" w:rsidRPr="00D959B1">
        <w:rPr>
          <w:lang w:val="hr-HR"/>
        </w:rPr>
        <w:t>regulisao</w:t>
      </w:r>
      <w:proofErr w:type="spellEnd"/>
      <w:r w:rsidR="00174792" w:rsidRPr="00D959B1">
        <w:rPr>
          <w:lang w:val="hr-HR"/>
        </w:rPr>
        <w:t>)</w:t>
      </w:r>
    </w:p>
    <w:p w14:paraId="3026525F" w14:textId="4D9AA934" w:rsidR="00813534" w:rsidRPr="00D959B1" w:rsidRDefault="00813534" w:rsidP="004D67BC">
      <w:pPr>
        <w:rPr>
          <w:lang w:val="hr-HR"/>
        </w:rPr>
      </w:pPr>
      <w:r w:rsidRPr="00D959B1">
        <w:rPr>
          <w:lang w:val="hr-HR"/>
        </w:rPr>
        <w:t xml:space="preserve">U ovoj oblasti važna je i </w:t>
      </w:r>
      <w:r w:rsidRPr="00D959B1">
        <w:rPr>
          <w:b/>
          <w:lang w:val="hr-HR"/>
        </w:rPr>
        <w:t>Strategija karijernog vođenja i savjetovanja 2025-2030</w:t>
      </w:r>
      <w:r w:rsidRPr="00D959B1">
        <w:rPr>
          <w:rStyle w:val="Referencafusnote"/>
          <w:b/>
          <w:lang w:val="hr-HR"/>
        </w:rPr>
        <w:footnoteReference w:id="50"/>
      </w:r>
      <w:r w:rsidRPr="00D959B1">
        <w:rPr>
          <w:lang w:val="hr-HR"/>
        </w:rPr>
        <w:t xml:space="preserve"> čiji cilj je </w:t>
      </w:r>
      <w:proofErr w:type="spellStart"/>
      <w:r w:rsidRPr="00D959B1">
        <w:rPr>
          <w:lang w:val="hr-HR"/>
        </w:rPr>
        <w:t>napređenje</w:t>
      </w:r>
      <w:proofErr w:type="spellEnd"/>
      <w:r w:rsidRPr="00D959B1">
        <w:rPr>
          <w:lang w:val="hr-HR"/>
        </w:rPr>
        <w:t xml:space="preserve"> sistema karijernog vođenja i savjetovanja radi jačanja </w:t>
      </w:r>
      <w:proofErr w:type="spellStart"/>
      <w:r w:rsidRPr="00D959B1">
        <w:rPr>
          <w:lang w:val="hr-HR"/>
        </w:rPr>
        <w:t>zapošljivosti</w:t>
      </w:r>
      <w:proofErr w:type="spellEnd"/>
      <w:r w:rsidRPr="00D959B1">
        <w:rPr>
          <w:lang w:val="hr-HR"/>
        </w:rPr>
        <w:t>, cjeloživotnog učenja i usklađivanja kompetencija sa potrebama tržišta rada.</w:t>
      </w:r>
    </w:p>
    <w:p w14:paraId="2B1FB41A" w14:textId="50242AD5" w:rsidR="004D67BC" w:rsidRPr="00D959B1" w:rsidRDefault="004D67BC" w:rsidP="004D67BC">
      <w:pPr>
        <w:rPr>
          <w:lang w:val="hr-HR"/>
        </w:rPr>
      </w:pPr>
      <w:r w:rsidRPr="00D959B1">
        <w:rPr>
          <w:lang w:val="hr-HR"/>
        </w:rPr>
        <w:t xml:space="preserve">Nedostatak digitalnih vještina izražen je među odraslom populacijom, a Crna Gora još uvijek nije obuhvaćena EU indeksom digitalne ekonomije i društva (DESI). </w:t>
      </w:r>
      <w:r w:rsidRPr="00D959B1">
        <w:rPr>
          <w:b/>
          <w:lang w:val="hr-HR"/>
        </w:rPr>
        <w:t>Strategija za digitalizaciju obrazovanja 2022–2027</w:t>
      </w:r>
      <w:r w:rsidRPr="00D959B1">
        <w:rPr>
          <w:rStyle w:val="Referencafusnote"/>
          <w:b/>
          <w:lang w:val="hr-HR"/>
        </w:rPr>
        <w:footnoteReference w:id="51"/>
      </w:r>
      <w:r w:rsidRPr="00D959B1">
        <w:rPr>
          <w:lang w:val="hr-HR"/>
        </w:rPr>
        <w:t xml:space="preserve"> se sprovodi, ali infrastruktura, kapaciteti nastavnika i integracija u nastavne programe ostaju neujednačeni.</w:t>
      </w:r>
    </w:p>
    <w:p w14:paraId="7C217B42" w14:textId="77777777" w:rsidR="004D67BC" w:rsidRPr="00D959B1" w:rsidRDefault="004D67BC" w:rsidP="004D67BC">
      <w:pPr>
        <w:pStyle w:val="Naslov4"/>
        <w:rPr>
          <w:rFonts w:eastAsia="Times New Roman"/>
          <w:lang w:val="hr-HR"/>
        </w:rPr>
      </w:pPr>
      <w:r w:rsidRPr="00D959B1">
        <w:rPr>
          <w:rFonts w:eastAsia="Times New Roman"/>
          <w:lang w:val="hr-HR"/>
        </w:rPr>
        <w:t>Sport i Mladi</w:t>
      </w:r>
    </w:p>
    <w:p w14:paraId="2B828817" w14:textId="1BB1582F" w:rsidR="004D67BC" w:rsidRPr="00D959B1" w:rsidRDefault="004D67BC" w:rsidP="004D67BC">
      <w:pPr>
        <w:rPr>
          <w:lang w:val="hr-HR"/>
        </w:rPr>
      </w:pPr>
      <w:r w:rsidRPr="00D959B1">
        <w:rPr>
          <w:b/>
          <w:lang w:val="hr-HR"/>
        </w:rPr>
        <w:t>Zakon o sportu</w:t>
      </w:r>
      <w:r w:rsidRPr="00D959B1">
        <w:rPr>
          <w:lang w:val="hr-HR"/>
        </w:rPr>
        <w:t xml:space="preserve"> (Sl. list CG, br. 44/18, 123/21) uređuje obavljanje sportske djelatnosti, vrste sportova, prava i obaveze sportskih subjekata, zdravstvenu sposobnost </w:t>
      </w:r>
      <w:proofErr w:type="spellStart"/>
      <w:r w:rsidRPr="00D959B1">
        <w:rPr>
          <w:lang w:val="hr-HR"/>
        </w:rPr>
        <w:t>sportista</w:t>
      </w:r>
      <w:proofErr w:type="spellEnd"/>
      <w:r w:rsidRPr="00D959B1">
        <w:rPr>
          <w:lang w:val="hr-HR"/>
        </w:rPr>
        <w:t xml:space="preserve">, </w:t>
      </w:r>
      <w:proofErr w:type="spellStart"/>
      <w:r w:rsidRPr="00D959B1">
        <w:rPr>
          <w:lang w:val="hr-HR"/>
        </w:rPr>
        <w:t>finansiranje</w:t>
      </w:r>
      <w:proofErr w:type="spellEnd"/>
      <w:r w:rsidRPr="00D959B1">
        <w:rPr>
          <w:lang w:val="hr-HR"/>
        </w:rPr>
        <w:t xml:space="preserve"> sporta, evidencije u sportu i druga pitanja od značaja za oblast sporta. Crna Gora učestvuje u Evropskoj nedjelji sporta</w:t>
      </w:r>
      <w:r w:rsidRPr="00D959B1">
        <w:rPr>
          <w:vertAlign w:val="superscript"/>
          <w:lang w:val="hr-HR"/>
        </w:rPr>
        <w:footnoteReference w:id="52"/>
      </w:r>
      <w:r w:rsidRPr="00D959B1">
        <w:rPr>
          <w:lang w:val="hr-HR"/>
        </w:rPr>
        <w:t>, programu Erasmus+ i programu Kreativna Evropa</w:t>
      </w:r>
      <w:r w:rsidRPr="00D959B1">
        <w:rPr>
          <w:vertAlign w:val="superscript"/>
          <w:lang w:val="hr-HR"/>
        </w:rPr>
        <w:footnoteReference w:id="53"/>
      </w:r>
      <w:r w:rsidRPr="00D959B1">
        <w:rPr>
          <w:lang w:val="hr-HR"/>
        </w:rPr>
        <w:t>.</w:t>
      </w:r>
      <w:r w:rsidR="000363E7" w:rsidRPr="00D959B1">
        <w:rPr>
          <w:lang w:val="hr-HR"/>
        </w:rPr>
        <w:t xml:space="preserve"> </w:t>
      </w:r>
      <w:proofErr w:type="spellStart"/>
      <w:r w:rsidR="000363E7" w:rsidRPr="00D959B1">
        <w:rPr>
          <w:lang w:val="hr-HR"/>
        </w:rPr>
        <w:t>StartegijA</w:t>
      </w:r>
      <w:proofErr w:type="spellEnd"/>
      <w:r w:rsidR="000363E7" w:rsidRPr="00D959B1">
        <w:rPr>
          <w:lang w:val="hr-HR"/>
        </w:rPr>
        <w:t xml:space="preserve"> razvoja sporta u Crnoj Gori 2024 – 2028“ ima za osnovni cilj promociju zdravih stilova života, kao i unaprjeđenje sportske infrastrukture i podizanje kapaciteta nacionalnih sportskih saveza i sportskih organizacija.</w:t>
      </w:r>
    </w:p>
    <w:p w14:paraId="5AA2BA0B" w14:textId="77777777" w:rsidR="004D67BC" w:rsidRPr="00D959B1" w:rsidRDefault="004D67BC" w:rsidP="004D67BC">
      <w:pPr>
        <w:rPr>
          <w:lang w:val="hr-HR"/>
        </w:rPr>
      </w:pPr>
      <w:r w:rsidRPr="00D959B1">
        <w:rPr>
          <w:b/>
          <w:lang w:val="hr-HR"/>
        </w:rPr>
        <w:t>Zakon o mladima</w:t>
      </w:r>
      <w:r w:rsidRPr="00D959B1">
        <w:rPr>
          <w:lang w:val="hr-HR"/>
        </w:rPr>
        <w:t xml:space="preserve"> (Sl. list CG, br. 25/19, 27/19) uređuje način </w:t>
      </w:r>
      <w:proofErr w:type="spellStart"/>
      <w:r w:rsidRPr="00D959B1">
        <w:rPr>
          <w:lang w:val="hr-HR"/>
        </w:rPr>
        <w:t>definisanja</w:t>
      </w:r>
      <w:proofErr w:type="spellEnd"/>
      <w:r w:rsidRPr="00D959B1">
        <w:rPr>
          <w:lang w:val="hr-HR"/>
        </w:rPr>
        <w:t xml:space="preserve"> i sprovođenja omladinske politike, kao i mjere i aktivnosti usmjerene na unapređenje društvenog položaja mladih i stvaranje </w:t>
      </w:r>
      <w:proofErr w:type="spellStart"/>
      <w:r w:rsidRPr="00D959B1">
        <w:rPr>
          <w:lang w:val="hr-HR"/>
        </w:rPr>
        <w:t>uslova</w:t>
      </w:r>
      <w:proofErr w:type="spellEnd"/>
      <w:r w:rsidRPr="00D959B1">
        <w:rPr>
          <w:lang w:val="hr-HR"/>
        </w:rPr>
        <w:t xml:space="preserve"> za ostvarivanje njihovih potreba u svim oblastima od interesa. </w:t>
      </w:r>
      <w:r w:rsidRPr="00D959B1">
        <w:rPr>
          <w:b/>
          <w:lang w:val="hr-HR"/>
        </w:rPr>
        <w:t>Strategija za mlade 2023–2027</w:t>
      </w:r>
      <w:r w:rsidRPr="00D959B1">
        <w:rPr>
          <w:lang w:val="hr-HR"/>
        </w:rPr>
        <w:t xml:space="preserve"> usmjerena je na unapređenje položaja mladih kroz jačanje njihovog učešća, </w:t>
      </w:r>
      <w:proofErr w:type="spellStart"/>
      <w:r w:rsidRPr="00D959B1">
        <w:rPr>
          <w:lang w:val="hr-HR"/>
        </w:rPr>
        <w:t>zapošljivosti</w:t>
      </w:r>
      <w:proofErr w:type="spellEnd"/>
      <w:r w:rsidRPr="00D959B1">
        <w:rPr>
          <w:lang w:val="hr-HR"/>
        </w:rPr>
        <w:t xml:space="preserve">, obrazovanja i socijalne uključenosti. Ključni ciljevi i mjere uključuju unapređenje pristupa kvalitetnom obrazovanju i zapošljavanju, promociju aktivnog građanstva, razvoj omladinskih servisa i mobilnosti, kao i jačanje institucionalne koordinacije i sistema podrške za </w:t>
      </w:r>
      <w:r w:rsidRPr="00D959B1">
        <w:rPr>
          <w:lang w:val="hr-HR"/>
        </w:rPr>
        <w:lastRenderedPageBreak/>
        <w:t>sprovođenje omladinske politike. Okvir omladinske politike uključuje i učešće u procesima EU dijaloga sa mladima</w:t>
      </w:r>
      <w:r w:rsidRPr="00D959B1">
        <w:rPr>
          <w:rStyle w:val="Referencafusnote"/>
          <w:lang w:val="hr-HR"/>
        </w:rPr>
        <w:footnoteReference w:id="54"/>
      </w:r>
      <w:r w:rsidRPr="00D959B1">
        <w:rPr>
          <w:lang w:val="hr-HR"/>
        </w:rPr>
        <w:t xml:space="preserve">. Neformalno obrazovanje i volontiranje obuhvaćeni su kroz omladinske programe, ali institucionalni okvir omladinske politike i dalje je nedovoljno razvijen u </w:t>
      </w:r>
      <w:proofErr w:type="spellStart"/>
      <w:r w:rsidRPr="00D959B1">
        <w:rPr>
          <w:lang w:val="hr-HR"/>
        </w:rPr>
        <w:t>poređenju</w:t>
      </w:r>
      <w:proofErr w:type="spellEnd"/>
      <w:r w:rsidRPr="00D959B1">
        <w:rPr>
          <w:lang w:val="hr-HR"/>
        </w:rPr>
        <w:t xml:space="preserve"> sa standardima EU</w:t>
      </w:r>
      <w:r w:rsidRPr="00D959B1">
        <w:rPr>
          <w:rStyle w:val="Referencafusnote"/>
          <w:lang w:val="hr-HR"/>
        </w:rPr>
        <w:footnoteReference w:id="55"/>
      </w:r>
      <w:r w:rsidRPr="00D959B1">
        <w:rPr>
          <w:lang w:val="hr-HR"/>
        </w:rPr>
        <w:t>.</w:t>
      </w:r>
    </w:p>
    <w:p w14:paraId="2A35C6D8" w14:textId="6A794015" w:rsidR="004D67BC" w:rsidRPr="00D959B1" w:rsidRDefault="00417444" w:rsidP="004D67BC">
      <w:pPr>
        <w:pStyle w:val="Naslov3"/>
        <w:rPr>
          <w:rFonts w:eastAsia="Times New Roman"/>
          <w:lang w:val="hr-HR"/>
        </w:rPr>
      </w:pPr>
      <w:r w:rsidRPr="00D959B1">
        <w:rPr>
          <w:rFonts w:eastAsia="Times New Roman"/>
          <w:lang w:val="hr-HR"/>
        </w:rPr>
        <w:t xml:space="preserve">3.1.3 </w:t>
      </w:r>
      <w:r w:rsidR="004D67BC" w:rsidRPr="00D959B1">
        <w:rPr>
          <w:rFonts w:eastAsia="Times New Roman"/>
          <w:lang w:val="hr-HR"/>
        </w:rPr>
        <w:t xml:space="preserve">Planirane i </w:t>
      </w:r>
      <w:r w:rsidR="00FC15BF" w:rsidRPr="00D959B1">
        <w:rPr>
          <w:rFonts w:eastAsia="Times New Roman"/>
          <w:lang w:val="hr-HR"/>
        </w:rPr>
        <w:t xml:space="preserve">tekuće </w:t>
      </w:r>
      <w:r w:rsidR="004D67BC" w:rsidRPr="00D959B1">
        <w:rPr>
          <w:rFonts w:eastAsia="Times New Roman"/>
          <w:lang w:val="hr-HR"/>
        </w:rPr>
        <w:t>reforme</w:t>
      </w:r>
      <w:r w:rsidR="00FC15BF" w:rsidRPr="00D959B1">
        <w:rPr>
          <w:rFonts w:eastAsia="Times New Roman"/>
          <w:lang w:val="hr-HR"/>
        </w:rPr>
        <w:t xml:space="preserve"> i investicije</w:t>
      </w:r>
    </w:p>
    <w:p w14:paraId="4275F3C9" w14:textId="77777777" w:rsidR="004D67BC" w:rsidRPr="00D959B1" w:rsidRDefault="004D67BC" w:rsidP="004D67BC">
      <w:pPr>
        <w:pStyle w:val="Naslov4"/>
        <w:rPr>
          <w:rFonts w:eastAsia="Times New Roman"/>
          <w:lang w:val="hr-HR"/>
        </w:rPr>
      </w:pPr>
      <w:r w:rsidRPr="00D959B1">
        <w:rPr>
          <w:rFonts w:eastAsia="Times New Roman"/>
          <w:lang w:val="hr-HR"/>
        </w:rPr>
        <w:t>Reforma sistema obrazovanja:</w:t>
      </w:r>
    </w:p>
    <w:p w14:paraId="421639DD" w14:textId="77777777" w:rsidR="004D67BC" w:rsidRPr="00D959B1" w:rsidRDefault="004D67BC" w:rsidP="004D67BC">
      <w:pPr>
        <w:pStyle w:val="Odlomakpopisa"/>
        <w:numPr>
          <w:ilvl w:val="0"/>
          <w:numId w:val="2"/>
        </w:numPr>
        <w:spacing w:line="259" w:lineRule="auto"/>
        <w:rPr>
          <w:rFonts w:eastAsia="Times New Roman" w:cstheme="minorHAnsi"/>
          <w:bCs/>
          <w:lang w:val="hr-HR"/>
        </w:rPr>
      </w:pPr>
      <w:r w:rsidRPr="00D959B1">
        <w:rPr>
          <w:rFonts w:eastAsia="Times New Roman" w:cstheme="minorHAnsi"/>
          <w:bCs/>
          <w:lang w:val="hr-HR"/>
        </w:rPr>
        <w:t>Implementacija Strategije reforme obrazovanja 2025–2035, prve sveobuhvatne strategije koja obuhvata sve nivoe obrazovanja;</w:t>
      </w:r>
    </w:p>
    <w:p w14:paraId="69B6B6F0" w14:textId="77777777" w:rsidR="004D67BC" w:rsidRPr="00D959B1" w:rsidRDefault="004D67BC" w:rsidP="004D67BC">
      <w:pPr>
        <w:pStyle w:val="Odlomakpopisa"/>
        <w:numPr>
          <w:ilvl w:val="0"/>
          <w:numId w:val="2"/>
        </w:numPr>
        <w:spacing w:line="259" w:lineRule="auto"/>
        <w:rPr>
          <w:rFonts w:eastAsia="Times New Roman" w:cstheme="minorHAnsi"/>
          <w:bCs/>
          <w:lang w:val="hr-HR"/>
        </w:rPr>
      </w:pPr>
      <w:r w:rsidRPr="00D959B1">
        <w:rPr>
          <w:rFonts w:eastAsia="Times New Roman" w:cstheme="minorHAnsi"/>
          <w:bCs/>
          <w:lang w:val="hr-HR"/>
        </w:rPr>
        <w:t>Revizija kurikuluma u pravcu razvoja ključnih kompetencija i vještina za 21. vijek (razvija se u okviru Strategije);</w:t>
      </w:r>
    </w:p>
    <w:p w14:paraId="2195055B" w14:textId="77777777" w:rsidR="004D67BC" w:rsidRPr="00D959B1" w:rsidRDefault="004D67BC" w:rsidP="004D67BC">
      <w:pPr>
        <w:pStyle w:val="Odlomakpopisa"/>
        <w:numPr>
          <w:ilvl w:val="0"/>
          <w:numId w:val="2"/>
        </w:numPr>
        <w:spacing w:line="259" w:lineRule="auto"/>
        <w:rPr>
          <w:rFonts w:eastAsia="Times New Roman" w:cstheme="minorHAnsi"/>
          <w:bCs/>
          <w:lang w:val="hr-HR"/>
        </w:rPr>
      </w:pPr>
      <w:r w:rsidRPr="00D959B1">
        <w:rPr>
          <w:rFonts w:eastAsia="Times New Roman" w:cstheme="minorHAnsi"/>
          <w:bCs/>
          <w:lang w:val="hr-HR"/>
        </w:rPr>
        <w:t xml:space="preserve">Dalje povećanje obuhvata ranim i predškolskim </w:t>
      </w:r>
      <w:proofErr w:type="spellStart"/>
      <w:r w:rsidRPr="00D959B1">
        <w:rPr>
          <w:rFonts w:eastAsia="Times New Roman" w:cstheme="minorHAnsi"/>
          <w:bCs/>
          <w:lang w:val="hr-HR"/>
        </w:rPr>
        <w:t>vaspitanjem</w:t>
      </w:r>
      <w:proofErr w:type="spellEnd"/>
      <w:r w:rsidRPr="00D959B1">
        <w:rPr>
          <w:rFonts w:eastAsia="Times New Roman" w:cstheme="minorHAnsi"/>
          <w:bCs/>
          <w:lang w:val="hr-HR"/>
        </w:rPr>
        <w:t xml:space="preserve"> i obrazovanjem (ECEC) ka cilju EU od 96% (sa trenutnih 79.6%);</w:t>
      </w:r>
    </w:p>
    <w:p w14:paraId="6CFB4AAC" w14:textId="77777777" w:rsidR="004D67BC" w:rsidRPr="00D959B1" w:rsidRDefault="004D67BC" w:rsidP="004D67BC">
      <w:pPr>
        <w:pStyle w:val="Odlomakpopisa"/>
        <w:numPr>
          <w:ilvl w:val="0"/>
          <w:numId w:val="2"/>
        </w:numPr>
        <w:spacing w:line="259" w:lineRule="auto"/>
        <w:rPr>
          <w:rFonts w:eastAsia="Times New Roman" w:cstheme="minorHAnsi"/>
          <w:bCs/>
          <w:lang w:val="hr-HR"/>
        </w:rPr>
      </w:pPr>
      <w:r w:rsidRPr="00D959B1">
        <w:rPr>
          <w:rFonts w:eastAsia="Times New Roman" w:cstheme="minorHAnsi"/>
          <w:bCs/>
          <w:lang w:val="hr-HR"/>
        </w:rPr>
        <w:t>Smanjenje PISA jaza u postignućima kroz ciljane mjere za unapređenje kvaliteta nastave, metoda učenja i sistema ocjenjivanja;</w:t>
      </w:r>
    </w:p>
    <w:p w14:paraId="7F6CA7C9" w14:textId="77777777" w:rsidR="004D67BC" w:rsidRPr="00D959B1" w:rsidRDefault="004D67BC" w:rsidP="004D67BC">
      <w:pPr>
        <w:pStyle w:val="Odlomakpopisa"/>
        <w:numPr>
          <w:ilvl w:val="0"/>
          <w:numId w:val="2"/>
        </w:numPr>
        <w:spacing w:line="259" w:lineRule="auto"/>
        <w:rPr>
          <w:rFonts w:eastAsia="Times New Roman" w:cstheme="minorHAnsi"/>
          <w:bCs/>
          <w:lang w:val="hr-HR"/>
        </w:rPr>
      </w:pPr>
      <w:r w:rsidRPr="00D959B1">
        <w:rPr>
          <w:rFonts w:eastAsia="Times New Roman" w:cstheme="minorHAnsi"/>
          <w:bCs/>
          <w:lang w:val="hr-HR"/>
        </w:rPr>
        <w:t>Jačanje obrazovanja nastavnika i njihovog profesionalnog razvoja (uz oslanjanje na osmostruko povećanje budžeta);</w:t>
      </w:r>
    </w:p>
    <w:p w14:paraId="066DBB3D" w14:textId="77777777" w:rsidR="004D67BC" w:rsidRPr="00D959B1" w:rsidRDefault="004D67BC" w:rsidP="004D67BC">
      <w:pPr>
        <w:pStyle w:val="Odlomakpopisa"/>
        <w:numPr>
          <w:ilvl w:val="0"/>
          <w:numId w:val="2"/>
        </w:numPr>
        <w:spacing w:line="259" w:lineRule="auto"/>
        <w:rPr>
          <w:rFonts w:eastAsia="Times New Roman" w:cstheme="minorHAnsi"/>
          <w:bCs/>
          <w:lang w:val="hr-HR"/>
        </w:rPr>
      </w:pPr>
      <w:r w:rsidRPr="00D959B1">
        <w:rPr>
          <w:rFonts w:eastAsia="Times New Roman" w:cstheme="minorHAnsi"/>
          <w:bCs/>
          <w:lang w:val="hr-HR"/>
        </w:rPr>
        <w:t xml:space="preserve">Unapređenje </w:t>
      </w:r>
      <w:proofErr w:type="spellStart"/>
      <w:r w:rsidRPr="00D959B1">
        <w:rPr>
          <w:rFonts w:eastAsia="Times New Roman" w:cstheme="minorHAnsi"/>
          <w:bCs/>
          <w:lang w:val="hr-HR"/>
        </w:rPr>
        <w:t>inkluzivnosti</w:t>
      </w:r>
      <w:proofErr w:type="spellEnd"/>
      <w:r w:rsidRPr="00D959B1">
        <w:rPr>
          <w:rFonts w:eastAsia="Times New Roman" w:cstheme="minorHAnsi"/>
          <w:bCs/>
          <w:lang w:val="hr-HR"/>
        </w:rPr>
        <w:t xml:space="preserve"> i pristupa kvalitetnom obrazovanju za djecu sa invaliditetom i djecu iz romske i </w:t>
      </w:r>
      <w:proofErr w:type="spellStart"/>
      <w:r w:rsidRPr="00D959B1">
        <w:rPr>
          <w:rFonts w:eastAsia="Times New Roman" w:cstheme="minorHAnsi"/>
          <w:bCs/>
          <w:lang w:val="hr-HR"/>
        </w:rPr>
        <w:t>egipćanske</w:t>
      </w:r>
      <w:proofErr w:type="spellEnd"/>
      <w:r w:rsidRPr="00D959B1">
        <w:rPr>
          <w:rFonts w:eastAsia="Times New Roman" w:cstheme="minorHAnsi"/>
          <w:bCs/>
          <w:lang w:val="hr-HR"/>
        </w:rPr>
        <w:t xml:space="preserve"> zajednice (vidjeti PA16 i PA17);</w:t>
      </w:r>
    </w:p>
    <w:p w14:paraId="3AB4D852" w14:textId="77777777" w:rsidR="004D67BC" w:rsidRPr="00D959B1" w:rsidRDefault="004D67BC" w:rsidP="004D67BC">
      <w:pPr>
        <w:pStyle w:val="Odlomakpopisa"/>
        <w:numPr>
          <w:ilvl w:val="0"/>
          <w:numId w:val="2"/>
        </w:numPr>
        <w:spacing w:line="259" w:lineRule="auto"/>
        <w:rPr>
          <w:rFonts w:eastAsia="Times New Roman" w:cstheme="minorHAnsi"/>
          <w:bCs/>
          <w:lang w:val="hr-HR"/>
        </w:rPr>
      </w:pPr>
      <w:r w:rsidRPr="00D959B1">
        <w:rPr>
          <w:rFonts w:eastAsia="Times New Roman" w:cstheme="minorHAnsi"/>
          <w:bCs/>
          <w:lang w:val="hr-HR"/>
        </w:rPr>
        <w:t xml:space="preserve">Ulaganja u infrastrukturu škola i ustanova ranog i predškolskog </w:t>
      </w:r>
      <w:proofErr w:type="spellStart"/>
      <w:r w:rsidRPr="00D959B1">
        <w:rPr>
          <w:rFonts w:eastAsia="Times New Roman" w:cstheme="minorHAnsi"/>
          <w:bCs/>
          <w:lang w:val="hr-HR"/>
        </w:rPr>
        <w:t>vaspitanja</w:t>
      </w:r>
      <w:proofErr w:type="spellEnd"/>
      <w:r w:rsidRPr="00D959B1">
        <w:rPr>
          <w:rFonts w:eastAsia="Times New Roman" w:cstheme="minorHAnsi"/>
          <w:bCs/>
          <w:lang w:val="hr-HR"/>
        </w:rPr>
        <w:t xml:space="preserve"> i obrazovanja;</w:t>
      </w:r>
    </w:p>
    <w:p w14:paraId="655D24B6" w14:textId="77777777" w:rsidR="00DE2FF4" w:rsidRPr="00D959B1" w:rsidRDefault="004D67BC" w:rsidP="004D67BC">
      <w:pPr>
        <w:pStyle w:val="Odlomakpopisa"/>
        <w:numPr>
          <w:ilvl w:val="0"/>
          <w:numId w:val="2"/>
        </w:numPr>
        <w:spacing w:line="259" w:lineRule="auto"/>
        <w:rPr>
          <w:rFonts w:eastAsia="Times New Roman" w:cstheme="minorHAnsi"/>
          <w:bCs/>
          <w:lang w:val="hr-HR"/>
        </w:rPr>
      </w:pPr>
      <w:r w:rsidRPr="00D959B1">
        <w:rPr>
          <w:rFonts w:eastAsia="Times New Roman" w:cstheme="minorHAnsi"/>
          <w:bCs/>
          <w:lang w:val="hr-HR"/>
        </w:rPr>
        <w:t xml:space="preserve">Učešće u PISA 2025, PIRLS 2026, TIMSS 2027 i ICILS 2028 radi međunarodnog </w:t>
      </w:r>
      <w:proofErr w:type="spellStart"/>
      <w:r w:rsidRPr="00D959B1">
        <w:rPr>
          <w:rFonts w:eastAsia="Times New Roman" w:cstheme="minorHAnsi"/>
          <w:bCs/>
          <w:lang w:val="hr-HR"/>
        </w:rPr>
        <w:t>upoređivanja</w:t>
      </w:r>
      <w:proofErr w:type="spellEnd"/>
      <w:r w:rsidRPr="00D959B1">
        <w:rPr>
          <w:rFonts w:eastAsia="Times New Roman" w:cstheme="minorHAnsi"/>
          <w:bCs/>
          <w:lang w:val="hr-HR"/>
        </w:rPr>
        <w:t xml:space="preserve"> i praćenja kvaliteta obrazovanja</w:t>
      </w:r>
    </w:p>
    <w:p w14:paraId="46DB8E5E" w14:textId="35AC175D" w:rsidR="004D67BC" w:rsidRPr="00D959B1" w:rsidRDefault="00DE2FF4" w:rsidP="004D67BC">
      <w:pPr>
        <w:pStyle w:val="Odlomakpopisa"/>
        <w:numPr>
          <w:ilvl w:val="0"/>
          <w:numId w:val="2"/>
        </w:numPr>
        <w:spacing w:line="259" w:lineRule="auto"/>
        <w:rPr>
          <w:rFonts w:eastAsia="Times New Roman" w:cstheme="minorHAnsi"/>
          <w:bCs/>
          <w:lang w:val="hr-HR"/>
        </w:rPr>
      </w:pPr>
      <w:r w:rsidRPr="00D959B1">
        <w:rPr>
          <w:lang w:val="hr-HR"/>
        </w:rPr>
        <w:t xml:space="preserve">Pokrenut je proces stvaranja institucionalnih i tehničkih </w:t>
      </w:r>
      <w:proofErr w:type="spellStart"/>
      <w:r w:rsidRPr="00D959B1">
        <w:rPr>
          <w:lang w:val="hr-HR"/>
        </w:rPr>
        <w:t>uslova</w:t>
      </w:r>
      <w:proofErr w:type="spellEnd"/>
      <w:r w:rsidRPr="00D959B1">
        <w:rPr>
          <w:lang w:val="hr-HR"/>
        </w:rPr>
        <w:t xml:space="preserve"> za učešće Crne Gore u PIAAC istraživanju (</w:t>
      </w:r>
      <w:proofErr w:type="spellStart"/>
      <w:r w:rsidRPr="00D959B1">
        <w:rPr>
          <w:lang w:val="hr-HR"/>
        </w:rPr>
        <w:t>Programme</w:t>
      </w:r>
      <w:proofErr w:type="spellEnd"/>
      <w:r w:rsidRPr="00D959B1">
        <w:rPr>
          <w:lang w:val="hr-HR"/>
        </w:rPr>
        <w:t xml:space="preserve"> for </w:t>
      </w:r>
      <w:proofErr w:type="spellStart"/>
      <w:r w:rsidRPr="00D959B1">
        <w:rPr>
          <w:lang w:val="hr-HR"/>
        </w:rPr>
        <w:t>the</w:t>
      </w:r>
      <w:proofErr w:type="spellEnd"/>
      <w:r w:rsidRPr="00D959B1">
        <w:rPr>
          <w:lang w:val="hr-HR"/>
        </w:rPr>
        <w:t xml:space="preserve"> International </w:t>
      </w:r>
      <w:proofErr w:type="spellStart"/>
      <w:r w:rsidRPr="00D959B1">
        <w:rPr>
          <w:lang w:val="hr-HR"/>
        </w:rPr>
        <w:t>Assessment</w:t>
      </w:r>
      <w:proofErr w:type="spellEnd"/>
      <w:r w:rsidRPr="00D959B1">
        <w:rPr>
          <w:lang w:val="hr-HR"/>
        </w:rPr>
        <w:t xml:space="preserve"> </w:t>
      </w:r>
      <w:proofErr w:type="spellStart"/>
      <w:r w:rsidRPr="00D959B1">
        <w:rPr>
          <w:lang w:val="hr-HR"/>
        </w:rPr>
        <w:t>of</w:t>
      </w:r>
      <w:proofErr w:type="spellEnd"/>
      <w:r w:rsidRPr="00D959B1">
        <w:rPr>
          <w:lang w:val="hr-HR"/>
        </w:rPr>
        <w:t xml:space="preserve"> </w:t>
      </w:r>
      <w:proofErr w:type="spellStart"/>
      <w:r w:rsidRPr="00D959B1">
        <w:rPr>
          <w:lang w:val="hr-HR"/>
        </w:rPr>
        <w:t>Adult</w:t>
      </w:r>
      <w:proofErr w:type="spellEnd"/>
      <w:r w:rsidRPr="00D959B1">
        <w:rPr>
          <w:lang w:val="hr-HR"/>
        </w:rPr>
        <w:t xml:space="preserve"> </w:t>
      </w:r>
      <w:proofErr w:type="spellStart"/>
      <w:r w:rsidRPr="00D959B1">
        <w:rPr>
          <w:lang w:val="hr-HR"/>
        </w:rPr>
        <w:t>Competencies</w:t>
      </w:r>
      <w:proofErr w:type="spellEnd"/>
      <w:r w:rsidRPr="00D959B1">
        <w:rPr>
          <w:lang w:val="hr-HR"/>
        </w:rPr>
        <w:t xml:space="preserve"> – OECD).</w:t>
      </w:r>
    </w:p>
    <w:p w14:paraId="6FF1780C" w14:textId="77777777" w:rsidR="004D67BC" w:rsidRPr="00D959B1" w:rsidRDefault="004D67BC" w:rsidP="004D67BC">
      <w:pPr>
        <w:pStyle w:val="Naslov4"/>
        <w:rPr>
          <w:rFonts w:eastAsia="Times New Roman"/>
          <w:lang w:val="hr-HR"/>
        </w:rPr>
      </w:pPr>
      <w:r w:rsidRPr="00D959B1">
        <w:rPr>
          <w:rFonts w:eastAsia="Times New Roman"/>
          <w:lang w:val="hr-HR"/>
        </w:rPr>
        <w:t>Stručno obrazovanje i osposobljavanje (VET) i vještine:</w:t>
      </w:r>
    </w:p>
    <w:p w14:paraId="53FC99DB" w14:textId="77777777" w:rsidR="004D67BC" w:rsidRPr="00D959B1" w:rsidRDefault="004D67BC" w:rsidP="00A52279">
      <w:pPr>
        <w:pStyle w:val="Odlomakpopisa"/>
        <w:numPr>
          <w:ilvl w:val="0"/>
          <w:numId w:val="5"/>
        </w:numPr>
        <w:spacing w:line="259" w:lineRule="auto"/>
        <w:jc w:val="left"/>
        <w:rPr>
          <w:rFonts w:eastAsia="Times New Roman" w:cstheme="minorHAnsi"/>
          <w:bCs/>
          <w:lang w:val="hr-HR"/>
        </w:rPr>
      </w:pPr>
      <w:r w:rsidRPr="00D959B1">
        <w:rPr>
          <w:rFonts w:eastAsia="Times New Roman" w:cstheme="minorHAnsi"/>
          <w:bCs/>
          <w:lang w:val="hr-HR"/>
        </w:rPr>
        <w:t>Jačanje učenja kroz rad (WBL) i veće uključenje poslodavaca u stručno obrazovanje;</w:t>
      </w:r>
    </w:p>
    <w:p w14:paraId="1CA73BD4" w14:textId="77777777" w:rsidR="004D67BC" w:rsidRPr="00D959B1" w:rsidRDefault="004D67BC" w:rsidP="004D67BC">
      <w:pPr>
        <w:pStyle w:val="Odlomakpopisa"/>
        <w:numPr>
          <w:ilvl w:val="0"/>
          <w:numId w:val="5"/>
        </w:numPr>
        <w:spacing w:line="259" w:lineRule="auto"/>
        <w:jc w:val="left"/>
        <w:rPr>
          <w:rFonts w:eastAsia="Times New Roman" w:cstheme="minorHAnsi"/>
          <w:bCs/>
          <w:lang w:val="hr-HR"/>
        </w:rPr>
      </w:pPr>
      <w:r w:rsidRPr="00D959B1">
        <w:rPr>
          <w:rFonts w:eastAsia="Times New Roman" w:cstheme="minorHAnsi"/>
          <w:bCs/>
          <w:lang w:val="hr-HR"/>
        </w:rPr>
        <w:t>Dalji razvoj standarda zanimanja i kvalifikacija usklađenih sa potrebama tržišta rada;</w:t>
      </w:r>
    </w:p>
    <w:p w14:paraId="56AF029D" w14:textId="77777777" w:rsidR="004D67BC" w:rsidRPr="00D959B1" w:rsidRDefault="004D67BC" w:rsidP="004D67BC">
      <w:pPr>
        <w:pStyle w:val="Odlomakpopisa"/>
        <w:numPr>
          <w:ilvl w:val="0"/>
          <w:numId w:val="5"/>
        </w:numPr>
        <w:spacing w:line="259" w:lineRule="auto"/>
        <w:jc w:val="left"/>
        <w:rPr>
          <w:rFonts w:eastAsia="Times New Roman" w:cstheme="minorHAnsi"/>
          <w:bCs/>
          <w:lang w:val="hr-HR"/>
        </w:rPr>
      </w:pPr>
      <w:r w:rsidRPr="00D959B1">
        <w:rPr>
          <w:rFonts w:eastAsia="Times New Roman" w:cstheme="minorHAnsi"/>
          <w:bCs/>
          <w:lang w:val="hr-HR"/>
        </w:rPr>
        <w:t xml:space="preserve">Usklađivanje sa prioritetima </w:t>
      </w:r>
      <w:proofErr w:type="spellStart"/>
      <w:r w:rsidRPr="00D959B1">
        <w:rPr>
          <w:rFonts w:eastAsia="Times New Roman" w:cstheme="minorHAnsi"/>
          <w:bCs/>
          <w:lang w:val="hr-HR"/>
        </w:rPr>
        <w:t>Herning</w:t>
      </w:r>
      <w:proofErr w:type="spellEnd"/>
      <w:r w:rsidRPr="00D959B1">
        <w:rPr>
          <w:rFonts w:eastAsia="Times New Roman" w:cstheme="minorHAnsi"/>
          <w:bCs/>
          <w:lang w:val="hr-HR"/>
        </w:rPr>
        <w:t xml:space="preserve"> deklaracije (2026–2030);</w:t>
      </w:r>
    </w:p>
    <w:p w14:paraId="13042FA2" w14:textId="77777777" w:rsidR="004D67BC" w:rsidRPr="00D959B1" w:rsidRDefault="004D67BC" w:rsidP="004D67BC">
      <w:pPr>
        <w:pStyle w:val="Odlomakpopisa"/>
        <w:numPr>
          <w:ilvl w:val="0"/>
          <w:numId w:val="5"/>
        </w:numPr>
        <w:spacing w:line="259" w:lineRule="auto"/>
        <w:jc w:val="left"/>
        <w:rPr>
          <w:rFonts w:eastAsia="Times New Roman" w:cstheme="minorHAnsi"/>
          <w:bCs/>
          <w:lang w:val="hr-HR"/>
        </w:rPr>
      </w:pPr>
      <w:r w:rsidRPr="00D959B1">
        <w:rPr>
          <w:rFonts w:eastAsia="Times New Roman" w:cstheme="minorHAnsi"/>
          <w:bCs/>
          <w:lang w:val="hr-HR"/>
        </w:rPr>
        <w:t xml:space="preserve">Jačanje </w:t>
      </w:r>
      <w:proofErr w:type="spellStart"/>
      <w:r w:rsidRPr="00D959B1">
        <w:rPr>
          <w:rFonts w:eastAsia="Times New Roman" w:cstheme="minorHAnsi"/>
          <w:bCs/>
          <w:lang w:val="hr-HR"/>
        </w:rPr>
        <w:t>finansiranja</w:t>
      </w:r>
      <w:proofErr w:type="spellEnd"/>
      <w:r w:rsidRPr="00D959B1">
        <w:rPr>
          <w:rFonts w:eastAsia="Times New Roman" w:cstheme="minorHAnsi"/>
          <w:bCs/>
          <w:lang w:val="hr-HR"/>
        </w:rPr>
        <w:t xml:space="preserve"> stručnog obrazovanja po učeniku i unapređenje upravljanja (preporuka ETF-a);</w:t>
      </w:r>
    </w:p>
    <w:p w14:paraId="22A4113A" w14:textId="77777777" w:rsidR="004D67BC" w:rsidRPr="00D959B1" w:rsidRDefault="004D67BC" w:rsidP="004D67BC">
      <w:pPr>
        <w:pStyle w:val="Odlomakpopisa"/>
        <w:numPr>
          <w:ilvl w:val="0"/>
          <w:numId w:val="5"/>
        </w:numPr>
        <w:spacing w:line="259" w:lineRule="auto"/>
        <w:jc w:val="left"/>
        <w:rPr>
          <w:rFonts w:eastAsia="Times New Roman" w:cstheme="minorHAnsi"/>
          <w:bCs/>
          <w:lang w:val="hr-HR"/>
        </w:rPr>
      </w:pPr>
      <w:r w:rsidRPr="00D959B1">
        <w:rPr>
          <w:rFonts w:eastAsia="Times New Roman" w:cstheme="minorHAnsi"/>
          <w:bCs/>
          <w:lang w:val="hr-HR"/>
        </w:rPr>
        <w:t>Razvoj digitalnih vještina na svim nivoima obrazovanja (u skladu sa Akcionim planom za digitalno obrazovanje);</w:t>
      </w:r>
    </w:p>
    <w:p w14:paraId="0B359A77" w14:textId="77777777" w:rsidR="004D67BC" w:rsidRPr="00D959B1" w:rsidRDefault="004D67BC" w:rsidP="004D67BC">
      <w:pPr>
        <w:pStyle w:val="Odlomakpopisa"/>
        <w:numPr>
          <w:ilvl w:val="0"/>
          <w:numId w:val="5"/>
        </w:numPr>
        <w:spacing w:line="259" w:lineRule="auto"/>
        <w:jc w:val="left"/>
        <w:rPr>
          <w:rFonts w:eastAsia="Times New Roman" w:cstheme="minorHAnsi"/>
          <w:bCs/>
          <w:lang w:val="hr-HR"/>
        </w:rPr>
      </w:pPr>
      <w:r w:rsidRPr="00D959B1">
        <w:rPr>
          <w:rFonts w:eastAsia="Times New Roman" w:cstheme="minorHAnsi"/>
          <w:bCs/>
          <w:lang w:val="hr-HR"/>
        </w:rPr>
        <w:t>Integracija zelenih vještina u kurikulume stručnog obrazovanja;</w:t>
      </w:r>
    </w:p>
    <w:p w14:paraId="22738A25" w14:textId="77777777" w:rsidR="004D67BC" w:rsidRPr="00D959B1" w:rsidRDefault="004D67BC" w:rsidP="004D67BC">
      <w:pPr>
        <w:pStyle w:val="Odlomakpopisa"/>
        <w:numPr>
          <w:ilvl w:val="0"/>
          <w:numId w:val="5"/>
        </w:numPr>
        <w:spacing w:line="259" w:lineRule="auto"/>
        <w:jc w:val="left"/>
        <w:rPr>
          <w:rFonts w:eastAsia="Times New Roman" w:cstheme="minorHAnsi"/>
          <w:bCs/>
          <w:lang w:val="hr-HR"/>
        </w:rPr>
      </w:pPr>
      <w:r w:rsidRPr="00D959B1">
        <w:rPr>
          <w:rFonts w:eastAsia="Times New Roman" w:cstheme="minorHAnsi"/>
          <w:bCs/>
          <w:lang w:val="hr-HR"/>
        </w:rPr>
        <w:t>Povećanje učešća odraslih u obrazovanju i učenju i razvoj infrastrukture za usavršavanje i prekvalifikaciju.</w:t>
      </w:r>
    </w:p>
    <w:p w14:paraId="458768C9" w14:textId="77777777" w:rsidR="004D67BC" w:rsidRPr="00D959B1" w:rsidRDefault="004D67BC" w:rsidP="004D67BC">
      <w:pPr>
        <w:pStyle w:val="Naslov4"/>
        <w:rPr>
          <w:rFonts w:eastAsia="Times New Roman"/>
          <w:lang w:val="hr-HR"/>
        </w:rPr>
      </w:pPr>
      <w:r w:rsidRPr="00D959B1">
        <w:rPr>
          <w:rFonts w:eastAsia="Times New Roman"/>
          <w:lang w:val="hr-HR"/>
        </w:rPr>
        <w:t>Visoko obrazovanje:</w:t>
      </w:r>
    </w:p>
    <w:p w14:paraId="76CBBB76" w14:textId="77777777" w:rsidR="004D67BC" w:rsidRPr="00D959B1" w:rsidRDefault="004D67BC" w:rsidP="004D67BC">
      <w:pPr>
        <w:pStyle w:val="Odlomakpopisa"/>
        <w:numPr>
          <w:ilvl w:val="0"/>
          <w:numId w:val="5"/>
        </w:numPr>
        <w:spacing w:line="259" w:lineRule="auto"/>
        <w:jc w:val="left"/>
        <w:rPr>
          <w:rFonts w:eastAsia="Times New Roman" w:cstheme="minorHAnsi"/>
          <w:bCs/>
          <w:lang w:val="hr-HR"/>
        </w:rPr>
      </w:pPr>
      <w:r w:rsidRPr="00D959B1">
        <w:rPr>
          <w:rFonts w:eastAsia="Times New Roman" w:cstheme="minorHAnsi"/>
          <w:bCs/>
          <w:lang w:val="hr-HR"/>
        </w:rPr>
        <w:t>Nastavak učešća u programima Erasmus+ i Horizont Evropa;</w:t>
      </w:r>
    </w:p>
    <w:p w14:paraId="00E392E9" w14:textId="77777777" w:rsidR="004D67BC" w:rsidRPr="00D959B1" w:rsidRDefault="004D67BC" w:rsidP="004D67BC">
      <w:pPr>
        <w:pStyle w:val="Odlomakpopisa"/>
        <w:numPr>
          <w:ilvl w:val="0"/>
          <w:numId w:val="5"/>
        </w:numPr>
        <w:spacing w:line="259" w:lineRule="auto"/>
        <w:jc w:val="left"/>
        <w:rPr>
          <w:rFonts w:eastAsia="Times New Roman" w:cstheme="minorHAnsi"/>
          <w:bCs/>
          <w:lang w:val="hr-HR"/>
        </w:rPr>
      </w:pPr>
      <w:r w:rsidRPr="00D959B1">
        <w:rPr>
          <w:rFonts w:eastAsia="Times New Roman" w:cstheme="minorHAnsi"/>
          <w:bCs/>
          <w:lang w:val="hr-HR"/>
        </w:rPr>
        <w:t>Usvajanje i implementacija Strategije pametne specijalizacije (drugi ciklus);</w:t>
      </w:r>
    </w:p>
    <w:p w14:paraId="35879DA2" w14:textId="77777777" w:rsidR="004D67BC" w:rsidRPr="00D959B1" w:rsidRDefault="004D67BC" w:rsidP="004D67BC">
      <w:pPr>
        <w:pStyle w:val="Odlomakpopisa"/>
        <w:numPr>
          <w:ilvl w:val="0"/>
          <w:numId w:val="5"/>
        </w:numPr>
        <w:spacing w:line="259" w:lineRule="auto"/>
        <w:jc w:val="left"/>
        <w:rPr>
          <w:rFonts w:eastAsia="Times New Roman" w:cstheme="minorHAnsi"/>
          <w:bCs/>
          <w:lang w:val="hr-HR"/>
        </w:rPr>
      </w:pPr>
      <w:r w:rsidRPr="00D959B1">
        <w:rPr>
          <w:rFonts w:eastAsia="Times New Roman" w:cstheme="minorHAnsi"/>
          <w:bCs/>
          <w:lang w:val="hr-HR"/>
        </w:rPr>
        <w:lastRenderedPageBreak/>
        <w:t>Jačanje osiguranja kvaliteta i međunarodne akreditacije;</w:t>
      </w:r>
    </w:p>
    <w:p w14:paraId="2EB7110B" w14:textId="77777777" w:rsidR="004D67BC" w:rsidRPr="00D959B1" w:rsidRDefault="004D67BC" w:rsidP="004D67BC">
      <w:pPr>
        <w:pStyle w:val="Odlomakpopisa"/>
        <w:numPr>
          <w:ilvl w:val="0"/>
          <w:numId w:val="5"/>
        </w:numPr>
        <w:spacing w:line="259" w:lineRule="auto"/>
        <w:jc w:val="left"/>
        <w:rPr>
          <w:rFonts w:eastAsia="Times New Roman" w:cstheme="minorHAnsi"/>
          <w:bCs/>
          <w:lang w:val="hr-HR"/>
        </w:rPr>
      </w:pPr>
      <w:r w:rsidRPr="00D959B1">
        <w:rPr>
          <w:rFonts w:eastAsia="Times New Roman" w:cstheme="minorHAnsi"/>
          <w:bCs/>
          <w:lang w:val="hr-HR"/>
        </w:rPr>
        <w:t>Planiranje uspostavljanja Agencije za EU programe do datuma pristupanja EU</w:t>
      </w:r>
      <w:r w:rsidRPr="00D959B1">
        <w:rPr>
          <w:rStyle w:val="Referencafusnote"/>
          <w:rFonts w:eastAsia="Times New Roman" w:cstheme="minorHAnsi"/>
          <w:bCs/>
          <w:lang w:val="hr-HR"/>
        </w:rPr>
        <w:footnoteReference w:id="56"/>
      </w:r>
      <w:r w:rsidRPr="00D959B1">
        <w:rPr>
          <w:rFonts w:eastAsia="Times New Roman" w:cstheme="minorHAnsi"/>
          <w:bCs/>
          <w:lang w:val="hr-HR"/>
        </w:rPr>
        <w:t>.</w:t>
      </w:r>
    </w:p>
    <w:p w14:paraId="104A1D90" w14:textId="4A0E8D79" w:rsidR="0042392A" w:rsidRPr="00D959B1" w:rsidRDefault="0042392A" w:rsidP="0042392A">
      <w:pPr>
        <w:pStyle w:val="Naslov4"/>
        <w:rPr>
          <w:rFonts w:eastAsia="Times New Roman"/>
          <w:lang w:val="hr-HR"/>
        </w:rPr>
      </w:pPr>
      <w:r w:rsidRPr="00D959B1">
        <w:rPr>
          <w:rFonts w:eastAsia="Times New Roman"/>
          <w:lang w:val="hr-HR"/>
        </w:rPr>
        <w:t>Sport i mladi</w:t>
      </w:r>
    </w:p>
    <w:p w14:paraId="7B29EB13" w14:textId="72050707" w:rsidR="0042392A" w:rsidRPr="00D959B1" w:rsidRDefault="0042392A" w:rsidP="0042392A">
      <w:pPr>
        <w:pStyle w:val="Odlomakpopisa"/>
        <w:numPr>
          <w:ilvl w:val="0"/>
          <w:numId w:val="5"/>
        </w:numPr>
        <w:rPr>
          <w:lang w:val="hr-HR"/>
        </w:rPr>
      </w:pPr>
      <w:r w:rsidRPr="00D959B1">
        <w:rPr>
          <w:lang w:val="hr-HR"/>
        </w:rPr>
        <w:t xml:space="preserve">Implementacija Strategije za mlade 2023–2027 i jačanje omladinske politike; </w:t>
      </w:r>
    </w:p>
    <w:p w14:paraId="122C3483" w14:textId="2F89A033" w:rsidR="0042392A" w:rsidRPr="00D959B1" w:rsidRDefault="0042392A" w:rsidP="0042392A">
      <w:pPr>
        <w:pStyle w:val="Odlomakpopisa"/>
        <w:numPr>
          <w:ilvl w:val="0"/>
          <w:numId w:val="5"/>
        </w:numPr>
        <w:rPr>
          <w:lang w:val="hr-HR"/>
        </w:rPr>
      </w:pPr>
      <w:r w:rsidRPr="00D959B1">
        <w:rPr>
          <w:lang w:val="hr-HR"/>
        </w:rPr>
        <w:t xml:space="preserve">Razvoj omladinskih servisa, omladinskih centara i lokalnih programa za mlade; </w:t>
      </w:r>
    </w:p>
    <w:p w14:paraId="44E73BC3" w14:textId="616FB0B9" w:rsidR="0042392A" w:rsidRPr="00D959B1" w:rsidRDefault="0042392A" w:rsidP="0042392A">
      <w:pPr>
        <w:pStyle w:val="Odlomakpopisa"/>
        <w:numPr>
          <w:ilvl w:val="0"/>
          <w:numId w:val="5"/>
        </w:numPr>
        <w:rPr>
          <w:lang w:val="hr-HR"/>
        </w:rPr>
      </w:pPr>
      <w:r w:rsidRPr="00D959B1">
        <w:rPr>
          <w:lang w:val="hr-HR"/>
        </w:rPr>
        <w:t xml:space="preserve">Podrška neformalnom obrazovanju, mobilnosti i Erasmus+ Youth aktivnostima; </w:t>
      </w:r>
    </w:p>
    <w:p w14:paraId="75EC8E30" w14:textId="5352419E" w:rsidR="0042392A" w:rsidRPr="00D959B1" w:rsidRDefault="0042392A" w:rsidP="0042392A">
      <w:pPr>
        <w:pStyle w:val="Odlomakpopisa"/>
        <w:numPr>
          <w:ilvl w:val="0"/>
          <w:numId w:val="5"/>
        </w:numPr>
        <w:rPr>
          <w:lang w:val="hr-HR"/>
        </w:rPr>
      </w:pPr>
      <w:r w:rsidRPr="00D959B1">
        <w:rPr>
          <w:lang w:val="hr-HR"/>
        </w:rPr>
        <w:t xml:space="preserve">Promocija volontiranja, aktivnog građanstva i učešća mladih u donošenju odluka; </w:t>
      </w:r>
    </w:p>
    <w:p w14:paraId="0F17CC4A" w14:textId="3D97BC7B" w:rsidR="0042392A" w:rsidRPr="00D959B1" w:rsidRDefault="0042392A" w:rsidP="0042392A">
      <w:pPr>
        <w:pStyle w:val="Odlomakpopisa"/>
        <w:numPr>
          <w:ilvl w:val="0"/>
          <w:numId w:val="5"/>
        </w:numPr>
        <w:rPr>
          <w:lang w:val="hr-HR"/>
        </w:rPr>
      </w:pPr>
      <w:r w:rsidRPr="00D959B1">
        <w:rPr>
          <w:lang w:val="hr-HR"/>
        </w:rPr>
        <w:t xml:space="preserve">Razvoj digitalnih, zelenih i </w:t>
      </w:r>
      <w:proofErr w:type="spellStart"/>
      <w:r w:rsidRPr="00D959B1">
        <w:rPr>
          <w:lang w:val="hr-HR"/>
        </w:rPr>
        <w:t>preduzetničkih</w:t>
      </w:r>
      <w:proofErr w:type="spellEnd"/>
      <w:r w:rsidRPr="00D959B1">
        <w:rPr>
          <w:lang w:val="hr-HR"/>
        </w:rPr>
        <w:t xml:space="preserve"> vještina mladih; </w:t>
      </w:r>
    </w:p>
    <w:p w14:paraId="1F04E84F" w14:textId="3E84E757" w:rsidR="0042392A" w:rsidRPr="00D959B1" w:rsidRDefault="0042392A" w:rsidP="0042392A">
      <w:pPr>
        <w:pStyle w:val="Odlomakpopisa"/>
        <w:numPr>
          <w:ilvl w:val="0"/>
          <w:numId w:val="5"/>
        </w:numPr>
        <w:rPr>
          <w:lang w:val="hr-HR"/>
        </w:rPr>
      </w:pPr>
      <w:r w:rsidRPr="00D959B1">
        <w:rPr>
          <w:lang w:val="hr-HR"/>
        </w:rPr>
        <w:t xml:space="preserve">Jačanje </w:t>
      </w:r>
      <w:proofErr w:type="spellStart"/>
      <w:r w:rsidRPr="00D959B1">
        <w:rPr>
          <w:lang w:val="hr-HR"/>
        </w:rPr>
        <w:t>zapošljivosti</w:t>
      </w:r>
      <w:proofErr w:type="spellEnd"/>
      <w:r w:rsidRPr="00D959B1">
        <w:rPr>
          <w:lang w:val="hr-HR"/>
        </w:rPr>
        <w:t xml:space="preserve"> mladih kroz karijerno vođenje i povezivanje sa tržištem rada; </w:t>
      </w:r>
    </w:p>
    <w:p w14:paraId="76431EC6" w14:textId="77777777" w:rsidR="000E1F00" w:rsidRPr="00D959B1" w:rsidRDefault="0042392A" w:rsidP="0042392A">
      <w:pPr>
        <w:pStyle w:val="Odlomakpopisa"/>
        <w:numPr>
          <w:ilvl w:val="0"/>
          <w:numId w:val="5"/>
        </w:numPr>
        <w:rPr>
          <w:lang w:val="hr-HR"/>
        </w:rPr>
      </w:pPr>
      <w:r w:rsidRPr="00D959B1">
        <w:rPr>
          <w:lang w:val="hr-HR"/>
        </w:rPr>
        <w:t>Podrška socijalnoj inkluziji i mentalnom zdravlju mladih, posebno NEET populacije i ranjivih grupa.</w:t>
      </w:r>
    </w:p>
    <w:p w14:paraId="0E5E4A5D" w14:textId="08008FBD" w:rsidR="0042392A" w:rsidRPr="00D959B1" w:rsidRDefault="0042392A" w:rsidP="0042392A">
      <w:pPr>
        <w:pStyle w:val="Odlomakpopisa"/>
        <w:numPr>
          <w:ilvl w:val="0"/>
          <w:numId w:val="5"/>
        </w:numPr>
        <w:rPr>
          <w:lang w:val="hr-HR"/>
        </w:rPr>
      </w:pPr>
      <w:r w:rsidRPr="00D959B1">
        <w:rPr>
          <w:lang w:val="hr-HR"/>
        </w:rPr>
        <w:t xml:space="preserve">Intenziviranje promocije </w:t>
      </w:r>
      <w:proofErr w:type="spellStart"/>
      <w:r w:rsidRPr="00D959B1">
        <w:rPr>
          <w:lang w:val="hr-HR"/>
        </w:rPr>
        <w:t>sporata</w:t>
      </w:r>
      <w:proofErr w:type="spellEnd"/>
      <w:r w:rsidRPr="00D959B1">
        <w:rPr>
          <w:lang w:val="hr-HR"/>
        </w:rPr>
        <w:t xml:space="preserve"> i fizičkih aktivnosti (EU programi, partnerstva saradnje u oblasti sporta, broj učesnika u </w:t>
      </w:r>
      <w:proofErr w:type="spellStart"/>
      <w:r w:rsidRPr="00D959B1">
        <w:rPr>
          <w:lang w:val="hr-HR"/>
        </w:rPr>
        <w:t>aktinvostima</w:t>
      </w:r>
      <w:proofErr w:type="spellEnd"/>
      <w:r w:rsidRPr="00D959B1">
        <w:rPr>
          <w:lang w:val="hr-HR"/>
        </w:rPr>
        <w:t>, mobilnost u sportu, m2 sportskih objekata na otvorenom, broj sportskih inicijativa i događaja);</w:t>
      </w:r>
    </w:p>
    <w:p w14:paraId="4E5BFC2B" w14:textId="66593369" w:rsidR="0042392A" w:rsidRPr="00D959B1" w:rsidRDefault="0042392A" w:rsidP="0042392A">
      <w:pPr>
        <w:pStyle w:val="Odlomakpopisa"/>
        <w:numPr>
          <w:ilvl w:val="0"/>
          <w:numId w:val="5"/>
        </w:numPr>
        <w:rPr>
          <w:lang w:val="hr-HR"/>
        </w:rPr>
      </w:pPr>
      <w:r w:rsidRPr="00D959B1">
        <w:rPr>
          <w:lang w:val="hr-HR"/>
        </w:rPr>
        <w:t xml:space="preserve">Veća ulaganja u izgradnju, rekonstrukciju, adaptaciju i opremanje </w:t>
      </w:r>
      <w:r w:rsidRPr="00D959B1">
        <w:rPr>
          <w:b/>
          <w:lang w:val="hr-HR"/>
        </w:rPr>
        <w:t>sportskih objekata</w:t>
      </w:r>
      <w:r w:rsidRPr="00D959B1">
        <w:rPr>
          <w:lang w:val="hr-HR"/>
        </w:rPr>
        <w:t xml:space="preserve">, jer sportska infrastruktura predstavlja jedan od najvažnijih segmenata u kreiranju </w:t>
      </w:r>
      <w:proofErr w:type="spellStart"/>
      <w:r w:rsidRPr="00D959B1">
        <w:rPr>
          <w:lang w:val="hr-HR"/>
        </w:rPr>
        <w:t>uslova</w:t>
      </w:r>
      <w:proofErr w:type="spellEnd"/>
      <w:r w:rsidRPr="00D959B1">
        <w:rPr>
          <w:lang w:val="hr-HR"/>
        </w:rPr>
        <w:t xml:space="preserve"> za razvoj kako rekreativnog tako i profesionalnog sporta. Izgradnjom, modernizacijom, rekonstrukcijom i adekvatnim opremanjem sportskih objekata pruža se podrška lokalnim zajednicama da aktivno učestvuju u raznim sportskim aktivnostima, ali i podstiče razvoj mladih talenata i razvijanja ljubavi prema sportu uz istovremeno </w:t>
      </w:r>
      <w:proofErr w:type="spellStart"/>
      <w:r w:rsidRPr="00D959B1">
        <w:rPr>
          <w:lang w:val="hr-HR"/>
        </w:rPr>
        <w:t>podsticanje</w:t>
      </w:r>
      <w:proofErr w:type="spellEnd"/>
      <w:r w:rsidRPr="00D959B1">
        <w:rPr>
          <w:lang w:val="hr-HR"/>
        </w:rPr>
        <w:t xml:space="preserve"> mladih na aktivan i zdrav način života, a sve navedeno ima pozitivan </w:t>
      </w:r>
      <w:proofErr w:type="spellStart"/>
      <w:r w:rsidRPr="00D959B1">
        <w:rPr>
          <w:lang w:val="hr-HR"/>
        </w:rPr>
        <w:t>efekat</w:t>
      </w:r>
      <w:proofErr w:type="spellEnd"/>
      <w:r w:rsidRPr="00D959B1">
        <w:rPr>
          <w:lang w:val="hr-HR"/>
        </w:rPr>
        <w:t xml:space="preserve"> na ekonomski i društveni razvoj zajednice.</w:t>
      </w:r>
    </w:p>
    <w:p w14:paraId="071624C8" w14:textId="30538274" w:rsidR="0042392A" w:rsidRPr="00D959B1" w:rsidRDefault="0042392A" w:rsidP="0042392A">
      <w:pPr>
        <w:spacing w:after="0" w:line="240" w:lineRule="auto"/>
        <w:jc w:val="left"/>
        <w:rPr>
          <w:rFonts w:eastAsia="Times New Roman" w:cstheme="minorHAnsi"/>
          <w:bCs/>
          <w:lang w:val="hr-HR"/>
        </w:rPr>
      </w:pPr>
    </w:p>
    <w:p w14:paraId="41E91708" w14:textId="77777777" w:rsidR="004D67BC" w:rsidRPr="00D959B1" w:rsidRDefault="004D67BC" w:rsidP="00417444">
      <w:pPr>
        <w:rPr>
          <w:lang w:val="hr-HR"/>
        </w:rPr>
      </w:pPr>
      <w:r w:rsidRPr="00D959B1">
        <w:rPr>
          <w:lang w:val="hr-HR"/>
        </w:rPr>
        <w:t>Veza sa Programom ekonomskih reformi i Reformskom agendom</w:t>
      </w:r>
    </w:p>
    <w:p w14:paraId="401592FC" w14:textId="1B4F07C0" w:rsidR="004D67BC" w:rsidRPr="00D959B1" w:rsidRDefault="004D67BC" w:rsidP="004D67BC">
      <w:pPr>
        <w:rPr>
          <w:lang w:val="hr-HR"/>
        </w:rPr>
      </w:pPr>
      <w:r w:rsidRPr="00D959B1">
        <w:rPr>
          <w:lang w:val="hr-HR"/>
        </w:rPr>
        <w:t>Reformska agenda Crne Gore 2024-2027</w:t>
      </w:r>
      <w:r w:rsidRPr="00D959B1">
        <w:rPr>
          <w:lang w:val="hr-HR"/>
        </w:rPr>
        <w:footnoteReference w:id="57"/>
      </w:r>
      <w:r w:rsidRPr="00D959B1">
        <w:rPr>
          <w:lang w:val="hr-HR"/>
        </w:rPr>
        <w:t xml:space="preserve"> obuhvata ključne reforme u oblasti obrazovanja i razvoja vještina. Agenda stavlja snažan fokus na izgradnju modernog, inkluzivnog obrazovnog sistema usklađenog sa potrebama tržišta rada, sa ciljem smanjenja neusklađenosti vještina i unapređenja </w:t>
      </w:r>
      <w:proofErr w:type="spellStart"/>
      <w:r w:rsidRPr="00D959B1">
        <w:rPr>
          <w:lang w:val="hr-HR"/>
        </w:rPr>
        <w:t>zapošljivosti</w:t>
      </w:r>
      <w:proofErr w:type="spellEnd"/>
      <w:r w:rsidRPr="00D959B1">
        <w:rPr>
          <w:lang w:val="hr-HR"/>
        </w:rPr>
        <w:t xml:space="preserve">, posebno mladih. Prioriteti </w:t>
      </w:r>
      <w:proofErr w:type="spellStart"/>
      <w:r w:rsidRPr="00D959B1">
        <w:rPr>
          <w:lang w:val="hr-HR"/>
        </w:rPr>
        <w:t>obuhvataju</w:t>
      </w:r>
      <w:proofErr w:type="spellEnd"/>
      <w:r w:rsidRPr="00D959B1">
        <w:rPr>
          <w:lang w:val="hr-HR"/>
        </w:rPr>
        <w:t xml:space="preserve"> razvoj cjeloživotnog učenja, jačanje stručnog obrazovanja i učenja kroz rad, kako bi se učenici i polaznici opremili praktičnim, digitalnim i zelenim vještinama. Ključne mjere uključuju ulaganja u obrazovnu infrastrukturu, modernizaciju kurikuluma, jačanje digitalnih kompetencija nastavnika i proširenje mogućnosti za obrazovanje odraslih i prekvalifikaciju. </w:t>
      </w:r>
      <w:proofErr w:type="spellStart"/>
      <w:r w:rsidRPr="00D959B1">
        <w:rPr>
          <w:lang w:val="hr-HR"/>
        </w:rPr>
        <w:t>Takođe</w:t>
      </w:r>
      <w:proofErr w:type="spellEnd"/>
      <w:r w:rsidRPr="00D959B1">
        <w:rPr>
          <w:lang w:val="hr-HR"/>
        </w:rPr>
        <w:t>, reforme podstiču bližu saradnju između obrazovnih institucija i poslodavaca, posebno kroz učenje kroz rad i praktičnu nastavu, radi lakše tranzicije iz obrazovanja u zaposlenje.</w:t>
      </w:r>
    </w:p>
    <w:p w14:paraId="16B4AC09" w14:textId="77777777" w:rsidR="004D67BC" w:rsidRPr="00D959B1" w:rsidRDefault="004D67BC" w:rsidP="004D67BC">
      <w:pPr>
        <w:rPr>
          <w:lang w:val="hr-HR"/>
        </w:rPr>
      </w:pPr>
      <w:r w:rsidRPr="00D959B1">
        <w:rPr>
          <w:lang w:val="hr-HR"/>
        </w:rPr>
        <w:lastRenderedPageBreak/>
        <w:t xml:space="preserve">Procjena </w:t>
      </w:r>
      <w:r w:rsidRPr="00D959B1">
        <w:rPr>
          <w:b/>
          <w:lang w:val="hr-HR"/>
        </w:rPr>
        <w:t>Programa ekonomskih reformi (ERP) 2025–2027</w:t>
      </w:r>
      <w:r w:rsidRPr="00D959B1">
        <w:rPr>
          <w:rStyle w:val="Referencafusnote"/>
          <w:rFonts w:eastAsia="Times New Roman" w:cstheme="minorHAnsi"/>
          <w:b/>
          <w:bCs/>
          <w:lang w:val="hr-HR"/>
        </w:rPr>
        <w:footnoteReference w:id="58"/>
      </w:r>
      <w:r w:rsidRPr="00D959B1">
        <w:rPr>
          <w:lang w:val="hr-HR"/>
        </w:rPr>
        <w:t xml:space="preserve"> naglašava da neusklađenost vještina i slabosti u kvalitetu i relevantnosti obrazovanja—posebno u stručnom obrazovanju—ostaju ključni izazovi za tržište rada u Crnoj Gori. Ukazuje se na potrebu širenja cjeloživotnog učenja, unapređenja praktične nastave i jačanja karijernog vođenja kako bi se povećala </w:t>
      </w:r>
      <w:proofErr w:type="spellStart"/>
      <w:r w:rsidRPr="00D959B1">
        <w:rPr>
          <w:lang w:val="hr-HR"/>
        </w:rPr>
        <w:t>zapošljivost</w:t>
      </w:r>
      <w:proofErr w:type="spellEnd"/>
      <w:r w:rsidRPr="00D959B1">
        <w:rPr>
          <w:lang w:val="hr-HR"/>
        </w:rPr>
        <w:t xml:space="preserve"> i bolje uskladili ishodi obrazovanja sa potrebama tržišta rada. Izvještaj Evropske komisije za Crnu Goru za 2025. godinu</w:t>
      </w:r>
      <w:r w:rsidRPr="00D959B1">
        <w:rPr>
          <w:rStyle w:val="Referencafusnote"/>
          <w:rFonts w:eastAsia="Times New Roman" w:cstheme="minorHAnsi"/>
          <w:bCs/>
          <w:lang w:val="hr-HR"/>
        </w:rPr>
        <w:footnoteReference w:id="59"/>
      </w:r>
      <w:r w:rsidRPr="00D959B1">
        <w:rPr>
          <w:lang w:val="hr-HR"/>
        </w:rPr>
        <w:t xml:space="preserve"> ocjenjuje Poglavlje 26 (Obrazovanje i kultura), </w:t>
      </w:r>
      <w:proofErr w:type="spellStart"/>
      <w:r w:rsidRPr="00D959B1">
        <w:rPr>
          <w:lang w:val="hr-HR"/>
        </w:rPr>
        <w:t>konstatujući</w:t>
      </w:r>
      <w:proofErr w:type="spellEnd"/>
      <w:r w:rsidRPr="00D959B1">
        <w:rPr>
          <w:lang w:val="hr-HR"/>
        </w:rPr>
        <w:t xml:space="preserve"> „dobar nivo pripremljenosti“ uz određeni napredak. Torino proces ETF-a i zajednički monitoring CEDEFOP-a i ETF-a pružaju okvir za praćenje napretka u oblasti stručnog obrazovanja, dok RCC ESAP pregled za 2025. godinu sagledava obrazovanje i vještine iz perspektive politike zapošljavanja (vidjeti PA17 Socijalna politika).</w:t>
      </w:r>
    </w:p>
    <w:p w14:paraId="2C388A9F" w14:textId="2306E879" w:rsidR="004D67BC" w:rsidRPr="00D959B1" w:rsidRDefault="00417444" w:rsidP="004D67BC">
      <w:pPr>
        <w:pStyle w:val="Naslov2"/>
        <w:rPr>
          <w:rFonts w:eastAsia="Times New Roman"/>
          <w:lang w:val="hr-HR"/>
        </w:rPr>
      </w:pPr>
      <w:r w:rsidRPr="00D959B1">
        <w:rPr>
          <w:rFonts w:eastAsia="Times New Roman"/>
          <w:lang w:val="hr-HR"/>
        </w:rPr>
        <w:t xml:space="preserve">3.2 </w:t>
      </w:r>
      <w:r w:rsidR="004D67BC" w:rsidRPr="00D959B1">
        <w:rPr>
          <w:rFonts w:eastAsia="Times New Roman"/>
          <w:lang w:val="hr-HR"/>
        </w:rPr>
        <w:t>Ključni indikatori</w:t>
      </w:r>
    </w:p>
    <w:tbl>
      <w:tblPr>
        <w:tblStyle w:val="Reetkatablice"/>
        <w:tblW w:w="5000" w:type="pct"/>
        <w:tblLook w:val="04A0" w:firstRow="1" w:lastRow="0" w:firstColumn="1" w:lastColumn="0" w:noHBand="0" w:noVBand="1"/>
      </w:tblPr>
      <w:tblGrid>
        <w:gridCol w:w="3018"/>
        <w:gridCol w:w="1555"/>
        <w:gridCol w:w="1209"/>
        <w:gridCol w:w="1381"/>
        <w:gridCol w:w="1899"/>
      </w:tblGrid>
      <w:tr w:rsidR="004D67BC" w:rsidRPr="00D959B1" w14:paraId="6BB9C761" w14:textId="77777777" w:rsidTr="004D67BC">
        <w:trPr>
          <w:trHeight w:val="432"/>
        </w:trPr>
        <w:tc>
          <w:tcPr>
            <w:tcW w:w="1665" w:type="pct"/>
            <w:shd w:val="clear" w:color="auto" w:fill="83CAEB" w:themeFill="accent1" w:themeFillTint="66"/>
            <w:vAlign w:val="center"/>
            <w:hideMark/>
          </w:tcPr>
          <w:p w14:paraId="518E451B"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Indikator</w:t>
            </w:r>
          </w:p>
        </w:tc>
        <w:tc>
          <w:tcPr>
            <w:tcW w:w="858" w:type="pct"/>
            <w:shd w:val="clear" w:color="auto" w:fill="83CAEB" w:themeFill="accent1" w:themeFillTint="66"/>
            <w:vAlign w:val="center"/>
            <w:hideMark/>
          </w:tcPr>
          <w:p w14:paraId="59FDF466"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Crna Gora</w:t>
            </w:r>
          </w:p>
        </w:tc>
        <w:tc>
          <w:tcPr>
            <w:tcW w:w="667" w:type="pct"/>
            <w:shd w:val="clear" w:color="auto" w:fill="83CAEB" w:themeFill="accent1" w:themeFillTint="66"/>
            <w:vAlign w:val="center"/>
            <w:hideMark/>
          </w:tcPr>
          <w:p w14:paraId="7E95D3DA"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EU-27  prosjek</w:t>
            </w:r>
          </w:p>
        </w:tc>
        <w:tc>
          <w:tcPr>
            <w:tcW w:w="762" w:type="pct"/>
            <w:shd w:val="clear" w:color="auto" w:fill="83CAEB" w:themeFill="accent1" w:themeFillTint="66"/>
            <w:vAlign w:val="center"/>
            <w:hideMark/>
          </w:tcPr>
          <w:p w14:paraId="54ED5A7D"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Cilj/</w:t>
            </w:r>
          </w:p>
          <w:p w14:paraId="30B556D6"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Mjerilo</w:t>
            </w:r>
          </w:p>
        </w:tc>
        <w:tc>
          <w:tcPr>
            <w:tcW w:w="1048" w:type="pct"/>
            <w:shd w:val="clear" w:color="auto" w:fill="83CAEB" w:themeFill="accent1" w:themeFillTint="66"/>
            <w:vAlign w:val="center"/>
            <w:hideMark/>
          </w:tcPr>
          <w:p w14:paraId="37D11906"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Godina/Izvor</w:t>
            </w:r>
          </w:p>
        </w:tc>
      </w:tr>
      <w:tr w:rsidR="004D67BC" w:rsidRPr="00D959B1" w14:paraId="54E5499F" w14:textId="77777777" w:rsidTr="004D67BC">
        <w:trPr>
          <w:trHeight w:val="116"/>
        </w:trPr>
        <w:tc>
          <w:tcPr>
            <w:tcW w:w="1665" w:type="pct"/>
            <w:hideMark/>
          </w:tcPr>
          <w:p w14:paraId="5122CA06"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PISA 2022 - Matematika</w:t>
            </w:r>
          </w:p>
        </w:tc>
        <w:tc>
          <w:tcPr>
            <w:tcW w:w="858" w:type="pct"/>
            <w:hideMark/>
          </w:tcPr>
          <w:p w14:paraId="3EAD36B3"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406</w:t>
            </w:r>
          </w:p>
        </w:tc>
        <w:tc>
          <w:tcPr>
            <w:tcW w:w="667" w:type="pct"/>
            <w:hideMark/>
          </w:tcPr>
          <w:p w14:paraId="161847CC"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472 (OECD)</w:t>
            </w:r>
          </w:p>
        </w:tc>
        <w:tc>
          <w:tcPr>
            <w:tcW w:w="762" w:type="pct"/>
            <w:hideMark/>
          </w:tcPr>
          <w:p w14:paraId="3C871DA0"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1048" w:type="pct"/>
            <w:hideMark/>
          </w:tcPr>
          <w:p w14:paraId="268845AA"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2022, OECD PISA</w:t>
            </w:r>
          </w:p>
        </w:tc>
      </w:tr>
      <w:tr w:rsidR="004D67BC" w:rsidRPr="00D959B1" w14:paraId="759143C8" w14:textId="77777777" w:rsidTr="004D67BC">
        <w:trPr>
          <w:trHeight w:val="197"/>
        </w:trPr>
        <w:tc>
          <w:tcPr>
            <w:tcW w:w="1665" w:type="pct"/>
            <w:hideMark/>
          </w:tcPr>
          <w:p w14:paraId="7B4641CF"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PISA 2022 - Čitanje</w:t>
            </w:r>
          </w:p>
        </w:tc>
        <w:tc>
          <w:tcPr>
            <w:tcW w:w="858" w:type="pct"/>
            <w:hideMark/>
          </w:tcPr>
          <w:p w14:paraId="5157955D"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405</w:t>
            </w:r>
          </w:p>
        </w:tc>
        <w:tc>
          <w:tcPr>
            <w:tcW w:w="667" w:type="pct"/>
            <w:hideMark/>
          </w:tcPr>
          <w:p w14:paraId="2809F1AB"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476 (OECD)</w:t>
            </w:r>
          </w:p>
        </w:tc>
        <w:tc>
          <w:tcPr>
            <w:tcW w:w="762" w:type="pct"/>
            <w:hideMark/>
          </w:tcPr>
          <w:p w14:paraId="208901A4"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1048" w:type="pct"/>
            <w:hideMark/>
          </w:tcPr>
          <w:p w14:paraId="4310C639"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2022, OECD PISA</w:t>
            </w:r>
          </w:p>
        </w:tc>
      </w:tr>
      <w:tr w:rsidR="004D67BC" w:rsidRPr="00D959B1" w14:paraId="7C7AD0DB" w14:textId="77777777" w:rsidTr="004D67BC">
        <w:trPr>
          <w:trHeight w:val="58"/>
        </w:trPr>
        <w:tc>
          <w:tcPr>
            <w:tcW w:w="1665" w:type="pct"/>
            <w:hideMark/>
          </w:tcPr>
          <w:p w14:paraId="60E25002"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PISA 2022 - Nauka</w:t>
            </w:r>
          </w:p>
        </w:tc>
        <w:tc>
          <w:tcPr>
            <w:tcW w:w="858" w:type="pct"/>
            <w:hideMark/>
          </w:tcPr>
          <w:p w14:paraId="65243C68"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403</w:t>
            </w:r>
          </w:p>
        </w:tc>
        <w:tc>
          <w:tcPr>
            <w:tcW w:w="667" w:type="pct"/>
            <w:hideMark/>
          </w:tcPr>
          <w:p w14:paraId="3A2E6043"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485 (OECD)</w:t>
            </w:r>
          </w:p>
        </w:tc>
        <w:tc>
          <w:tcPr>
            <w:tcW w:w="762" w:type="pct"/>
            <w:hideMark/>
          </w:tcPr>
          <w:p w14:paraId="202FB532"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1048" w:type="pct"/>
            <w:hideMark/>
          </w:tcPr>
          <w:p w14:paraId="6147043F"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2022, OECD PISA</w:t>
            </w:r>
          </w:p>
        </w:tc>
      </w:tr>
      <w:tr w:rsidR="004D67BC" w:rsidRPr="00D959B1" w14:paraId="0CAEB00F" w14:textId="77777777" w:rsidTr="004D67BC">
        <w:trPr>
          <w:trHeight w:val="58"/>
        </w:trPr>
        <w:tc>
          <w:tcPr>
            <w:tcW w:w="1665" w:type="pct"/>
            <w:hideMark/>
          </w:tcPr>
          <w:p w14:paraId="0EAB57F3" w14:textId="77777777" w:rsidR="004D67BC" w:rsidRPr="00D959B1" w:rsidRDefault="004D67BC" w:rsidP="00E27755">
            <w:pPr>
              <w:jc w:val="left"/>
              <w:rPr>
                <w:rFonts w:eastAsia="Times New Roman" w:cstheme="minorHAnsi"/>
                <w:sz w:val="16"/>
                <w:szCs w:val="16"/>
                <w:lang w:val="hr-HR" w:eastAsia="sr-Latn-ME"/>
              </w:rPr>
            </w:pPr>
            <w:r w:rsidRPr="00D959B1">
              <w:rPr>
                <w:rFonts w:eastAsia="Times New Roman" w:cstheme="minorHAnsi"/>
                <w:sz w:val="16"/>
                <w:szCs w:val="16"/>
                <w:lang w:val="hr-HR" w:eastAsia="sr-Latn-ME"/>
              </w:rPr>
              <w:t xml:space="preserve">Učenici ispod nivoa 2 iz matematike </w:t>
            </w:r>
          </w:p>
          <w:p w14:paraId="5E59B874" w14:textId="77777777" w:rsidR="004D67BC" w:rsidRPr="00D959B1" w:rsidRDefault="004D67BC" w:rsidP="00E27755">
            <w:pPr>
              <w:rPr>
                <w:rFonts w:eastAsia="Times New Roman" w:cstheme="minorHAnsi"/>
                <w:color w:val="000000"/>
                <w:sz w:val="16"/>
                <w:szCs w:val="16"/>
                <w:lang w:val="hr-HR"/>
              </w:rPr>
            </w:pPr>
          </w:p>
        </w:tc>
        <w:tc>
          <w:tcPr>
            <w:tcW w:w="858" w:type="pct"/>
            <w:hideMark/>
          </w:tcPr>
          <w:p w14:paraId="3306164E"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60%</w:t>
            </w:r>
          </w:p>
        </w:tc>
        <w:tc>
          <w:tcPr>
            <w:tcW w:w="667" w:type="pct"/>
            <w:hideMark/>
          </w:tcPr>
          <w:p w14:paraId="0B9271DA"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31% (OECD)</w:t>
            </w:r>
          </w:p>
        </w:tc>
        <w:tc>
          <w:tcPr>
            <w:tcW w:w="762" w:type="pct"/>
            <w:hideMark/>
          </w:tcPr>
          <w:p w14:paraId="0C265E90"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&lt;15% (EU 2030)</w:t>
            </w:r>
          </w:p>
        </w:tc>
        <w:tc>
          <w:tcPr>
            <w:tcW w:w="1048" w:type="pct"/>
            <w:hideMark/>
          </w:tcPr>
          <w:p w14:paraId="37066DCA"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2022, OECD PISA</w:t>
            </w:r>
          </w:p>
        </w:tc>
      </w:tr>
      <w:tr w:rsidR="004D67BC" w:rsidRPr="00D959B1" w14:paraId="1858850E" w14:textId="77777777" w:rsidTr="004D67BC">
        <w:trPr>
          <w:trHeight w:val="58"/>
        </w:trPr>
        <w:tc>
          <w:tcPr>
            <w:tcW w:w="1665" w:type="pct"/>
            <w:hideMark/>
          </w:tcPr>
          <w:p w14:paraId="24A4E27A" w14:textId="77777777" w:rsidR="004D67BC" w:rsidRPr="00D959B1" w:rsidRDefault="004D67BC" w:rsidP="00E27755">
            <w:pPr>
              <w:jc w:val="left"/>
              <w:rPr>
                <w:rFonts w:eastAsia="Times New Roman" w:cstheme="minorHAnsi"/>
                <w:sz w:val="16"/>
                <w:szCs w:val="16"/>
                <w:lang w:val="hr-HR" w:eastAsia="sr-Latn-ME"/>
              </w:rPr>
            </w:pPr>
            <w:r w:rsidRPr="00D959B1">
              <w:rPr>
                <w:rFonts w:eastAsia="Times New Roman" w:cstheme="minorHAnsi"/>
                <w:sz w:val="16"/>
                <w:szCs w:val="16"/>
                <w:lang w:val="hr-HR" w:eastAsia="sr-Latn-ME"/>
              </w:rPr>
              <w:t xml:space="preserve">Najuspješniji učenici iz matematike (nivo 5/6) </w:t>
            </w:r>
          </w:p>
        </w:tc>
        <w:tc>
          <w:tcPr>
            <w:tcW w:w="858" w:type="pct"/>
            <w:hideMark/>
          </w:tcPr>
          <w:p w14:paraId="6491308B" w14:textId="77777777" w:rsidR="004D67BC" w:rsidRPr="00D959B1" w:rsidRDefault="004D67BC" w:rsidP="00E27755">
            <w:pPr>
              <w:jc w:val="center"/>
              <w:rPr>
                <w:rFonts w:eastAsia="Times New Roman" w:cstheme="minorHAnsi"/>
                <w:sz w:val="16"/>
                <w:szCs w:val="16"/>
                <w:lang w:val="hr-HR"/>
              </w:rPr>
            </w:pPr>
            <w:r w:rsidRPr="00D959B1">
              <w:rPr>
                <w:rFonts w:eastAsia="Times New Roman" w:cstheme="minorHAnsi"/>
                <w:sz w:val="16"/>
                <w:szCs w:val="16"/>
                <w:lang w:val="hr-HR"/>
              </w:rPr>
              <w:t>1%</w:t>
            </w:r>
          </w:p>
        </w:tc>
        <w:tc>
          <w:tcPr>
            <w:tcW w:w="667" w:type="pct"/>
            <w:hideMark/>
          </w:tcPr>
          <w:p w14:paraId="3100369D" w14:textId="77777777" w:rsidR="004D67BC" w:rsidRPr="00D959B1" w:rsidRDefault="004D67BC" w:rsidP="00E27755">
            <w:pPr>
              <w:jc w:val="center"/>
              <w:rPr>
                <w:rFonts w:eastAsia="Times New Roman" w:cstheme="minorHAnsi"/>
                <w:sz w:val="16"/>
                <w:szCs w:val="16"/>
                <w:lang w:val="hr-HR"/>
              </w:rPr>
            </w:pPr>
            <w:r w:rsidRPr="00D959B1">
              <w:rPr>
                <w:rFonts w:eastAsia="Times New Roman" w:cstheme="minorHAnsi"/>
                <w:sz w:val="16"/>
                <w:szCs w:val="16"/>
                <w:lang w:val="hr-HR"/>
              </w:rPr>
              <w:t>9% (OECD)</w:t>
            </w:r>
          </w:p>
        </w:tc>
        <w:tc>
          <w:tcPr>
            <w:tcW w:w="762" w:type="pct"/>
            <w:hideMark/>
          </w:tcPr>
          <w:p w14:paraId="703BF103" w14:textId="77777777" w:rsidR="004D67BC" w:rsidRPr="00D959B1" w:rsidRDefault="004D67BC" w:rsidP="00E27755">
            <w:pPr>
              <w:jc w:val="center"/>
              <w:rPr>
                <w:rFonts w:eastAsia="Times New Roman" w:cstheme="minorHAnsi"/>
                <w:sz w:val="16"/>
                <w:szCs w:val="16"/>
                <w:lang w:val="hr-HR"/>
              </w:rPr>
            </w:pPr>
            <w:r w:rsidRPr="00D959B1">
              <w:rPr>
                <w:rFonts w:eastAsia="Times New Roman" w:cstheme="minorHAnsi"/>
                <w:sz w:val="16"/>
                <w:szCs w:val="16"/>
                <w:lang w:val="hr-HR"/>
              </w:rPr>
              <w:t>-</w:t>
            </w:r>
          </w:p>
        </w:tc>
        <w:tc>
          <w:tcPr>
            <w:tcW w:w="1048" w:type="pct"/>
            <w:hideMark/>
          </w:tcPr>
          <w:p w14:paraId="4699E0F9" w14:textId="77777777" w:rsidR="004D67BC" w:rsidRPr="00D959B1" w:rsidRDefault="004D67BC" w:rsidP="00E27755">
            <w:pPr>
              <w:rPr>
                <w:rFonts w:eastAsia="Times New Roman" w:cstheme="minorHAnsi"/>
                <w:sz w:val="16"/>
                <w:szCs w:val="16"/>
                <w:lang w:val="hr-HR"/>
              </w:rPr>
            </w:pPr>
            <w:r w:rsidRPr="00D959B1">
              <w:rPr>
                <w:rFonts w:eastAsia="Times New Roman" w:cstheme="minorHAnsi"/>
                <w:sz w:val="16"/>
                <w:szCs w:val="16"/>
                <w:lang w:val="hr-HR"/>
              </w:rPr>
              <w:t>2022, OECD PISA</w:t>
            </w:r>
          </w:p>
        </w:tc>
      </w:tr>
      <w:tr w:rsidR="004D67BC" w:rsidRPr="00D959B1" w14:paraId="7797B118" w14:textId="77777777" w:rsidTr="004D67BC">
        <w:trPr>
          <w:trHeight w:val="58"/>
        </w:trPr>
        <w:tc>
          <w:tcPr>
            <w:tcW w:w="1665" w:type="pct"/>
            <w:hideMark/>
          </w:tcPr>
          <w:p w14:paraId="16F52056" w14:textId="77777777" w:rsidR="004D67BC" w:rsidRPr="00D959B1" w:rsidRDefault="004D67BC" w:rsidP="00E27755">
            <w:pPr>
              <w:jc w:val="left"/>
              <w:rPr>
                <w:rFonts w:eastAsia="Times New Roman" w:cstheme="minorHAnsi"/>
                <w:color w:val="000000"/>
                <w:sz w:val="16"/>
                <w:szCs w:val="16"/>
                <w:lang w:val="hr-HR"/>
              </w:rPr>
            </w:pPr>
            <w:r w:rsidRPr="00D959B1">
              <w:rPr>
                <w:rFonts w:eastAsia="Times New Roman" w:cstheme="minorHAnsi"/>
                <w:sz w:val="16"/>
                <w:szCs w:val="16"/>
                <w:lang w:val="hr-HR" w:eastAsia="sr-Latn-ME"/>
              </w:rPr>
              <w:t xml:space="preserve">Obuhvat predškolskim </w:t>
            </w:r>
            <w:proofErr w:type="spellStart"/>
            <w:r w:rsidRPr="00D959B1">
              <w:rPr>
                <w:rFonts w:eastAsia="Times New Roman" w:cstheme="minorHAnsi"/>
                <w:sz w:val="16"/>
                <w:szCs w:val="16"/>
                <w:lang w:val="hr-HR" w:eastAsia="sr-Latn-ME"/>
              </w:rPr>
              <w:t>vaspitanjem</w:t>
            </w:r>
            <w:proofErr w:type="spellEnd"/>
            <w:r w:rsidRPr="00D959B1">
              <w:rPr>
                <w:rFonts w:eastAsia="Times New Roman" w:cstheme="minorHAnsi"/>
                <w:sz w:val="16"/>
                <w:szCs w:val="16"/>
                <w:lang w:val="hr-HR" w:eastAsia="sr-Latn-ME"/>
              </w:rPr>
              <w:t xml:space="preserve"> i obrazovanjem (3–6 godina) </w:t>
            </w:r>
            <w:r w:rsidRPr="00D959B1">
              <w:rPr>
                <w:rFonts w:eastAsia="Times New Roman" w:cstheme="minorHAnsi"/>
                <w:color w:val="000000"/>
                <w:sz w:val="16"/>
                <w:szCs w:val="16"/>
                <w:lang w:val="hr-HR"/>
              </w:rPr>
              <w:t xml:space="preserve">ECEC  </w:t>
            </w:r>
          </w:p>
        </w:tc>
        <w:tc>
          <w:tcPr>
            <w:tcW w:w="858" w:type="pct"/>
            <w:hideMark/>
          </w:tcPr>
          <w:p w14:paraId="54E64A33" w14:textId="77777777" w:rsidR="004D67BC" w:rsidRPr="00D959B1" w:rsidRDefault="004D67BC" w:rsidP="00E27755">
            <w:pPr>
              <w:jc w:val="center"/>
              <w:rPr>
                <w:rFonts w:eastAsia="Times New Roman" w:cstheme="minorHAnsi"/>
                <w:sz w:val="16"/>
                <w:szCs w:val="16"/>
                <w:lang w:val="hr-HR"/>
              </w:rPr>
            </w:pPr>
            <w:r w:rsidRPr="00D959B1">
              <w:rPr>
                <w:rFonts w:eastAsia="Times New Roman" w:cstheme="minorHAnsi"/>
                <w:sz w:val="16"/>
                <w:szCs w:val="16"/>
                <w:lang w:val="hr-HR"/>
              </w:rPr>
              <w:t>90.7%</w:t>
            </w:r>
            <w:r w:rsidRPr="00D959B1">
              <w:rPr>
                <w:rStyle w:val="Referencafusnote"/>
                <w:rFonts w:eastAsia="Times New Roman" w:cstheme="minorHAnsi"/>
                <w:sz w:val="16"/>
                <w:szCs w:val="16"/>
                <w:lang w:val="hr-HR"/>
              </w:rPr>
              <w:footnoteReference w:id="60"/>
            </w:r>
          </w:p>
        </w:tc>
        <w:tc>
          <w:tcPr>
            <w:tcW w:w="667" w:type="pct"/>
            <w:hideMark/>
          </w:tcPr>
          <w:p w14:paraId="21B960E5" w14:textId="77777777" w:rsidR="004D67BC" w:rsidRPr="00D959B1" w:rsidRDefault="004D67BC" w:rsidP="00E27755">
            <w:pPr>
              <w:jc w:val="center"/>
              <w:rPr>
                <w:rFonts w:eastAsia="Times New Roman" w:cstheme="minorHAnsi"/>
                <w:sz w:val="16"/>
                <w:szCs w:val="16"/>
                <w:lang w:val="hr-HR"/>
              </w:rPr>
            </w:pPr>
            <w:r w:rsidRPr="00D959B1">
              <w:rPr>
                <w:rFonts w:eastAsia="Times New Roman" w:cstheme="minorHAnsi"/>
                <w:sz w:val="16"/>
                <w:szCs w:val="16"/>
                <w:lang w:val="hr-HR"/>
              </w:rPr>
              <w:t>94.60%</w:t>
            </w:r>
          </w:p>
        </w:tc>
        <w:tc>
          <w:tcPr>
            <w:tcW w:w="762" w:type="pct"/>
            <w:hideMark/>
          </w:tcPr>
          <w:p w14:paraId="5FC6E6EA" w14:textId="77777777" w:rsidR="004D67BC" w:rsidRPr="00D959B1" w:rsidRDefault="004D67BC" w:rsidP="00E27755">
            <w:pPr>
              <w:jc w:val="center"/>
              <w:rPr>
                <w:rFonts w:eastAsia="Times New Roman" w:cstheme="minorHAnsi"/>
                <w:sz w:val="16"/>
                <w:szCs w:val="16"/>
                <w:lang w:val="hr-HR"/>
              </w:rPr>
            </w:pPr>
            <w:r w:rsidRPr="00D959B1">
              <w:rPr>
                <w:rFonts w:eastAsia="Times New Roman" w:cstheme="minorHAnsi"/>
                <w:sz w:val="16"/>
                <w:szCs w:val="16"/>
                <w:lang w:val="hr-HR"/>
              </w:rPr>
              <w:t>96% (EU 2030)</w:t>
            </w:r>
          </w:p>
        </w:tc>
        <w:tc>
          <w:tcPr>
            <w:tcW w:w="1048" w:type="pct"/>
            <w:hideMark/>
          </w:tcPr>
          <w:p w14:paraId="6C9581E9" w14:textId="77777777" w:rsidR="004D67BC" w:rsidRPr="00D959B1" w:rsidRDefault="004D67BC" w:rsidP="00E27755">
            <w:pPr>
              <w:rPr>
                <w:rFonts w:eastAsia="Times New Roman" w:cstheme="minorHAnsi"/>
                <w:sz w:val="16"/>
                <w:szCs w:val="16"/>
                <w:lang w:val="hr-HR"/>
              </w:rPr>
            </w:pPr>
            <w:r w:rsidRPr="00D959B1">
              <w:rPr>
                <w:rFonts w:eastAsia="Times New Roman" w:cstheme="minorHAnsi"/>
                <w:sz w:val="16"/>
                <w:szCs w:val="16"/>
                <w:lang w:val="hr-HR"/>
              </w:rPr>
              <w:t xml:space="preserve">2025/2026, </w:t>
            </w:r>
            <w:proofErr w:type="spellStart"/>
            <w:r w:rsidRPr="00D959B1">
              <w:rPr>
                <w:rFonts w:eastAsia="Times New Roman" w:cstheme="minorHAnsi"/>
                <w:sz w:val="16"/>
                <w:szCs w:val="16"/>
                <w:lang w:val="hr-HR"/>
              </w:rPr>
              <w:t>Monstat</w:t>
            </w:r>
            <w:proofErr w:type="spellEnd"/>
          </w:p>
          <w:p w14:paraId="3EA5BEDB" w14:textId="77777777" w:rsidR="004D67BC" w:rsidRPr="00D959B1" w:rsidRDefault="004D67BC" w:rsidP="00E27755">
            <w:pPr>
              <w:rPr>
                <w:rFonts w:eastAsia="Times New Roman" w:cstheme="minorHAnsi"/>
                <w:sz w:val="16"/>
                <w:szCs w:val="16"/>
                <w:lang w:val="hr-HR"/>
              </w:rPr>
            </w:pPr>
            <w:r w:rsidRPr="00D959B1">
              <w:rPr>
                <w:rFonts w:eastAsia="Times New Roman" w:cstheme="minorHAnsi"/>
                <w:sz w:val="16"/>
                <w:szCs w:val="16"/>
                <w:lang w:val="hr-HR"/>
              </w:rPr>
              <w:t xml:space="preserve">2024/25, EC </w:t>
            </w:r>
            <w:proofErr w:type="spellStart"/>
            <w:r w:rsidRPr="00D959B1">
              <w:rPr>
                <w:rFonts w:eastAsia="Times New Roman" w:cstheme="minorHAnsi"/>
                <w:sz w:val="16"/>
                <w:szCs w:val="16"/>
                <w:lang w:val="hr-HR"/>
              </w:rPr>
              <w:t>Report</w:t>
            </w:r>
            <w:proofErr w:type="spellEnd"/>
          </w:p>
        </w:tc>
      </w:tr>
      <w:tr w:rsidR="004D67BC" w:rsidRPr="00D959B1" w14:paraId="2CB2E954" w14:textId="77777777" w:rsidTr="004D67BC">
        <w:trPr>
          <w:trHeight w:val="58"/>
        </w:trPr>
        <w:tc>
          <w:tcPr>
            <w:tcW w:w="1665" w:type="pct"/>
            <w:hideMark/>
          </w:tcPr>
          <w:p w14:paraId="1171E83F" w14:textId="77777777" w:rsidR="004D67BC" w:rsidRPr="00D959B1" w:rsidRDefault="004D67BC" w:rsidP="00E27755">
            <w:pPr>
              <w:jc w:val="left"/>
              <w:rPr>
                <w:rFonts w:eastAsia="Times New Roman" w:cstheme="minorHAnsi"/>
                <w:sz w:val="16"/>
                <w:szCs w:val="16"/>
                <w:lang w:val="hr-HR" w:eastAsia="sr-Latn-ME"/>
              </w:rPr>
            </w:pPr>
            <w:r w:rsidRPr="00D959B1">
              <w:rPr>
                <w:rFonts w:eastAsia="Times New Roman" w:cstheme="minorHAnsi"/>
                <w:sz w:val="16"/>
                <w:szCs w:val="16"/>
                <w:lang w:val="hr-HR" w:eastAsia="sr-Latn-ME"/>
              </w:rPr>
              <w:t xml:space="preserve">Stopa ranog napuštanja školovanja (18–24) </w:t>
            </w:r>
          </w:p>
        </w:tc>
        <w:tc>
          <w:tcPr>
            <w:tcW w:w="858" w:type="pct"/>
            <w:hideMark/>
          </w:tcPr>
          <w:p w14:paraId="59E77C8C"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4.90%</w:t>
            </w:r>
          </w:p>
        </w:tc>
        <w:tc>
          <w:tcPr>
            <w:tcW w:w="667" w:type="pct"/>
            <w:hideMark/>
          </w:tcPr>
          <w:p w14:paraId="20A1E186"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~9.5%</w:t>
            </w:r>
          </w:p>
        </w:tc>
        <w:tc>
          <w:tcPr>
            <w:tcW w:w="762" w:type="pct"/>
            <w:hideMark/>
          </w:tcPr>
          <w:p w14:paraId="7D55A346"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&lt;9% (EU 2030)</w:t>
            </w:r>
          </w:p>
        </w:tc>
        <w:tc>
          <w:tcPr>
            <w:tcW w:w="1048" w:type="pct"/>
            <w:hideMark/>
          </w:tcPr>
          <w:p w14:paraId="5965AD36"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2024, MONSTAT</w:t>
            </w:r>
          </w:p>
        </w:tc>
      </w:tr>
      <w:tr w:rsidR="004D67BC" w:rsidRPr="00D959B1" w14:paraId="4DF61D4F" w14:textId="77777777" w:rsidTr="004D67BC">
        <w:trPr>
          <w:trHeight w:val="58"/>
        </w:trPr>
        <w:tc>
          <w:tcPr>
            <w:tcW w:w="1665" w:type="pct"/>
            <w:hideMark/>
          </w:tcPr>
          <w:p w14:paraId="66AE06E4"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sz w:val="16"/>
                <w:szCs w:val="16"/>
                <w:lang w:val="hr-HR" w:eastAsia="sr-Latn-ME"/>
              </w:rPr>
              <w:t xml:space="preserve">Nezaposlenost mladih </w:t>
            </w:r>
            <w:r w:rsidRPr="00D959B1">
              <w:rPr>
                <w:rFonts w:eastAsia="Times New Roman" w:cstheme="minorHAnsi"/>
                <w:color w:val="000000"/>
                <w:sz w:val="16"/>
                <w:szCs w:val="16"/>
                <w:lang w:val="hr-HR"/>
              </w:rPr>
              <w:t>(15-24)</w:t>
            </w:r>
          </w:p>
        </w:tc>
        <w:tc>
          <w:tcPr>
            <w:tcW w:w="858" w:type="pct"/>
            <w:hideMark/>
          </w:tcPr>
          <w:p w14:paraId="3D4B4EB1"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26.00%</w:t>
            </w:r>
          </w:p>
        </w:tc>
        <w:tc>
          <w:tcPr>
            <w:tcW w:w="667" w:type="pct"/>
            <w:hideMark/>
          </w:tcPr>
          <w:p w14:paraId="0D16AB6E"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~14.5%</w:t>
            </w:r>
          </w:p>
        </w:tc>
        <w:tc>
          <w:tcPr>
            <w:tcW w:w="762" w:type="pct"/>
            <w:hideMark/>
          </w:tcPr>
          <w:p w14:paraId="39BB473F"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1048" w:type="pct"/>
            <w:hideMark/>
          </w:tcPr>
          <w:p w14:paraId="60A8FCC6"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2024, ARS (vidi PA17)</w:t>
            </w:r>
          </w:p>
        </w:tc>
      </w:tr>
      <w:tr w:rsidR="004D67BC" w:rsidRPr="00D959B1" w14:paraId="7C717C36" w14:textId="77777777" w:rsidTr="004D67BC">
        <w:trPr>
          <w:trHeight w:val="58"/>
        </w:trPr>
        <w:tc>
          <w:tcPr>
            <w:tcW w:w="1665" w:type="pct"/>
            <w:hideMark/>
          </w:tcPr>
          <w:p w14:paraId="75CF3052"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NEET stopa (15-24)</w:t>
            </w:r>
          </w:p>
        </w:tc>
        <w:tc>
          <w:tcPr>
            <w:tcW w:w="858" w:type="pct"/>
            <w:hideMark/>
          </w:tcPr>
          <w:p w14:paraId="287DA4B7"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14.20%</w:t>
            </w:r>
          </w:p>
        </w:tc>
        <w:tc>
          <w:tcPr>
            <w:tcW w:w="667" w:type="pct"/>
            <w:hideMark/>
          </w:tcPr>
          <w:p w14:paraId="7724BBBF"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~11.2%</w:t>
            </w:r>
          </w:p>
        </w:tc>
        <w:tc>
          <w:tcPr>
            <w:tcW w:w="762" w:type="pct"/>
            <w:hideMark/>
          </w:tcPr>
          <w:p w14:paraId="5743823A"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1048" w:type="pct"/>
            <w:hideMark/>
          </w:tcPr>
          <w:p w14:paraId="53E7BE04"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2024, ARS (vidi  PA17)</w:t>
            </w:r>
          </w:p>
        </w:tc>
      </w:tr>
      <w:tr w:rsidR="004D67BC" w:rsidRPr="00D959B1" w14:paraId="1435EDF7" w14:textId="77777777" w:rsidTr="004D67BC">
        <w:trPr>
          <w:trHeight w:val="58"/>
        </w:trPr>
        <w:tc>
          <w:tcPr>
            <w:tcW w:w="1665" w:type="pct"/>
            <w:hideMark/>
          </w:tcPr>
          <w:p w14:paraId="28B71EE0" w14:textId="77777777" w:rsidR="004D67BC" w:rsidRPr="00D959B1" w:rsidRDefault="004D67BC" w:rsidP="00E27755">
            <w:pPr>
              <w:jc w:val="left"/>
              <w:rPr>
                <w:rFonts w:eastAsia="Times New Roman" w:cstheme="minorHAnsi"/>
                <w:sz w:val="16"/>
                <w:szCs w:val="16"/>
                <w:lang w:val="hr-HR" w:eastAsia="sr-Latn-ME"/>
              </w:rPr>
            </w:pPr>
            <w:r w:rsidRPr="00D959B1">
              <w:rPr>
                <w:rFonts w:eastAsia="Times New Roman" w:cstheme="minorHAnsi"/>
                <w:sz w:val="16"/>
                <w:szCs w:val="16"/>
                <w:lang w:val="hr-HR" w:eastAsia="sr-Latn-ME"/>
              </w:rPr>
              <w:t xml:space="preserve">Povećanje budžeta za obrazovanje (bez zarada) </w:t>
            </w:r>
          </w:p>
        </w:tc>
        <w:tc>
          <w:tcPr>
            <w:tcW w:w="858" w:type="pct"/>
            <w:hideMark/>
          </w:tcPr>
          <w:p w14:paraId="14284993"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+20% (2024)</w:t>
            </w:r>
          </w:p>
        </w:tc>
        <w:tc>
          <w:tcPr>
            <w:tcW w:w="667" w:type="pct"/>
            <w:hideMark/>
          </w:tcPr>
          <w:p w14:paraId="689B49D7"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762" w:type="pct"/>
            <w:hideMark/>
          </w:tcPr>
          <w:p w14:paraId="286CBB36"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1048" w:type="pct"/>
            <w:hideMark/>
          </w:tcPr>
          <w:p w14:paraId="6E56D4FD"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 xml:space="preserve">EC </w:t>
            </w:r>
            <w:proofErr w:type="spellStart"/>
            <w:r w:rsidRPr="00D959B1">
              <w:rPr>
                <w:rFonts w:eastAsia="Times New Roman" w:cstheme="minorHAnsi"/>
                <w:color w:val="000000"/>
                <w:sz w:val="16"/>
                <w:szCs w:val="16"/>
                <w:lang w:val="hr-HR"/>
              </w:rPr>
              <w:t>Report</w:t>
            </w:r>
            <w:proofErr w:type="spellEnd"/>
            <w:r w:rsidRPr="00D959B1">
              <w:rPr>
                <w:rFonts w:eastAsia="Times New Roman" w:cstheme="minorHAnsi"/>
                <w:color w:val="000000"/>
                <w:sz w:val="16"/>
                <w:szCs w:val="16"/>
                <w:lang w:val="hr-HR"/>
              </w:rPr>
              <w:t xml:space="preserve"> 2025</w:t>
            </w:r>
          </w:p>
        </w:tc>
      </w:tr>
      <w:tr w:rsidR="004D67BC" w:rsidRPr="00D959B1" w14:paraId="19DC9BAE" w14:textId="77777777" w:rsidTr="004D67BC">
        <w:trPr>
          <w:trHeight w:val="58"/>
        </w:trPr>
        <w:tc>
          <w:tcPr>
            <w:tcW w:w="1665" w:type="pct"/>
            <w:hideMark/>
          </w:tcPr>
          <w:p w14:paraId="73F6E08A" w14:textId="77777777" w:rsidR="004D67BC" w:rsidRPr="00D959B1" w:rsidRDefault="004D67BC" w:rsidP="00E27755">
            <w:pPr>
              <w:ind w:right="-108"/>
              <w:jc w:val="left"/>
              <w:rPr>
                <w:rFonts w:eastAsia="Times New Roman" w:cstheme="minorHAnsi"/>
                <w:sz w:val="16"/>
                <w:szCs w:val="16"/>
                <w:lang w:val="hr-HR" w:eastAsia="sr-Latn-ME"/>
              </w:rPr>
            </w:pPr>
            <w:r w:rsidRPr="00D959B1">
              <w:rPr>
                <w:rFonts w:eastAsia="Times New Roman" w:cstheme="minorHAnsi"/>
                <w:sz w:val="16"/>
                <w:szCs w:val="16"/>
                <w:lang w:val="hr-HR" w:eastAsia="sr-Latn-ME"/>
              </w:rPr>
              <w:t xml:space="preserve">Povećanje budžeta za kontinuirani profesionalni razvoj nastavnika (CPD) </w:t>
            </w:r>
          </w:p>
        </w:tc>
        <w:tc>
          <w:tcPr>
            <w:tcW w:w="858" w:type="pct"/>
            <w:hideMark/>
          </w:tcPr>
          <w:p w14:paraId="6110F6BB"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~8x (2024 vs 2023)</w:t>
            </w:r>
          </w:p>
        </w:tc>
        <w:tc>
          <w:tcPr>
            <w:tcW w:w="667" w:type="pct"/>
            <w:hideMark/>
          </w:tcPr>
          <w:p w14:paraId="62D653A6"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762" w:type="pct"/>
            <w:hideMark/>
          </w:tcPr>
          <w:p w14:paraId="535400D6"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1048" w:type="pct"/>
            <w:hideMark/>
          </w:tcPr>
          <w:p w14:paraId="58B10368"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 xml:space="preserve">EC </w:t>
            </w:r>
            <w:proofErr w:type="spellStart"/>
            <w:r w:rsidRPr="00D959B1">
              <w:rPr>
                <w:rFonts w:eastAsia="Times New Roman" w:cstheme="minorHAnsi"/>
                <w:color w:val="000000"/>
                <w:sz w:val="16"/>
                <w:szCs w:val="16"/>
                <w:lang w:val="hr-HR"/>
              </w:rPr>
              <w:t>Report</w:t>
            </w:r>
            <w:proofErr w:type="spellEnd"/>
            <w:r w:rsidRPr="00D959B1">
              <w:rPr>
                <w:rFonts w:eastAsia="Times New Roman" w:cstheme="minorHAnsi"/>
                <w:color w:val="000000"/>
                <w:sz w:val="16"/>
                <w:szCs w:val="16"/>
                <w:lang w:val="hr-HR"/>
              </w:rPr>
              <w:t xml:space="preserve"> 2025</w:t>
            </w:r>
          </w:p>
        </w:tc>
      </w:tr>
      <w:tr w:rsidR="004D67BC" w:rsidRPr="00D959B1" w14:paraId="1E1F492E" w14:textId="77777777" w:rsidTr="004D67BC">
        <w:trPr>
          <w:trHeight w:val="58"/>
        </w:trPr>
        <w:tc>
          <w:tcPr>
            <w:tcW w:w="1665" w:type="pct"/>
            <w:hideMark/>
          </w:tcPr>
          <w:p w14:paraId="3F4D0F18" w14:textId="77777777" w:rsidR="004D67BC" w:rsidRPr="00D959B1" w:rsidRDefault="004D67BC" w:rsidP="00E27755">
            <w:pPr>
              <w:jc w:val="left"/>
              <w:rPr>
                <w:rFonts w:eastAsia="Times New Roman" w:cstheme="minorHAnsi"/>
                <w:sz w:val="16"/>
                <w:szCs w:val="16"/>
                <w:lang w:val="hr-HR" w:eastAsia="sr-Latn-ME"/>
              </w:rPr>
            </w:pPr>
            <w:r w:rsidRPr="00D959B1">
              <w:rPr>
                <w:rFonts w:eastAsia="Times New Roman" w:cstheme="minorHAnsi"/>
                <w:sz w:val="16"/>
                <w:szCs w:val="16"/>
                <w:lang w:val="hr-HR" w:eastAsia="sr-Latn-ME"/>
              </w:rPr>
              <w:t xml:space="preserve">Razvijeni standardi zanimanja </w:t>
            </w:r>
          </w:p>
        </w:tc>
        <w:tc>
          <w:tcPr>
            <w:tcW w:w="858" w:type="pct"/>
            <w:hideMark/>
          </w:tcPr>
          <w:p w14:paraId="0A48DDFE"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18</w:t>
            </w:r>
          </w:p>
        </w:tc>
        <w:tc>
          <w:tcPr>
            <w:tcW w:w="667" w:type="pct"/>
            <w:hideMark/>
          </w:tcPr>
          <w:p w14:paraId="28791DAF"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762" w:type="pct"/>
            <w:hideMark/>
          </w:tcPr>
          <w:p w14:paraId="49749632"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1048" w:type="pct"/>
            <w:hideMark/>
          </w:tcPr>
          <w:p w14:paraId="18B2CAEB"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VET Centre</w:t>
            </w:r>
          </w:p>
        </w:tc>
      </w:tr>
      <w:tr w:rsidR="004D67BC" w:rsidRPr="00D959B1" w14:paraId="551611DE" w14:textId="77777777" w:rsidTr="004D67BC">
        <w:trPr>
          <w:trHeight w:val="58"/>
        </w:trPr>
        <w:tc>
          <w:tcPr>
            <w:tcW w:w="1665" w:type="pct"/>
            <w:hideMark/>
          </w:tcPr>
          <w:p w14:paraId="314718D8" w14:textId="77777777" w:rsidR="004D67BC" w:rsidRPr="00D959B1" w:rsidRDefault="004D67BC" w:rsidP="00E27755">
            <w:pPr>
              <w:jc w:val="left"/>
              <w:rPr>
                <w:rFonts w:eastAsia="Times New Roman" w:cstheme="minorHAnsi"/>
                <w:sz w:val="16"/>
                <w:szCs w:val="16"/>
                <w:lang w:val="hr-HR" w:eastAsia="sr-Latn-ME"/>
              </w:rPr>
            </w:pPr>
            <w:r w:rsidRPr="00D959B1">
              <w:rPr>
                <w:rFonts w:eastAsia="Times New Roman" w:cstheme="minorHAnsi"/>
                <w:sz w:val="16"/>
                <w:szCs w:val="16"/>
                <w:lang w:val="hr-HR" w:eastAsia="sr-Latn-ME"/>
              </w:rPr>
              <w:t xml:space="preserve">Standardi profesionalnih kvalifikacija </w:t>
            </w:r>
          </w:p>
        </w:tc>
        <w:tc>
          <w:tcPr>
            <w:tcW w:w="858" w:type="pct"/>
            <w:hideMark/>
          </w:tcPr>
          <w:p w14:paraId="0F90D39D"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24</w:t>
            </w:r>
          </w:p>
        </w:tc>
        <w:tc>
          <w:tcPr>
            <w:tcW w:w="667" w:type="pct"/>
            <w:hideMark/>
          </w:tcPr>
          <w:p w14:paraId="4212E9E7"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762" w:type="pct"/>
            <w:hideMark/>
          </w:tcPr>
          <w:p w14:paraId="6AA421C6"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1048" w:type="pct"/>
            <w:hideMark/>
          </w:tcPr>
          <w:p w14:paraId="35B0A77C"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VET Centre</w:t>
            </w:r>
          </w:p>
        </w:tc>
      </w:tr>
      <w:tr w:rsidR="004D67BC" w:rsidRPr="00D959B1" w14:paraId="5546AEE3" w14:textId="77777777" w:rsidTr="004D67BC">
        <w:trPr>
          <w:trHeight w:val="58"/>
        </w:trPr>
        <w:tc>
          <w:tcPr>
            <w:tcW w:w="1665" w:type="pct"/>
            <w:hideMark/>
          </w:tcPr>
          <w:p w14:paraId="4AB858F9" w14:textId="77777777" w:rsidR="004D67BC" w:rsidRPr="00D959B1" w:rsidRDefault="004D67BC" w:rsidP="00E27755">
            <w:pPr>
              <w:jc w:val="left"/>
              <w:rPr>
                <w:rFonts w:eastAsia="Times New Roman" w:cstheme="minorHAnsi"/>
                <w:sz w:val="16"/>
                <w:szCs w:val="16"/>
                <w:lang w:val="hr-HR" w:eastAsia="sr-Latn-ME"/>
              </w:rPr>
            </w:pPr>
            <w:r w:rsidRPr="00D959B1">
              <w:rPr>
                <w:rFonts w:eastAsia="Times New Roman" w:cstheme="minorHAnsi"/>
                <w:sz w:val="16"/>
                <w:szCs w:val="16"/>
                <w:lang w:val="hr-HR" w:eastAsia="sr-Latn-ME"/>
              </w:rPr>
              <w:t xml:space="preserve">Učešće u programu Erasmus+ </w:t>
            </w:r>
          </w:p>
        </w:tc>
        <w:tc>
          <w:tcPr>
            <w:tcW w:w="858" w:type="pct"/>
            <w:hideMark/>
          </w:tcPr>
          <w:p w14:paraId="1D3A34CE"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Od 2014</w:t>
            </w:r>
          </w:p>
        </w:tc>
        <w:tc>
          <w:tcPr>
            <w:tcW w:w="667" w:type="pct"/>
            <w:hideMark/>
          </w:tcPr>
          <w:p w14:paraId="5D088F56"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762" w:type="pct"/>
            <w:hideMark/>
          </w:tcPr>
          <w:p w14:paraId="2C6FC18B"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Cijeli program</w:t>
            </w:r>
          </w:p>
        </w:tc>
        <w:tc>
          <w:tcPr>
            <w:tcW w:w="1048" w:type="pct"/>
            <w:hideMark/>
          </w:tcPr>
          <w:p w14:paraId="5660A92B"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EU/ME</w:t>
            </w:r>
          </w:p>
        </w:tc>
      </w:tr>
      <w:tr w:rsidR="004D67BC" w:rsidRPr="00D959B1" w14:paraId="0BBA2058" w14:textId="77777777" w:rsidTr="004D67BC">
        <w:trPr>
          <w:trHeight w:val="58"/>
        </w:trPr>
        <w:tc>
          <w:tcPr>
            <w:tcW w:w="1665" w:type="pct"/>
            <w:hideMark/>
          </w:tcPr>
          <w:p w14:paraId="13B01342" w14:textId="77777777" w:rsidR="004D67BC" w:rsidRPr="00D959B1" w:rsidRDefault="004D67BC" w:rsidP="00E27755">
            <w:pPr>
              <w:jc w:val="left"/>
              <w:rPr>
                <w:rFonts w:eastAsia="Times New Roman" w:cstheme="minorHAnsi"/>
                <w:sz w:val="16"/>
                <w:szCs w:val="16"/>
                <w:lang w:val="hr-HR" w:eastAsia="sr-Latn-ME"/>
              </w:rPr>
            </w:pPr>
            <w:r w:rsidRPr="00D959B1">
              <w:rPr>
                <w:rFonts w:eastAsia="Times New Roman" w:cstheme="minorHAnsi"/>
                <w:sz w:val="16"/>
                <w:szCs w:val="16"/>
                <w:lang w:val="hr-HR" w:eastAsia="sr-Latn-ME"/>
              </w:rPr>
              <w:t xml:space="preserve">Procjena u okviru Poglavlja 26 </w:t>
            </w:r>
          </w:p>
        </w:tc>
        <w:tc>
          <w:tcPr>
            <w:tcW w:w="858" w:type="pct"/>
            <w:hideMark/>
          </w:tcPr>
          <w:p w14:paraId="64DF87D1"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Dobar nivo pripremljenosti</w:t>
            </w:r>
          </w:p>
        </w:tc>
        <w:tc>
          <w:tcPr>
            <w:tcW w:w="667" w:type="pct"/>
            <w:hideMark/>
          </w:tcPr>
          <w:p w14:paraId="6E6A49A5"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762" w:type="pct"/>
            <w:hideMark/>
          </w:tcPr>
          <w:p w14:paraId="7E982E48"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1048" w:type="pct"/>
            <w:hideMark/>
          </w:tcPr>
          <w:p w14:paraId="2F347D5D"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 xml:space="preserve">2025, EC </w:t>
            </w:r>
            <w:proofErr w:type="spellStart"/>
            <w:r w:rsidRPr="00D959B1">
              <w:rPr>
                <w:rFonts w:eastAsia="Times New Roman" w:cstheme="minorHAnsi"/>
                <w:color w:val="000000"/>
                <w:sz w:val="16"/>
                <w:szCs w:val="16"/>
                <w:lang w:val="hr-HR"/>
              </w:rPr>
              <w:t>Report</w:t>
            </w:r>
            <w:proofErr w:type="spellEnd"/>
          </w:p>
        </w:tc>
      </w:tr>
      <w:tr w:rsidR="004D67BC" w:rsidRPr="00D959B1" w14:paraId="60A0210C" w14:textId="77777777" w:rsidTr="004D67BC">
        <w:trPr>
          <w:trHeight w:val="197"/>
        </w:trPr>
        <w:tc>
          <w:tcPr>
            <w:tcW w:w="1665" w:type="pct"/>
            <w:hideMark/>
          </w:tcPr>
          <w:p w14:paraId="7E779559" w14:textId="77777777" w:rsidR="004D67BC" w:rsidRPr="00D959B1" w:rsidRDefault="004D67BC" w:rsidP="00E27755">
            <w:pPr>
              <w:jc w:val="left"/>
              <w:rPr>
                <w:rFonts w:eastAsia="Times New Roman" w:cstheme="minorHAnsi"/>
                <w:sz w:val="16"/>
                <w:szCs w:val="16"/>
                <w:lang w:val="hr-HR" w:eastAsia="sr-Latn-ME"/>
              </w:rPr>
            </w:pPr>
            <w:r w:rsidRPr="00D959B1">
              <w:rPr>
                <w:rFonts w:eastAsia="Times New Roman" w:cstheme="minorHAnsi"/>
                <w:sz w:val="16"/>
                <w:szCs w:val="16"/>
                <w:lang w:val="hr-HR" w:eastAsia="sr-Latn-ME"/>
              </w:rPr>
              <w:t xml:space="preserve">Strategija reforme obrazovanja </w:t>
            </w:r>
          </w:p>
          <w:p w14:paraId="4CA97F2D" w14:textId="77777777" w:rsidR="004D67BC" w:rsidRPr="00D959B1" w:rsidRDefault="004D67BC" w:rsidP="00E27755">
            <w:pPr>
              <w:rPr>
                <w:rFonts w:eastAsia="Times New Roman" w:cstheme="minorHAnsi"/>
                <w:color w:val="000000"/>
                <w:sz w:val="16"/>
                <w:szCs w:val="16"/>
                <w:lang w:val="hr-HR"/>
              </w:rPr>
            </w:pPr>
          </w:p>
        </w:tc>
        <w:tc>
          <w:tcPr>
            <w:tcW w:w="858" w:type="pct"/>
            <w:hideMark/>
          </w:tcPr>
          <w:p w14:paraId="1D80C754"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2025-2035</w:t>
            </w:r>
          </w:p>
          <w:p w14:paraId="706B9D28"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 xml:space="preserve"> (Jun 2025)</w:t>
            </w:r>
          </w:p>
        </w:tc>
        <w:tc>
          <w:tcPr>
            <w:tcW w:w="667" w:type="pct"/>
            <w:hideMark/>
          </w:tcPr>
          <w:p w14:paraId="6B78F7D9"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762" w:type="pct"/>
            <w:hideMark/>
          </w:tcPr>
          <w:p w14:paraId="1AC92477"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Sprovođenje</w:t>
            </w:r>
          </w:p>
        </w:tc>
        <w:tc>
          <w:tcPr>
            <w:tcW w:w="1048" w:type="pct"/>
            <w:hideMark/>
          </w:tcPr>
          <w:p w14:paraId="31889A9C" w14:textId="77777777" w:rsidR="004D67BC" w:rsidRPr="00D959B1" w:rsidRDefault="004D67BC" w:rsidP="00E27755">
            <w:pPr>
              <w:rPr>
                <w:rFonts w:eastAsia="Times New Roman" w:cstheme="minorHAnsi"/>
                <w:color w:val="000000"/>
                <w:sz w:val="16"/>
                <w:szCs w:val="16"/>
                <w:lang w:val="hr-HR"/>
              </w:rPr>
            </w:pPr>
            <w:proofErr w:type="spellStart"/>
            <w:r w:rsidRPr="00D959B1">
              <w:rPr>
                <w:rFonts w:eastAsia="Times New Roman" w:cstheme="minorHAnsi"/>
                <w:color w:val="000000"/>
                <w:sz w:val="16"/>
                <w:szCs w:val="16"/>
                <w:lang w:val="hr-HR"/>
              </w:rPr>
              <w:t>MoESI</w:t>
            </w:r>
            <w:proofErr w:type="spellEnd"/>
            <w:r w:rsidRPr="00D959B1">
              <w:rPr>
                <w:rFonts w:eastAsia="Times New Roman" w:cstheme="minorHAnsi"/>
                <w:color w:val="000000"/>
                <w:sz w:val="16"/>
                <w:szCs w:val="16"/>
                <w:lang w:val="hr-HR"/>
              </w:rPr>
              <w:t>/UNICEF</w:t>
            </w:r>
          </w:p>
        </w:tc>
      </w:tr>
      <w:tr w:rsidR="004D67BC" w:rsidRPr="00D959B1" w14:paraId="3449F968" w14:textId="77777777" w:rsidTr="006008DB">
        <w:trPr>
          <w:trHeight w:val="400"/>
        </w:trPr>
        <w:tc>
          <w:tcPr>
            <w:tcW w:w="1665" w:type="pct"/>
            <w:hideMark/>
          </w:tcPr>
          <w:p w14:paraId="7A20A30C"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sz w:val="16"/>
                <w:szCs w:val="16"/>
                <w:lang w:val="hr-HR" w:eastAsia="sr-Latn-ME"/>
              </w:rPr>
              <w:t>Strategija stručnog obrazovanja i osposobljavanja (VET)</w:t>
            </w:r>
          </w:p>
        </w:tc>
        <w:tc>
          <w:tcPr>
            <w:tcW w:w="858" w:type="pct"/>
            <w:hideMark/>
          </w:tcPr>
          <w:p w14:paraId="511BED75"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2020-2024 (</w:t>
            </w:r>
            <w:proofErr w:type="spellStart"/>
            <w:r w:rsidRPr="00D959B1">
              <w:rPr>
                <w:rFonts w:eastAsia="Times New Roman" w:cstheme="minorHAnsi"/>
                <w:color w:val="000000"/>
                <w:sz w:val="16"/>
                <w:szCs w:val="16"/>
                <w:lang w:val="hr-HR"/>
              </w:rPr>
              <w:t>successor</w:t>
            </w:r>
            <w:proofErr w:type="spellEnd"/>
            <w:r w:rsidRPr="00D959B1">
              <w:rPr>
                <w:rFonts w:eastAsia="Times New Roman" w:cstheme="minorHAnsi"/>
                <w:color w:val="000000"/>
                <w:sz w:val="16"/>
                <w:szCs w:val="16"/>
                <w:lang w:val="hr-HR"/>
              </w:rPr>
              <w:t xml:space="preserve"> </w:t>
            </w:r>
            <w:proofErr w:type="spellStart"/>
            <w:r w:rsidRPr="00D959B1">
              <w:rPr>
                <w:rFonts w:eastAsia="Times New Roman" w:cstheme="minorHAnsi"/>
                <w:color w:val="000000"/>
                <w:sz w:val="16"/>
                <w:szCs w:val="16"/>
                <w:lang w:val="hr-HR"/>
              </w:rPr>
              <w:t>needed</w:t>
            </w:r>
            <w:proofErr w:type="spellEnd"/>
            <w:r w:rsidRPr="00D959B1">
              <w:rPr>
                <w:rFonts w:eastAsia="Times New Roman" w:cstheme="minorHAnsi"/>
                <w:color w:val="000000"/>
                <w:sz w:val="16"/>
                <w:szCs w:val="16"/>
                <w:lang w:val="hr-HR"/>
              </w:rPr>
              <w:t>)</w:t>
            </w:r>
          </w:p>
        </w:tc>
        <w:tc>
          <w:tcPr>
            <w:tcW w:w="667" w:type="pct"/>
            <w:hideMark/>
          </w:tcPr>
          <w:p w14:paraId="37718323"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w:t>
            </w:r>
          </w:p>
        </w:tc>
        <w:tc>
          <w:tcPr>
            <w:tcW w:w="762" w:type="pct"/>
            <w:hideMark/>
          </w:tcPr>
          <w:p w14:paraId="18C0A332" w14:textId="77777777" w:rsidR="004D67BC" w:rsidRPr="00D959B1" w:rsidRDefault="004D67BC"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 xml:space="preserve">New </w:t>
            </w:r>
            <w:proofErr w:type="spellStart"/>
            <w:r w:rsidRPr="00D959B1">
              <w:rPr>
                <w:rFonts w:eastAsia="Times New Roman" w:cstheme="minorHAnsi"/>
                <w:color w:val="000000"/>
                <w:sz w:val="16"/>
                <w:szCs w:val="16"/>
                <w:lang w:val="hr-HR"/>
              </w:rPr>
              <w:t>strategy</w:t>
            </w:r>
            <w:proofErr w:type="spellEnd"/>
          </w:p>
        </w:tc>
        <w:tc>
          <w:tcPr>
            <w:tcW w:w="1048" w:type="pct"/>
            <w:hideMark/>
          </w:tcPr>
          <w:p w14:paraId="31416199" w14:textId="77777777" w:rsidR="004D67BC" w:rsidRPr="00D959B1" w:rsidRDefault="004D67BC"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VET Centre</w:t>
            </w:r>
          </w:p>
        </w:tc>
      </w:tr>
      <w:tr w:rsidR="006008DB" w:rsidRPr="00D959B1" w14:paraId="4673B9B9" w14:textId="77777777" w:rsidTr="006008DB">
        <w:trPr>
          <w:trHeight w:val="400"/>
        </w:trPr>
        <w:tc>
          <w:tcPr>
            <w:tcW w:w="1665" w:type="pct"/>
          </w:tcPr>
          <w:p w14:paraId="236667F2" w14:textId="4A11ADFD" w:rsidR="006008DB" w:rsidRPr="00D959B1" w:rsidRDefault="006008DB" w:rsidP="006008DB">
            <w:pPr>
              <w:rPr>
                <w:rFonts w:eastAsia="Times New Roman" w:cstheme="minorHAnsi"/>
                <w:sz w:val="16"/>
                <w:szCs w:val="16"/>
                <w:lang w:val="hr-HR" w:eastAsia="sr-Latn-ME"/>
              </w:rPr>
            </w:pPr>
            <w:r w:rsidRPr="00D959B1">
              <w:rPr>
                <w:rFonts w:eastAsia="Times New Roman" w:cstheme="minorHAnsi"/>
                <w:sz w:val="16"/>
                <w:szCs w:val="16"/>
                <w:lang w:val="hr-HR" w:eastAsia="sr-Latn-ME"/>
              </w:rPr>
              <w:t xml:space="preserve">% uključenosti odraslih u obrazovanje u prethodnih godinu dana </w:t>
            </w:r>
          </w:p>
        </w:tc>
        <w:tc>
          <w:tcPr>
            <w:tcW w:w="858" w:type="pct"/>
          </w:tcPr>
          <w:p w14:paraId="6BEB6FA5" w14:textId="0BC927F7" w:rsidR="006008DB" w:rsidRPr="00D959B1" w:rsidRDefault="006008DB"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26,965  (7.75%)</w:t>
            </w:r>
          </w:p>
          <w:p w14:paraId="2AAE6EC1" w14:textId="234C976E" w:rsidR="006008DB" w:rsidRPr="00D959B1" w:rsidRDefault="006008DB" w:rsidP="00E27755">
            <w:pPr>
              <w:jc w:val="center"/>
              <w:rPr>
                <w:rFonts w:eastAsia="Times New Roman" w:cstheme="minorHAnsi"/>
                <w:color w:val="000000"/>
                <w:sz w:val="16"/>
                <w:szCs w:val="16"/>
                <w:lang w:val="hr-HR"/>
              </w:rPr>
            </w:pPr>
            <w:r w:rsidRPr="00D959B1">
              <w:rPr>
                <w:rFonts w:eastAsia="Times New Roman" w:cstheme="minorHAnsi"/>
                <w:sz w:val="16"/>
                <w:szCs w:val="16"/>
                <w:lang w:val="hr-HR" w:eastAsia="sr-Latn-ME"/>
              </w:rPr>
              <w:t>(25-64 = 336.232)</w:t>
            </w:r>
          </w:p>
        </w:tc>
        <w:tc>
          <w:tcPr>
            <w:tcW w:w="667" w:type="pct"/>
          </w:tcPr>
          <w:p w14:paraId="695E9EEB" w14:textId="77777777" w:rsidR="006008DB" w:rsidRPr="00D959B1" w:rsidRDefault="006008DB"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39.2% (2022)</w:t>
            </w:r>
          </w:p>
          <w:p w14:paraId="00DBB2AA" w14:textId="0F72FCA6" w:rsidR="006008DB" w:rsidRPr="00D959B1" w:rsidRDefault="006008DB"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Cilj 2025 do 47%, a 60% do 2030</w:t>
            </w:r>
            <w:r w:rsidRPr="00D959B1">
              <w:rPr>
                <w:rStyle w:val="Referencafusnote"/>
                <w:rFonts w:eastAsia="Times New Roman" w:cstheme="minorHAnsi"/>
                <w:color w:val="000000"/>
                <w:sz w:val="16"/>
                <w:szCs w:val="16"/>
                <w:lang w:val="hr-HR"/>
              </w:rPr>
              <w:footnoteReference w:id="61"/>
            </w:r>
          </w:p>
        </w:tc>
        <w:tc>
          <w:tcPr>
            <w:tcW w:w="762" w:type="pct"/>
          </w:tcPr>
          <w:p w14:paraId="0761E15A" w14:textId="20DB12F5" w:rsidR="006008DB" w:rsidRPr="00D959B1" w:rsidRDefault="006008DB" w:rsidP="00E27755">
            <w:pPr>
              <w:jc w:val="center"/>
              <w:rPr>
                <w:rFonts w:eastAsia="Times New Roman" w:cstheme="minorHAnsi"/>
                <w:color w:val="000000"/>
                <w:sz w:val="16"/>
                <w:szCs w:val="16"/>
                <w:lang w:val="hr-HR"/>
              </w:rPr>
            </w:pPr>
            <w:r w:rsidRPr="00D959B1">
              <w:rPr>
                <w:rFonts w:eastAsia="Times New Roman" w:cstheme="minorHAnsi"/>
                <w:color w:val="000000"/>
                <w:sz w:val="16"/>
                <w:szCs w:val="16"/>
                <w:lang w:val="hr-HR"/>
              </w:rPr>
              <w:t>Značajnije povećanje uključenosti</w:t>
            </w:r>
          </w:p>
        </w:tc>
        <w:tc>
          <w:tcPr>
            <w:tcW w:w="1048" w:type="pct"/>
          </w:tcPr>
          <w:p w14:paraId="510EF903" w14:textId="022A19E7" w:rsidR="006008DB" w:rsidRPr="00D959B1" w:rsidRDefault="006008DB" w:rsidP="00E27755">
            <w:pPr>
              <w:rPr>
                <w:rFonts w:eastAsia="Times New Roman" w:cstheme="minorHAnsi"/>
                <w:color w:val="000000"/>
                <w:sz w:val="16"/>
                <w:szCs w:val="16"/>
                <w:lang w:val="hr-HR"/>
              </w:rPr>
            </w:pPr>
            <w:r w:rsidRPr="00D959B1">
              <w:rPr>
                <w:rFonts w:eastAsia="Times New Roman" w:cstheme="minorHAnsi"/>
                <w:color w:val="000000"/>
                <w:sz w:val="16"/>
                <w:szCs w:val="16"/>
                <w:lang w:val="hr-HR"/>
              </w:rPr>
              <w:t xml:space="preserve">MPNI, Izvještaj 2025 </w:t>
            </w:r>
            <w:r w:rsidRPr="00D959B1">
              <w:rPr>
                <w:rStyle w:val="Referencafusnote"/>
                <w:rFonts w:eastAsia="Times New Roman" w:cstheme="minorHAnsi"/>
                <w:color w:val="000000"/>
                <w:sz w:val="16"/>
                <w:szCs w:val="16"/>
                <w:lang w:val="hr-HR"/>
              </w:rPr>
              <w:footnoteReference w:id="62"/>
            </w:r>
          </w:p>
        </w:tc>
      </w:tr>
    </w:tbl>
    <w:p w14:paraId="14F1E7EC" w14:textId="77777777" w:rsidR="004D67BC" w:rsidRPr="00D959B1" w:rsidRDefault="004D67BC" w:rsidP="004D67BC">
      <w:pPr>
        <w:rPr>
          <w:rFonts w:eastAsia="Times New Roman" w:cstheme="minorHAnsi"/>
          <w:b/>
          <w:bCs/>
          <w:lang w:val="hr-HR"/>
        </w:rPr>
      </w:pPr>
    </w:p>
    <w:p w14:paraId="489C4B88" w14:textId="77777777" w:rsidR="00FC15BF" w:rsidRPr="00D959B1" w:rsidRDefault="00FC15BF" w:rsidP="004D67BC">
      <w:pPr>
        <w:rPr>
          <w:rFonts w:eastAsia="Times New Roman" w:cstheme="minorHAnsi"/>
          <w:b/>
          <w:bCs/>
          <w:lang w:val="hr-HR"/>
        </w:rPr>
      </w:pPr>
    </w:p>
    <w:p w14:paraId="1F5AF3BF" w14:textId="0C5011B4" w:rsidR="004D67BC" w:rsidRPr="00D959B1" w:rsidRDefault="00417444" w:rsidP="004D67BC">
      <w:pPr>
        <w:pStyle w:val="Naslov2"/>
        <w:rPr>
          <w:rFonts w:eastAsia="Times New Roman"/>
          <w:lang w:val="hr-HR"/>
        </w:rPr>
      </w:pPr>
      <w:r w:rsidRPr="00D959B1">
        <w:rPr>
          <w:rFonts w:eastAsia="Times New Roman"/>
          <w:lang w:val="hr-HR"/>
        </w:rPr>
        <w:t xml:space="preserve">3.3 </w:t>
      </w:r>
      <w:r w:rsidR="004D67BC" w:rsidRPr="00D959B1">
        <w:rPr>
          <w:rFonts w:eastAsia="Times New Roman"/>
          <w:lang w:val="hr-HR"/>
        </w:rPr>
        <w:t>Tematske cjeline</w:t>
      </w:r>
    </w:p>
    <w:tbl>
      <w:tblPr>
        <w:tblStyle w:val="Reetkatablice"/>
        <w:tblW w:w="5000" w:type="pct"/>
        <w:jc w:val="center"/>
        <w:tblLook w:val="04A0" w:firstRow="1" w:lastRow="0" w:firstColumn="1" w:lastColumn="0" w:noHBand="0" w:noVBand="1"/>
      </w:tblPr>
      <w:tblGrid>
        <w:gridCol w:w="1620"/>
        <w:gridCol w:w="7442"/>
      </w:tblGrid>
      <w:tr w:rsidR="004D67BC" w:rsidRPr="00D959B1" w14:paraId="19D6E017" w14:textId="77777777" w:rsidTr="004D67BC">
        <w:trPr>
          <w:jc w:val="center"/>
        </w:trPr>
        <w:tc>
          <w:tcPr>
            <w:tcW w:w="894" w:type="pct"/>
            <w:shd w:val="clear" w:color="auto" w:fill="83CAEB" w:themeFill="accent1" w:themeFillTint="66"/>
          </w:tcPr>
          <w:p w14:paraId="2DADB3A1" w14:textId="77777777" w:rsidR="004D67BC" w:rsidRPr="00D959B1" w:rsidRDefault="004D67BC" w:rsidP="00E27755">
            <w:pPr>
              <w:jc w:val="left"/>
              <w:rPr>
                <w:rFonts w:eastAsia="Times New Roman" w:cstheme="minorHAnsi"/>
                <w:b/>
                <w:bCs/>
                <w:sz w:val="16"/>
                <w:szCs w:val="16"/>
                <w:lang w:val="hr-HR"/>
              </w:rPr>
            </w:pPr>
            <w:r w:rsidRPr="00D959B1">
              <w:rPr>
                <w:rFonts w:eastAsia="Times New Roman" w:cstheme="minorHAnsi"/>
                <w:b/>
                <w:bCs/>
                <w:sz w:val="16"/>
                <w:szCs w:val="16"/>
                <w:lang w:val="hr-HR"/>
              </w:rPr>
              <w:t xml:space="preserve">Kod tematske cjeline </w:t>
            </w:r>
          </w:p>
        </w:tc>
        <w:tc>
          <w:tcPr>
            <w:tcW w:w="4106" w:type="pct"/>
            <w:shd w:val="clear" w:color="auto" w:fill="83CAEB" w:themeFill="accent1" w:themeFillTint="66"/>
            <w:vAlign w:val="center"/>
          </w:tcPr>
          <w:p w14:paraId="7BD0F1BD" w14:textId="77777777" w:rsidR="004D67BC" w:rsidRPr="00D959B1" w:rsidRDefault="004D67BC" w:rsidP="00E27755">
            <w:pPr>
              <w:jc w:val="left"/>
              <w:rPr>
                <w:rFonts w:eastAsia="Times New Roman" w:cstheme="minorHAnsi"/>
                <w:b/>
                <w:bCs/>
                <w:sz w:val="16"/>
                <w:szCs w:val="16"/>
                <w:lang w:val="hr-HR"/>
              </w:rPr>
            </w:pPr>
            <w:r w:rsidRPr="00D959B1">
              <w:rPr>
                <w:rFonts w:eastAsia="Times New Roman" w:cstheme="minorHAnsi"/>
                <w:b/>
                <w:bCs/>
                <w:sz w:val="16"/>
                <w:szCs w:val="16"/>
                <w:lang w:val="hr-HR"/>
              </w:rPr>
              <w:t>Naziv tematske cjeline</w:t>
            </w:r>
          </w:p>
        </w:tc>
      </w:tr>
      <w:tr w:rsidR="004D67BC" w:rsidRPr="00D959B1" w14:paraId="7BDD074E" w14:textId="77777777" w:rsidTr="004D67BC">
        <w:trPr>
          <w:jc w:val="center"/>
        </w:trPr>
        <w:tc>
          <w:tcPr>
            <w:tcW w:w="894" w:type="pct"/>
          </w:tcPr>
          <w:p w14:paraId="635F92B8" w14:textId="77777777" w:rsidR="004D67BC" w:rsidRPr="00D959B1" w:rsidRDefault="004D67BC" w:rsidP="00E27755">
            <w:pPr>
              <w:rPr>
                <w:rFonts w:eastAsia="Times New Roman" w:cstheme="minorHAnsi"/>
                <w:b/>
                <w:bCs/>
                <w:sz w:val="16"/>
                <w:szCs w:val="16"/>
                <w:lang w:val="hr-HR"/>
              </w:rPr>
            </w:pPr>
          </w:p>
        </w:tc>
        <w:tc>
          <w:tcPr>
            <w:tcW w:w="4106" w:type="pct"/>
            <w:shd w:val="clear" w:color="auto" w:fill="D9D9D9" w:themeFill="background1" w:themeFillShade="D9"/>
          </w:tcPr>
          <w:p w14:paraId="648C77CE" w14:textId="77777777" w:rsidR="004D67BC" w:rsidRPr="00D959B1" w:rsidRDefault="004D67BC" w:rsidP="00E27755">
            <w:pPr>
              <w:rPr>
                <w:rFonts w:eastAsia="Times New Roman" w:cstheme="minorHAnsi"/>
                <w:b/>
                <w:bCs/>
                <w:sz w:val="16"/>
                <w:szCs w:val="16"/>
                <w:lang w:val="hr-HR"/>
              </w:rPr>
            </w:pPr>
            <w:r w:rsidRPr="00D959B1">
              <w:rPr>
                <w:rFonts w:eastAsia="Times New Roman" w:cstheme="minorHAnsi"/>
                <w:b/>
                <w:bCs/>
                <w:sz w:val="16"/>
                <w:szCs w:val="16"/>
                <w:lang w:val="hr-HR"/>
              </w:rPr>
              <w:t>6.16 Obrazovanje</w:t>
            </w:r>
          </w:p>
        </w:tc>
      </w:tr>
      <w:tr w:rsidR="004D67BC" w:rsidRPr="00D959B1" w14:paraId="338E3B1B" w14:textId="77777777" w:rsidTr="004D67BC">
        <w:trPr>
          <w:jc w:val="center"/>
        </w:trPr>
        <w:tc>
          <w:tcPr>
            <w:tcW w:w="894" w:type="pct"/>
            <w:vAlign w:val="center"/>
          </w:tcPr>
          <w:p w14:paraId="696E23A2"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111</w:t>
            </w:r>
          </w:p>
        </w:tc>
        <w:tc>
          <w:tcPr>
            <w:tcW w:w="4106" w:type="pct"/>
          </w:tcPr>
          <w:p w14:paraId="4159F80F" w14:textId="77777777" w:rsidR="004D67BC" w:rsidRPr="00D959B1" w:rsidRDefault="004D67BC" w:rsidP="00E27755">
            <w:pPr>
              <w:rPr>
                <w:rFonts w:eastAsia="Times New Roman"/>
                <w:sz w:val="16"/>
                <w:szCs w:val="16"/>
                <w:lang w:val="hr-HR"/>
              </w:rPr>
            </w:pPr>
            <w:r w:rsidRPr="00D959B1">
              <w:rPr>
                <w:sz w:val="16"/>
                <w:szCs w:val="16"/>
                <w:lang w:val="hr-HR" w:eastAsia="sr-Latn-ME"/>
              </w:rPr>
              <w:t xml:space="preserve">Predškolsko </w:t>
            </w:r>
            <w:proofErr w:type="spellStart"/>
            <w:r w:rsidRPr="00D959B1">
              <w:rPr>
                <w:sz w:val="16"/>
                <w:szCs w:val="16"/>
                <w:lang w:val="hr-HR" w:eastAsia="sr-Latn-ME"/>
              </w:rPr>
              <w:t>vaspitanje</w:t>
            </w:r>
            <w:proofErr w:type="spellEnd"/>
            <w:r w:rsidRPr="00D959B1">
              <w:rPr>
                <w:sz w:val="16"/>
                <w:szCs w:val="16"/>
                <w:lang w:val="hr-HR" w:eastAsia="sr-Latn-ME"/>
              </w:rPr>
              <w:t xml:space="preserve"> i obrazovanje (bez infrastrukture) </w:t>
            </w:r>
          </w:p>
        </w:tc>
      </w:tr>
      <w:tr w:rsidR="004D67BC" w:rsidRPr="00D959B1" w14:paraId="36810C9C" w14:textId="77777777" w:rsidTr="004D67BC">
        <w:trPr>
          <w:jc w:val="center"/>
        </w:trPr>
        <w:tc>
          <w:tcPr>
            <w:tcW w:w="894" w:type="pct"/>
            <w:vAlign w:val="center"/>
          </w:tcPr>
          <w:p w14:paraId="727E449C"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112</w:t>
            </w:r>
          </w:p>
        </w:tc>
        <w:tc>
          <w:tcPr>
            <w:tcW w:w="4106" w:type="pct"/>
          </w:tcPr>
          <w:p w14:paraId="711B11A6" w14:textId="77777777" w:rsidR="004D67BC" w:rsidRPr="00D959B1" w:rsidRDefault="004D67BC" w:rsidP="00E27755">
            <w:pPr>
              <w:rPr>
                <w:rFonts w:eastAsia="Times New Roman"/>
                <w:sz w:val="16"/>
                <w:szCs w:val="16"/>
                <w:lang w:val="hr-HR"/>
              </w:rPr>
            </w:pPr>
            <w:r w:rsidRPr="00D959B1">
              <w:rPr>
                <w:sz w:val="16"/>
                <w:szCs w:val="16"/>
                <w:lang w:val="hr-HR" w:eastAsia="sr-Latn-ME"/>
              </w:rPr>
              <w:t xml:space="preserve">Osnovno obrazovanje (bez infrastrukture) </w:t>
            </w:r>
          </w:p>
        </w:tc>
      </w:tr>
      <w:tr w:rsidR="004D67BC" w:rsidRPr="00D959B1" w14:paraId="3A18B699" w14:textId="77777777" w:rsidTr="004D67BC">
        <w:trPr>
          <w:jc w:val="center"/>
        </w:trPr>
        <w:tc>
          <w:tcPr>
            <w:tcW w:w="894" w:type="pct"/>
            <w:vAlign w:val="center"/>
          </w:tcPr>
          <w:p w14:paraId="0FCD8787"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113</w:t>
            </w:r>
          </w:p>
        </w:tc>
        <w:tc>
          <w:tcPr>
            <w:tcW w:w="4106" w:type="pct"/>
          </w:tcPr>
          <w:p w14:paraId="5AD50B20" w14:textId="77777777" w:rsidR="004D67BC" w:rsidRPr="00D959B1" w:rsidRDefault="004D67BC" w:rsidP="00E27755">
            <w:pPr>
              <w:rPr>
                <w:rFonts w:eastAsia="Times New Roman"/>
                <w:sz w:val="16"/>
                <w:szCs w:val="16"/>
                <w:lang w:val="hr-HR"/>
              </w:rPr>
            </w:pPr>
            <w:r w:rsidRPr="00D959B1">
              <w:rPr>
                <w:sz w:val="16"/>
                <w:szCs w:val="16"/>
                <w:lang w:val="hr-HR" w:eastAsia="sr-Latn-ME"/>
              </w:rPr>
              <w:t xml:space="preserve">Srednje obrazovanje (bez infrastrukture) </w:t>
            </w:r>
          </w:p>
        </w:tc>
      </w:tr>
      <w:tr w:rsidR="004D67BC" w:rsidRPr="00D959B1" w14:paraId="795E3AFE" w14:textId="77777777" w:rsidTr="004D67BC">
        <w:trPr>
          <w:jc w:val="center"/>
        </w:trPr>
        <w:tc>
          <w:tcPr>
            <w:tcW w:w="894" w:type="pct"/>
            <w:vAlign w:val="center"/>
          </w:tcPr>
          <w:p w14:paraId="6121DB9B"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114</w:t>
            </w:r>
          </w:p>
        </w:tc>
        <w:tc>
          <w:tcPr>
            <w:tcW w:w="4106" w:type="pct"/>
          </w:tcPr>
          <w:p w14:paraId="6AF2A2D8" w14:textId="77777777" w:rsidR="004D67BC" w:rsidRPr="00D959B1" w:rsidRDefault="004D67BC" w:rsidP="00E27755">
            <w:pPr>
              <w:rPr>
                <w:rFonts w:eastAsia="Times New Roman"/>
                <w:sz w:val="16"/>
                <w:szCs w:val="16"/>
                <w:lang w:val="hr-HR"/>
              </w:rPr>
            </w:pPr>
            <w:r w:rsidRPr="00D959B1">
              <w:rPr>
                <w:sz w:val="16"/>
                <w:szCs w:val="16"/>
                <w:lang w:val="hr-HR" w:eastAsia="sr-Latn-ME"/>
              </w:rPr>
              <w:t xml:space="preserve">Tercijarno obrazovanje (bez infrastrukture) </w:t>
            </w:r>
          </w:p>
        </w:tc>
      </w:tr>
      <w:tr w:rsidR="004D67BC" w:rsidRPr="00D959B1" w14:paraId="59DC20E5" w14:textId="77777777" w:rsidTr="004D67BC">
        <w:trPr>
          <w:jc w:val="center"/>
        </w:trPr>
        <w:tc>
          <w:tcPr>
            <w:tcW w:w="894" w:type="pct"/>
            <w:vAlign w:val="center"/>
          </w:tcPr>
          <w:p w14:paraId="2F0A0C4C"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115</w:t>
            </w:r>
          </w:p>
        </w:tc>
        <w:tc>
          <w:tcPr>
            <w:tcW w:w="4106" w:type="pct"/>
          </w:tcPr>
          <w:p w14:paraId="2F869A59" w14:textId="77777777" w:rsidR="004D67BC" w:rsidRPr="00D959B1" w:rsidRDefault="004D67BC" w:rsidP="00E27755">
            <w:pPr>
              <w:rPr>
                <w:rFonts w:eastAsia="Times New Roman"/>
                <w:sz w:val="16"/>
                <w:szCs w:val="16"/>
                <w:lang w:val="hr-HR"/>
              </w:rPr>
            </w:pPr>
            <w:r w:rsidRPr="00D959B1">
              <w:rPr>
                <w:sz w:val="16"/>
                <w:szCs w:val="16"/>
                <w:lang w:val="hr-HR" w:eastAsia="sr-Latn-ME"/>
              </w:rPr>
              <w:t xml:space="preserve">Inicijalno stručno obrazovanje i osposobljavanje (bez infrastrukture) </w:t>
            </w:r>
          </w:p>
        </w:tc>
      </w:tr>
      <w:tr w:rsidR="004D67BC" w:rsidRPr="00D959B1" w14:paraId="145EF304" w14:textId="77777777" w:rsidTr="004D67BC">
        <w:trPr>
          <w:jc w:val="center"/>
        </w:trPr>
        <w:tc>
          <w:tcPr>
            <w:tcW w:w="894" w:type="pct"/>
            <w:vAlign w:val="center"/>
          </w:tcPr>
          <w:p w14:paraId="6CE6E5DA"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116</w:t>
            </w:r>
          </w:p>
        </w:tc>
        <w:tc>
          <w:tcPr>
            <w:tcW w:w="4106" w:type="pct"/>
          </w:tcPr>
          <w:p w14:paraId="710CD547" w14:textId="77777777" w:rsidR="004D67BC" w:rsidRPr="00D959B1" w:rsidRDefault="004D67BC" w:rsidP="00E27755">
            <w:pPr>
              <w:rPr>
                <w:rFonts w:eastAsia="Times New Roman"/>
                <w:sz w:val="16"/>
                <w:szCs w:val="16"/>
                <w:lang w:val="hr-HR"/>
              </w:rPr>
            </w:pPr>
            <w:r w:rsidRPr="00D959B1">
              <w:rPr>
                <w:sz w:val="16"/>
                <w:szCs w:val="16"/>
                <w:lang w:val="hr-HR" w:eastAsia="sr-Latn-ME"/>
              </w:rPr>
              <w:t xml:space="preserve">Unapređenje pristupa obrazovanju za osobe sa invaliditetom </w:t>
            </w:r>
          </w:p>
        </w:tc>
      </w:tr>
      <w:tr w:rsidR="004D67BC" w:rsidRPr="00D959B1" w14:paraId="60D7C5CE" w14:textId="77777777" w:rsidTr="004D67BC">
        <w:trPr>
          <w:jc w:val="center"/>
        </w:trPr>
        <w:tc>
          <w:tcPr>
            <w:tcW w:w="894" w:type="pct"/>
            <w:vAlign w:val="center"/>
          </w:tcPr>
          <w:p w14:paraId="199D9B6D"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117</w:t>
            </w:r>
          </w:p>
        </w:tc>
        <w:tc>
          <w:tcPr>
            <w:tcW w:w="4106" w:type="pct"/>
          </w:tcPr>
          <w:p w14:paraId="4E605633" w14:textId="77777777" w:rsidR="004D67BC" w:rsidRPr="00D959B1" w:rsidRDefault="004D67BC" w:rsidP="00E27755">
            <w:pPr>
              <w:rPr>
                <w:rFonts w:eastAsia="Times New Roman"/>
                <w:sz w:val="16"/>
                <w:szCs w:val="16"/>
                <w:lang w:val="hr-HR"/>
              </w:rPr>
            </w:pPr>
            <w:r w:rsidRPr="00D959B1">
              <w:rPr>
                <w:sz w:val="16"/>
                <w:szCs w:val="16"/>
                <w:lang w:val="hr-HR" w:eastAsia="sr-Latn-ME"/>
              </w:rPr>
              <w:t xml:space="preserve">Unapređenje pristupa obrazovanju za </w:t>
            </w:r>
            <w:proofErr w:type="spellStart"/>
            <w:r w:rsidRPr="00D959B1">
              <w:rPr>
                <w:sz w:val="16"/>
                <w:szCs w:val="16"/>
                <w:lang w:val="hr-HR" w:eastAsia="sr-Latn-ME"/>
              </w:rPr>
              <w:t>marginalizovane</w:t>
            </w:r>
            <w:proofErr w:type="spellEnd"/>
            <w:r w:rsidRPr="00D959B1">
              <w:rPr>
                <w:sz w:val="16"/>
                <w:szCs w:val="16"/>
                <w:lang w:val="hr-HR" w:eastAsia="sr-Latn-ME"/>
              </w:rPr>
              <w:t xml:space="preserve"> zajednice, poput Roma </w:t>
            </w:r>
          </w:p>
        </w:tc>
      </w:tr>
      <w:tr w:rsidR="004D67BC" w:rsidRPr="00D959B1" w14:paraId="0E96D2FD" w14:textId="77777777" w:rsidTr="004D67BC">
        <w:trPr>
          <w:jc w:val="center"/>
        </w:trPr>
        <w:tc>
          <w:tcPr>
            <w:tcW w:w="894" w:type="pct"/>
            <w:vAlign w:val="center"/>
          </w:tcPr>
          <w:p w14:paraId="50CC6386"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118</w:t>
            </w:r>
          </w:p>
        </w:tc>
        <w:tc>
          <w:tcPr>
            <w:tcW w:w="4106" w:type="pct"/>
          </w:tcPr>
          <w:p w14:paraId="4C12F6E7" w14:textId="77777777" w:rsidR="004D67BC" w:rsidRPr="00D959B1" w:rsidRDefault="004D67BC" w:rsidP="00E27755">
            <w:pPr>
              <w:rPr>
                <w:rFonts w:eastAsia="Times New Roman"/>
                <w:sz w:val="16"/>
                <w:szCs w:val="16"/>
                <w:lang w:val="hr-HR"/>
              </w:rPr>
            </w:pPr>
            <w:r w:rsidRPr="00D959B1">
              <w:rPr>
                <w:sz w:val="16"/>
                <w:szCs w:val="16"/>
                <w:lang w:val="hr-HR" w:eastAsia="sr-Latn-ME"/>
              </w:rPr>
              <w:t xml:space="preserve">Obrazovanje za izbjeglice u trećim zemljama </w:t>
            </w:r>
          </w:p>
        </w:tc>
      </w:tr>
      <w:tr w:rsidR="004D67BC" w:rsidRPr="00D959B1" w14:paraId="42FD60E3" w14:textId="77777777" w:rsidTr="004D67BC">
        <w:trPr>
          <w:jc w:val="center"/>
        </w:trPr>
        <w:tc>
          <w:tcPr>
            <w:tcW w:w="894" w:type="pct"/>
            <w:vAlign w:val="center"/>
          </w:tcPr>
          <w:p w14:paraId="4B28E9EF"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119</w:t>
            </w:r>
          </w:p>
        </w:tc>
        <w:tc>
          <w:tcPr>
            <w:tcW w:w="4106" w:type="pct"/>
          </w:tcPr>
          <w:p w14:paraId="7BA34E3C" w14:textId="77777777" w:rsidR="004D67BC" w:rsidRPr="00D959B1" w:rsidRDefault="004D67BC" w:rsidP="00E27755">
            <w:pPr>
              <w:rPr>
                <w:rFonts w:eastAsia="Times New Roman"/>
                <w:sz w:val="16"/>
                <w:szCs w:val="16"/>
                <w:lang w:val="hr-HR"/>
              </w:rPr>
            </w:pPr>
            <w:r w:rsidRPr="00D959B1">
              <w:rPr>
                <w:sz w:val="16"/>
                <w:szCs w:val="16"/>
                <w:lang w:val="hr-HR" w:eastAsia="sr-Latn-ME"/>
              </w:rPr>
              <w:t xml:space="preserve">Obuka nastavnika (nivo obrazovanja nije preciziran) </w:t>
            </w:r>
          </w:p>
        </w:tc>
      </w:tr>
      <w:tr w:rsidR="004D67BC" w:rsidRPr="00D959B1" w14:paraId="704C2C5D" w14:textId="77777777" w:rsidTr="004D67BC">
        <w:trPr>
          <w:jc w:val="center"/>
        </w:trPr>
        <w:tc>
          <w:tcPr>
            <w:tcW w:w="894" w:type="pct"/>
            <w:vAlign w:val="center"/>
          </w:tcPr>
          <w:p w14:paraId="0D7ABF82"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120</w:t>
            </w:r>
          </w:p>
        </w:tc>
        <w:tc>
          <w:tcPr>
            <w:tcW w:w="4106" w:type="pct"/>
          </w:tcPr>
          <w:p w14:paraId="391185F0" w14:textId="77777777" w:rsidR="004D67BC" w:rsidRPr="00D959B1" w:rsidRDefault="004D67BC" w:rsidP="00E27755">
            <w:pPr>
              <w:rPr>
                <w:rFonts w:eastAsia="Times New Roman"/>
                <w:sz w:val="16"/>
                <w:szCs w:val="16"/>
                <w:lang w:val="hr-HR"/>
              </w:rPr>
            </w:pPr>
            <w:r w:rsidRPr="00D959B1">
              <w:rPr>
                <w:sz w:val="16"/>
                <w:szCs w:val="16"/>
                <w:lang w:val="hr-HR" w:eastAsia="sr-Latn-ME"/>
              </w:rPr>
              <w:t xml:space="preserve">Mobilnost u učenju (svi nivoi obrazovanja, uključujući neformalno i </w:t>
            </w:r>
            <w:proofErr w:type="spellStart"/>
            <w:r w:rsidRPr="00D959B1">
              <w:rPr>
                <w:sz w:val="16"/>
                <w:szCs w:val="16"/>
                <w:lang w:val="hr-HR" w:eastAsia="sr-Latn-ME"/>
              </w:rPr>
              <w:t>informalno</w:t>
            </w:r>
            <w:proofErr w:type="spellEnd"/>
            <w:r w:rsidRPr="00D959B1">
              <w:rPr>
                <w:sz w:val="16"/>
                <w:szCs w:val="16"/>
                <w:lang w:val="hr-HR" w:eastAsia="sr-Latn-ME"/>
              </w:rPr>
              <w:t xml:space="preserve"> obrazovanje i mlade) </w:t>
            </w:r>
          </w:p>
        </w:tc>
      </w:tr>
      <w:tr w:rsidR="004D67BC" w:rsidRPr="00D959B1" w14:paraId="292799B8" w14:textId="77777777" w:rsidTr="004D67BC">
        <w:trPr>
          <w:jc w:val="center"/>
        </w:trPr>
        <w:tc>
          <w:tcPr>
            <w:tcW w:w="894" w:type="pct"/>
            <w:vAlign w:val="center"/>
          </w:tcPr>
          <w:p w14:paraId="354EE65E"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121</w:t>
            </w:r>
          </w:p>
        </w:tc>
        <w:tc>
          <w:tcPr>
            <w:tcW w:w="4106" w:type="pct"/>
          </w:tcPr>
          <w:p w14:paraId="2EE88448" w14:textId="77777777" w:rsidR="004D67BC" w:rsidRPr="00D959B1" w:rsidRDefault="004D67BC" w:rsidP="00E27755">
            <w:pPr>
              <w:rPr>
                <w:rFonts w:eastAsia="Times New Roman"/>
                <w:sz w:val="16"/>
                <w:szCs w:val="16"/>
                <w:lang w:val="hr-HR"/>
              </w:rPr>
            </w:pPr>
            <w:r w:rsidRPr="00D959B1">
              <w:rPr>
                <w:sz w:val="16"/>
                <w:szCs w:val="16"/>
                <w:lang w:val="hr-HR" w:eastAsia="sr-Latn-ME"/>
              </w:rPr>
              <w:t xml:space="preserve">Predškolske ustanove, škole i univerziteti – razvoj i izgradnja novih zgrada sa nultom ili gotovo nultom emisijom </w:t>
            </w:r>
          </w:p>
        </w:tc>
      </w:tr>
      <w:tr w:rsidR="004D67BC" w:rsidRPr="00D959B1" w14:paraId="19BAA03F" w14:textId="77777777" w:rsidTr="004D67BC">
        <w:trPr>
          <w:jc w:val="center"/>
        </w:trPr>
        <w:tc>
          <w:tcPr>
            <w:tcW w:w="894" w:type="pct"/>
            <w:vAlign w:val="center"/>
          </w:tcPr>
          <w:p w14:paraId="6F410055"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122</w:t>
            </w:r>
          </w:p>
        </w:tc>
        <w:tc>
          <w:tcPr>
            <w:tcW w:w="4106" w:type="pct"/>
          </w:tcPr>
          <w:p w14:paraId="2BB6AA93" w14:textId="77777777" w:rsidR="004D67BC" w:rsidRPr="00D959B1" w:rsidRDefault="004D67BC" w:rsidP="00E27755">
            <w:pPr>
              <w:rPr>
                <w:sz w:val="16"/>
                <w:szCs w:val="16"/>
                <w:lang w:val="hr-HR"/>
              </w:rPr>
            </w:pPr>
            <w:r w:rsidRPr="00D959B1">
              <w:rPr>
                <w:sz w:val="16"/>
                <w:szCs w:val="16"/>
                <w:lang w:val="hr-HR" w:eastAsia="sr-Latn-ME"/>
              </w:rPr>
              <w:t>Predškolske ustanove, škole i univerziteti – razvoj i izgradnja drugih objekata</w:t>
            </w:r>
          </w:p>
        </w:tc>
      </w:tr>
      <w:tr w:rsidR="004D67BC" w:rsidRPr="00D959B1" w14:paraId="168853B4" w14:textId="77777777" w:rsidTr="004D67BC">
        <w:trPr>
          <w:jc w:val="center"/>
        </w:trPr>
        <w:tc>
          <w:tcPr>
            <w:tcW w:w="894" w:type="pct"/>
            <w:vAlign w:val="center"/>
          </w:tcPr>
          <w:p w14:paraId="27A2585F" w14:textId="77777777" w:rsidR="004D67BC" w:rsidRPr="00D959B1" w:rsidRDefault="004D67BC" w:rsidP="00E27755">
            <w:pPr>
              <w:jc w:val="center"/>
              <w:rPr>
                <w:rFonts w:eastAsia="Times New Roman" w:cstheme="minorHAnsi"/>
                <w:b/>
                <w:bCs/>
                <w:sz w:val="16"/>
                <w:szCs w:val="16"/>
                <w:lang w:val="hr-HR"/>
              </w:rPr>
            </w:pPr>
          </w:p>
        </w:tc>
        <w:tc>
          <w:tcPr>
            <w:tcW w:w="4106" w:type="pct"/>
            <w:shd w:val="clear" w:color="auto" w:fill="D9D9D9" w:themeFill="background1" w:themeFillShade="D9"/>
            <w:vAlign w:val="center"/>
          </w:tcPr>
          <w:p w14:paraId="1A24F2EE" w14:textId="77777777" w:rsidR="004D67BC" w:rsidRPr="00D959B1" w:rsidRDefault="004D67BC" w:rsidP="00E27755">
            <w:pPr>
              <w:rPr>
                <w:rFonts w:cstheme="minorHAnsi"/>
                <w:b/>
                <w:bCs/>
                <w:color w:val="000000"/>
                <w:sz w:val="16"/>
                <w:szCs w:val="16"/>
                <w:lang w:val="hr-HR"/>
              </w:rPr>
            </w:pPr>
            <w:r w:rsidRPr="00D959B1">
              <w:rPr>
                <w:rFonts w:cstheme="minorHAnsi"/>
                <w:b/>
                <w:sz w:val="16"/>
                <w:szCs w:val="16"/>
                <w:lang w:val="hr-HR"/>
              </w:rPr>
              <w:t>6.05 Reforme</w:t>
            </w:r>
          </w:p>
        </w:tc>
      </w:tr>
      <w:tr w:rsidR="004D67BC" w:rsidRPr="00D959B1" w14:paraId="4FA7531F" w14:textId="77777777" w:rsidTr="004D67BC">
        <w:trPr>
          <w:jc w:val="center"/>
        </w:trPr>
        <w:tc>
          <w:tcPr>
            <w:tcW w:w="894" w:type="pct"/>
            <w:vAlign w:val="center"/>
          </w:tcPr>
          <w:p w14:paraId="06FFDF8F"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123</w:t>
            </w:r>
          </w:p>
        </w:tc>
        <w:tc>
          <w:tcPr>
            <w:tcW w:w="4106" w:type="pct"/>
            <w:vAlign w:val="center"/>
          </w:tcPr>
          <w:p w14:paraId="21302926" w14:textId="77777777" w:rsidR="004D67BC" w:rsidRPr="00D959B1" w:rsidRDefault="004D67BC" w:rsidP="00E27755">
            <w:pPr>
              <w:rPr>
                <w:rFonts w:cstheme="minorHAnsi"/>
                <w:bCs/>
                <w:color w:val="000000"/>
                <w:sz w:val="16"/>
                <w:szCs w:val="16"/>
                <w:lang w:val="hr-HR"/>
              </w:rPr>
            </w:pPr>
            <w:r w:rsidRPr="00D959B1">
              <w:rPr>
                <w:rFonts w:cstheme="minorHAnsi"/>
                <w:bCs/>
                <w:color w:val="000000"/>
                <w:sz w:val="16"/>
                <w:szCs w:val="16"/>
                <w:lang w:val="hr-HR"/>
              </w:rPr>
              <w:t xml:space="preserve">Reforme u oblasti predškolskog </w:t>
            </w:r>
            <w:proofErr w:type="spellStart"/>
            <w:r w:rsidRPr="00D959B1">
              <w:rPr>
                <w:rFonts w:cstheme="minorHAnsi"/>
                <w:bCs/>
                <w:color w:val="000000"/>
                <w:sz w:val="16"/>
                <w:szCs w:val="16"/>
                <w:lang w:val="hr-HR"/>
              </w:rPr>
              <w:t>vaspitanja</w:t>
            </w:r>
            <w:proofErr w:type="spellEnd"/>
            <w:r w:rsidRPr="00D959B1">
              <w:rPr>
                <w:rFonts w:cstheme="minorHAnsi"/>
                <w:bCs/>
                <w:color w:val="000000"/>
                <w:sz w:val="16"/>
                <w:szCs w:val="16"/>
                <w:lang w:val="hr-HR"/>
              </w:rPr>
              <w:t xml:space="preserve"> i obrazovanja </w:t>
            </w:r>
          </w:p>
        </w:tc>
      </w:tr>
      <w:tr w:rsidR="004D67BC" w:rsidRPr="00D959B1" w14:paraId="34FEE6EF" w14:textId="77777777" w:rsidTr="004D67BC">
        <w:trPr>
          <w:jc w:val="center"/>
        </w:trPr>
        <w:tc>
          <w:tcPr>
            <w:tcW w:w="894" w:type="pct"/>
            <w:vAlign w:val="center"/>
          </w:tcPr>
          <w:p w14:paraId="612CAE91"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124</w:t>
            </w:r>
          </w:p>
        </w:tc>
        <w:tc>
          <w:tcPr>
            <w:tcW w:w="4106" w:type="pct"/>
            <w:vAlign w:val="center"/>
          </w:tcPr>
          <w:p w14:paraId="0A31D682" w14:textId="77777777" w:rsidR="004D67BC" w:rsidRPr="00D959B1" w:rsidRDefault="004D67BC" w:rsidP="00E27755">
            <w:pPr>
              <w:rPr>
                <w:rFonts w:cstheme="minorHAnsi"/>
                <w:bCs/>
                <w:color w:val="000000"/>
                <w:sz w:val="16"/>
                <w:szCs w:val="16"/>
                <w:lang w:val="hr-HR"/>
              </w:rPr>
            </w:pPr>
            <w:r w:rsidRPr="00D959B1">
              <w:rPr>
                <w:rFonts w:cstheme="minorHAnsi"/>
                <w:bCs/>
                <w:color w:val="000000"/>
                <w:sz w:val="16"/>
                <w:szCs w:val="16"/>
                <w:lang w:val="hr-HR"/>
              </w:rPr>
              <w:t xml:space="preserve">Reforme u oblasti obrazovanja, mladih i sporta </w:t>
            </w:r>
          </w:p>
        </w:tc>
      </w:tr>
      <w:tr w:rsidR="004D67BC" w:rsidRPr="00D959B1" w14:paraId="127C5B81" w14:textId="77777777" w:rsidTr="004D67BC">
        <w:trPr>
          <w:jc w:val="center"/>
        </w:trPr>
        <w:tc>
          <w:tcPr>
            <w:tcW w:w="894" w:type="pct"/>
            <w:vAlign w:val="center"/>
          </w:tcPr>
          <w:p w14:paraId="31EE3106"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125</w:t>
            </w:r>
          </w:p>
        </w:tc>
        <w:tc>
          <w:tcPr>
            <w:tcW w:w="4106" w:type="pct"/>
            <w:vAlign w:val="center"/>
          </w:tcPr>
          <w:p w14:paraId="19DB70A0" w14:textId="77777777" w:rsidR="004D67BC" w:rsidRPr="00D959B1" w:rsidRDefault="004D67BC" w:rsidP="00E27755">
            <w:pPr>
              <w:rPr>
                <w:rFonts w:cstheme="minorHAnsi"/>
                <w:bCs/>
                <w:color w:val="000000"/>
                <w:sz w:val="16"/>
                <w:szCs w:val="16"/>
                <w:lang w:val="hr-HR"/>
              </w:rPr>
            </w:pPr>
            <w:r w:rsidRPr="00D959B1">
              <w:rPr>
                <w:rFonts w:cstheme="minorHAnsi"/>
                <w:bCs/>
                <w:color w:val="000000"/>
                <w:sz w:val="16"/>
                <w:szCs w:val="16"/>
                <w:lang w:val="hr-HR"/>
              </w:rPr>
              <w:t xml:space="preserve">Reforme u oblasti vještina i obrazovanja odraslih </w:t>
            </w:r>
          </w:p>
        </w:tc>
      </w:tr>
      <w:tr w:rsidR="004D67BC" w:rsidRPr="00D959B1" w14:paraId="5D5099EE" w14:textId="77777777" w:rsidTr="004D67BC">
        <w:trPr>
          <w:jc w:val="center"/>
        </w:trPr>
        <w:tc>
          <w:tcPr>
            <w:tcW w:w="894" w:type="pct"/>
            <w:vAlign w:val="center"/>
          </w:tcPr>
          <w:p w14:paraId="47CF323D"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126</w:t>
            </w:r>
          </w:p>
        </w:tc>
        <w:tc>
          <w:tcPr>
            <w:tcW w:w="4106" w:type="pct"/>
            <w:vAlign w:val="center"/>
          </w:tcPr>
          <w:p w14:paraId="72C727D9" w14:textId="77777777" w:rsidR="004D67BC" w:rsidRPr="00D959B1" w:rsidRDefault="004D67BC" w:rsidP="00E27755">
            <w:pPr>
              <w:rPr>
                <w:rFonts w:cstheme="minorHAnsi"/>
                <w:bCs/>
                <w:color w:val="000000"/>
                <w:sz w:val="16"/>
                <w:szCs w:val="16"/>
                <w:lang w:val="hr-HR"/>
              </w:rPr>
            </w:pPr>
            <w:r w:rsidRPr="00D959B1">
              <w:rPr>
                <w:rFonts w:cstheme="minorHAnsi"/>
                <w:bCs/>
                <w:color w:val="000000"/>
                <w:sz w:val="16"/>
                <w:szCs w:val="16"/>
                <w:lang w:val="hr-HR"/>
              </w:rPr>
              <w:t>Politika i regulatorni okvir za obrazovanje i inicijalno stručno obrazovanje i osposobljavanje</w:t>
            </w:r>
          </w:p>
        </w:tc>
      </w:tr>
      <w:tr w:rsidR="004D67BC" w:rsidRPr="00D959B1" w14:paraId="68C2481C" w14:textId="77777777" w:rsidTr="004D67BC">
        <w:trPr>
          <w:jc w:val="center"/>
        </w:trPr>
        <w:tc>
          <w:tcPr>
            <w:tcW w:w="894" w:type="pct"/>
            <w:vAlign w:val="center"/>
          </w:tcPr>
          <w:p w14:paraId="782E2117" w14:textId="77777777" w:rsidR="004D67BC" w:rsidRPr="00D959B1" w:rsidRDefault="004D67BC" w:rsidP="00E27755">
            <w:pPr>
              <w:jc w:val="center"/>
              <w:rPr>
                <w:rFonts w:eastAsia="Times New Roman" w:cstheme="minorHAnsi"/>
                <w:b/>
                <w:bCs/>
                <w:sz w:val="16"/>
                <w:szCs w:val="16"/>
                <w:lang w:val="hr-HR"/>
              </w:rPr>
            </w:pPr>
          </w:p>
        </w:tc>
        <w:tc>
          <w:tcPr>
            <w:tcW w:w="4106" w:type="pct"/>
            <w:shd w:val="clear" w:color="auto" w:fill="D9D9D9" w:themeFill="background1" w:themeFillShade="D9"/>
            <w:vAlign w:val="center"/>
          </w:tcPr>
          <w:p w14:paraId="1CB86332" w14:textId="77777777" w:rsidR="004D67BC" w:rsidRPr="00D959B1" w:rsidRDefault="004D67BC" w:rsidP="00E27755">
            <w:pPr>
              <w:spacing w:line="216" w:lineRule="auto"/>
              <w:rPr>
                <w:b/>
                <w:sz w:val="16"/>
                <w:szCs w:val="16"/>
                <w:lang w:val="hr-HR"/>
              </w:rPr>
            </w:pPr>
            <w:r w:rsidRPr="00D959B1">
              <w:rPr>
                <w:b/>
                <w:sz w:val="16"/>
                <w:szCs w:val="16"/>
                <w:lang w:val="hr-HR"/>
              </w:rPr>
              <w:t>6.17 Vještine</w:t>
            </w:r>
          </w:p>
        </w:tc>
      </w:tr>
      <w:tr w:rsidR="004D67BC" w:rsidRPr="00D959B1" w14:paraId="2A17BBF8" w14:textId="77777777" w:rsidTr="004D67BC">
        <w:trPr>
          <w:jc w:val="center"/>
        </w:trPr>
        <w:tc>
          <w:tcPr>
            <w:tcW w:w="894" w:type="pct"/>
            <w:vAlign w:val="center"/>
          </w:tcPr>
          <w:p w14:paraId="005536F0"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127</w:t>
            </w:r>
          </w:p>
        </w:tc>
        <w:tc>
          <w:tcPr>
            <w:tcW w:w="4106" w:type="pct"/>
            <w:shd w:val="clear" w:color="auto" w:fill="FFFFFF" w:themeFill="background1"/>
            <w:vAlign w:val="center"/>
          </w:tcPr>
          <w:p w14:paraId="602943B7" w14:textId="77777777" w:rsidR="004D67BC" w:rsidRPr="00D959B1" w:rsidRDefault="004D67BC" w:rsidP="00E27755">
            <w:pPr>
              <w:rPr>
                <w:rFonts w:cstheme="minorHAnsi"/>
                <w:bCs/>
                <w:color w:val="000000"/>
                <w:sz w:val="16"/>
                <w:szCs w:val="16"/>
                <w:lang w:val="hr-HR"/>
              </w:rPr>
            </w:pPr>
            <w:r w:rsidRPr="00D959B1">
              <w:rPr>
                <w:rFonts w:cstheme="minorHAnsi"/>
                <w:bCs/>
                <w:color w:val="000000"/>
                <w:sz w:val="16"/>
                <w:szCs w:val="16"/>
                <w:lang w:val="hr-HR"/>
              </w:rPr>
              <w:t>Osnovne vještine (uključujući pismenost, matematiku, nauku i građansko obrazovanje, isključujući digitalne i zelene vještine)</w:t>
            </w:r>
          </w:p>
        </w:tc>
      </w:tr>
      <w:tr w:rsidR="004D67BC" w:rsidRPr="00D959B1" w14:paraId="17DCEC4B" w14:textId="77777777" w:rsidTr="004D67BC">
        <w:trPr>
          <w:jc w:val="center"/>
        </w:trPr>
        <w:tc>
          <w:tcPr>
            <w:tcW w:w="894" w:type="pct"/>
            <w:vAlign w:val="center"/>
          </w:tcPr>
          <w:p w14:paraId="6B92DDF3"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128</w:t>
            </w:r>
          </w:p>
        </w:tc>
        <w:tc>
          <w:tcPr>
            <w:tcW w:w="4106" w:type="pct"/>
            <w:shd w:val="clear" w:color="auto" w:fill="FFFFFF" w:themeFill="background1"/>
          </w:tcPr>
          <w:p w14:paraId="7C59B0B4" w14:textId="77777777" w:rsidR="004D67BC" w:rsidRPr="00D959B1" w:rsidRDefault="004D67BC" w:rsidP="00E27755">
            <w:pPr>
              <w:rPr>
                <w:rFonts w:cstheme="minorHAnsi"/>
                <w:bCs/>
                <w:color w:val="000000"/>
                <w:sz w:val="16"/>
                <w:szCs w:val="16"/>
                <w:lang w:val="hr-HR"/>
              </w:rPr>
            </w:pPr>
            <w:r w:rsidRPr="00D959B1">
              <w:rPr>
                <w:rFonts w:cstheme="minorHAnsi"/>
                <w:bCs/>
                <w:color w:val="000000"/>
                <w:sz w:val="16"/>
                <w:szCs w:val="16"/>
                <w:lang w:val="hr-HR"/>
              </w:rPr>
              <w:t xml:space="preserve">Napredne digitalne vještine </w:t>
            </w:r>
          </w:p>
        </w:tc>
      </w:tr>
      <w:tr w:rsidR="004D67BC" w:rsidRPr="00D959B1" w14:paraId="71463CC2" w14:textId="77777777" w:rsidTr="004D67BC">
        <w:trPr>
          <w:jc w:val="center"/>
        </w:trPr>
        <w:tc>
          <w:tcPr>
            <w:tcW w:w="894" w:type="pct"/>
            <w:vAlign w:val="center"/>
          </w:tcPr>
          <w:p w14:paraId="1161B950"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129</w:t>
            </w:r>
          </w:p>
        </w:tc>
        <w:tc>
          <w:tcPr>
            <w:tcW w:w="4106" w:type="pct"/>
            <w:shd w:val="clear" w:color="auto" w:fill="FFFFFF" w:themeFill="background1"/>
          </w:tcPr>
          <w:p w14:paraId="6D0EF126" w14:textId="77777777" w:rsidR="004D67BC" w:rsidRPr="00D959B1" w:rsidRDefault="004D67BC" w:rsidP="00E27755">
            <w:pPr>
              <w:rPr>
                <w:rFonts w:cstheme="minorHAnsi"/>
                <w:bCs/>
                <w:color w:val="000000"/>
                <w:sz w:val="16"/>
                <w:szCs w:val="16"/>
                <w:lang w:val="hr-HR"/>
              </w:rPr>
            </w:pPr>
            <w:r w:rsidRPr="00D959B1">
              <w:rPr>
                <w:rFonts w:cstheme="minorHAnsi"/>
                <w:bCs/>
                <w:color w:val="000000"/>
                <w:sz w:val="16"/>
                <w:szCs w:val="16"/>
                <w:lang w:val="hr-HR"/>
              </w:rPr>
              <w:t xml:space="preserve">Osnovne digitalne vještine </w:t>
            </w:r>
          </w:p>
        </w:tc>
      </w:tr>
      <w:tr w:rsidR="004D67BC" w:rsidRPr="00D959B1" w14:paraId="7FC3EA50" w14:textId="77777777" w:rsidTr="004D67BC">
        <w:trPr>
          <w:jc w:val="center"/>
        </w:trPr>
        <w:tc>
          <w:tcPr>
            <w:tcW w:w="894" w:type="pct"/>
            <w:vAlign w:val="center"/>
          </w:tcPr>
          <w:p w14:paraId="2E95C55B"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130</w:t>
            </w:r>
          </w:p>
        </w:tc>
        <w:tc>
          <w:tcPr>
            <w:tcW w:w="4106" w:type="pct"/>
            <w:shd w:val="clear" w:color="auto" w:fill="FFFFFF" w:themeFill="background1"/>
          </w:tcPr>
          <w:p w14:paraId="42C0F6AC" w14:textId="77777777" w:rsidR="004D67BC" w:rsidRPr="00D959B1" w:rsidRDefault="004D67BC" w:rsidP="00E27755">
            <w:pPr>
              <w:rPr>
                <w:rFonts w:cstheme="minorHAnsi"/>
                <w:bCs/>
                <w:color w:val="000000"/>
                <w:sz w:val="16"/>
                <w:szCs w:val="16"/>
                <w:lang w:val="hr-HR"/>
              </w:rPr>
            </w:pPr>
            <w:r w:rsidRPr="00D959B1">
              <w:rPr>
                <w:rFonts w:cstheme="minorHAnsi"/>
                <w:bCs/>
                <w:color w:val="000000"/>
                <w:sz w:val="16"/>
                <w:szCs w:val="16"/>
                <w:lang w:val="hr-HR"/>
              </w:rPr>
              <w:t xml:space="preserve">Zelene vještine </w:t>
            </w:r>
          </w:p>
        </w:tc>
      </w:tr>
      <w:tr w:rsidR="004D67BC" w:rsidRPr="00D959B1" w14:paraId="058644F5" w14:textId="77777777" w:rsidTr="004D67BC">
        <w:trPr>
          <w:jc w:val="center"/>
        </w:trPr>
        <w:tc>
          <w:tcPr>
            <w:tcW w:w="894" w:type="pct"/>
            <w:vAlign w:val="center"/>
          </w:tcPr>
          <w:p w14:paraId="1A010A5B"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131</w:t>
            </w:r>
          </w:p>
        </w:tc>
        <w:tc>
          <w:tcPr>
            <w:tcW w:w="4106" w:type="pct"/>
            <w:shd w:val="clear" w:color="auto" w:fill="FFFFFF" w:themeFill="background1"/>
          </w:tcPr>
          <w:p w14:paraId="34F71250" w14:textId="77777777" w:rsidR="004D67BC" w:rsidRPr="00D959B1" w:rsidRDefault="004D67BC" w:rsidP="00E27755">
            <w:pPr>
              <w:rPr>
                <w:rFonts w:cstheme="minorHAnsi"/>
                <w:bCs/>
                <w:color w:val="000000"/>
                <w:sz w:val="16"/>
                <w:szCs w:val="16"/>
                <w:lang w:val="hr-HR"/>
              </w:rPr>
            </w:pPr>
            <w:proofErr w:type="spellStart"/>
            <w:r w:rsidRPr="00D959B1">
              <w:rPr>
                <w:rFonts w:cstheme="minorHAnsi"/>
                <w:bCs/>
                <w:color w:val="000000"/>
                <w:sz w:val="16"/>
                <w:szCs w:val="16"/>
                <w:lang w:val="hr-HR"/>
              </w:rPr>
              <w:t>Finansijska</w:t>
            </w:r>
            <w:proofErr w:type="spellEnd"/>
            <w:r w:rsidRPr="00D959B1">
              <w:rPr>
                <w:rFonts w:cstheme="minorHAnsi"/>
                <w:bCs/>
                <w:color w:val="000000"/>
                <w:sz w:val="16"/>
                <w:szCs w:val="16"/>
                <w:lang w:val="hr-HR"/>
              </w:rPr>
              <w:t xml:space="preserve"> pismenost </w:t>
            </w:r>
          </w:p>
        </w:tc>
      </w:tr>
      <w:tr w:rsidR="004D67BC" w:rsidRPr="00D959B1" w14:paraId="51B5BC7B" w14:textId="77777777" w:rsidTr="004D67BC">
        <w:trPr>
          <w:jc w:val="center"/>
        </w:trPr>
        <w:tc>
          <w:tcPr>
            <w:tcW w:w="894" w:type="pct"/>
            <w:vAlign w:val="center"/>
          </w:tcPr>
          <w:p w14:paraId="0B101FD5" w14:textId="77777777" w:rsidR="004D67BC" w:rsidRPr="00D959B1" w:rsidRDefault="004D67BC" w:rsidP="00E27755">
            <w:pPr>
              <w:jc w:val="center"/>
              <w:rPr>
                <w:rFonts w:eastAsia="Times New Roman" w:cstheme="minorHAnsi"/>
                <w:b/>
                <w:bCs/>
                <w:color w:val="0070C0"/>
                <w:sz w:val="16"/>
                <w:szCs w:val="16"/>
                <w:lang w:val="hr-HR"/>
              </w:rPr>
            </w:pPr>
            <w:r w:rsidRPr="00D959B1">
              <w:rPr>
                <w:rFonts w:eastAsia="Times New Roman" w:cstheme="minorHAnsi"/>
                <w:b/>
                <w:bCs/>
                <w:color w:val="0070C0"/>
                <w:sz w:val="16"/>
                <w:szCs w:val="16"/>
                <w:lang w:val="hr-HR"/>
              </w:rPr>
              <w:t>132</w:t>
            </w:r>
          </w:p>
        </w:tc>
        <w:tc>
          <w:tcPr>
            <w:tcW w:w="4106" w:type="pct"/>
            <w:shd w:val="clear" w:color="auto" w:fill="FFFFFF" w:themeFill="background1"/>
          </w:tcPr>
          <w:p w14:paraId="04A1E408" w14:textId="77777777" w:rsidR="004D67BC" w:rsidRPr="00D959B1" w:rsidRDefault="004D67BC" w:rsidP="00E27755">
            <w:pPr>
              <w:rPr>
                <w:rFonts w:cstheme="minorHAnsi"/>
                <w:bCs/>
                <w:color w:val="000000"/>
                <w:sz w:val="16"/>
                <w:szCs w:val="16"/>
                <w:lang w:val="hr-HR"/>
              </w:rPr>
            </w:pPr>
            <w:r w:rsidRPr="00D959B1">
              <w:rPr>
                <w:rFonts w:cstheme="minorHAnsi"/>
                <w:bCs/>
                <w:color w:val="000000"/>
                <w:sz w:val="16"/>
                <w:szCs w:val="16"/>
                <w:lang w:val="hr-HR"/>
              </w:rPr>
              <w:t>Usavršavanje i prekvalifikacija za marginalne zajednice, kao što su Romi</w:t>
            </w:r>
          </w:p>
        </w:tc>
      </w:tr>
      <w:tr w:rsidR="004D67BC" w:rsidRPr="00D959B1" w14:paraId="7B753530" w14:textId="77777777" w:rsidTr="004D67BC">
        <w:trPr>
          <w:jc w:val="center"/>
        </w:trPr>
        <w:tc>
          <w:tcPr>
            <w:tcW w:w="894" w:type="pct"/>
            <w:vAlign w:val="center"/>
          </w:tcPr>
          <w:p w14:paraId="440C8FA7" w14:textId="77777777" w:rsidR="004D67BC" w:rsidRPr="00D959B1" w:rsidRDefault="004D67BC" w:rsidP="00E27755">
            <w:pPr>
              <w:jc w:val="center"/>
              <w:rPr>
                <w:rFonts w:eastAsia="Times New Roman" w:cstheme="minorHAnsi"/>
                <w:b/>
                <w:bCs/>
                <w:color w:val="0070C0"/>
                <w:sz w:val="16"/>
                <w:szCs w:val="16"/>
                <w:lang w:val="hr-HR"/>
              </w:rPr>
            </w:pPr>
            <w:r w:rsidRPr="00D959B1">
              <w:rPr>
                <w:rFonts w:eastAsia="Times New Roman" w:cstheme="minorHAnsi"/>
                <w:b/>
                <w:bCs/>
                <w:color w:val="0070C0"/>
                <w:sz w:val="16"/>
                <w:szCs w:val="16"/>
                <w:lang w:val="hr-HR"/>
              </w:rPr>
              <w:t>133</w:t>
            </w:r>
          </w:p>
        </w:tc>
        <w:tc>
          <w:tcPr>
            <w:tcW w:w="4106" w:type="pct"/>
            <w:shd w:val="clear" w:color="auto" w:fill="FFFFFF" w:themeFill="background1"/>
          </w:tcPr>
          <w:p w14:paraId="30EFD2C2" w14:textId="77777777" w:rsidR="004D67BC" w:rsidRPr="00D959B1" w:rsidRDefault="004D67BC" w:rsidP="00E27755">
            <w:pPr>
              <w:rPr>
                <w:rFonts w:cstheme="minorHAnsi"/>
                <w:bCs/>
                <w:color w:val="000000"/>
                <w:sz w:val="16"/>
                <w:szCs w:val="16"/>
                <w:lang w:val="hr-HR"/>
              </w:rPr>
            </w:pPr>
            <w:r w:rsidRPr="00D959B1">
              <w:rPr>
                <w:rFonts w:cstheme="minorHAnsi"/>
                <w:bCs/>
                <w:color w:val="000000"/>
                <w:sz w:val="16"/>
                <w:szCs w:val="16"/>
                <w:lang w:val="hr-HR"/>
              </w:rPr>
              <w:t>Usavršavanje i prekvalifikacija za osobe s invaliditetom</w:t>
            </w:r>
          </w:p>
        </w:tc>
      </w:tr>
      <w:tr w:rsidR="004D67BC" w:rsidRPr="00D959B1" w14:paraId="3133C003" w14:textId="77777777" w:rsidTr="004D67BC">
        <w:trPr>
          <w:jc w:val="center"/>
        </w:trPr>
        <w:tc>
          <w:tcPr>
            <w:tcW w:w="894" w:type="pct"/>
            <w:vAlign w:val="center"/>
          </w:tcPr>
          <w:p w14:paraId="5A867509"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134</w:t>
            </w:r>
          </w:p>
        </w:tc>
        <w:tc>
          <w:tcPr>
            <w:tcW w:w="4106" w:type="pct"/>
            <w:shd w:val="clear" w:color="auto" w:fill="FFFFFF" w:themeFill="background1"/>
          </w:tcPr>
          <w:p w14:paraId="7344CB2F" w14:textId="77777777" w:rsidR="004D67BC" w:rsidRPr="00D959B1" w:rsidRDefault="004D67BC" w:rsidP="00E27755">
            <w:pPr>
              <w:rPr>
                <w:sz w:val="16"/>
                <w:szCs w:val="16"/>
                <w:lang w:val="hr-HR"/>
              </w:rPr>
            </w:pPr>
            <w:r w:rsidRPr="00D959B1">
              <w:rPr>
                <w:rFonts w:cstheme="minorHAnsi"/>
                <w:bCs/>
                <w:color w:val="000000"/>
                <w:sz w:val="16"/>
                <w:szCs w:val="16"/>
                <w:lang w:val="hr-HR"/>
              </w:rPr>
              <w:t>Obrazovanje odraslih</w:t>
            </w:r>
          </w:p>
        </w:tc>
      </w:tr>
      <w:tr w:rsidR="004D67BC" w:rsidRPr="00D959B1" w14:paraId="67728EFD" w14:textId="77777777" w:rsidTr="004D67BC">
        <w:trPr>
          <w:jc w:val="center"/>
        </w:trPr>
        <w:tc>
          <w:tcPr>
            <w:tcW w:w="894" w:type="pct"/>
            <w:vAlign w:val="center"/>
          </w:tcPr>
          <w:p w14:paraId="295A0956" w14:textId="77777777" w:rsidR="004D67BC" w:rsidRPr="00D959B1" w:rsidRDefault="004D67BC" w:rsidP="00E27755">
            <w:pPr>
              <w:jc w:val="center"/>
              <w:rPr>
                <w:rFonts w:eastAsia="Times New Roman" w:cstheme="minorHAnsi"/>
                <w:b/>
                <w:bCs/>
                <w:sz w:val="16"/>
                <w:szCs w:val="16"/>
                <w:lang w:val="hr-HR"/>
              </w:rPr>
            </w:pPr>
          </w:p>
        </w:tc>
        <w:tc>
          <w:tcPr>
            <w:tcW w:w="4106" w:type="pct"/>
            <w:shd w:val="clear" w:color="auto" w:fill="D9D9D9" w:themeFill="background1" w:themeFillShade="D9"/>
            <w:vAlign w:val="center"/>
          </w:tcPr>
          <w:p w14:paraId="7E24DE56" w14:textId="77777777" w:rsidR="004D67BC" w:rsidRPr="00D959B1" w:rsidRDefault="004D67BC" w:rsidP="00E27755">
            <w:pPr>
              <w:rPr>
                <w:rStyle w:val="Naglaeno"/>
                <w:sz w:val="16"/>
                <w:szCs w:val="16"/>
                <w:lang w:val="hr-HR"/>
              </w:rPr>
            </w:pPr>
            <w:r w:rsidRPr="00D959B1">
              <w:rPr>
                <w:rStyle w:val="Naglaeno"/>
                <w:sz w:val="16"/>
                <w:szCs w:val="16"/>
                <w:lang w:val="hr-HR"/>
              </w:rPr>
              <w:t>6.18 Sport</w:t>
            </w:r>
          </w:p>
        </w:tc>
      </w:tr>
      <w:tr w:rsidR="004D67BC" w:rsidRPr="00D959B1" w14:paraId="5A1693B9" w14:textId="77777777" w:rsidTr="004D67BC">
        <w:trPr>
          <w:jc w:val="center"/>
        </w:trPr>
        <w:tc>
          <w:tcPr>
            <w:tcW w:w="894" w:type="pct"/>
            <w:vAlign w:val="center"/>
          </w:tcPr>
          <w:p w14:paraId="30E46298"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135</w:t>
            </w:r>
          </w:p>
        </w:tc>
        <w:tc>
          <w:tcPr>
            <w:tcW w:w="4106" w:type="pct"/>
            <w:vAlign w:val="center"/>
          </w:tcPr>
          <w:p w14:paraId="44A71D29" w14:textId="77777777" w:rsidR="004D67BC" w:rsidRPr="00D959B1" w:rsidRDefault="004D67BC" w:rsidP="00E27755">
            <w:pPr>
              <w:rPr>
                <w:color w:val="000000"/>
                <w:sz w:val="16"/>
                <w:szCs w:val="16"/>
                <w:lang w:val="hr-HR"/>
              </w:rPr>
            </w:pPr>
            <w:r w:rsidRPr="00D959B1">
              <w:rPr>
                <w:color w:val="000000"/>
                <w:sz w:val="16"/>
                <w:szCs w:val="16"/>
                <w:lang w:val="hr-HR"/>
              </w:rPr>
              <w:t>Promocija sporta i fizičkih aktivnosti</w:t>
            </w:r>
          </w:p>
        </w:tc>
      </w:tr>
      <w:tr w:rsidR="004D67BC" w:rsidRPr="00D959B1" w14:paraId="724EE2B6" w14:textId="77777777" w:rsidTr="004D67BC">
        <w:trPr>
          <w:jc w:val="center"/>
        </w:trPr>
        <w:tc>
          <w:tcPr>
            <w:tcW w:w="894" w:type="pct"/>
            <w:vAlign w:val="center"/>
          </w:tcPr>
          <w:p w14:paraId="2F2DF447" w14:textId="77777777" w:rsidR="004D67BC" w:rsidRPr="00D959B1" w:rsidRDefault="004D67BC" w:rsidP="00E27755">
            <w:pPr>
              <w:jc w:val="center"/>
              <w:rPr>
                <w:rFonts w:eastAsia="Times New Roman" w:cstheme="minorHAnsi"/>
                <w:b/>
                <w:bCs/>
                <w:sz w:val="16"/>
                <w:szCs w:val="16"/>
                <w:lang w:val="hr-HR"/>
              </w:rPr>
            </w:pPr>
          </w:p>
        </w:tc>
        <w:tc>
          <w:tcPr>
            <w:tcW w:w="4106" w:type="pct"/>
            <w:shd w:val="clear" w:color="auto" w:fill="D9D9D9" w:themeFill="background1" w:themeFillShade="D9"/>
            <w:vAlign w:val="center"/>
          </w:tcPr>
          <w:p w14:paraId="110119FE" w14:textId="77777777" w:rsidR="004D67BC" w:rsidRPr="00D959B1" w:rsidRDefault="004D67BC" w:rsidP="00E27755">
            <w:pPr>
              <w:rPr>
                <w:rFonts w:cstheme="minorHAnsi"/>
                <w:b/>
                <w:bCs/>
                <w:color w:val="000000"/>
                <w:sz w:val="16"/>
                <w:szCs w:val="16"/>
                <w:lang w:val="hr-HR"/>
              </w:rPr>
            </w:pPr>
            <w:r w:rsidRPr="00D959B1">
              <w:rPr>
                <w:rFonts w:cstheme="minorHAnsi"/>
                <w:b/>
                <w:bCs/>
                <w:color w:val="000000"/>
                <w:sz w:val="16"/>
                <w:szCs w:val="16"/>
                <w:lang w:val="hr-HR"/>
              </w:rPr>
              <w:t>6.19 Mladi</w:t>
            </w:r>
          </w:p>
        </w:tc>
      </w:tr>
      <w:tr w:rsidR="004D67BC" w:rsidRPr="00D959B1" w14:paraId="07F60231" w14:textId="77777777" w:rsidTr="004D67BC">
        <w:trPr>
          <w:jc w:val="center"/>
        </w:trPr>
        <w:tc>
          <w:tcPr>
            <w:tcW w:w="894" w:type="pct"/>
            <w:vAlign w:val="center"/>
          </w:tcPr>
          <w:p w14:paraId="575C5E38"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136</w:t>
            </w:r>
          </w:p>
        </w:tc>
        <w:tc>
          <w:tcPr>
            <w:tcW w:w="4106" w:type="pct"/>
            <w:vAlign w:val="center"/>
          </w:tcPr>
          <w:p w14:paraId="0D977F29" w14:textId="77777777" w:rsidR="004D67BC" w:rsidRPr="00D959B1" w:rsidRDefault="004D67BC" w:rsidP="00E27755">
            <w:pPr>
              <w:rPr>
                <w:rFonts w:cstheme="minorHAnsi"/>
                <w:bCs/>
                <w:color w:val="000000"/>
                <w:sz w:val="16"/>
                <w:szCs w:val="16"/>
                <w:lang w:val="hr-HR"/>
              </w:rPr>
            </w:pPr>
            <w:r w:rsidRPr="00D959B1">
              <w:rPr>
                <w:sz w:val="16"/>
                <w:szCs w:val="16"/>
                <w:lang w:val="hr-HR"/>
              </w:rPr>
              <w:t xml:space="preserve">Neformalno i </w:t>
            </w:r>
            <w:proofErr w:type="spellStart"/>
            <w:r w:rsidRPr="00D959B1">
              <w:rPr>
                <w:sz w:val="16"/>
                <w:szCs w:val="16"/>
                <w:lang w:val="hr-HR"/>
              </w:rPr>
              <w:t>informalno</w:t>
            </w:r>
            <w:proofErr w:type="spellEnd"/>
            <w:r w:rsidRPr="00D959B1">
              <w:rPr>
                <w:sz w:val="16"/>
                <w:szCs w:val="16"/>
                <w:lang w:val="hr-HR"/>
              </w:rPr>
              <w:t xml:space="preserve"> obrazovanje i učenje (bez infrastrukture)</w:t>
            </w:r>
          </w:p>
        </w:tc>
      </w:tr>
      <w:tr w:rsidR="004D67BC" w:rsidRPr="00D959B1" w14:paraId="79CADEE7" w14:textId="77777777" w:rsidTr="004D67BC">
        <w:trPr>
          <w:jc w:val="center"/>
        </w:trPr>
        <w:tc>
          <w:tcPr>
            <w:tcW w:w="894" w:type="pct"/>
            <w:vAlign w:val="center"/>
          </w:tcPr>
          <w:p w14:paraId="03BED16B" w14:textId="77777777" w:rsidR="004D67BC" w:rsidRPr="00D959B1" w:rsidRDefault="004D67BC" w:rsidP="00E27755">
            <w:pPr>
              <w:jc w:val="center"/>
              <w:rPr>
                <w:rFonts w:eastAsia="Times New Roman" w:cstheme="minorHAnsi"/>
                <w:b/>
                <w:bCs/>
                <w:sz w:val="16"/>
                <w:szCs w:val="16"/>
                <w:lang w:val="hr-HR"/>
              </w:rPr>
            </w:pPr>
            <w:r w:rsidRPr="00D959B1">
              <w:rPr>
                <w:rFonts w:eastAsia="Times New Roman" w:cstheme="minorHAnsi"/>
                <w:b/>
                <w:bCs/>
                <w:sz w:val="16"/>
                <w:szCs w:val="16"/>
                <w:lang w:val="hr-HR"/>
              </w:rPr>
              <w:t>137</w:t>
            </w:r>
          </w:p>
        </w:tc>
        <w:tc>
          <w:tcPr>
            <w:tcW w:w="4106" w:type="pct"/>
            <w:vAlign w:val="center"/>
          </w:tcPr>
          <w:p w14:paraId="4A74B184" w14:textId="77777777" w:rsidR="004D67BC" w:rsidRPr="00D959B1" w:rsidRDefault="004D67BC" w:rsidP="00E27755">
            <w:pPr>
              <w:rPr>
                <w:rFonts w:cstheme="minorHAnsi"/>
                <w:bCs/>
                <w:color w:val="000000"/>
                <w:sz w:val="16"/>
                <w:szCs w:val="16"/>
                <w:lang w:val="hr-HR"/>
              </w:rPr>
            </w:pPr>
            <w:proofErr w:type="spellStart"/>
            <w:r w:rsidRPr="00D959B1">
              <w:rPr>
                <w:rFonts w:cstheme="minorHAnsi"/>
                <w:bCs/>
                <w:color w:val="000000"/>
                <w:sz w:val="16"/>
                <w:szCs w:val="16"/>
                <w:lang w:val="hr-HR"/>
              </w:rPr>
              <w:t>Volonterizam</w:t>
            </w:r>
            <w:proofErr w:type="spellEnd"/>
          </w:p>
        </w:tc>
      </w:tr>
    </w:tbl>
    <w:p w14:paraId="169B3898" w14:textId="77777777" w:rsidR="004D67BC" w:rsidRPr="00D959B1" w:rsidRDefault="004D67BC" w:rsidP="00953F67">
      <w:pPr>
        <w:spacing w:before="120" w:line="240" w:lineRule="auto"/>
        <w:rPr>
          <w:rFonts w:eastAsia="Times New Roman" w:cstheme="minorHAnsi"/>
          <w:b/>
          <w:bCs/>
          <w:sz w:val="20"/>
          <w:szCs w:val="20"/>
          <w:lang w:val="hr-HR"/>
        </w:rPr>
      </w:pPr>
      <w:r w:rsidRPr="00D959B1">
        <w:rPr>
          <w:rStyle w:val="Naglaeno"/>
          <w:sz w:val="20"/>
          <w:szCs w:val="20"/>
          <w:lang w:val="hr-HR"/>
        </w:rPr>
        <w:t>Napomena:</w:t>
      </w:r>
      <w:r w:rsidRPr="00D959B1">
        <w:rPr>
          <w:sz w:val="20"/>
          <w:szCs w:val="20"/>
          <w:lang w:val="hr-HR"/>
        </w:rPr>
        <w:t xml:space="preserve"> Tematska cjelina 6.16.118 „Obrazovanje za izbjeglice u trećim zemljama“ isključena je iz dalje analize jer nije relevantna za Crnu Goru.</w:t>
      </w:r>
    </w:p>
    <w:p w14:paraId="5B5248DA" w14:textId="6CEFC9CD" w:rsidR="004D67BC" w:rsidRPr="00D959B1" w:rsidRDefault="00417444" w:rsidP="004D67BC">
      <w:pPr>
        <w:pStyle w:val="Naslov2"/>
        <w:rPr>
          <w:rFonts w:eastAsia="Times New Roman"/>
          <w:lang w:val="hr-HR"/>
        </w:rPr>
      </w:pPr>
      <w:r w:rsidRPr="00D959B1">
        <w:rPr>
          <w:rFonts w:eastAsia="Times New Roman"/>
          <w:lang w:val="hr-HR"/>
        </w:rPr>
        <w:t xml:space="preserve">3.4 </w:t>
      </w:r>
      <w:r w:rsidR="004D67BC" w:rsidRPr="00D959B1">
        <w:rPr>
          <w:rFonts w:eastAsia="Times New Roman"/>
          <w:lang w:val="hr-HR"/>
        </w:rPr>
        <w:t>Indikativna lista razvojnih izazova</w:t>
      </w:r>
    </w:p>
    <w:tbl>
      <w:tblPr>
        <w:tblStyle w:val="Svijetlatablicareetke1-isticanje4"/>
        <w:tblW w:w="5002" w:type="pct"/>
        <w:tblLayout w:type="fixed"/>
        <w:tblLook w:val="04A0" w:firstRow="1" w:lastRow="0" w:firstColumn="1" w:lastColumn="0" w:noHBand="0" w:noVBand="1"/>
      </w:tblPr>
      <w:tblGrid>
        <w:gridCol w:w="709"/>
        <w:gridCol w:w="849"/>
        <w:gridCol w:w="2123"/>
        <w:gridCol w:w="5385"/>
      </w:tblGrid>
      <w:tr w:rsidR="00D959B1" w:rsidRPr="00D959B1" w14:paraId="2943107B" w14:textId="77777777" w:rsidTr="00D959B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18EA0F62" w14:textId="77777777" w:rsidR="00D959B1" w:rsidRPr="00D959B1" w:rsidRDefault="00D959B1" w:rsidP="00D959B1">
            <w:pPr>
              <w:jc w:val="lef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Broj</w:t>
            </w:r>
          </w:p>
        </w:tc>
        <w:tc>
          <w:tcPr>
            <w:tcW w:w="468" w:type="pct"/>
            <w:noWrap/>
            <w:hideMark/>
          </w:tcPr>
          <w:p w14:paraId="665CD879" w14:textId="77777777" w:rsidR="00D959B1" w:rsidRPr="00D959B1" w:rsidRDefault="00D959B1" w:rsidP="00D959B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Kod</w:t>
            </w:r>
          </w:p>
        </w:tc>
        <w:tc>
          <w:tcPr>
            <w:tcW w:w="1171" w:type="pct"/>
            <w:noWrap/>
            <w:hideMark/>
          </w:tcPr>
          <w:p w14:paraId="12E98ACD" w14:textId="77777777" w:rsidR="00D959B1" w:rsidRPr="00D959B1" w:rsidRDefault="00D959B1" w:rsidP="00D959B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Naziv razvojnog izazova</w:t>
            </w:r>
          </w:p>
        </w:tc>
        <w:tc>
          <w:tcPr>
            <w:tcW w:w="2970" w:type="pct"/>
            <w:noWrap/>
            <w:hideMark/>
          </w:tcPr>
          <w:p w14:paraId="247EA315" w14:textId="77777777" w:rsidR="00D959B1" w:rsidRPr="00D959B1" w:rsidRDefault="00D959B1" w:rsidP="00D959B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Obrazloženje</w:t>
            </w:r>
          </w:p>
        </w:tc>
      </w:tr>
      <w:tr w:rsidR="00D959B1" w:rsidRPr="00D959B1" w14:paraId="07A1E068"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0CDC0CD6"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01</w:t>
            </w:r>
          </w:p>
        </w:tc>
        <w:tc>
          <w:tcPr>
            <w:tcW w:w="468" w:type="pct"/>
            <w:noWrap/>
            <w:hideMark/>
          </w:tcPr>
          <w:p w14:paraId="70E5328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PA06-01</w:t>
            </w:r>
          </w:p>
        </w:tc>
        <w:tc>
          <w:tcPr>
            <w:tcW w:w="1171" w:type="pct"/>
            <w:noWrap/>
            <w:hideMark/>
          </w:tcPr>
          <w:p w14:paraId="23D0352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Kritičan deficit ishoda učenja — PISA jaz u postignućima (127)</w:t>
            </w:r>
          </w:p>
        </w:tc>
        <w:tc>
          <w:tcPr>
            <w:tcW w:w="2970" w:type="pct"/>
            <w:noWrap/>
            <w:hideMark/>
          </w:tcPr>
          <w:p w14:paraId="059386AA"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Rezultati PISA 2022 (403–406 bodova) zaostaju 65–82 boda za OECD prosjekom, što odgovara približno dvjema godinama školovanja. Čak 60% učenika ne dostiže osnovni nivo iz matematike (OECD – 31%). Rezultati opadaju u odnosu na period 2015/2018, brišući deceniju napretka. Ovaj deficit doprinosi neusklađenosti vještina i nezaposlenosti mladih.</w:t>
            </w:r>
          </w:p>
        </w:tc>
      </w:tr>
      <w:tr w:rsidR="00D959B1" w:rsidRPr="00D959B1" w14:paraId="0D8C0419"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682AB58B"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02</w:t>
            </w:r>
          </w:p>
        </w:tc>
        <w:tc>
          <w:tcPr>
            <w:tcW w:w="468" w:type="pct"/>
            <w:noWrap/>
            <w:hideMark/>
          </w:tcPr>
          <w:p w14:paraId="49838570"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PA06-02</w:t>
            </w:r>
          </w:p>
        </w:tc>
        <w:tc>
          <w:tcPr>
            <w:tcW w:w="1171" w:type="pct"/>
            <w:noWrap/>
            <w:hideMark/>
          </w:tcPr>
          <w:p w14:paraId="55A301C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Obuhvat ranim i predškolskim </w:t>
            </w:r>
            <w:proofErr w:type="spellStart"/>
            <w:r w:rsidRPr="00D959B1">
              <w:rPr>
                <w:rFonts w:ascii="Aptos Narrow" w:eastAsia="Times New Roman" w:hAnsi="Aptos Narrow" w:cs="Times New Roman"/>
                <w:color w:val="000000"/>
                <w:sz w:val="16"/>
                <w:szCs w:val="16"/>
                <w:lang w:val="hr-HR" w:eastAsia="en-GB"/>
                <w14:ligatures w14:val="none"/>
              </w:rPr>
              <w:t>vaspitanjem</w:t>
            </w:r>
            <w:proofErr w:type="spellEnd"/>
            <w:r w:rsidRPr="00D959B1">
              <w:rPr>
                <w:rFonts w:ascii="Aptos Narrow" w:eastAsia="Times New Roman" w:hAnsi="Aptos Narrow" w:cs="Times New Roman"/>
                <w:color w:val="000000"/>
                <w:sz w:val="16"/>
                <w:szCs w:val="16"/>
                <w:lang w:val="hr-HR" w:eastAsia="en-GB"/>
                <w14:ligatures w14:val="none"/>
              </w:rPr>
              <w:t xml:space="preserve"> i obrazovanjem (RPVO/ECEC) ispod EU standarda (111)</w:t>
            </w:r>
          </w:p>
        </w:tc>
        <w:tc>
          <w:tcPr>
            <w:tcW w:w="2970" w:type="pct"/>
            <w:noWrap/>
            <w:hideMark/>
          </w:tcPr>
          <w:p w14:paraId="69877B24"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Sa 79,6%, obuhvat djece 3–6 godina je 16 p.p. ispod EU prosjeka i cilja za 2030 (96%). Ograničena dostupnost utiče na učešće žena na tržištu rada i smanjuje mogućnosti rane intervencije, posebno za ranjive grupe. Ograničen pristup, posebno u urbanim sredinama i za ranjive grupe, smanjuje ishode ranog učenja i ograničava učešće žena na tržištu rada.</w:t>
            </w:r>
          </w:p>
        </w:tc>
      </w:tr>
      <w:tr w:rsidR="00D959B1" w:rsidRPr="00D959B1" w14:paraId="419727DF"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4F85FBC3"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03</w:t>
            </w:r>
          </w:p>
        </w:tc>
        <w:tc>
          <w:tcPr>
            <w:tcW w:w="468" w:type="pct"/>
            <w:noWrap/>
            <w:hideMark/>
          </w:tcPr>
          <w:p w14:paraId="6218490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PA06-03</w:t>
            </w:r>
          </w:p>
        </w:tc>
        <w:tc>
          <w:tcPr>
            <w:tcW w:w="1171" w:type="pct"/>
            <w:noWrap/>
            <w:hideMark/>
          </w:tcPr>
          <w:p w14:paraId="58B6353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Neusklađenost VET sistema sa tržištem rada i slabo učešće poslodavaca (115, 126)</w:t>
            </w:r>
          </w:p>
        </w:tc>
        <w:tc>
          <w:tcPr>
            <w:tcW w:w="2970" w:type="pct"/>
            <w:noWrap/>
            <w:hideMark/>
          </w:tcPr>
          <w:p w14:paraId="61241DC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Sistem stručnog obrazovanja i osposobljavanja (VET) nije dovoljno usklađen sa potrebama tržišta rada, </w:t>
            </w:r>
            <w:proofErr w:type="spellStart"/>
            <w:r w:rsidRPr="00D959B1">
              <w:rPr>
                <w:rFonts w:ascii="Aptos Narrow" w:eastAsia="Times New Roman" w:hAnsi="Aptos Narrow" w:cs="Times New Roman"/>
                <w:color w:val="000000"/>
                <w:sz w:val="16"/>
                <w:szCs w:val="16"/>
                <w:lang w:val="hr-HR" w:eastAsia="en-GB"/>
                <w14:ligatures w14:val="none"/>
              </w:rPr>
              <w:t>uprkos</w:t>
            </w:r>
            <w:proofErr w:type="spellEnd"/>
            <w:r w:rsidRPr="00D959B1">
              <w:rPr>
                <w:rFonts w:ascii="Aptos Narrow" w:eastAsia="Times New Roman" w:hAnsi="Aptos Narrow" w:cs="Times New Roman"/>
                <w:color w:val="000000"/>
                <w:sz w:val="16"/>
                <w:szCs w:val="16"/>
                <w:lang w:val="hr-HR" w:eastAsia="en-GB"/>
                <w14:ligatures w14:val="none"/>
              </w:rPr>
              <w:t xml:space="preserve"> napretku u razvoju kvalifikacionih standarda. Učenje kroz rad je nedovoljno razvijeno, a učešće poslodavaca u izradi i realizaciji nastavnih programa je ograničeno. Potrebne su reforme upravljanja i </w:t>
            </w:r>
            <w:proofErr w:type="spellStart"/>
            <w:r w:rsidRPr="00D959B1">
              <w:rPr>
                <w:rFonts w:ascii="Aptos Narrow" w:eastAsia="Times New Roman" w:hAnsi="Aptos Narrow" w:cs="Times New Roman"/>
                <w:color w:val="000000"/>
                <w:sz w:val="16"/>
                <w:szCs w:val="16"/>
                <w:lang w:val="hr-HR" w:eastAsia="en-GB"/>
                <w14:ligatures w14:val="none"/>
              </w:rPr>
              <w:t>finansiranja</w:t>
            </w:r>
            <w:proofErr w:type="spellEnd"/>
            <w:r w:rsidRPr="00D959B1">
              <w:rPr>
                <w:rFonts w:ascii="Aptos Narrow" w:eastAsia="Times New Roman" w:hAnsi="Aptos Narrow" w:cs="Times New Roman"/>
                <w:color w:val="000000"/>
                <w:sz w:val="16"/>
                <w:szCs w:val="16"/>
                <w:lang w:val="hr-HR" w:eastAsia="en-GB"/>
                <w14:ligatures w14:val="none"/>
              </w:rPr>
              <w:t xml:space="preserve"> </w:t>
            </w:r>
            <w:r w:rsidRPr="00D959B1">
              <w:rPr>
                <w:rFonts w:ascii="Aptos Narrow" w:eastAsia="Times New Roman" w:hAnsi="Aptos Narrow" w:cs="Times New Roman"/>
                <w:color w:val="000000"/>
                <w:sz w:val="16"/>
                <w:szCs w:val="16"/>
                <w:lang w:val="hr-HR" w:eastAsia="en-GB"/>
                <w14:ligatures w14:val="none"/>
              </w:rPr>
              <w:lastRenderedPageBreak/>
              <w:t xml:space="preserve">(preporuka ETF-a o modelu </w:t>
            </w:r>
            <w:proofErr w:type="spellStart"/>
            <w:r w:rsidRPr="00D959B1">
              <w:rPr>
                <w:rFonts w:ascii="Aptos Narrow" w:eastAsia="Times New Roman" w:hAnsi="Aptos Narrow" w:cs="Times New Roman"/>
                <w:color w:val="000000"/>
                <w:sz w:val="16"/>
                <w:szCs w:val="16"/>
                <w:lang w:val="hr-HR" w:eastAsia="en-GB"/>
                <w14:ligatures w14:val="none"/>
              </w:rPr>
              <w:t>finansiranja</w:t>
            </w:r>
            <w:proofErr w:type="spellEnd"/>
            <w:r w:rsidRPr="00D959B1">
              <w:rPr>
                <w:rFonts w:ascii="Aptos Narrow" w:eastAsia="Times New Roman" w:hAnsi="Aptos Narrow" w:cs="Times New Roman"/>
                <w:color w:val="000000"/>
                <w:sz w:val="16"/>
                <w:szCs w:val="16"/>
                <w:lang w:val="hr-HR" w:eastAsia="en-GB"/>
                <w14:ligatures w14:val="none"/>
              </w:rPr>
              <w:t xml:space="preserve"> po učeniku), dok izostanak nove strategije stručnog obrazovanja stvara prazninu u javnim politikama. </w:t>
            </w:r>
          </w:p>
        </w:tc>
      </w:tr>
      <w:tr w:rsidR="00D959B1" w:rsidRPr="00D959B1" w14:paraId="51C4DB0A"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5EE161EA"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lastRenderedPageBreak/>
              <w:t>04</w:t>
            </w:r>
          </w:p>
        </w:tc>
        <w:tc>
          <w:tcPr>
            <w:tcW w:w="468" w:type="pct"/>
            <w:noWrap/>
            <w:hideMark/>
          </w:tcPr>
          <w:p w14:paraId="077627E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PA06-04</w:t>
            </w:r>
          </w:p>
        </w:tc>
        <w:tc>
          <w:tcPr>
            <w:tcW w:w="1171" w:type="pct"/>
            <w:noWrap/>
            <w:hideMark/>
          </w:tcPr>
          <w:p w14:paraId="5AE66160"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Nedostaci u kvalitetu nastavnog kadra i profesionalnom razvoju (119)</w:t>
            </w:r>
          </w:p>
        </w:tc>
        <w:tc>
          <w:tcPr>
            <w:tcW w:w="2970" w:type="pct"/>
            <w:noWrap/>
            <w:hideMark/>
          </w:tcPr>
          <w:p w14:paraId="53327524"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Nedostatak nastavnog kadra, starenje radne snage i ograničena atraktivnost profesije negativno utiču na </w:t>
            </w:r>
            <w:proofErr w:type="spellStart"/>
            <w:r w:rsidRPr="00D959B1">
              <w:rPr>
                <w:rFonts w:ascii="Aptos Narrow" w:eastAsia="Times New Roman" w:hAnsi="Aptos Narrow" w:cs="Times New Roman"/>
                <w:color w:val="000000"/>
                <w:sz w:val="16"/>
                <w:szCs w:val="16"/>
                <w:lang w:val="hr-HR" w:eastAsia="en-GB"/>
                <w14:ligatures w14:val="none"/>
              </w:rPr>
              <w:t>kvalitet</w:t>
            </w:r>
            <w:proofErr w:type="spellEnd"/>
            <w:r w:rsidRPr="00D959B1">
              <w:rPr>
                <w:rFonts w:ascii="Aptos Narrow" w:eastAsia="Times New Roman" w:hAnsi="Aptos Narrow" w:cs="Times New Roman"/>
                <w:color w:val="000000"/>
                <w:sz w:val="16"/>
                <w:szCs w:val="16"/>
                <w:lang w:val="hr-HR" w:eastAsia="en-GB"/>
                <w14:ligatures w14:val="none"/>
              </w:rPr>
              <w:t xml:space="preserve"> obrazovanja. </w:t>
            </w:r>
            <w:proofErr w:type="spellStart"/>
            <w:r w:rsidRPr="00D959B1">
              <w:rPr>
                <w:rFonts w:ascii="Aptos Narrow" w:eastAsia="Times New Roman" w:hAnsi="Aptos Narrow" w:cs="Times New Roman"/>
                <w:color w:val="000000"/>
                <w:sz w:val="16"/>
                <w:szCs w:val="16"/>
                <w:lang w:val="hr-HR" w:eastAsia="en-GB"/>
                <w14:ligatures w14:val="none"/>
              </w:rPr>
              <w:t>Uprkos</w:t>
            </w:r>
            <w:proofErr w:type="spellEnd"/>
            <w:r w:rsidRPr="00D959B1">
              <w:rPr>
                <w:rFonts w:ascii="Aptos Narrow" w:eastAsia="Times New Roman" w:hAnsi="Aptos Narrow" w:cs="Times New Roman"/>
                <w:color w:val="000000"/>
                <w:sz w:val="16"/>
                <w:szCs w:val="16"/>
                <w:lang w:val="hr-HR" w:eastAsia="en-GB"/>
                <w14:ligatures w14:val="none"/>
              </w:rPr>
              <w:t xml:space="preserve"> povećanom </w:t>
            </w:r>
            <w:proofErr w:type="spellStart"/>
            <w:r w:rsidRPr="00D959B1">
              <w:rPr>
                <w:rFonts w:ascii="Aptos Narrow" w:eastAsia="Times New Roman" w:hAnsi="Aptos Narrow" w:cs="Times New Roman"/>
                <w:color w:val="000000"/>
                <w:sz w:val="16"/>
                <w:szCs w:val="16"/>
                <w:lang w:val="hr-HR" w:eastAsia="en-GB"/>
                <w14:ligatures w14:val="none"/>
              </w:rPr>
              <w:t>finansiranju</w:t>
            </w:r>
            <w:proofErr w:type="spellEnd"/>
            <w:r w:rsidRPr="00D959B1">
              <w:rPr>
                <w:rFonts w:ascii="Aptos Narrow" w:eastAsia="Times New Roman" w:hAnsi="Aptos Narrow" w:cs="Times New Roman"/>
                <w:color w:val="000000"/>
                <w:sz w:val="16"/>
                <w:szCs w:val="16"/>
                <w:lang w:val="hr-HR" w:eastAsia="en-GB"/>
                <w14:ligatures w14:val="none"/>
              </w:rPr>
              <w:t xml:space="preserve"> kontinuiranog stručnog usavršavanja nastavnika (osmostruko povećanje budžeta za ove namjene u 2024. godini), i dalje postoje sistemske slabosti u inicijalnom obrazovanju nastavnika, kontinuiranom usavršavanju i evaluaciji njihovog rada, što direktno utiče na ishode učenja učenika. </w:t>
            </w:r>
            <w:proofErr w:type="spellStart"/>
            <w:r w:rsidRPr="00D959B1">
              <w:rPr>
                <w:rFonts w:ascii="Aptos Narrow" w:eastAsia="Times New Roman" w:hAnsi="Aptos Narrow" w:cs="Times New Roman"/>
                <w:color w:val="000000"/>
                <w:sz w:val="16"/>
                <w:szCs w:val="16"/>
                <w:lang w:val="hr-HR" w:eastAsia="en-GB"/>
                <w14:ligatures w14:val="none"/>
              </w:rPr>
              <w:t>Kvalitet</w:t>
            </w:r>
            <w:proofErr w:type="spellEnd"/>
            <w:r w:rsidRPr="00D959B1">
              <w:rPr>
                <w:rFonts w:ascii="Aptos Narrow" w:eastAsia="Times New Roman" w:hAnsi="Aptos Narrow" w:cs="Times New Roman"/>
                <w:color w:val="000000"/>
                <w:sz w:val="16"/>
                <w:szCs w:val="16"/>
                <w:lang w:val="hr-HR" w:eastAsia="en-GB"/>
                <w14:ligatures w14:val="none"/>
              </w:rPr>
              <w:t xml:space="preserve"> nastave predstavlja najvažniji školski faktor koji utiče na postignuća učenika. Strategija reforme obrazovanja 2025–2035 prepoznaje obrazovanje nastavnika kao prioritet, ali je njena implementacija još uvijek u početnoj fazi.</w:t>
            </w:r>
          </w:p>
        </w:tc>
      </w:tr>
      <w:tr w:rsidR="00D959B1" w:rsidRPr="00D959B1" w14:paraId="0AC6E8B2"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0813FD3B"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05</w:t>
            </w:r>
          </w:p>
        </w:tc>
        <w:tc>
          <w:tcPr>
            <w:tcW w:w="468" w:type="pct"/>
            <w:noWrap/>
            <w:hideMark/>
          </w:tcPr>
          <w:p w14:paraId="01E677C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PA06-05</w:t>
            </w:r>
          </w:p>
        </w:tc>
        <w:tc>
          <w:tcPr>
            <w:tcW w:w="1171" w:type="pct"/>
            <w:noWrap/>
            <w:hideMark/>
          </w:tcPr>
          <w:p w14:paraId="018EFC98"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Digitalni jaz u populaciji (128, 129)</w:t>
            </w:r>
          </w:p>
        </w:tc>
        <w:tc>
          <w:tcPr>
            <w:tcW w:w="2970" w:type="pct"/>
            <w:noWrap/>
            <w:hideMark/>
          </w:tcPr>
          <w:p w14:paraId="657D1621"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Nedostatak digitalnih vještina izražen je na svim nivoima — od osnovne digitalne pismenosti u </w:t>
            </w:r>
            <w:proofErr w:type="spellStart"/>
            <w:r w:rsidRPr="00D959B1">
              <w:rPr>
                <w:rFonts w:ascii="Aptos Narrow" w:eastAsia="Times New Roman" w:hAnsi="Aptos Narrow" w:cs="Times New Roman"/>
                <w:color w:val="000000"/>
                <w:sz w:val="16"/>
                <w:szCs w:val="16"/>
                <w:lang w:val="hr-HR" w:eastAsia="en-GB"/>
                <w14:ligatures w14:val="none"/>
              </w:rPr>
              <w:t>opštoj</w:t>
            </w:r>
            <w:proofErr w:type="spellEnd"/>
            <w:r w:rsidRPr="00D959B1">
              <w:rPr>
                <w:rFonts w:ascii="Aptos Narrow" w:eastAsia="Times New Roman" w:hAnsi="Aptos Narrow" w:cs="Times New Roman"/>
                <w:color w:val="000000"/>
                <w:sz w:val="16"/>
                <w:szCs w:val="16"/>
                <w:lang w:val="hr-HR" w:eastAsia="en-GB"/>
                <w14:ligatures w14:val="none"/>
              </w:rPr>
              <w:t xml:space="preserve"> populaciji do naprednih digitalnih kompetencija potrebnih za tržište rada. Strategija za digitalizaciju obrazovanja 2022–2025 se sprovodi, ali infrastruktura, kapaciteti nastavnika i integracija u nastavne programe ostaju neujednačeni. Ovo ograničava učešće u digitalnoj ekonomiji i smanjuje </w:t>
            </w:r>
            <w:proofErr w:type="spellStart"/>
            <w:r w:rsidRPr="00D959B1">
              <w:rPr>
                <w:rFonts w:ascii="Aptos Narrow" w:eastAsia="Times New Roman" w:hAnsi="Aptos Narrow" w:cs="Times New Roman"/>
                <w:color w:val="000000"/>
                <w:sz w:val="16"/>
                <w:szCs w:val="16"/>
                <w:lang w:val="hr-HR" w:eastAsia="en-GB"/>
                <w14:ligatures w14:val="none"/>
              </w:rPr>
              <w:t>inovacioni</w:t>
            </w:r>
            <w:proofErr w:type="spellEnd"/>
            <w:r w:rsidRPr="00D959B1">
              <w:rPr>
                <w:rFonts w:ascii="Aptos Narrow" w:eastAsia="Times New Roman" w:hAnsi="Aptos Narrow" w:cs="Times New Roman"/>
                <w:color w:val="000000"/>
                <w:sz w:val="16"/>
                <w:szCs w:val="16"/>
                <w:lang w:val="hr-HR" w:eastAsia="en-GB"/>
                <w14:ligatures w14:val="none"/>
              </w:rPr>
              <w:t xml:space="preserve"> potencijal. Crna Gora još uvijek nije obuhvaćena DESI indeksom.</w:t>
            </w:r>
          </w:p>
        </w:tc>
      </w:tr>
      <w:tr w:rsidR="00D959B1" w:rsidRPr="00D959B1" w14:paraId="7E62E7B3"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0BD9ACF0"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06</w:t>
            </w:r>
          </w:p>
        </w:tc>
        <w:tc>
          <w:tcPr>
            <w:tcW w:w="468" w:type="pct"/>
            <w:noWrap/>
            <w:hideMark/>
          </w:tcPr>
          <w:p w14:paraId="38CC3679"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PA06-06</w:t>
            </w:r>
          </w:p>
        </w:tc>
        <w:tc>
          <w:tcPr>
            <w:tcW w:w="1171" w:type="pct"/>
            <w:noWrap/>
            <w:hideMark/>
          </w:tcPr>
          <w:p w14:paraId="0D529E2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Veoma nisko učešće odraslih u obrazovanju  i učenju  (134)</w:t>
            </w:r>
          </w:p>
        </w:tc>
        <w:tc>
          <w:tcPr>
            <w:tcW w:w="2970" w:type="pct"/>
            <w:noWrap/>
            <w:hideMark/>
          </w:tcPr>
          <w:p w14:paraId="3589B148"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Učešće odraslih u obrazovanju i učenju ostaje znatno ispod prosjeka EU, što ograničava mogućnosti dodatnog usavršavanja i prekvalifikacije. Infrastruktura za obrazovanje odraslih je nedovoljno razvijena, uključenost poslodavaca treba povećati, priznavanje prethodnog učenja nedovoljno razvijeno, a ne postoji sveobuhvatna strategija usklađena sa EU ciljem od 60% učešća do 2030. Ovo dodatno produbljuje demografski izazov starenja radne snage (vidjeti PA17 Socijalna politika).</w:t>
            </w:r>
          </w:p>
        </w:tc>
      </w:tr>
      <w:tr w:rsidR="00D959B1" w:rsidRPr="00D959B1" w14:paraId="09584CD5"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335FC859"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07</w:t>
            </w:r>
          </w:p>
        </w:tc>
        <w:tc>
          <w:tcPr>
            <w:tcW w:w="468" w:type="pct"/>
            <w:noWrap/>
            <w:hideMark/>
          </w:tcPr>
          <w:p w14:paraId="7C95BDCB"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PA06-07</w:t>
            </w:r>
          </w:p>
        </w:tc>
        <w:tc>
          <w:tcPr>
            <w:tcW w:w="1171" w:type="pct"/>
            <w:noWrap/>
            <w:hideMark/>
          </w:tcPr>
          <w:p w14:paraId="179F0F2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Jaz u inkluziji </w:t>
            </w:r>
            <w:proofErr w:type="spellStart"/>
            <w:r w:rsidRPr="00D959B1">
              <w:rPr>
                <w:rFonts w:ascii="Aptos Narrow" w:eastAsia="Times New Roman" w:hAnsi="Aptos Narrow" w:cs="Times New Roman"/>
                <w:color w:val="000000"/>
                <w:sz w:val="16"/>
                <w:szCs w:val="16"/>
                <w:lang w:val="hr-HR" w:eastAsia="en-GB"/>
                <w14:ligatures w14:val="none"/>
              </w:rPr>
              <w:t>dece</w:t>
            </w:r>
            <w:proofErr w:type="spellEnd"/>
            <w:r w:rsidRPr="00D959B1">
              <w:rPr>
                <w:rFonts w:ascii="Aptos Narrow" w:eastAsia="Times New Roman" w:hAnsi="Aptos Narrow" w:cs="Times New Roman"/>
                <w:color w:val="000000"/>
                <w:sz w:val="16"/>
                <w:szCs w:val="16"/>
                <w:lang w:val="hr-HR" w:eastAsia="en-GB"/>
                <w14:ligatures w14:val="none"/>
              </w:rPr>
              <w:t xml:space="preserve"> sa invaliditetom i romske i egipatske zajednice </w:t>
            </w:r>
          </w:p>
        </w:tc>
        <w:tc>
          <w:tcPr>
            <w:tcW w:w="2970" w:type="pct"/>
            <w:noWrap/>
            <w:hideMark/>
          </w:tcPr>
          <w:p w14:paraId="4C162A0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proofErr w:type="spellStart"/>
            <w:r w:rsidRPr="00D959B1">
              <w:rPr>
                <w:rFonts w:ascii="Aptos Narrow" w:eastAsia="Times New Roman" w:hAnsi="Aptos Narrow" w:cs="Times New Roman"/>
                <w:color w:val="000000"/>
                <w:sz w:val="16"/>
                <w:szCs w:val="16"/>
                <w:lang w:val="hr-HR" w:eastAsia="en-GB"/>
                <w14:ligatures w14:val="none"/>
              </w:rPr>
              <w:t>Uprkos</w:t>
            </w:r>
            <w:proofErr w:type="spellEnd"/>
            <w:r w:rsidRPr="00D959B1">
              <w:rPr>
                <w:rFonts w:ascii="Aptos Narrow" w:eastAsia="Times New Roman" w:hAnsi="Aptos Narrow" w:cs="Times New Roman"/>
                <w:color w:val="000000"/>
                <w:sz w:val="16"/>
                <w:szCs w:val="16"/>
                <w:lang w:val="hr-HR" w:eastAsia="en-GB"/>
                <w14:ligatures w14:val="none"/>
              </w:rPr>
              <w:t xml:space="preserve"> postojećem zakonodavnom okviru i strategijama, pristup kvalitetnom obrazovanju za djecu sa invaliditetom i djecu iz romske i </w:t>
            </w:r>
            <w:proofErr w:type="spellStart"/>
            <w:r w:rsidRPr="00D959B1">
              <w:rPr>
                <w:rFonts w:ascii="Aptos Narrow" w:eastAsia="Times New Roman" w:hAnsi="Aptos Narrow" w:cs="Times New Roman"/>
                <w:color w:val="000000"/>
                <w:sz w:val="16"/>
                <w:szCs w:val="16"/>
                <w:lang w:val="hr-HR" w:eastAsia="en-GB"/>
                <w14:ligatures w14:val="none"/>
              </w:rPr>
              <w:t>egipćanske</w:t>
            </w:r>
            <w:proofErr w:type="spellEnd"/>
            <w:r w:rsidRPr="00D959B1">
              <w:rPr>
                <w:rFonts w:ascii="Aptos Narrow" w:eastAsia="Times New Roman" w:hAnsi="Aptos Narrow" w:cs="Times New Roman"/>
                <w:color w:val="000000"/>
                <w:sz w:val="16"/>
                <w:szCs w:val="16"/>
                <w:lang w:val="hr-HR" w:eastAsia="en-GB"/>
                <w14:ligatures w14:val="none"/>
              </w:rPr>
              <w:t xml:space="preserve"> zajednice i dalje je ograničen zbog nedovoljne fizičke pristupačnosti, neprilagođenih nastavnih programa, nedostatka obučenog stručnog kadra i prisutnih diskriminatornih praksi. Usluge podrške, inkluzivna infrastruktura i prilagođene nastavne metode </w:t>
            </w:r>
            <w:proofErr w:type="spellStart"/>
            <w:r w:rsidRPr="00D959B1">
              <w:rPr>
                <w:rFonts w:ascii="Aptos Narrow" w:eastAsia="Times New Roman" w:hAnsi="Aptos Narrow" w:cs="Times New Roman"/>
                <w:color w:val="000000"/>
                <w:sz w:val="16"/>
                <w:szCs w:val="16"/>
                <w:lang w:val="hr-HR" w:eastAsia="en-GB"/>
                <w14:ligatures w14:val="none"/>
              </w:rPr>
              <w:t>nijesu</w:t>
            </w:r>
            <w:proofErr w:type="spellEnd"/>
            <w:r w:rsidRPr="00D959B1">
              <w:rPr>
                <w:rFonts w:ascii="Aptos Narrow" w:eastAsia="Times New Roman" w:hAnsi="Aptos Narrow" w:cs="Times New Roman"/>
                <w:color w:val="000000"/>
                <w:sz w:val="16"/>
                <w:szCs w:val="16"/>
                <w:lang w:val="hr-HR" w:eastAsia="en-GB"/>
                <w14:ligatures w14:val="none"/>
              </w:rPr>
              <w:t xml:space="preserve"> dovoljno razvijene. Stopa ranog napuštanja školovanja viša je kod ovih grupa (vidjeti PA16 Prava, jednakost i pravda; PA17 Socijalna politika).</w:t>
            </w:r>
          </w:p>
        </w:tc>
      </w:tr>
      <w:tr w:rsidR="00D959B1" w:rsidRPr="00D959B1" w14:paraId="28665F92"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1B883084"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08</w:t>
            </w:r>
          </w:p>
        </w:tc>
        <w:tc>
          <w:tcPr>
            <w:tcW w:w="468" w:type="pct"/>
            <w:noWrap/>
            <w:hideMark/>
          </w:tcPr>
          <w:p w14:paraId="52BA0714"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PA06-08</w:t>
            </w:r>
          </w:p>
        </w:tc>
        <w:tc>
          <w:tcPr>
            <w:tcW w:w="1171" w:type="pct"/>
            <w:noWrap/>
            <w:hideMark/>
          </w:tcPr>
          <w:p w14:paraId="45AE5CE9"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Relevantnost i </w:t>
            </w:r>
            <w:proofErr w:type="spellStart"/>
            <w:r w:rsidRPr="00D959B1">
              <w:rPr>
                <w:rFonts w:ascii="Aptos Narrow" w:eastAsia="Times New Roman" w:hAnsi="Aptos Narrow" w:cs="Times New Roman"/>
                <w:color w:val="000000"/>
                <w:sz w:val="16"/>
                <w:szCs w:val="16"/>
                <w:lang w:val="hr-HR" w:eastAsia="en-GB"/>
                <w14:ligatures w14:val="none"/>
              </w:rPr>
              <w:t>kvalitet</w:t>
            </w:r>
            <w:proofErr w:type="spellEnd"/>
            <w:r w:rsidRPr="00D959B1">
              <w:rPr>
                <w:rFonts w:ascii="Aptos Narrow" w:eastAsia="Times New Roman" w:hAnsi="Aptos Narrow" w:cs="Times New Roman"/>
                <w:color w:val="000000"/>
                <w:sz w:val="16"/>
                <w:szCs w:val="16"/>
                <w:lang w:val="hr-HR" w:eastAsia="en-GB"/>
                <w14:ligatures w14:val="none"/>
              </w:rPr>
              <w:t xml:space="preserve"> visokog obrazovanja i odliv mozgova (114) </w:t>
            </w:r>
          </w:p>
        </w:tc>
        <w:tc>
          <w:tcPr>
            <w:tcW w:w="2970" w:type="pct"/>
            <w:noWrap/>
            <w:hideMark/>
          </w:tcPr>
          <w:p w14:paraId="4D2F3DE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Visoko obrazovanje suočava se sa izazovima u oblasti osiguranja kvaliteta, usklađenosti sa potrebama tržišta rada i međunarodne konkurentnosti. Neusklađenost vještina diplomaca i dalje je prisutna, dok emigracija studenata i visoko </w:t>
            </w:r>
            <w:proofErr w:type="spellStart"/>
            <w:r w:rsidRPr="00D959B1">
              <w:rPr>
                <w:rFonts w:ascii="Aptos Narrow" w:eastAsia="Times New Roman" w:hAnsi="Aptos Narrow" w:cs="Times New Roman"/>
                <w:color w:val="000000"/>
                <w:sz w:val="16"/>
                <w:szCs w:val="16"/>
                <w:lang w:val="hr-HR" w:eastAsia="en-GB"/>
                <w14:ligatures w14:val="none"/>
              </w:rPr>
              <w:t>kvalifikovanih</w:t>
            </w:r>
            <w:proofErr w:type="spellEnd"/>
            <w:r w:rsidRPr="00D959B1">
              <w:rPr>
                <w:rFonts w:ascii="Aptos Narrow" w:eastAsia="Times New Roman" w:hAnsi="Aptos Narrow" w:cs="Times New Roman"/>
                <w:color w:val="000000"/>
                <w:sz w:val="16"/>
                <w:szCs w:val="16"/>
                <w:lang w:val="hr-HR" w:eastAsia="en-GB"/>
                <w14:ligatures w14:val="none"/>
              </w:rPr>
              <w:t xml:space="preserve"> radnika smanjuje ljudski kapital.</w:t>
            </w:r>
          </w:p>
        </w:tc>
      </w:tr>
      <w:tr w:rsidR="00D959B1" w:rsidRPr="00D959B1" w14:paraId="0B0849E6"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7A6D34A9"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09</w:t>
            </w:r>
          </w:p>
        </w:tc>
        <w:tc>
          <w:tcPr>
            <w:tcW w:w="468" w:type="pct"/>
            <w:noWrap/>
            <w:hideMark/>
          </w:tcPr>
          <w:p w14:paraId="4A8A2251"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PA06-09</w:t>
            </w:r>
          </w:p>
        </w:tc>
        <w:tc>
          <w:tcPr>
            <w:tcW w:w="1171" w:type="pct"/>
            <w:noWrap/>
            <w:hideMark/>
          </w:tcPr>
          <w:p w14:paraId="30535F0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Slabo upravljanje, koordinacija i donošenje politika zasnovanih na dokazima (126, 124)</w:t>
            </w:r>
          </w:p>
        </w:tc>
        <w:tc>
          <w:tcPr>
            <w:tcW w:w="2970" w:type="pct"/>
            <w:noWrap/>
            <w:hideMark/>
          </w:tcPr>
          <w:p w14:paraId="09728FEE"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Fragmentacija nadležnosti između institucija i ograničeno donošenje odluka zasnovano na podacima smanjuju efikasnost javnih politika. Sistemi monitoringa, evaluacije i odgovornosti na nivou sistema </w:t>
            </w:r>
            <w:proofErr w:type="spellStart"/>
            <w:r w:rsidRPr="00D959B1">
              <w:rPr>
                <w:rFonts w:ascii="Aptos Narrow" w:eastAsia="Times New Roman" w:hAnsi="Aptos Narrow" w:cs="Times New Roman"/>
                <w:color w:val="000000"/>
                <w:sz w:val="16"/>
                <w:szCs w:val="16"/>
                <w:lang w:val="hr-HR" w:eastAsia="en-GB"/>
                <w14:ligatures w14:val="none"/>
              </w:rPr>
              <w:t>nijesu</w:t>
            </w:r>
            <w:proofErr w:type="spellEnd"/>
            <w:r w:rsidRPr="00D959B1">
              <w:rPr>
                <w:rFonts w:ascii="Aptos Narrow" w:eastAsia="Times New Roman" w:hAnsi="Aptos Narrow" w:cs="Times New Roman"/>
                <w:color w:val="000000"/>
                <w:sz w:val="16"/>
                <w:szCs w:val="16"/>
                <w:lang w:val="hr-HR" w:eastAsia="en-GB"/>
                <w14:ligatures w14:val="none"/>
              </w:rPr>
              <w:t xml:space="preserve"> dovoljno razvijeni.</w:t>
            </w:r>
          </w:p>
        </w:tc>
      </w:tr>
      <w:tr w:rsidR="00D959B1" w:rsidRPr="00D959B1" w14:paraId="0D1291FD"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5807A504"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10</w:t>
            </w:r>
          </w:p>
        </w:tc>
        <w:tc>
          <w:tcPr>
            <w:tcW w:w="468" w:type="pct"/>
            <w:noWrap/>
            <w:hideMark/>
          </w:tcPr>
          <w:p w14:paraId="38526797"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PA06-10</w:t>
            </w:r>
          </w:p>
        </w:tc>
        <w:tc>
          <w:tcPr>
            <w:tcW w:w="1171" w:type="pct"/>
            <w:noWrap/>
            <w:hideMark/>
          </w:tcPr>
          <w:p w14:paraId="4C5CDD3A"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Neusklađenost obrazovnih ishoda i obrazovne ponude  sa potrebama tržišta rada (127, 131)</w:t>
            </w:r>
          </w:p>
        </w:tc>
        <w:tc>
          <w:tcPr>
            <w:tcW w:w="2970" w:type="pct"/>
            <w:noWrap/>
            <w:hideMark/>
          </w:tcPr>
          <w:p w14:paraId="219FDDF4"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Neusklađenosti u strukturi obrazovne ponude i upisne politike  (npr. visok udio upisanih u društvene nauke u odnosu na nizak u STEM, tehničke i deficitarne stručne profile), kao i nedovoljna usklađenost obrazovnih ishoda sa potrebama tržišta rada, doprinose strukturnoj nezaposlenosti i nedostatku i istovremenom nedostatku kadra u ključnim sektorima kao što su građevinarstvo, energetika, inženjerstvo, ICT, turizam i zanatske djelatnosti. Slaba povezanost obrazovnog sistema sa projekcijama budućih potreba tržišta rada dodatno produbljuje jaz vještina i ograničava konkurentnost ekonomije..</w:t>
            </w:r>
          </w:p>
        </w:tc>
      </w:tr>
      <w:tr w:rsidR="00D959B1" w:rsidRPr="00D959B1" w14:paraId="01859EB3"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1C77612B"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11</w:t>
            </w:r>
          </w:p>
        </w:tc>
        <w:tc>
          <w:tcPr>
            <w:tcW w:w="468" w:type="pct"/>
            <w:noWrap/>
            <w:hideMark/>
          </w:tcPr>
          <w:p w14:paraId="2AD7625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PA06-11</w:t>
            </w:r>
          </w:p>
        </w:tc>
        <w:tc>
          <w:tcPr>
            <w:tcW w:w="1171" w:type="pct"/>
            <w:noWrap/>
            <w:hideMark/>
          </w:tcPr>
          <w:p w14:paraId="23E3CA5E"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Nedovoljno razvijeno karijerno vođenje i tranzicija škola–tržište rada (125, 127)</w:t>
            </w:r>
          </w:p>
        </w:tc>
        <w:tc>
          <w:tcPr>
            <w:tcW w:w="2970" w:type="pct"/>
            <w:noWrap/>
            <w:hideMark/>
          </w:tcPr>
          <w:p w14:paraId="74D7452C"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Sistemi karijernog vođenja su nedovoljno razvijeni i </w:t>
            </w:r>
            <w:proofErr w:type="spellStart"/>
            <w:r w:rsidRPr="00D959B1">
              <w:rPr>
                <w:rFonts w:ascii="Aptos Narrow" w:eastAsia="Times New Roman" w:hAnsi="Aptos Narrow" w:cs="Times New Roman"/>
                <w:color w:val="000000"/>
                <w:sz w:val="16"/>
                <w:szCs w:val="16"/>
                <w:lang w:val="hr-HR" w:eastAsia="en-GB"/>
                <w14:ligatures w14:val="none"/>
              </w:rPr>
              <w:t>nijesu</w:t>
            </w:r>
            <w:proofErr w:type="spellEnd"/>
            <w:r w:rsidRPr="00D959B1">
              <w:rPr>
                <w:rFonts w:ascii="Aptos Narrow" w:eastAsia="Times New Roman" w:hAnsi="Aptos Narrow" w:cs="Times New Roman"/>
                <w:color w:val="000000"/>
                <w:sz w:val="16"/>
                <w:szCs w:val="16"/>
                <w:lang w:val="hr-HR" w:eastAsia="en-GB"/>
                <w14:ligatures w14:val="none"/>
              </w:rPr>
              <w:t xml:space="preserve"> sistemski </w:t>
            </w:r>
            <w:proofErr w:type="spellStart"/>
            <w:r w:rsidRPr="00D959B1">
              <w:rPr>
                <w:rFonts w:ascii="Aptos Narrow" w:eastAsia="Times New Roman" w:hAnsi="Aptos Narrow" w:cs="Times New Roman"/>
                <w:color w:val="000000"/>
                <w:sz w:val="16"/>
                <w:szCs w:val="16"/>
                <w:lang w:val="hr-HR" w:eastAsia="en-GB"/>
                <w14:ligatures w14:val="none"/>
              </w:rPr>
              <w:t>integrisani</w:t>
            </w:r>
            <w:proofErr w:type="spellEnd"/>
            <w:r w:rsidRPr="00D959B1">
              <w:rPr>
                <w:rFonts w:ascii="Aptos Narrow" w:eastAsia="Times New Roman" w:hAnsi="Aptos Narrow" w:cs="Times New Roman"/>
                <w:color w:val="000000"/>
                <w:sz w:val="16"/>
                <w:szCs w:val="16"/>
                <w:lang w:val="hr-HR" w:eastAsia="en-GB"/>
                <w14:ligatures w14:val="none"/>
              </w:rPr>
              <w:t xml:space="preserve"> na svim nivoima obrazovanja. Prelazak iz obrazovanja u zaposlenje je slab, što doprinosi visokoj nezaposlenosti mladih i NEET stopi (udio mladih koji </w:t>
            </w:r>
            <w:proofErr w:type="spellStart"/>
            <w:r w:rsidRPr="00D959B1">
              <w:rPr>
                <w:rFonts w:ascii="Aptos Narrow" w:eastAsia="Times New Roman" w:hAnsi="Aptos Narrow" w:cs="Times New Roman"/>
                <w:color w:val="000000"/>
                <w:sz w:val="16"/>
                <w:szCs w:val="16"/>
                <w:lang w:val="hr-HR" w:eastAsia="en-GB"/>
                <w14:ligatures w14:val="none"/>
              </w:rPr>
              <w:t>nijesu</w:t>
            </w:r>
            <w:proofErr w:type="spellEnd"/>
            <w:r w:rsidRPr="00D959B1">
              <w:rPr>
                <w:rFonts w:ascii="Aptos Narrow" w:eastAsia="Times New Roman" w:hAnsi="Aptos Narrow" w:cs="Times New Roman"/>
                <w:color w:val="000000"/>
                <w:sz w:val="16"/>
                <w:szCs w:val="16"/>
                <w:lang w:val="hr-HR" w:eastAsia="en-GB"/>
                <w14:ligatures w14:val="none"/>
              </w:rPr>
              <w:t xml:space="preserve"> u zaposlenju, obrazovanju ili obuci).</w:t>
            </w:r>
          </w:p>
        </w:tc>
      </w:tr>
      <w:tr w:rsidR="00D959B1" w:rsidRPr="00D959B1" w14:paraId="6208CA12"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7E25FA49"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12</w:t>
            </w:r>
          </w:p>
        </w:tc>
        <w:tc>
          <w:tcPr>
            <w:tcW w:w="468" w:type="pct"/>
            <w:noWrap/>
            <w:hideMark/>
          </w:tcPr>
          <w:p w14:paraId="11FFCABE"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PA06-12</w:t>
            </w:r>
          </w:p>
        </w:tc>
        <w:tc>
          <w:tcPr>
            <w:tcW w:w="1171" w:type="pct"/>
            <w:noWrap/>
            <w:hideMark/>
          </w:tcPr>
          <w:p w14:paraId="1D11A29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Nedovoljno razvijena infrastruktura i </w:t>
            </w:r>
            <w:proofErr w:type="spellStart"/>
            <w:r w:rsidRPr="00D959B1">
              <w:rPr>
                <w:rFonts w:ascii="Aptos Narrow" w:eastAsia="Times New Roman" w:hAnsi="Aptos Narrow" w:cs="Times New Roman"/>
                <w:color w:val="000000"/>
                <w:sz w:val="16"/>
                <w:szCs w:val="16"/>
                <w:lang w:val="hr-HR" w:eastAsia="en-GB"/>
                <w14:ligatures w14:val="none"/>
              </w:rPr>
              <w:t>finansiranje</w:t>
            </w:r>
            <w:proofErr w:type="spellEnd"/>
            <w:r w:rsidRPr="00D959B1">
              <w:rPr>
                <w:rFonts w:ascii="Aptos Narrow" w:eastAsia="Times New Roman" w:hAnsi="Aptos Narrow" w:cs="Times New Roman"/>
                <w:color w:val="000000"/>
                <w:sz w:val="16"/>
                <w:szCs w:val="16"/>
                <w:lang w:val="hr-HR" w:eastAsia="en-GB"/>
                <w14:ligatures w14:val="none"/>
              </w:rPr>
              <w:t xml:space="preserve"> obrazovanja odraslih (134) </w:t>
            </w:r>
          </w:p>
        </w:tc>
        <w:tc>
          <w:tcPr>
            <w:tcW w:w="2970" w:type="pct"/>
            <w:noWrap/>
            <w:hideMark/>
          </w:tcPr>
          <w:p w14:paraId="4896F38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Ponuda obrazovanja odraslih je ograničenog obima i u velikoj mjeri zavisi od javnih službi zapošljavanja. Uloga privatnog sektora i lokalnog nivoa je slaba, a održivi mehanizmi </w:t>
            </w:r>
            <w:proofErr w:type="spellStart"/>
            <w:r w:rsidRPr="00D959B1">
              <w:rPr>
                <w:rFonts w:ascii="Aptos Narrow" w:eastAsia="Times New Roman" w:hAnsi="Aptos Narrow" w:cs="Times New Roman"/>
                <w:color w:val="000000"/>
                <w:sz w:val="16"/>
                <w:szCs w:val="16"/>
                <w:lang w:val="hr-HR" w:eastAsia="en-GB"/>
                <w14:ligatures w14:val="none"/>
              </w:rPr>
              <w:t>finansiranja</w:t>
            </w:r>
            <w:proofErr w:type="spellEnd"/>
            <w:r w:rsidRPr="00D959B1">
              <w:rPr>
                <w:rFonts w:ascii="Aptos Narrow" w:eastAsia="Times New Roman" w:hAnsi="Aptos Narrow" w:cs="Times New Roman"/>
                <w:color w:val="000000"/>
                <w:sz w:val="16"/>
                <w:szCs w:val="16"/>
                <w:lang w:val="hr-HR" w:eastAsia="en-GB"/>
                <w14:ligatures w14:val="none"/>
              </w:rPr>
              <w:t xml:space="preserve"> </w:t>
            </w:r>
            <w:proofErr w:type="spellStart"/>
            <w:r w:rsidRPr="00D959B1">
              <w:rPr>
                <w:rFonts w:ascii="Aptos Narrow" w:eastAsia="Times New Roman" w:hAnsi="Aptos Narrow" w:cs="Times New Roman"/>
                <w:color w:val="000000"/>
                <w:sz w:val="16"/>
                <w:szCs w:val="16"/>
                <w:lang w:val="hr-HR" w:eastAsia="en-GB"/>
                <w14:ligatures w14:val="none"/>
              </w:rPr>
              <w:t>nijesu</w:t>
            </w:r>
            <w:proofErr w:type="spellEnd"/>
            <w:r w:rsidRPr="00D959B1">
              <w:rPr>
                <w:rFonts w:ascii="Aptos Narrow" w:eastAsia="Times New Roman" w:hAnsi="Aptos Narrow" w:cs="Times New Roman"/>
                <w:color w:val="000000"/>
                <w:sz w:val="16"/>
                <w:szCs w:val="16"/>
                <w:lang w:val="hr-HR" w:eastAsia="en-GB"/>
                <w14:ligatures w14:val="none"/>
              </w:rPr>
              <w:t xml:space="preserve"> uspostavljeni.</w:t>
            </w:r>
          </w:p>
        </w:tc>
      </w:tr>
      <w:tr w:rsidR="00D959B1" w:rsidRPr="00D959B1" w14:paraId="7BC92509"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063CFA72"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13</w:t>
            </w:r>
          </w:p>
        </w:tc>
        <w:tc>
          <w:tcPr>
            <w:tcW w:w="468" w:type="pct"/>
            <w:noWrap/>
            <w:hideMark/>
          </w:tcPr>
          <w:p w14:paraId="6C609C1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PA06-13</w:t>
            </w:r>
          </w:p>
        </w:tc>
        <w:tc>
          <w:tcPr>
            <w:tcW w:w="1171" w:type="pct"/>
            <w:noWrap/>
            <w:hideMark/>
          </w:tcPr>
          <w:p w14:paraId="5150EC6E"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Nedostaci u obrazovnoj infrastrukturi i regionalne nejednakosti (121, 122)</w:t>
            </w:r>
          </w:p>
        </w:tc>
        <w:tc>
          <w:tcPr>
            <w:tcW w:w="2970" w:type="pct"/>
            <w:noWrap/>
            <w:hideMark/>
          </w:tcPr>
          <w:p w14:paraId="288B1C4B"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Infrastruktura škola i ranog i predškolskog </w:t>
            </w:r>
            <w:proofErr w:type="spellStart"/>
            <w:r w:rsidRPr="00D959B1">
              <w:rPr>
                <w:rFonts w:ascii="Aptos Narrow" w:eastAsia="Times New Roman" w:hAnsi="Aptos Narrow" w:cs="Times New Roman"/>
                <w:color w:val="000000"/>
                <w:sz w:val="16"/>
                <w:szCs w:val="16"/>
                <w:lang w:val="hr-HR" w:eastAsia="en-GB"/>
                <w14:ligatures w14:val="none"/>
              </w:rPr>
              <w:t>vaspitanja</w:t>
            </w:r>
            <w:proofErr w:type="spellEnd"/>
            <w:r w:rsidRPr="00D959B1">
              <w:rPr>
                <w:rFonts w:ascii="Aptos Narrow" w:eastAsia="Times New Roman" w:hAnsi="Aptos Narrow" w:cs="Times New Roman"/>
                <w:color w:val="000000"/>
                <w:sz w:val="16"/>
                <w:szCs w:val="16"/>
                <w:lang w:val="hr-HR" w:eastAsia="en-GB"/>
                <w14:ligatures w14:val="none"/>
              </w:rPr>
              <w:t xml:space="preserve"> i obrazovanja je neujednačena, sa prenatrpanošću u urbanim područjima i nedovoljnom </w:t>
            </w:r>
            <w:proofErr w:type="spellStart"/>
            <w:r w:rsidRPr="00D959B1">
              <w:rPr>
                <w:rFonts w:ascii="Aptos Narrow" w:eastAsia="Times New Roman" w:hAnsi="Aptos Narrow" w:cs="Times New Roman"/>
                <w:color w:val="000000"/>
                <w:sz w:val="16"/>
                <w:szCs w:val="16"/>
                <w:lang w:val="hr-HR" w:eastAsia="en-GB"/>
                <w14:ligatures w14:val="none"/>
              </w:rPr>
              <w:t>iskorišćenošću</w:t>
            </w:r>
            <w:proofErr w:type="spellEnd"/>
            <w:r w:rsidRPr="00D959B1">
              <w:rPr>
                <w:rFonts w:ascii="Aptos Narrow" w:eastAsia="Times New Roman" w:hAnsi="Aptos Narrow" w:cs="Times New Roman"/>
                <w:color w:val="000000"/>
                <w:sz w:val="16"/>
                <w:szCs w:val="16"/>
                <w:lang w:val="hr-HR" w:eastAsia="en-GB"/>
                <w14:ligatures w14:val="none"/>
              </w:rPr>
              <w:t xml:space="preserve"> u ruralnim sredinama. Potrebe za ulaganjima ostaju značajne, uključujući izgradnju energetski efikasnih i </w:t>
            </w:r>
            <w:proofErr w:type="spellStart"/>
            <w:r w:rsidRPr="00D959B1">
              <w:rPr>
                <w:rFonts w:ascii="Aptos Narrow" w:eastAsia="Times New Roman" w:hAnsi="Aptos Narrow" w:cs="Times New Roman"/>
                <w:color w:val="000000"/>
                <w:sz w:val="16"/>
                <w:szCs w:val="16"/>
                <w:lang w:val="hr-HR" w:eastAsia="en-GB"/>
                <w14:ligatures w14:val="none"/>
              </w:rPr>
              <w:t>savremenih</w:t>
            </w:r>
            <w:proofErr w:type="spellEnd"/>
            <w:r w:rsidRPr="00D959B1">
              <w:rPr>
                <w:rFonts w:ascii="Aptos Narrow" w:eastAsia="Times New Roman" w:hAnsi="Aptos Narrow" w:cs="Times New Roman"/>
                <w:color w:val="000000"/>
                <w:sz w:val="16"/>
                <w:szCs w:val="16"/>
                <w:lang w:val="hr-HR" w:eastAsia="en-GB"/>
                <w14:ligatures w14:val="none"/>
              </w:rPr>
              <w:t xml:space="preserve"> obrazovnih objekata.</w:t>
            </w:r>
          </w:p>
        </w:tc>
      </w:tr>
      <w:tr w:rsidR="00D959B1" w:rsidRPr="00D959B1" w14:paraId="7C4B24FB"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6E9EC885"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14</w:t>
            </w:r>
          </w:p>
        </w:tc>
        <w:tc>
          <w:tcPr>
            <w:tcW w:w="468" w:type="pct"/>
            <w:noWrap/>
            <w:hideMark/>
          </w:tcPr>
          <w:p w14:paraId="5C7F9911"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PA06-14</w:t>
            </w:r>
          </w:p>
        </w:tc>
        <w:tc>
          <w:tcPr>
            <w:tcW w:w="1171" w:type="pct"/>
            <w:noWrap/>
            <w:hideMark/>
          </w:tcPr>
          <w:p w14:paraId="261FF9AB"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Nedovoljno razvijen institucionalni okvir omladinske politike i ograničeno učešće mladih u društvenom životu (136, 137, 124)</w:t>
            </w:r>
          </w:p>
        </w:tc>
        <w:tc>
          <w:tcPr>
            <w:tcW w:w="2970" w:type="pct"/>
            <w:noWrap/>
            <w:hideMark/>
          </w:tcPr>
          <w:p w14:paraId="33B9DC74"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Iako postoji Strategija za mlade 2023–2027 i zakonodavni okvir, omladinska politika i dalje </w:t>
            </w:r>
            <w:proofErr w:type="spellStart"/>
            <w:r w:rsidRPr="00D959B1">
              <w:rPr>
                <w:rFonts w:ascii="Aptos Narrow" w:eastAsia="Times New Roman" w:hAnsi="Aptos Narrow" w:cs="Times New Roman"/>
                <w:color w:val="000000"/>
                <w:sz w:val="16"/>
                <w:szCs w:val="16"/>
                <w:lang w:val="hr-HR" w:eastAsia="en-GB"/>
                <w14:ligatures w14:val="none"/>
              </w:rPr>
              <w:t>karakterišu</w:t>
            </w:r>
            <w:proofErr w:type="spellEnd"/>
            <w:r w:rsidRPr="00D959B1">
              <w:rPr>
                <w:rFonts w:ascii="Aptos Narrow" w:eastAsia="Times New Roman" w:hAnsi="Aptos Narrow" w:cs="Times New Roman"/>
                <w:color w:val="000000"/>
                <w:sz w:val="16"/>
                <w:szCs w:val="16"/>
                <w:lang w:val="hr-HR" w:eastAsia="en-GB"/>
                <w14:ligatures w14:val="none"/>
              </w:rPr>
              <w:t xml:space="preserve"> ograničeni institucionalni kapaciteti, neujednačena dostupnost omladinskih servisa na lokalnom nivou i nedovoljno učešće mladih u procesima donošenja odluka. Neformalno obrazovanje, mobilnost i volontiranje </w:t>
            </w:r>
            <w:proofErr w:type="spellStart"/>
            <w:r w:rsidRPr="00D959B1">
              <w:rPr>
                <w:rFonts w:ascii="Aptos Narrow" w:eastAsia="Times New Roman" w:hAnsi="Aptos Narrow" w:cs="Times New Roman"/>
                <w:color w:val="000000"/>
                <w:sz w:val="16"/>
                <w:szCs w:val="16"/>
                <w:lang w:val="hr-HR" w:eastAsia="en-GB"/>
                <w14:ligatures w14:val="none"/>
              </w:rPr>
              <w:t>nijesu</w:t>
            </w:r>
            <w:proofErr w:type="spellEnd"/>
            <w:r w:rsidRPr="00D959B1">
              <w:rPr>
                <w:rFonts w:ascii="Aptos Narrow" w:eastAsia="Times New Roman" w:hAnsi="Aptos Narrow" w:cs="Times New Roman"/>
                <w:color w:val="000000"/>
                <w:sz w:val="16"/>
                <w:szCs w:val="16"/>
                <w:lang w:val="hr-HR" w:eastAsia="en-GB"/>
                <w14:ligatures w14:val="none"/>
              </w:rPr>
              <w:t xml:space="preserve"> dovoljno razvijeni, što ograničava aktivno građanstvo, socijalnu uključenost i razvoj transverzalnih kompetencija mladih.</w:t>
            </w:r>
          </w:p>
        </w:tc>
      </w:tr>
      <w:tr w:rsidR="00D959B1" w:rsidRPr="00D959B1" w14:paraId="3E847886"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69D69F07"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lastRenderedPageBreak/>
              <w:t>15</w:t>
            </w:r>
          </w:p>
        </w:tc>
        <w:tc>
          <w:tcPr>
            <w:tcW w:w="468" w:type="pct"/>
            <w:noWrap/>
            <w:hideMark/>
          </w:tcPr>
          <w:p w14:paraId="699FB478"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PA06-15</w:t>
            </w:r>
          </w:p>
        </w:tc>
        <w:tc>
          <w:tcPr>
            <w:tcW w:w="1171" w:type="pct"/>
            <w:noWrap/>
            <w:hideMark/>
          </w:tcPr>
          <w:p w14:paraId="2EDB5322"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Ograničene mogućnosti za aktivaciju mladih kroz neformalno obrazovanje, mobilnost i volontiranje (136, 137)</w:t>
            </w:r>
          </w:p>
        </w:tc>
        <w:tc>
          <w:tcPr>
            <w:tcW w:w="2970" w:type="pct"/>
            <w:noWrap/>
            <w:hideMark/>
          </w:tcPr>
          <w:p w14:paraId="2F111CA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Učešće mladih u neformalnom obrazovanju, omladinskoj mobilnosti i volontiranju ostaje ograničeno zbog nedovoljno razvijenih omladinskih servisa, slabih lokalnih kapaciteta i ograničenog </w:t>
            </w:r>
            <w:proofErr w:type="spellStart"/>
            <w:r w:rsidRPr="00D959B1">
              <w:rPr>
                <w:rFonts w:ascii="Aptos Narrow" w:eastAsia="Times New Roman" w:hAnsi="Aptos Narrow" w:cs="Times New Roman"/>
                <w:color w:val="000000"/>
                <w:sz w:val="16"/>
                <w:szCs w:val="16"/>
                <w:lang w:val="hr-HR" w:eastAsia="en-GB"/>
                <w14:ligatures w14:val="none"/>
              </w:rPr>
              <w:t>finansiranja</w:t>
            </w:r>
            <w:proofErr w:type="spellEnd"/>
            <w:r w:rsidRPr="00D959B1">
              <w:rPr>
                <w:rFonts w:ascii="Aptos Narrow" w:eastAsia="Times New Roman" w:hAnsi="Aptos Narrow" w:cs="Times New Roman"/>
                <w:color w:val="000000"/>
                <w:sz w:val="16"/>
                <w:szCs w:val="16"/>
                <w:lang w:val="hr-HR" w:eastAsia="en-GB"/>
                <w14:ligatures w14:val="none"/>
              </w:rPr>
              <w:t xml:space="preserve"> omladinskih programa. To smanjuje razvoj građanskih, digitalnih i transverzalnih kompetencija, kao i društvenu participaciju i </w:t>
            </w:r>
            <w:proofErr w:type="spellStart"/>
            <w:r w:rsidRPr="00D959B1">
              <w:rPr>
                <w:rFonts w:ascii="Aptos Narrow" w:eastAsia="Times New Roman" w:hAnsi="Aptos Narrow" w:cs="Times New Roman"/>
                <w:color w:val="000000"/>
                <w:sz w:val="16"/>
                <w:szCs w:val="16"/>
                <w:lang w:val="hr-HR" w:eastAsia="en-GB"/>
                <w14:ligatures w14:val="none"/>
              </w:rPr>
              <w:t>zapošljivost</w:t>
            </w:r>
            <w:proofErr w:type="spellEnd"/>
            <w:r w:rsidRPr="00D959B1">
              <w:rPr>
                <w:rFonts w:ascii="Aptos Narrow" w:eastAsia="Times New Roman" w:hAnsi="Aptos Narrow" w:cs="Times New Roman"/>
                <w:color w:val="000000"/>
                <w:sz w:val="16"/>
                <w:szCs w:val="16"/>
                <w:lang w:val="hr-HR" w:eastAsia="en-GB"/>
                <w14:ligatures w14:val="none"/>
              </w:rPr>
              <w:t xml:space="preserve"> mladih.</w:t>
            </w:r>
          </w:p>
        </w:tc>
      </w:tr>
      <w:tr w:rsidR="00D959B1" w:rsidRPr="00D959B1" w14:paraId="45B2A911"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7B108850"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16</w:t>
            </w:r>
          </w:p>
        </w:tc>
        <w:tc>
          <w:tcPr>
            <w:tcW w:w="468" w:type="pct"/>
            <w:noWrap/>
            <w:hideMark/>
          </w:tcPr>
          <w:p w14:paraId="444A6AE2"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PA06-16</w:t>
            </w:r>
          </w:p>
        </w:tc>
        <w:tc>
          <w:tcPr>
            <w:tcW w:w="1171" w:type="pct"/>
            <w:noWrap/>
            <w:hideMark/>
          </w:tcPr>
          <w:p w14:paraId="75F349D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Nedovoljno fizičke aktivnosti među stanovništvom svih </w:t>
            </w:r>
            <w:proofErr w:type="spellStart"/>
            <w:r w:rsidRPr="00D959B1">
              <w:rPr>
                <w:rFonts w:ascii="Aptos Narrow" w:eastAsia="Times New Roman" w:hAnsi="Aptos Narrow" w:cs="Times New Roman"/>
                <w:color w:val="000000"/>
                <w:sz w:val="16"/>
                <w:szCs w:val="16"/>
                <w:lang w:val="hr-HR" w:eastAsia="en-GB"/>
                <w14:ligatures w14:val="none"/>
              </w:rPr>
              <w:t>uzrastnih</w:t>
            </w:r>
            <w:proofErr w:type="spellEnd"/>
            <w:r w:rsidRPr="00D959B1">
              <w:rPr>
                <w:rFonts w:ascii="Aptos Narrow" w:eastAsia="Times New Roman" w:hAnsi="Aptos Narrow" w:cs="Times New Roman"/>
                <w:color w:val="000000"/>
                <w:sz w:val="16"/>
                <w:szCs w:val="16"/>
                <w:lang w:val="hr-HR" w:eastAsia="en-GB"/>
                <w14:ligatures w14:val="none"/>
              </w:rPr>
              <w:t xml:space="preserve"> kategorija (135)</w:t>
            </w:r>
          </w:p>
        </w:tc>
        <w:tc>
          <w:tcPr>
            <w:tcW w:w="2970" w:type="pct"/>
            <w:noWrap/>
            <w:hideMark/>
          </w:tcPr>
          <w:p w14:paraId="116408C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Istraživanje Instituta za javno zdravlje iz 2024. godine, sprovedeno na uzorku od 3.500 djece uzrasta 6-8 godina, pokazalo je zabrinjavajuće podatke - čak 40% djece u Crnoj Gori je </w:t>
            </w:r>
            <w:proofErr w:type="spellStart"/>
            <w:r w:rsidRPr="00D959B1">
              <w:rPr>
                <w:rFonts w:ascii="Aptos Narrow" w:eastAsia="Times New Roman" w:hAnsi="Aptos Narrow" w:cs="Times New Roman"/>
                <w:color w:val="000000"/>
                <w:sz w:val="16"/>
                <w:szCs w:val="16"/>
                <w:lang w:val="hr-HR" w:eastAsia="en-GB"/>
                <w14:ligatures w14:val="none"/>
              </w:rPr>
              <w:t>predgojazno</w:t>
            </w:r>
            <w:proofErr w:type="spellEnd"/>
            <w:r w:rsidRPr="00D959B1">
              <w:rPr>
                <w:rFonts w:ascii="Aptos Narrow" w:eastAsia="Times New Roman" w:hAnsi="Aptos Narrow" w:cs="Times New Roman"/>
                <w:color w:val="000000"/>
                <w:sz w:val="16"/>
                <w:szCs w:val="16"/>
                <w:lang w:val="hr-HR" w:eastAsia="en-GB"/>
                <w14:ligatures w14:val="none"/>
              </w:rPr>
              <w:t xml:space="preserve"> ili gojazno, što nas svrstava na 4. mjesto u Evropi po ovom negativnom pokazatelju. Paralelno, istraživanje Crnogorske sportske akademije ukazuje da su mladi (učenici i studenti) nedovoljno fizički aktivni - rijetko se bave sportskim aktivnostima, a preporuka SZO od najmanje 60 minuta fizičke aktivnosti dnevno za djecu se ne poštuje.</w:t>
            </w:r>
          </w:p>
        </w:tc>
      </w:tr>
      <w:tr w:rsidR="00D959B1" w:rsidRPr="00D959B1" w14:paraId="4F565072"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391" w:type="pct"/>
            <w:noWrap/>
            <w:hideMark/>
          </w:tcPr>
          <w:p w14:paraId="720CD008" w14:textId="77777777" w:rsidR="00D959B1" w:rsidRPr="00D959B1" w:rsidRDefault="00D959B1" w:rsidP="00D959B1">
            <w:pPr>
              <w:jc w:val="right"/>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17</w:t>
            </w:r>
          </w:p>
        </w:tc>
        <w:tc>
          <w:tcPr>
            <w:tcW w:w="468" w:type="pct"/>
            <w:noWrap/>
            <w:hideMark/>
          </w:tcPr>
          <w:p w14:paraId="7095C17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D959B1">
              <w:rPr>
                <w:rFonts w:ascii="Aptos Narrow" w:eastAsia="Times New Roman" w:hAnsi="Aptos Narrow" w:cs="Times New Roman"/>
                <w:b/>
                <w:bCs/>
                <w:color w:val="000000"/>
                <w:sz w:val="16"/>
                <w:szCs w:val="16"/>
                <w:lang w:val="hr-HR" w:eastAsia="en-GB"/>
                <w14:ligatures w14:val="none"/>
              </w:rPr>
              <w:t>PA06-17</w:t>
            </w:r>
          </w:p>
        </w:tc>
        <w:tc>
          <w:tcPr>
            <w:tcW w:w="1171" w:type="pct"/>
            <w:noWrap/>
            <w:hideMark/>
          </w:tcPr>
          <w:p w14:paraId="3C2B9DC4"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Nedovoljno uređena i opremljena sportska infrastruktura (135)</w:t>
            </w:r>
          </w:p>
        </w:tc>
        <w:tc>
          <w:tcPr>
            <w:tcW w:w="2970" w:type="pct"/>
            <w:noWrap/>
            <w:hideMark/>
          </w:tcPr>
          <w:p w14:paraId="7050303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Nedovoljan broj sportskih terena, hala i drugih infrastrukturnih objekata u zemlji, ali I loše stanje postojećih sportskih objekata. Da bi se razvio i unaprijedio sistem sporta u Crnoj Gori jedan od značajnijih faktora sigurno jeste kvalitetna, energetski efikasna i moderna sportska infrastruktura.</w:t>
            </w:r>
          </w:p>
        </w:tc>
      </w:tr>
    </w:tbl>
    <w:p w14:paraId="14CDC18F" w14:textId="77777777" w:rsidR="004D67BC" w:rsidRPr="00D959B1" w:rsidRDefault="004D67BC" w:rsidP="004D67BC">
      <w:pPr>
        <w:spacing w:line="259" w:lineRule="auto"/>
        <w:rPr>
          <w:b/>
          <w:lang w:val="hr-HR"/>
        </w:rPr>
      </w:pPr>
    </w:p>
    <w:p w14:paraId="461D9F67" w14:textId="27F7C30E" w:rsidR="00417444" w:rsidRPr="00D959B1" w:rsidRDefault="00417444" w:rsidP="00953F67">
      <w:pPr>
        <w:pStyle w:val="Naslov1"/>
        <w:rPr>
          <w:rFonts w:eastAsia="Times New Roman"/>
          <w:lang w:val="hr-HR"/>
        </w:rPr>
      </w:pPr>
      <w:r w:rsidRPr="00D959B1">
        <w:rPr>
          <w:rFonts w:eastAsia="Times New Roman"/>
          <w:lang w:val="hr-HR"/>
        </w:rPr>
        <w:t>4 SWOT</w:t>
      </w:r>
    </w:p>
    <w:p w14:paraId="1B69A673" w14:textId="77777777" w:rsidR="00953F67" w:rsidRPr="00D959B1" w:rsidRDefault="00953F67" w:rsidP="00953F67">
      <w:pPr>
        <w:rPr>
          <w:lang w:val="hr-HR"/>
        </w:rPr>
      </w:pPr>
      <w:r w:rsidRPr="00D959B1">
        <w:rPr>
          <w:b/>
          <w:lang w:val="hr-HR"/>
        </w:rPr>
        <w:t>SWOT analiza</w:t>
      </w:r>
      <w:r w:rsidRPr="00D959B1">
        <w:rPr>
          <w:lang w:val="hr-HR"/>
        </w:rPr>
        <w:t xml:space="preserve"> se zasniva na podjeli faktora na interne i eksterne: </w:t>
      </w:r>
      <w:r w:rsidRPr="00D959B1">
        <w:rPr>
          <w:b/>
          <w:bCs/>
          <w:lang w:val="hr-HR"/>
        </w:rPr>
        <w:t>snage (S)</w:t>
      </w:r>
      <w:r w:rsidRPr="00D959B1">
        <w:rPr>
          <w:lang w:val="hr-HR"/>
        </w:rPr>
        <w:t xml:space="preserve"> i </w:t>
      </w:r>
      <w:r w:rsidRPr="00D959B1">
        <w:rPr>
          <w:b/>
          <w:bCs/>
          <w:lang w:val="hr-HR"/>
        </w:rPr>
        <w:t>slabosti (W)</w:t>
      </w:r>
      <w:r w:rsidRPr="00D959B1">
        <w:rPr>
          <w:lang w:val="hr-HR"/>
        </w:rPr>
        <w:t xml:space="preserve"> predstavljaju interne karakteristike sistema, odnosno njegove prednosti i nedostatke na koje je moguće direktno uticati (npr. institucionalni kapaciteti, infrastruktura, zakonodavni okvir, ljudski resursi, sistemi upravljanja), dok </w:t>
      </w:r>
      <w:r w:rsidRPr="00D959B1">
        <w:rPr>
          <w:b/>
          <w:bCs/>
          <w:lang w:val="hr-HR"/>
        </w:rPr>
        <w:t>prilike (O)</w:t>
      </w:r>
      <w:r w:rsidRPr="00D959B1">
        <w:rPr>
          <w:lang w:val="hr-HR"/>
        </w:rPr>
        <w:t xml:space="preserve"> i </w:t>
      </w:r>
      <w:r w:rsidRPr="00D959B1">
        <w:rPr>
          <w:b/>
          <w:bCs/>
          <w:lang w:val="hr-HR"/>
        </w:rPr>
        <w:t>prijetnje (T)</w:t>
      </w:r>
      <w:r w:rsidRPr="00D959B1">
        <w:rPr>
          <w:lang w:val="hr-HR"/>
        </w:rPr>
        <w:t xml:space="preserve"> predstavljaju eksterne faktore iz okruženja koji utiču na sektor, ali su van direktne kontrole (npr. demografski trendovi, tehnološke promjene, ekonomska kretanja, promjene na tržištu rada, evropske politike i proces evropskih integracija, kao i migracije i globalne krize ); pri tome prilike označavaju potencijalne </w:t>
      </w:r>
      <w:proofErr w:type="spellStart"/>
      <w:r w:rsidRPr="00D959B1">
        <w:rPr>
          <w:lang w:val="hr-HR"/>
        </w:rPr>
        <w:t>spoljne</w:t>
      </w:r>
      <w:proofErr w:type="spellEnd"/>
      <w:r w:rsidRPr="00D959B1">
        <w:rPr>
          <w:lang w:val="hr-HR"/>
        </w:rPr>
        <w:t xml:space="preserve"> koristi koje se mogu iskoristiti, a prijetnje </w:t>
      </w:r>
      <w:proofErr w:type="spellStart"/>
      <w:r w:rsidRPr="00D959B1">
        <w:rPr>
          <w:lang w:val="hr-HR"/>
        </w:rPr>
        <w:t>spoljne</w:t>
      </w:r>
      <w:proofErr w:type="spellEnd"/>
      <w:r w:rsidRPr="00D959B1">
        <w:rPr>
          <w:lang w:val="hr-HR"/>
        </w:rPr>
        <w:t xml:space="preserve"> rizike koji mogu negativno uticati na razvoj sektora.</w:t>
      </w:r>
    </w:p>
    <w:tbl>
      <w:tblPr>
        <w:tblStyle w:val="Svijetlatablicareetke-isticanje1"/>
        <w:tblW w:w="5000" w:type="pct"/>
        <w:tblLayout w:type="fixed"/>
        <w:tblLook w:val="04A0" w:firstRow="1" w:lastRow="0" w:firstColumn="1" w:lastColumn="0" w:noHBand="0" w:noVBand="1"/>
      </w:tblPr>
      <w:tblGrid>
        <w:gridCol w:w="991"/>
        <w:gridCol w:w="6985"/>
        <w:gridCol w:w="1086"/>
      </w:tblGrid>
      <w:tr w:rsidR="00D959B1" w:rsidRPr="00D959B1" w14:paraId="68DBFD67" w14:textId="77777777" w:rsidTr="00D959B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47" w:type="pct"/>
            <w:noWrap/>
            <w:hideMark/>
          </w:tcPr>
          <w:p w14:paraId="50EBAE27"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r w:rsidRPr="00D959B1">
              <w:rPr>
                <w:rFonts w:ascii="Aptos Narrow" w:eastAsia="Times New Roman" w:hAnsi="Aptos Narrow" w:cs="Times New Roman"/>
                <w:b w:val="0"/>
                <w:bCs w:val="0"/>
                <w:color w:val="000000"/>
                <w:sz w:val="16"/>
                <w:szCs w:val="16"/>
                <w:lang w:val="hr-HR" w:eastAsia="en-GB"/>
                <w14:ligatures w14:val="none"/>
              </w:rPr>
              <w:t>S-W-O-T</w:t>
            </w:r>
          </w:p>
        </w:tc>
        <w:tc>
          <w:tcPr>
            <w:tcW w:w="3854" w:type="pct"/>
            <w:noWrap/>
            <w:hideMark/>
          </w:tcPr>
          <w:p w14:paraId="7C84E4B5" w14:textId="77777777" w:rsidR="00D959B1" w:rsidRPr="00D959B1" w:rsidRDefault="00D959B1" w:rsidP="00D959B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hr-HR" w:eastAsia="en-GB"/>
                <w14:ligatures w14:val="none"/>
              </w:rPr>
            </w:pPr>
            <w:r w:rsidRPr="00D959B1">
              <w:rPr>
                <w:rFonts w:ascii="Aptos Narrow" w:eastAsia="Times New Roman" w:hAnsi="Aptos Narrow" w:cs="Times New Roman"/>
                <w:b w:val="0"/>
                <w:bCs w:val="0"/>
                <w:color w:val="000000"/>
                <w:sz w:val="16"/>
                <w:szCs w:val="16"/>
                <w:lang w:val="hr-HR" w:eastAsia="en-GB"/>
                <w14:ligatures w14:val="none"/>
              </w:rPr>
              <w:t>IZJAVA</w:t>
            </w:r>
          </w:p>
        </w:tc>
        <w:tc>
          <w:tcPr>
            <w:tcW w:w="599" w:type="pct"/>
            <w:noWrap/>
            <w:hideMark/>
          </w:tcPr>
          <w:p w14:paraId="1146EC18" w14:textId="77777777" w:rsidR="00D959B1" w:rsidRPr="00D959B1" w:rsidRDefault="00D959B1" w:rsidP="00D959B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hr-HR" w:eastAsia="en-GB"/>
                <w14:ligatures w14:val="none"/>
              </w:rPr>
            </w:pPr>
            <w:r w:rsidRPr="00D959B1">
              <w:rPr>
                <w:rFonts w:ascii="Aptos Narrow" w:eastAsia="Times New Roman" w:hAnsi="Aptos Narrow" w:cs="Times New Roman"/>
                <w:b w:val="0"/>
                <w:bCs w:val="0"/>
                <w:color w:val="000000"/>
                <w:sz w:val="16"/>
                <w:szCs w:val="16"/>
                <w:lang w:val="hr-HR" w:eastAsia="en-GB"/>
                <w14:ligatures w14:val="none"/>
              </w:rPr>
              <w:t>Povezani izazovi</w:t>
            </w:r>
          </w:p>
        </w:tc>
      </w:tr>
      <w:tr w:rsidR="00D959B1" w:rsidRPr="00D959B1" w14:paraId="5809F862"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val="restart"/>
            <w:shd w:val="clear" w:color="auto" w:fill="D9F2D0" w:themeFill="accent6" w:themeFillTint="33"/>
            <w:noWrap/>
            <w:textDirection w:val="btLr"/>
            <w:vAlign w:val="center"/>
            <w:hideMark/>
          </w:tcPr>
          <w:p w14:paraId="5A954A75"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r w:rsidRPr="00D959B1">
              <w:rPr>
                <w:rFonts w:ascii="Aptos Narrow" w:eastAsia="Times New Roman" w:hAnsi="Aptos Narrow" w:cs="Times New Roman"/>
                <w:b w:val="0"/>
                <w:bCs w:val="0"/>
                <w:color w:val="000000"/>
                <w:sz w:val="28"/>
                <w:szCs w:val="28"/>
                <w:lang w:val="hr-HR" w:eastAsia="en-GB"/>
                <w14:ligatures w14:val="none"/>
              </w:rPr>
              <w:t>SNAGE</w:t>
            </w:r>
          </w:p>
        </w:tc>
        <w:tc>
          <w:tcPr>
            <w:tcW w:w="3854" w:type="pct"/>
            <w:shd w:val="clear" w:color="auto" w:fill="D9F2D0" w:themeFill="accent6" w:themeFillTint="33"/>
            <w:noWrap/>
            <w:hideMark/>
          </w:tcPr>
          <w:p w14:paraId="2C5655E1"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Aktivno i kontinuirano učešće u međunarodnim programima i mrežama EU (Erasmus+, </w:t>
            </w:r>
            <w:proofErr w:type="spellStart"/>
            <w:r w:rsidRPr="00D959B1">
              <w:rPr>
                <w:rFonts w:ascii="Aptos Narrow" w:eastAsia="Times New Roman" w:hAnsi="Aptos Narrow" w:cs="Times New Roman"/>
                <w:color w:val="000000"/>
                <w:sz w:val="16"/>
                <w:szCs w:val="16"/>
                <w:lang w:val="hr-HR" w:eastAsia="en-GB"/>
                <w14:ligatures w14:val="none"/>
              </w:rPr>
              <w:t>Horizon</w:t>
            </w:r>
            <w:proofErr w:type="spellEnd"/>
            <w:r w:rsidRPr="00D959B1">
              <w:rPr>
                <w:rFonts w:ascii="Aptos Narrow" w:eastAsia="Times New Roman" w:hAnsi="Aptos Narrow" w:cs="Times New Roman"/>
                <w:color w:val="000000"/>
                <w:sz w:val="16"/>
                <w:szCs w:val="16"/>
                <w:lang w:val="hr-HR" w:eastAsia="en-GB"/>
                <w14:ligatures w14:val="none"/>
              </w:rPr>
              <w:t xml:space="preserve"> Europe, Kreativna Evropa, European </w:t>
            </w:r>
            <w:proofErr w:type="spellStart"/>
            <w:r w:rsidRPr="00D959B1">
              <w:rPr>
                <w:rFonts w:ascii="Aptos Narrow" w:eastAsia="Times New Roman" w:hAnsi="Aptos Narrow" w:cs="Times New Roman"/>
                <w:color w:val="000000"/>
                <w:sz w:val="16"/>
                <w:szCs w:val="16"/>
                <w:lang w:val="hr-HR" w:eastAsia="en-GB"/>
                <w14:ligatures w14:val="none"/>
              </w:rPr>
              <w:t>Universities</w:t>
            </w:r>
            <w:proofErr w:type="spellEnd"/>
            <w:r w:rsidRPr="00D959B1">
              <w:rPr>
                <w:rFonts w:ascii="Aptos Narrow" w:eastAsia="Times New Roman" w:hAnsi="Aptos Narrow" w:cs="Times New Roman"/>
                <w:color w:val="000000"/>
                <w:sz w:val="16"/>
                <w:szCs w:val="16"/>
                <w:lang w:val="hr-HR" w:eastAsia="en-GB"/>
                <w14:ligatures w14:val="none"/>
              </w:rPr>
              <w:t xml:space="preserve"> </w:t>
            </w:r>
            <w:proofErr w:type="spellStart"/>
            <w:r w:rsidRPr="00D959B1">
              <w:rPr>
                <w:rFonts w:ascii="Aptos Narrow" w:eastAsia="Times New Roman" w:hAnsi="Aptos Narrow" w:cs="Times New Roman"/>
                <w:color w:val="000000"/>
                <w:sz w:val="16"/>
                <w:szCs w:val="16"/>
                <w:lang w:val="hr-HR" w:eastAsia="en-GB"/>
                <w14:ligatures w14:val="none"/>
              </w:rPr>
              <w:t>Initiative</w:t>
            </w:r>
            <w:proofErr w:type="spellEnd"/>
            <w:r w:rsidRPr="00D959B1">
              <w:rPr>
                <w:rFonts w:ascii="Aptos Narrow" w:eastAsia="Times New Roman" w:hAnsi="Aptos Narrow" w:cs="Times New Roman"/>
                <w:color w:val="000000"/>
                <w:sz w:val="16"/>
                <w:szCs w:val="16"/>
                <w:lang w:val="hr-HR" w:eastAsia="en-GB"/>
                <w14:ligatures w14:val="none"/>
              </w:rPr>
              <w:t>)</w:t>
            </w:r>
          </w:p>
        </w:tc>
        <w:tc>
          <w:tcPr>
            <w:tcW w:w="599" w:type="pct"/>
            <w:shd w:val="clear" w:color="auto" w:fill="D9F2D0" w:themeFill="accent6" w:themeFillTint="33"/>
            <w:noWrap/>
            <w:hideMark/>
          </w:tcPr>
          <w:p w14:paraId="07295762"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PA06-16</w:t>
            </w:r>
          </w:p>
        </w:tc>
      </w:tr>
      <w:tr w:rsidR="00D959B1" w:rsidRPr="00D959B1" w14:paraId="3A76D8FC"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118AA0C5"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0E465EE4"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Aktivno uključivanje Crne Gore u radne grupe Evropskog prostora obrazovanja (EEA)</w:t>
            </w:r>
          </w:p>
        </w:tc>
        <w:tc>
          <w:tcPr>
            <w:tcW w:w="599" w:type="pct"/>
            <w:shd w:val="clear" w:color="auto" w:fill="D9F2D0" w:themeFill="accent6" w:themeFillTint="33"/>
            <w:noWrap/>
            <w:hideMark/>
          </w:tcPr>
          <w:p w14:paraId="3CB3029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PA06-02</w:t>
            </w:r>
          </w:p>
        </w:tc>
      </w:tr>
      <w:tr w:rsidR="00D959B1" w:rsidRPr="00D959B1" w14:paraId="4017163D"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7C6F00A1"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49780C7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Dobar nivo pripremljenosti u okviru Poglavlja 26 – Obrazovanje i kultura</w:t>
            </w:r>
          </w:p>
        </w:tc>
        <w:tc>
          <w:tcPr>
            <w:tcW w:w="599" w:type="pct"/>
            <w:shd w:val="clear" w:color="auto" w:fill="D9F2D0" w:themeFill="accent6" w:themeFillTint="33"/>
            <w:noWrap/>
            <w:hideMark/>
          </w:tcPr>
          <w:p w14:paraId="1D82DAF8"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PA06-10</w:t>
            </w:r>
          </w:p>
        </w:tc>
      </w:tr>
      <w:tr w:rsidR="00D959B1" w:rsidRPr="00D959B1" w14:paraId="7396A2CE"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50BCFA33"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7CD760C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Kontinuirano učešće u međunarodnim istraživanjima kvaliteta obrazovanja (PISA, TALIS, PIRLS, TIMSS, ICILS), što omogućava međunarodno </w:t>
            </w:r>
            <w:proofErr w:type="spellStart"/>
            <w:r w:rsidRPr="00D959B1">
              <w:rPr>
                <w:rFonts w:ascii="Aptos Narrow" w:eastAsia="Times New Roman" w:hAnsi="Aptos Narrow" w:cs="Times New Roman"/>
                <w:color w:val="000000"/>
                <w:sz w:val="16"/>
                <w:szCs w:val="16"/>
                <w:lang w:val="hr-HR" w:eastAsia="en-GB"/>
                <w14:ligatures w14:val="none"/>
              </w:rPr>
              <w:t>poređenje</w:t>
            </w:r>
            <w:proofErr w:type="spellEnd"/>
            <w:r w:rsidRPr="00D959B1">
              <w:rPr>
                <w:rFonts w:ascii="Aptos Narrow" w:eastAsia="Times New Roman" w:hAnsi="Aptos Narrow" w:cs="Times New Roman"/>
                <w:color w:val="000000"/>
                <w:sz w:val="16"/>
                <w:szCs w:val="16"/>
                <w:lang w:val="hr-HR" w:eastAsia="en-GB"/>
                <w14:ligatures w14:val="none"/>
              </w:rPr>
              <w:t xml:space="preserve"> i praćenje reformi</w:t>
            </w:r>
          </w:p>
        </w:tc>
        <w:tc>
          <w:tcPr>
            <w:tcW w:w="599" w:type="pct"/>
            <w:shd w:val="clear" w:color="auto" w:fill="D9F2D0" w:themeFill="accent6" w:themeFillTint="33"/>
            <w:noWrap/>
            <w:hideMark/>
          </w:tcPr>
          <w:p w14:paraId="6DA87B7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PA06-01</w:t>
            </w:r>
          </w:p>
        </w:tc>
      </w:tr>
      <w:tr w:rsidR="00D959B1" w:rsidRPr="00D959B1" w14:paraId="39F31496"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74F0B9C9"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5214451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Napredak u razvoju standarda zanimanja, stručnih kvalifikacija i modernizaciji VET programa</w:t>
            </w:r>
          </w:p>
        </w:tc>
        <w:tc>
          <w:tcPr>
            <w:tcW w:w="599" w:type="pct"/>
            <w:shd w:val="clear" w:color="auto" w:fill="D9F2D0" w:themeFill="accent6" w:themeFillTint="33"/>
            <w:noWrap/>
            <w:hideMark/>
          </w:tcPr>
          <w:p w14:paraId="6EAB3A9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PA06-03</w:t>
            </w:r>
          </w:p>
        </w:tc>
      </w:tr>
      <w:tr w:rsidR="00D959B1" w:rsidRPr="00D959B1" w14:paraId="0BE13586"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3D6989A5"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14D25FE7"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Postojanje strateških okvira za digitalizaciju obrazovanja, inkluzivno obrazovanje, karijerno vođenje i razvoj mladih</w:t>
            </w:r>
          </w:p>
        </w:tc>
        <w:tc>
          <w:tcPr>
            <w:tcW w:w="599" w:type="pct"/>
            <w:shd w:val="clear" w:color="auto" w:fill="D9F2D0" w:themeFill="accent6" w:themeFillTint="33"/>
            <w:noWrap/>
            <w:hideMark/>
          </w:tcPr>
          <w:p w14:paraId="65B5D60A"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PA06-10, PA06-11</w:t>
            </w:r>
          </w:p>
        </w:tc>
      </w:tr>
      <w:tr w:rsidR="00D959B1" w:rsidRPr="00D959B1" w14:paraId="491B8286"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59CEFAC5"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74772E08"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Postojeće iskustvo u dualnom obrazovanju i učenju kroz rad, uz postepeno uključivanje poslodavaca</w:t>
            </w:r>
          </w:p>
        </w:tc>
        <w:tc>
          <w:tcPr>
            <w:tcW w:w="599" w:type="pct"/>
            <w:shd w:val="clear" w:color="auto" w:fill="D9F2D0" w:themeFill="accent6" w:themeFillTint="33"/>
            <w:noWrap/>
            <w:hideMark/>
          </w:tcPr>
          <w:p w14:paraId="1B2DDA4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PA06-03</w:t>
            </w:r>
          </w:p>
        </w:tc>
      </w:tr>
      <w:tr w:rsidR="00D959B1" w:rsidRPr="00D959B1" w14:paraId="529E6BD2"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3F6B3961"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0F850AE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Rast javnih ulaganja u obrazovanje, uključujući značajno povećanje izdvajanja za profesionalni razvoj nastavnika</w:t>
            </w:r>
          </w:p>
        </w:tc>
        <w:tc>
          <w:tcPr>
            <w:tcW w:w="599" w:type="pct"/>
            <w:shd w:val="clear" w:color="auto" w:fill="D9F2D0" w:themeFill="accent6" w:themeFillTint="33"/>
            <w:noWrap/>
            <w:hideMark/>
          </w:tcPr>
          <w:p w14:paraId="7DFF9FB2"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PA06-04</w:t>
            </w:r>
          </w:p>
        </w:tc>
      </w:tr>
      <w:tr w:rsidR="00D959B1" w:rsidRPr="00D959B1" w14:paraId="2ACED738"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229B3062"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369BD1F4"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Razvijen sistem sportskih saveza i međunarodno prepoznati sportski rezultati u pojedinim sportovima</w:t>
            </w:r>
          </w:p>
        </w:tc>
        <w:tc>
          <w:tcPr>
            <w:tcW w:w="599" w:type="pct"/>
            <w:shd w:val="clear" w:color="auto" w:fill="D9F2D0" w:themeFill="accent6" w:themeFillTint="33"/>
            <w:noWrap/>
            <w:hideMark/>
          </w:tcPr>
          <w:p w14:paraId="12D259E1"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PA06-17</w:t>
            </w:r>
          </w:p>
        </w:tc>
      </w:tr>
      <w:tr w:rsidR="00D959B1" w:rsidRPr="00D959B1" w14:paraId="7FB7A2E1"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5C2347F3"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508C0F7E"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Relativno razvijen i zaokružen zakonodavni i institucionalni okvir obrazovanja usklađen sa pravnom tekovinom EU</w:t>
            </w:r>
          </w:p>
        </w:tc>
        <w:tc>
          <w:tcPr>
            <w:tcW w:w="599" w:type="pct"/>
            <w:shd w:val="clear" w:color="auto" w:fill="D9F2D0" w:themeFill="accent6" w:themeFillTint="33"/>
            <w:noWrap/>
            <w:hideMark/>
          </w:tcPr>
          <w:p w14:paraId="283B22E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PA06-14</w:t>
            </w:r>
          </w:p>
        </w:tc>
      </w:tr>
      <w:tr w:rsidR="00D959B1" w:rsidRPr="00D959B1" w14:paraId="6E0D0CD6"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42F08833"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20A5ED1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Relativno razvijen institucionalni okvir za upravljanje obrazovanjem, osiguranje kvaliteta, razvoj kvalifikacija i modernizaciju obrazovnog sistema na svim nivoima (Ministarstvo prosvjete, nauke i inovacija, Zavod za školstvo, Ispitni centar, Centar za stručno obrazovanje, Centar za kvalifikacije, Agencija za kontrolu i </w:t>
            </w:r>
            <w:proofErr w:type="spellStart"/>
            <w:r w:rsidRPr="00D959B1">
              <w:rPr>
                <w:rFonts w:ascii="Aptos Narrow" w:eastAsia="Times New Roman" w:hAnsi="Aptos Narrow" w:cs="Times New Roman"/>
                <w:color w:val="000000"/>
                <w:sz w:val="16"/>
                <w:szCs w:val="16"/>
                <w:lang w:val="hr-HR" w:eastAsia="en-GB"/>
                <w14:ligatures w14:val="none"/>
              </w:rPr>
              <w:t>obezbjeđenje</w:t>
            </w:r>
            <w:proofErr w:type="spellEnd"/>
            <w:r w:rsidRPr="00D959B1">
              <w:rPr>
                <w:rFonts w:ascii="Aptos Narrow" w:eastAsia="Times New Roman" w:hAnsi="Aptos Narrow" w:cs="Times New Roman"/>
                <w:color w:val="000000"/>
                <w:sz w:val="16"/>
                <w:szCs w:val="16"/>
                <w:lang w:val="hr-HR" w:eastAsia="en-GB"/>
                <w14:ligatures w14:val="none"/>
              </w:rPr>
              <w:t xml:space="preserve"> kvaliteta visokog obrazovanja, kao i Zavod za zapošljavanje)</w:t>
            </w:r>
          </w:p>
        </w:tc>
        <w:tc>
          <w:tcPr>
            <w:tcW w:w="599" w:type="pct"/>
            <w:shd w:val="clear" w:color="auto" w:fill="D9F2D0" w:themeFill="accent6" w:themeFillTint="33"/>
            <w:noWrap/>
            <w:hideMark/>
          </w:tcPr>
          <w:p w14:paraId="18862A2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PA06-08</w:t>
            </w:r>
          </w:p>
        </w:tc>
      </w:tr>
      <w:tr w:rsidR="00D959B1" w:rsidRPr="00D959B1" w14:paraId="5FE1491B"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05B25DB0"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26C0EAC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Stabilan trend rasta obuhvata ranim i predškolskim obrazovanjem u prethodnim godinama</w:t>
            </w:r>
          </w:p>
        </w:tc>
        <w:tc>
          <w:tcPr>
            <w:tcW w:w="599" w:type="pct"/>
            <w:shd w:val="clear" w:color="auto" w:fill="D9F2D0" w:themeFill="accent6" w:themeFillTint="33"/>
            <w:noWrap/>
            <w:hideMark/>
          </w:tcPr>
          <w:p w14:paraId="51FC8759"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PA06-02</w:t>
            </w:r>
          </w:p>
        </w:tc>
      </w:tr>
      <w:tr w:rsidR="00D959B1" w:rsidRPr="00D959B1" w14:paraId="7260CC40"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60BE809A"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07586E1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Uspostavljen Nacionalni okvir kvalifikacija usklađen sa Evropskim kvalifikacionim okvirom</w:t>
            </w:r>
          </w:p>
        </w:tc>
        <w:tc>
          <w:tcPr>
            <w:tcW w:w="599" w:type="pct"/>
            <w:shd w:val="clear" w:color="auto" w:fill="D9F2D0" w:themeFill="accent6" w:themeFillTint="33"/>
            <w:noWrap/>
            <w:hideMark/>
          </w:tcPr>
          <w:p w14:paraId="6684092C"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PA06-03</w:t>
            </w:r>
          </w:p>
        </w:tc>
      </w:tr>
      <w:tr w:rsidR="00D959B1" w:rsidRPr="00D959B1" w14:paraId="5E69117E"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0688A957"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43D52C4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Uspostavljen normativni okvir omladinske politike i učešće u EU Youth </w:t>
            </w:r>
            <w:proofErr w:type="spellStart"/>
            <w:r w:rsidRPr="00D959B1">
              <w:rPr>
                <w:rFonts w:ascii="Aptos Narrow" w:eastAsia="Times New Roman" w:hAnsi="Aptos Narrow" w:cs="Times New Roman"/>
                <w:color w:val="000000"/>
                <w:sz w:val="16"/>
                <w:szCs w:val="16"/>
                <w:lang w:val="hr-HR" w:eastAsia="en-GB"/>
                <w14:ligatures w14:val="none"/>
              </w:rPr>
              <w:t>Dialogue</w:t>
            </w:r>
            <w:proofErr w:type="spellEnd"/>
            <w:r w:rsidRPr="00D959B1">
              <w:rPr>
                <w:rFonts w:ascii="Aptos Narrow" w:eastAsia="Times New Roman" w:hAnsi="Aptos Narrow" w:cs="Times New Roman"/>
                <w:color w:val="000000"/>
                <w:sz w:val="16"/>
                <w:szCs w:val="16"/>
                <w:lang w:val="hr-HR" w:eastAsia="en-GB"/>
                <w14:ligatures w14:val="none"/>
              </w:rPr>
              <w:t xml:space="preserve"> procesima</w:t>
            </w:r>
          </w:p>
        </w:tc>
        <w:tc>
          <w:tcPr>
            <w:tcW w:w="599" w:type="pct"/>
            <w:shd w:val="clear" w:color="auto" w:fill="D9F2D0" w:themeFill="accent6" w:themeFillTint="33"/>
            <w:noWrap/>
            <w:hideMark/>
          </w:tcPr>
          <w:p w14:paraId="64103FB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PA06-14, PA06-15</w:t>
            </w:r>
          </w:p>
        </w:tc>
      </w:tr>
      <w:tr w:rsidR="00D959B1" w:rsidRPr="00D959B1" w14:paraId="4B46612C"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7FD0E995"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0C9DFF07"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Usvojena prva sveobuhvatna Strategija reforme obrazovanja 2025–2035 koja </w:t>
            </w:r>
            <w:proofErr w:type="spellStart"/>
            <w:r w:rsidRPr="00D959B1">
              <w:rPr>
                <w:rFonts w:ascii="Aptos Narrow" w:eastAsia="Times New Roman" w:hAnsi="Aptos Narrow" w:cs="Times New Roman"/>
                <w:color w:val="000000"/>
                <w:sz w:val="16"/>
                <w:szCs w:val="16"/>
                <w:lang w:val="hr-HR" w:eastAsia="en-GB"/>
                <w14:ligatures w14:val="none"/>
              </w:rPr>
              <w:t>integriše</w:t>
            </w:r>
            <w:proofErr w:type="spellEnd"/>
            <w:r w:rsidRPr="00D959B1">
              <w:rPr>
                <w:rFonts w:ascii="Aptos Narrow" w:eastAsia="Times New Roman" w:hAnsi="Aptos Narrow" w:cs="Times New Roman"/>
                <w:color w:val="000000"/>
                <w:sz w:val="16"/>
                <w:szCs w:val="16"/>
                <w:lang w:val="hr-HR" w:eastAsia="en-GB"/>
                <w14:ligatures w14:val="none"/>
              </w:rPr>
              <w:t xml:space="preserve"> sve nivoe obrazovanja i ključne reforme sistema</w:t>
            </w:r>
          </w:p>
        </w:tc>
        <w:tc>
          <w:tcPr>
            <w:tcW w:w="599" w:type="pct"/>
            <w:shd w:val="clear" w:color="auto" w:fill="D9F2D0" w:themeFill="accent6" w:themeFillTint="33"/>
            <w:noWrap/>
            <w:hideMark/>
          </w:tcPr>
          <w:p w14:paraId="244D79C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PA06-04</w:t>
            </w:r>
          </w:p>
        </w:tc>
      </w:tr>
      <w:tr w:rsidR="00D959B1" w:rsidRPr="00D959B1" w14:paraId="598DC031"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660ABB8F"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44CA5057"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Visok nivo formalne usklađenosti visokog obrazovanja sa </w:t>
            </w:r>
            <w:proofErr w:type="spellStart"/>
            <w:r w:rsidRPr="00D959B1">
              <w:rPr>
                <w:rFonts w:ascii="Aptos Narrow" w:eastAsia="Times New Roman" w:hAnsi="Aptos Narrow" w:cs="Times New Roman"/>
                <w:color w:val="000000"/>
                <w:sz w:val="16"/>
                <w:szCs w:val="16"/>
                <w:lang w:val="hr-HR" w:eastAsia="en-GB"/>
                <w14:ligatures w14:val="none"/>
              </w:rPr>
              <w:t>Bolonjskim</w:t>
            </w:r>
            <w:proofErr w:type="spellEnd"/>
            <w:r w:rsidRPr="00D959B1">
              <w:rPr>
                <w:rFonts w:ascii="Aptos Narrow" w:eastAsia="Times New Roman" w:hAnsi="Aptos Narrow" w:cs="Times New Roman"/>
                <w:color w:val="000000"/>
                <w:sz w:val="16"/>
                <w:szCs w:val="16"/>
                <w:lang w:val="hr-HR" w:eastAsia="en-GB"/>
                <w14:ligatures w14:val="none"/>
              </w:rPr>
              <w:t xml:space="preserve"> procesom i ECTS sistemom</w:t>
            </w:r>
          </w:p>
        </w:tc>
        <w:tc>
          <w:tcPr>
            <w:tcW w:w="599" w:type="pct"/>
            <w:shd w:val="clear" w:color="auto" w:fill="D9F2D0" w:themeFill="accent6" w:themeFillTint="33"/>
            <w:noWrap/>
            <w:hideMark/>
          </w:tcPr>
          <w:p w14:paraId="2078E8F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PA06-08</w:t>
            </w:r>
          </w:p>
        </w:tc>
      </w:tr>
      <w:tr w:rsidR="00D959B1" w:rsidRPr="00D959B1" w14:paraId="11AC76A5"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2E12F2B1"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D9F2D0" w:themeFill="accent6" w:themeFillTint="33"/>
            <w:noWrap/>
            <w:hideMark/>
          </w:tcPr>
          <w:p w14:paraId="27F53071"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Visok obuhvat osnovnim i srednjim obrazovanjem i veoma niska stopa ranog napuštanja školovanja (4,9%), znatno ispod EU prosjeka</w:t>
            </w:r>
          </w:p>
        </w:tc>
        <w:tc>
          <w:tcPr>
            <w:tcW w:w="599" w:type="pct"/>
            <w:shd w:val="clear" w:color="auto" w:fill="D9F2D0" w:themeFill="accent6" w:themeFillTint="33"/>
            <w:noWrap/>
            <w:hideMark/>
          </w:tcPr>
          <w:p w14:paraId="0450251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PA06-06, PA06-02</w:t>
            </w:r>
          </w:p>
        </w:tc>
      </w:tr>
      <w:tr w:rsidR="00D959B1" w:rsidRPr="00D959B1" w14:paraId="2AEB10C9"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val="restart"/>
            <w:shd w:val="clear" w:color="auto" w:fill="FAE2D5" w:themeFill="accent2" w:themeFillTint="33"/>
            <w:noWrap/>
            <w:textDirection w:val="btLr"/>
            <w:vAlign w:val="center"/>
            <w:hideMark/>
          </w:tcPr>
          <w:p w14:paraId="205058C2"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r w:rsidRPr="00D959B1">
              <w:rPr>
                <w:rFonts w:ascii="Aptos Narrow" w:eastAsia="Times New Roman" w:hAnsi="Aptos Narrow" w:cs="Times New Roman"/>
                <w:b w:val="0"/>
                <w:bCs w:val="0"/>
                <w:color w:val="000000"/>
                <w:sz w:val="28"/>
                <w:szCs w:val="28"/>
                <w:lang w:val="hr-HR" w:eastAsia="en-GB"/>
                <w14:ligatures w14:val="none"/>
              </w:rPr>
              <w:t>SLABOSTI</w:t>
            </w:r>
          </w:p>
        </w:tc>
        <w:tc>
          <w:tcPr>
            <w:tcW w:w="3854" w:type="pct"/>
            <w:shd w:val="clear" w:color="auto" w:fill="FAE2D5" w:themeFill="accent2" w:themeFillTint="33"/>
            <w:noWrap/>
            <w:hideMark/>
          </w:tcPr>
          <w:p w14:paraId="4569C28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Digitalna transformacija obrazovanja je neujednačena, uz izražen digitalni jaz između škola, </w:t>
            </w:r>
            <w:proofErr w:type="spellStart"/>
            <w:r w:rsidRPr="00D959B1">
              <w:rPr>
                <w:rFonts w:ascii="Aptos Narrow" w:eastAsia="Times New Roman" w:hAnsi="Aptos Narrow" w:cs="Times New Roman"/>
                <w:color w:val="000000"/>
                <w:sz w:val="16"/>
                <w:szCs w:val="16"/>
                <w:lang w:val="hr-HR" w:eastAsia="en-GB"/>
                <w14:ligatures w14:val="none"/>
              </w:rPr>
              <w:t>regiona</w:t>
            </w:r>
            <w:proofErr w:type="spellEnd"/>
            <w:r w:rsidRPr="00D959B1">
              <w:rPr>
                <w:rFonts w:ascii="Aptos Narrow" w:eastAsia="Times New Roman" w:hAnsi="Aptos Narrow" w:cs="Times New Roman"/>
                <w:color w:val="000000"/>
                <w:sz w:val="16"/>
                <w:szCs w:val="16"/>
                <w:lang w:val="hr-HR" w:eastAsia="en-GB"/>
                <w14:ligatures w14:val="none"/>
              </w:rPr>
              <w:t xml:space="preserve"> i generacija</w:t>
            </w:r>
          </w:p>
        </w:tc>
        <w:tc>
          <w:tcPr>
            <w:tcW w:w="599" w:type="pct"/>
            <w:shd w:val="clear" w:color="auto" w:fill="FAE2D5" w:themeFill="accent2" w:themeFillTint="33"/>
            <w:noWrap/>
            <w:hideMark/>
          </w:tcPr>
          <w:p w14:paraId="0558636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PA06-05</w:t>
            </w:r>
          </w:p>
        </w:tc>
      </w:tr>
      <w:tr w:rsidR="00D959B1" w:rsidRPr="00D959B1" w14:paraId="51329E7F"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16EFADBD"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03E8E06A"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Kritično nizak </w:t>
            </w:r>
            <w:proofErr w:type="spellStart"/>
            <w:r w:rsidRPr="00D959B1">
              <w:rPr>
                <w:rFonts w:ascii="Aptos Narrow" w:eastAsia="Times New Roman" w:hAnsi="Aptos Narrow" w:cs="Times New Roman"/>
                <w:color w:val="000000"/>
                <w:sz w:val="16"/>
                <w:szCs w:val="16"/>
                <w:lang w:val="hr-HR" w:eastAsia="en-GB"/>
                <w14:ligatures w14:val="none"/>
              </w:rPr>
              <w:t>kvalitet</w:t>
            </w:r>
            <w:proofErr w:type="spellEnd"/>
            <w:r w:rsidRPr="00D959B1">
              <w:rPr>
                <w:rFonts w:ascii="Aptos Narrow" w:eastAsia="Times New Roman" w:hAnsi="Aptos Narrow" w:cs="Times New Roman"/>
                <w:color w:val="000000"/>
                <w:sz w:val="16"/>
                <w:szCs w:val="16"/>
                <w:lang w:val="hr-HR" w:eastAsia="en-GB"/>
                <w14:ligatures w14:val="none"/>
              </w:rPr>
              <w:t xml:space="preserve"> ishoda učenja i veliki jaz u odnosu na OECD standarde, posebno u matematici, čitanju i prirodnim naukama</w:t>
            </w:r>
          </w:p>
        </w:tc>
        <w:tc>
          <w:tcPr>
            <w:tcW w:w="599" w:type="pct"/>
            <w:shd w:val="clear" w:color="auto" w:fill="FAE2D5" w:themeFill="accent2" w:themeFillTint="33"/>
            <w:noWrap/>
            <w:hideMark/>
          </w:tcPr>
          <w:p w14:paraId="17F5F131"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PA06-01</w:t>
            </w:r>
          </w:p>
        </w:tc>
      </w:tr>
      <w:tr w:rsidR="00D959B1" w:rsidRPr="00D959B1" w14:paraId="406D054A"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1DF742BC"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31C7DC8C"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Nastavak strukturne neusklađenosti vještina može povećati nezaposlenost mladih, NEET stopu i zavisnost od uvozne radne snage</w:t>
            </w:r>
          </w:p>
        </w:tc>
        <w:tc>
          <w:tcPr>
            <w:tcW w:w="599" w:type="pct"/>
            <w:shd w:val="clear" w:color="auto" w:fill="FAE2D5" w:themeFill="accent2" w:themeFillTint="33"/>
            <w:noWrap/>
            <w:hideMark/>
          </w:tcPr>
          <w:p w14:paraId="5B64ADD1"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PA06-11, PA06-10</w:t>
            </w:r>
          </w:p>
        </w:tc>
      </w:tr>
      <w:tr w:rsidR="00D959B1" w:rsidRPr="00D959B1" w14:paraId="1F25F24C"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3170C3F9"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4E1AE400"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Nedostaci u kvalitetu nastavnog procesa zbog deficita nastavnog kadra, prosječne starosti </w:t>
            </w:r>
            <w:proofErr w:type="spellStart"/>
            <w:r w:rsidRPr="00D959B1">
              <w:rPr>
                <w:rFonts w:ascii="Aptos Narrow" w:eastAsia="Times New Roman" w:hAnsi="Aptos Narrow" w:cs="Times New Roman"/>
                <w:color w:val="000000"/>
                <w:sz w:val="16"/>
                <w:szCs w:val="16"/>
                <w:lang w:val="hr-HR" w:eastAsia="en-GB"/>
                <w14:ligatures w14:val="none"/>
              </w:rPr>
              <w:t>angažovanih</w:t>
            </w:r>
            <w:proofErr w:type="spellEnd"/>
            <w:r w:rsidRPr="00D959B1">
              <w:rPr>
                <w:rFonts w:ascii="Aptos Narrow" w:eastAsia="Times New Roman" w:hAnsi="Aptos Narrow" w:cs="Times New Roman"/>
                <w:color w:val="000000"/>
                <w:sz w:val="16"/>
                <w:szCs w:val="16"/>
                <w:lang w:val="hr-HR" w:eastAsia="en-GB"/>
                <w14:ligatures w14:val="none"/>
              </w:rPr>
              <w:t xml:space="preserve"> nastavnika i ograničene atraktivnosti nastavničkog poziva</w:t>
            </w:r>
          </w:p>
        </w:tc>
        <w:tc>
          <w:tcPr>
            <w:tcW w:w="599" w:type="pct"/>
            <w:shd w:val="clear" w:color="auto" w:fill="FAE2D5" w:themeFill="accent2" w:themeFillTint="33"/>
            <w:noWrap/>
            <w:hideMark/>
          </w:tcPr>
          <w:p w14:paraId="78A9A4D8"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PA06-04</w:t>
            </w:r>
          </w:p>
        </w:tc>
      </w:tr>
      <w:tr w:rsidR="00D959B1" w:rsidRPr="00D959B1" w14:paraId="03E70CAF"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0DCD22F5"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11C2C03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Nedovoljna uključenost ranjivih grupa u kvalitetno obrazovanje i nedovoljno razvijeni inkluzivni servisi podrške, posebno za djecu romske i egipatske zajednice</w:t>
            </w:r>
          </w:p>
        </w:tc>
        <w:tc>
          <w:tcPr>
            <w:tcW w:w="599" w:type="pct"/>
            <w:shd w:val="clear" w:color="auto" w:fill="FAE2D5" w:themeFill="accent2" w:themeFillTint="33"/>
            <w:noWrap/>
            <w:hideMark/>
          </w:tcPr>
          <w:p w14:paraId="77549BB9"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PA06-07</w:t>
            </w:r>
          </w:p>
        </w:tc>
      </w:tr>
      <w:tr w:rsidR="00D959B1" w:rsidRPr="00D959B1" w14:paraId="57C45F74"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51DE4E72"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5874401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Nedovoljna uključenost stanovništva, svih uzrasnih kategorija, u sportske aktivnosti</w:t>
            </w:r>
          </w:p>
        </w:tc>
        <w:tc>
          <w:tcPr>
            <w:tcW w:w="599" w:type="pct"/>
            <w:shd w:val="clear" w:color="auto" w:fill="FAE2D5" w:themeFill="accent2" w:themeFillTint="33"/>
            <w:noWrap/>
            <w:hideMark/>
          </w:tcPr>
          <w:p w14:paraId="7ECB493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PA06-16</w:t>
            </w:r>
          </w:p>
        </w:tc>
      </w:tr>
      <w:tr w:rsidR="00D959B1" w:rsidRPr="00D959B1" w14:paraId="619FD0EF"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238EBFE1"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3663F34E"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Nedovoljno razvijen institucionalni okvir omladinske politike, neformalnog obrazovanja i volontiranja</w:t>
            </w:r>
          </w:p>
        </w:tc>
        <w:tc>
          <w:tcPr>
            <w:tcW w:w="599" w:type="pct"/>
            <w:shd w:val="clear" w:color="auto" w:fill="FAE2D5" w:themeFill="accent2" w:themeFillTint="33"/>
            <w:noWrap/>
            <w:hideMark/>
          </w:tcPr>
          <w:p w14:paraId="3379C5A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PA06-14, PA06-15</w:t>
            </w:r>
          </w:p>
        </w:tc>
      </w:tr>
      <w:tr w:rsidR="00D959B1" w:rsidRPr="00D959B1" w14:paraId="06D16814"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4B1F4F0B"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0B283A42"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Nedovoljno razvijen sistem karijernog vođenja, praćenja ishoda obrazovanja i tranzicije škola–tržište rada</w:t>
            </w:r>
          </w:p>
        </w:tc>
        <w:tc>
          <w:tcPr>
            <w:tcW w:w="599" w:type="pct"/>
            <w:shd w:val="clear" w:color="auto" w:fill="FAE2D5" w:themeFill="accent2" w:themeFillTint="33"/>
            <w:noWrap/>
            <w:hideMark/>
          </w:tcPr>
          <w:p w14:paraId="214FA09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PA06-11</w:t>
            </w:r>
          </w:p>
        </w:tc>
      </w:tr>
      <w:tr w:rsidR="00D959B1" w:rsidRPr="00D959B1" w14:paraId="76422E6F"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2A926DDB"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4E8D32F0"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Nedovoljno razvijena i teritorijalno neujednačena obrazovna infrastruktura, posebno u RPVO/ECEC i ruralnim područjima</w:t>
            </w:r>
          </w:p>
        </w:tc>
        <w:tc>
          <w:tcPr>
            <w:tcW w:w="599" w:type="pct"/>
            <w:shd w:val="clear" w:color="auto" w:fill="FAE2D5" w:themeFill="accent2" w:themeFillTint="33"/>
            <w:noWrap/>
            <w:hideMark/>
          </w:tcPr>
          <w:p w14:paraId="19E80CD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PA06-02, PA06-13</w:t>
            </w:r>
          </w:p>
        </w:tc>
      </w:tr>
      <w:tr w:rsidR="00D959B1" w:rsidRPr="00D959B1" w14:paraId="58931C1C"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63FC4259"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5F8A2B12"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Nedovoljno razvijena institucionalna, prostorna i digitalna infrastruktura za cjeloživotno učenje, obrazovanje odraslih i prekvalifikacije</w:t>
            </w:r>
          </w:p>
        </w:tc>
        <w:tc>
          <w:tcPr>
            <w:tcW w:w="599" w:type="pct"/>
            <w:shd w:val="clear" w:color="auto" w:fill="FAE2D5" w:themeFill="accent2" w:themeFillTint="33"/>
            <w:noWrap/>
            <w:hideMark/>
          </w:tcPr>
          <w:p w14:paraId="52A32A1A"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PA06-06, PA06-12</w:t>
            </w:r>
          </w:p>
        </w:tc>
      </w:tr>
      <w:tr w:rsidR="00D959B1" w:rsidRPr="00D959B1" w14:paraId="0069E867"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1EAA30E5"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0222890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Nedovoljno razvijeni sistemi monitoringa, evaluacije i donošenja politika zasnovanih na podacima i dokazima</w:t>
            </w:r>
          </w:p>
        </w:tc>
        <w:tc>
          <w:tcPr>
            <w:tcW w:w="599" w:type="pct"/>
            <w:shd w:val="clear" w:color="auto" w:fill="FAE2D5" w:themeFill="accent2" w:themeFillTint="33"/>
            <w:noWrap/>
            <w:hideMark/>
          </w:tcPr>
          <w:p w14:paraId="01F0729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PA06-09</w:t>
            </w:r>
          </w:p>
        </w:tc>
      </w:tr>
      <w:tr w:rsidR="00D959B1" w:rsidRPr="00D959B1" w14:paraId="1557754B"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7A056916"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3C9D79FA"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Neusklađenost obrazovne ponude, upisne politike i kvalifikacija sa potrebama tržišta rada, posebno u STEM i tehničkim oblastima</w:t>
            </w:r>
          </w:p>
        </w:tc>
        <w:tc>
          <w:tcPr>
            <w:tcW w:w="599" w:type="pct"/>
            <w:shd w:val="clear" w:color="auto" w:fill="FAE2D5" w:themeFill="accent2" w:themeFillTint="33"/>
            <w:noWrap/>
            <w:hideMark/>
          </w:tcPr>
          <w:p w14:paraId="005D461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PA06-10</w:t>
            </w:r>
          </w:p>
        </w:tc>
      </w:tr>
      <w:tr w:rsidR="00D959B1" w:rsidRPr="00D959B1" w14:paraId="405FA867"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573B7EE9"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20808F7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Ograničena međunarodna konkurentnost i istraživačka povezanost visokog obrazovanja</w:t>
            </w:r>
          </w:p>
        </w:tc>
        <w:tc>
          <w:tcPr>
            <w:tcW w:w="599" w:type="pct"/>
            <w:shd w:val="clear" w:color="auto" w:fill="FAE2D5" w:themeFill="accent2" w:themeFillTint="33"/>
            <w:noWrap/>
            <w:hideMark/>
          </w:tcPr>
          <w:p w14:paraId="7F0D681A"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PA06-08</w:t>
            </w:r>
          </w:p>
        </w:tc>
      </w:tr>
      <w:tr w:rsidR="00D959B1" w:rsidRPr="00D959B1" w14:paraId="78604997"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30CC541B"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29C35DBC"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Ograničena relevantnost i praktična komponenta stručnog obrazovanja, uz nedovoljno razvijeno učenje kroz rad i slabu uključenost poslodavaca</w:t>
            </w:r>
          </w:p>
        </w:tc>
        <w:tc>
          <w:tcPr>
            <w:tcW w:w="599" w:type="pct"/>
            <w:shd w:val="clear" w:color="auto" w:fill="FAE2D5" w:themeFill="accent2" w:themeFillTint="33"/>
            <w:noWrap/>
            <w:hideMark/>
          </w:tcPr>
          <w:p w14:paraId="46EFCB8A"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PA06-03</w:t>
            </w:r>
          </w:p>
        </w:tc>
      </w:tr>
      <w:tr w:rsidR="00D959B1" w:rsidRPr="00D959B1" w14:paraId="2D604ACA"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20F42B9B"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523995A0"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Ograničeni kapaciteti sportskih organizacija i nedovoljno razvijena lokalna sportska infrastruktura</w:t>
            </w:r>
          </w:p>
        </w:tc>
        <w:tc>
          <w:tcPr>
            <w:tcW w:w="599" w:type="pct"/>
            <w:shd w:val="clear" w:color="auto" w:fill="FAE2D5" w:themeFill="accent2" w:themeFillTint="33"/>
            <w:noWrap/>
            <w:hideMark/>
          </w:tcPr>
          <w:p w14:paraId="062DFD6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PA06-17, PA06-16, PA06-14</w:t>
            </w:r>
          </w:p>
        </w:tc>
      </w:tr>
      <w:tr w:rsidR="00D959B1" w:rsidRPr="00D959B1" w14:paraId="01D2AA1B"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noWrap/>
            <w:textDirection w:val="btLr"/>
            <w:vAlign w:val="center"/>
            <w:hideMark/>
          </w:tcPr>
          <w:p w14:paraId="6221FB73"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FAE2D5" w:themeFill="accent2" w:themeFillTint="33"/>
            <w:noWrap/>
            <w:hideMark/>
          </w:tcPr>
          <w:p w14:paraId="4CB8635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Veoma nisko učešće odraslih u učenju i slab sistem priznavanja prethodnog učenja</w:t>
            </w:r>
          </w:p>
        </w:tc>
        <w:tc>
          <w:tcPr>
            <w:tcW w:w="599" w:type="pct"/>
            <w:noWrap/>
            <w:hideMark/>
          </w:tcPr>
          <w:p w14:paraId="58C7BE0C"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PA06-06</w:t>
            </w:r>
          </w:p>
        </w:tc>
      </w:tr>
      <w:tr w:rsidR="00D959B1" w:rsidRPr="00D959B1" w14:paraId="1255F74A"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val="restart"/>
            <w:shd w:val="clear" w:color="auto" w:fill="CAEDFB" w:themeFill="accent4" w:themeFillTint="33"/>
            <w:noWrap/>
            <w:textDirection w:val="btLr"/>
            <w:vAlign w:val="center"/>
            <w:hideMark/>
          </w:tcPr>
          <w:p w14:paraId="09D475D3"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r w:rsidRPr="00D959B1">
              <w:rPr>
                <w:rFonts w:ascii="Aptos Narrow" w:eastAsia="Times New Roman" w:hAnsi="Aptos Narrow" w:cs="Times New Roman"/>
                <w:b w:val="0"/>
                <w:bCs w:val="0"/>
                <w:color w:val="000000"/>
                <w:sz w:val="28"/>
                <w:szCs w:val="28"/>
                <w:lang w:val="hr-HR" w:eastAsia="en-GB"/>
                <w14:ligatures w14:val="none"/>
              </w:rPr>
              <w:t>PRILIKE</w:t>
            </w:r>
          </w:p>
        </w:tc>
        <w:tc>
          <w:tcPr>
            <w:tcW w:w="3854" w:type="pct"/>
            <w:shd w:val="clear" w:color="auto" w:fill="CAEDFB" w:themeFill="accent4" w:themeFillTint="33"/>
            <w:noWrap/>
            <w:hideMark/>
          </w:tcPr>
          <w:p w14:paraId="36B8D2FB"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Demografske promjene mogu </w:t>
            </w:r>
            <w:proofErr w:type="spellStart"/>
            <w:r w:rsidRPr="00D959B1">
              <w:rPr>
                <w:rFonts w:ascii="Aptos Narrow" w:eastAsia="Times New Roman" w:hAnsi="Aptos Narrow" w:cs="Times New Roman"/>
                <w:color w:val="000000"/>
                <w:sz w:val="16"/>
                <w:szCs w:val="16"/>
                <w:lang w:val="hr-HR" w:eastAsia="en-GB"/>
                <w14:ligatures w14:val="none"/>
              </w:rPr>
              <w:t>podstaći</w:t>
            </w:r>
            <w:proofErr w:type="spellEnd"/>
            <w:r w:rsidRPr="00D959B1">
              <w:rPr>
                <w:rFonts w:ascii="Aptos Narrow" w:eastAsia="Times New Roman" w:hAnsi="Aptos Narrow" w:cs="Times New Roman"/>
                <w:color w:val="000000"/>
                <w:sz w:val="16"/>
                <w:szCs w:val="16"/>
                <w:lang w:val="hr-HR" w:eastAsia="en-GB"/>
                <w14:ligatures w14:val="none"/>
              </w:rPr>
              <w:t xml:space="preserve"> efikasniju racionalizaciju mreže obrazovnih ustanova i modernizaciju sistema</w:t>
            </w:r>
          </w:p>
        </w:tc>
        <w:tc>
          <w:tcPr>
            <w:tcW w:w="599" w:type="pct"/>
            <w:shd w:val="clear" w:color="auto" w:fill="CAEDFB" w:themeFill="accent4" w:themeFillTint="33"/>
            <w:noWrap/>
            <w:hideMark/>
          </w:tcPr>
          <w:p w14:paraId="6B82C1E9"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PA06-10</w:t>
            </w:r>
          </w:p>
        </w:tc>
      </w:tr>
      <w:tr w:rsidR="00D959B1" w:rsidRPr="00D959B1" w14:paraId="4317B9B7"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06FC9E3D"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244F4129"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Digitalna i zelena tranzicija stvaraju potražnju za novim kompetencijama i mogu ubrzati reformu kurikuluma i sistema vještina</w:t>
            </w:r>
          </w:p>
        </w:tc>
        <w:tc>
          <w:tcPr>
            <w:tcW w:w="599" w:type="pct"/>
            <w:shd w:val="clear" w:color="auto" w:fill="CAEDFB" w:themeFill="accent4" w:themeFillTint="33"/>
            <w:noWrap/>
            <w:hideMark/>
          </w:tcPr>
          <w:p w14:paraId="0F8381D0"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PA06-11</w:t>
            </w:r>
          </w:p>
        </w:tc>
      </w:tr>
      <w:tr w:rsidR="00D959B1" w:rsidRPr="00D959B1" w14:paraId="1C22D2D0"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003C8151"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2C39C01E"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Evropske politike za mlade i sport omogućavaju dodatno </w:t>
            </w:r>
            <w:proofErr w:type="spellStart"/>
            <w:r w:rsidRPr="00D959B1">
              <w:rPr>
                <w:rFonts w:ascii="Aptos Narrow" w:eastAsia="Times New Roman" w:hAnsi="Aptos Narrow" w:cs="Times New Roman"/>
                <w:color w:val="000000"/>
                <w:sz w:val="16"/>
                <w:szCs w:val="16"/>
                <w:lang w:val="hr-HR" w:eastAsia="en-GB"/>
                <w14:ligatures w14:val="none"/>
              </w:rPr>
              <w:t>finansiranje</w:t>
            </w:r>
            <w:proofErr w:type="spellEnd"/>
            <w:r w:rsidRPr="00D959B1">
              <w:rPr>
                <w:rFonts w:ascii="Aptos Narrow" w:eastAsia="Times New Roman" w:hAnsi="Aptos Narrow" w:cs="Times New Roman"/>
                <w:color w:val="000000"/>
                <w:sz w:val="16"/>
                <w:szCs w:val="16"/>
                <w:lang w:val="hr-HR" w:eastAsia="en-GB"/>
                <w14:ligatures w14:val="none"/>
              </w:rPr>
              <w:t xml:space="preserve"> mobilnosti, volontiranja i neformalnog obrazovanja</w:t>
            </w:r>
          </w:p>
        </w:tc>
        <w:tc>
          <w:tcPr>
            <w:tcW w:w="599" w:type="pct"/>
            <w:shd w:val="clear" w:color="auto" w:fill="CAEDFB" w:themeFill="accent4" w:themeFillTint="33"/>
            <w:noWrap/>
            <w:hideMark/>
          </w:tcPr>
          <w:p w14:paraId="3E8C018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PA06-14, PA06-15</w:t>
            </w:r>
          </w:p>
        </w:tc>
      </w:tr>
      <w:tr w:rsidR="00D959B1" w:rsidRPr="00D959B1" w14:paraId="4181E9A5"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7EFE2F54"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786AAB70"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Evropski prostor obrazovanja (EEA) pruža jasan reformski okvir i referentna mjerila za modernizaciju obrazovnog sistema</w:t>
            </w:r>
          </w:p>
        </w:tc>
        <w:tc>
          <w:tcPr>
            <w:tcW w:w="599" w:type="pct"/>
            <w:shd w:val="clear" w:color="auto" w:fill="CAEDFB" w:themeFill="accent4" w:themeFillTint="33"/>
            <w:noWrap/>
            <w:hideMark/>
          </w:tcPr>
          <w:p w14:paraId="2F3FE6B1"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PA06-10</w:t>
            </w:r>
          </w:p>
        </w:tc>
      </w:tr>
      <w:tr w:rsidR="00D959B1" w:rsidRPr="00D959B1" w14:paraId="0B05BBF4"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2FED3483"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3A0449B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proofErr w:type="spellStart"/>
            <w:r w:rsidRPr="00D959B1">
              <w:rPr>
                <w:rFonts w:ascii="Aptos Narrow" w:eastAsia="Times New Roman" w:hAnsi="Aptos Narrow" w:cs="Times New Roman"/>
                <w:color w:val="000000"/>
                <w:sz w:val="16"/>
                <w:szCs w:val="16"/>
                <w:lang w:val="hr-HR" w:eastAsia="en-GB"/>
                <w14:ligatures w14:val="none"/>
              </w:rPr>
              <w:t>Korišćenje</w:t>
            </w:r>
            <w:proofErr w:type="spellEnd"/>
            <w:r w:rsidRPr="00D959B1">
              <w:rPr>
                <w:rFonts w:ascii="Aptos Narrow" w:eastAsia="Times New Roman" w:hAnsi="Aptos Narrow" w:cs="Times New Roman"/>
                <w:color w:val="000000"/>
                <w:sz w:val="16"/>
                <w:szCs w:val="16"/>
                <w:lang w:val="hr-HR" w:eastAsia="en-GB"/>
                <w14:ligatures w14:val="none"/>
              </w:rPr>
              <w:t xml:space="preserve"> međunarodnih fondova kojima se </w:t>
            </w:r>
            <w:proofErr w:type="spellStart"/>
            <w:r w:rsidRPr="00D959B1">
              <w:rPr>
                <w:rFonts w:ascii="Aptos Narrow" w:eastAsia="Times New Roman" w:hAnsi="Aptos Narrow" w:cs="Times New Roman"/>
                <w:color w:val="000000"/>
                <w:sz w:val="16"/>
                <w:szCs w:val="16"/>
                <w:lang w:val="hr-HR" w:eastAsia="en-GB"/>
                <w14:ligatures w14:val="none"/>
              </w:rPr>
              <w:t>realizuju</w:t>
            </w:r>
            <w:proofErr w:type="spellEnd"/>
            <w:r w:rsidRPr="00D959B1">
              <w:rPr>
                <w:rFonts w:ascii="Aptos Narrow" w:eastAsia="Times New Roman" w:hAnsi="Aptos Narrow" w:cs="Times New Roman"/>
                <w:color w:val="000000"/>
                <w:sz w:val="16"/>
                <w:szCs w:val="16"/>
                <w:lang w:val="hr-HR" w:eastAsia="en-GB"/>
                <w14:ligatures w14:val="none"/>
              </w:rPr>
              <w:t xml:space="preserve"> programi iz oblasti sporta</w:t>
            </w:r>
          </w:p>
        </w:tc>
        <w:tc>
          <w:tcPr>
            <w:tcW w:w="599" w:type="pct"/>
            <w:shd w:val="clear" w:color="auto" w:fill="CAEDFB" w:themeFill="accent4" w:themeFillTint="33"/>
            <w:noWrap/>
            <w:hideMark/>
          </w:tcPr>
          <w:p w14:paraId="518C362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PA06-17</w:t>
            </w:r>
          </w:p>
        </w:tc>
      </w:tr>
      <w:tr w:rsidR="00D959B1" w:rsidRPr="00D959B1" w14:paraId="3270ED11"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76082DF1"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32D7807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Mogućnost razvoja centara izvrsnosti u stručnom obrazovanju (</w:t>
            </w:r>
            <w:proofErr w:type="spellStart"/>
            <w:r w:rsidRPr="00D959B1">
              <w:rPr>
                <w:rFonts w:ascii="Aptos Narrow" w:eastAsia="Times New Roman" w:hAnsi="Aptos Narrow" w:cs="Times New Roman"/>
                <w:color w:val="000000"/>
                <w:sz w:val="16"/>
                <w:szCs w:val="16"/>
                <w:lang w:val="hr-HR" w:eastAsia="en-GB"/>
                <w14:ligatures w14:val="none"/>
              </w:rPr>
              <w:t>CoVE</w:t>
            </w:r>
            <w:proofErr w:type="spellEnd"/>
            <w:r w:rsidRPr="00D959B1">
              <w:rPr>
                <w:rFonts w:ascii="Aptos Narrow" w:eastAsia="Times New Roman" w:hAnsi="Aptos Narrow" w:cs="Times New Roman"/>
                <w:color w:val="000000"/>
                <w:sz w:val="16"/>
                <w:szCs w:val="16"/>
                <w:lang w:val="hr-HR" w:eastAsia="en-GB"/>
                <w14:ligatures w14:val="none"/>
              </w:rPr>
              <w:t>) u skladu sa EU prioritetima</w:t>
            </w:r>
          </w:p>
        </w:tc>
        <w:tc>
          <w:tcPr>
            <w:tcW w:w="599" w:type="pct"/>
            <w:shd w:val="clear" w:color="auto" w:fill="CAEDFB" w:themeFill="accent4" w:themeFillTint="33"/>
            <w:noWrap/>
            <w:hideMark/>
          </w:tcPr>
          <w:p w14:paraId="10694B0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PA06-04</w:t>
            </w:r>
          </w:p>
        </w:tc>
      </w:tr>
      <w:tr w:rsidR="00D959B1" w:rsidRPr="00D959B1" w14:paraId="7A8F4813"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3143799F"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049D9771"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Mogućnost razvoja regionalnih partnerstava na Zapadnom Balkanu u oblasti vještina, mobilnosti i istraživanja</w:t>
            </w:r>
          </w:p>
        </w:tc>
        <w:tc>
          <w:tcPr>
            <w:tcW w:w="599" w:type="pct"/>
            <w:shd w:val="clear" w:color="auto" w:fill="CAEDFB" w:themeFill="accent4" w:themeFillTint="33"/>
            <w:noWrap/>
            <w:hideMark/>
          </w:tcPr>
          <w:p w14:paraId="2CC772E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PA06-14, PA06-15</w:t>
            </w:r>
          </w:p>
        </w:tc>
      </w:tr>
      <w:tr w:rsidR="00D959B1" w:rsidRPr="00D959B1" w14:paraId="30899C2A"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65CD0A65"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0614AA8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Potencijal uspostavljanja Agencije za EU programe može povećati </w:t>
            </w:r>
            <w:proofErr w:type="spellStart"/>
            <w:r w:rsidRPr="00D959B1">
              <w:rPr>
                <w:rFonts w:ascii="Aptos Narrow" w:eastAsia="Times New Roman" w:hAnsi="Aptos Narrow" w:cs="Times New Roman"/>
                <w:color w:val="000000"/>
                <w:sz w:val="16"/>
                <w:szCs w:val="16"/>
                <w:lang w:val="hr-HR" w:eastAsia="en-GB"/>
                <w14:ligatures w14:val="none"/>
              </w:rPr>
              <w:t>apsorpcioni</w:t>
            </w:r>
            <w:proofErr w:type="spellEnd"/>
            <w:r w:rsidRPr="00D959B1">
              <w:rPr>
                <w:rFonts w:ascii="Aptos Narrow" w:eastAsia="Times New Roman" w:hAnsi="Aptos Narrow" w:cs="Times New Roman"/>
                <w:color w:val="000000"/>
                <w:sz w:val="16"/>
                <w:szCs w:val="16"/>
                <w:lang w:val="hr-HR" w:eastAsia="en-GB"/>
                <w14:ligatures w14:val="none"/>
              </w:rPr>
              <w:t xml:space="preserve"> kapacitet i </w:t>
            </w:r>
            <w:proofErr w:type="spellStart"/>
            <w:r w:rsidRPr="00D959B1">
              <w:rPr>
                <w:rFonts w:ascii="Aptos Narrow" w:eastAsia="Times New Roman" w:hAnsi="Aptos Narrow" w:cs="Times New Roman"/>
                <w:color w:val="000000"/>
                <w:sz w:val="16"/>
                <w:szCs w:val="16"/>
                <w:lang w:val="hr-HR" w:eastAsia="en-GB"/>
                <w14:ligatures w14:val="none"/>
              </w:rPr>
              <w:t>kvalitet</w:t>
            </w:r>
            <w:proofErr w:type="spellEnd"/>
            <w:r w:rsidRPr="00D959B1">
              <w:rPr>
                <w:rFonts w:ascii="Aptos Narrow" w:eastAsia="Times New Roman" w:hAnsi="Aptos Narrow" w:cs="Times New Roman"/>
                <w:color w:val="000000"/>
                <w:sz w:val="16"/>
                <w:szCs w:val="16"/>
                <w:lang w:val="hr-HR" w:eastAsia="en-GB"/>
                <w14:ligatures w14:val="none"/>
              </w:rPr>
              <w:t xml:space="preserve"> projekata</w:t>
            </w:r>
          </w:p>
        </w:tc>
        <w:tc>
          <w:tcPr>
            <w:tcW w:w="599" w:type="pct"/>
            <w:shd w:val="clear" w:color="auto" w:fill="CAEDFB" w:themeFill="accent4" w:themeFillTint="33"/>
            <w:noWrap/>
            <w:hideMark/>
          </w:tcPr>
          <w:p w14:paraId="61DE8462"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PA06-05</w:t>
            </w:r>
          </w:p>
        </w:tc>
      </w:tr>
      <w:tr w:rsidR="00D959B1" w:rsidRPr="00D959B1" w14:paraId="2E451C3E"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2A38B4B3"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5C790EC4"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Potencijal za jačanje regionalne i međunarodne mobilnosti učenika, studenata, istraživača i nastavnika</w:t>
            </w:r>
          </w:p>
        </w:tc>
        <w:tc>
          <w:tcPr>
            <w:tcW w:w="599" w:type="pct"/>
            <w:shd w:val="clear" w:color="auto" w:fill="CAEDFB" w:themeFill="accent4" w:themeFillTint="33"/>
            <w:noWrap/>
            <w:hideMark/>
          </w:tcPr>
          <w:p w14:paraId="2B3869F1"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PA06-14, PA06-15</w:t>
            </w:r>
          </w:p>
        </w:tc>
      </w:tr>
      <w:tr w:rsidR="00D959B1" w:rsidRPr="00D959B1" w14:paraId="466B09C0"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2C593A43"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761CD79B"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Proces pristupanja EU i mogućnost </w:t>
            </w:r>
            <w:proofErr w:type="spellStart"/>
            <w:r w:rsidRPr="00D959B1">
              <w:rPr>
                <w:rFonts w:ascii="Aptos Narrow" w:eastAsia="Times New Roman" w:hAnsi="Aptos Narrow" w:cs="Times New Roman"/>
                <w:color w:val="000000"/>
                <w:sz w:val="16"/>
                <w:szCs w:val="16"/>
                <w:lang w:val="hr-HR" w:eastAsia="en-GB"/>
                <w14:ligatures w14:val="none"/>
              </w:rPr>
              <w:t>korišćenja</w:t>
            </w:r>
            <w:proofErr w:type="spellEnd"/>
            <w:r w:rsidRPr="00D959B1">
              <w:rPr>
                <w:rFonts w:ascii="Aptos Narrow" w:eastAsia="Times New Roman" w:hAnsi="Aptos Narrow" w:cs="Times New Roman"/>
                <w:color w:val="000000"/>
                <w:sz w:val="16"/>
                <w:szCs w:val="16"/>
                <w:lang w:val="hr-HR" w:eastAsia="en-GB"/>
                <w14:ligatures w14:val="none"/>
              </w:rPr>
              <w:t xml:space="preserve"> IPA III, Erasmus+, </w:t>
            </w:r>
            <w:proofErr w:type="spellStart"/>
            <w:r w:rsidRPr="00D959B1">
              <w:rPr>
                <w:rFonts w:ascii="Aptos Narrow" w:eastAsia="Times New Roman" w:hAnsi="Aptos Narrow" w:cs="Times New Roman"/>
                <w:color w:val="000000"/>
                <w:sz w:val="16"/>
                <w:szCs w:val="16"/>
                <w:lang w:val="hr-HR" w:eastAsia="en-GB"/>
                <w14:ligatures w14:val="none"/>
              </w:rPr>
              <w:t>Horizon</w:t>
            </w:r>
            <w:proofErr w:type="spellEnd"/>
            <w:r w:rsidRPr="00D959B1">
              <w:rPr>
                <w:rFonts w:ascii="Aptos Narrow" w:eastAsia="Times New Roman" w:hAnsi="Aptos Narrow" w:cs="Times New Roman"/>
                <w:color w:val="000000"/>
                <w:sz w:val="16"/>
                <w:szCs w:val="16"/>
                <w:lang w:val="hr-HR" w:eastAsia="en-GB"/>
                <w14:ligatures w14:val="none"/>
              </w:rPr>
              <w:t xml:space="preserve"> Europe i budućih kohezijskih fondova nakon članstva</w:t>
            </w:r>
          </w:p>
        </w:tc>
        <w:tc>
          <w:tcPr>
            <w:tcW w:w="599" w:type="pct"/>
            <w:shd w:val="clear" w:color="auto" w:fill="CAEDFB" w:themeFill="accent4" w:themeFillTint="33"/>
            <w:noWrap/>
            <w:hideMark/>
          </w:tcPr>
          <w:p w14:paraId="4B88492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PA06-10</w:t>
            </w:r>
          </w:p>
        </w:tc>
      </w:tr>
      <w:tr w:rsidR="00D959B1" w:rsidRPr="00D959B1" w14:paraId="2EC1E275"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1361E784"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2DFB617C"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Proces pristupanja EU i usklađivanje sa EU standardima mogu unaprijediti priznavanje kvalifikacija, profesionalnih licenci i mobilnost građana Crne Gore na evropskom tržištu rada</w:t>
            </w:r>
          </w:p>
        </w:tc>
        <w:tc>
          <w:tcPr>
            <w:tcW w:w="599" w:type="pct"/>
            <w:shd w:val="clear" w:color="auto" w:fill="CAEDFB" w:themeFill="accent4" w:themeFillTint="33"/>
            <w:noWrap/>
            <w:hideMark/>
          </w:tcPr>
          <w:p w14:paraId="1FD7A42C"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PA06-14, PA06-15</w:t>
            </w:r>
          </w:p>
        </w:tc>
      </w:tr>
      <w:tr w:rsidR="00D959B1" w:rsidRPr="00D959B1" w14:paraId="1065DECC"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5F197E5D"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7011AA2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Rast tražnje za </w:t>
            </w:r>
            <w:proofErr w:type="spellStart"/>
            <w:r w:rsidRPr="00D959B1">
              <w:rPr>
                <w:rFonts w:ascii="Aptos Narrow" w:eastAsia="Times New Roman" w:hAnsi="Aptos Narrow" w:cs="Times New Roman"/>
                <w:color w:val="000000"/>
                <w:sz w:val="16"/>
                <w:szCs w:val="16"/>
                <w:lang w:val="hr-HR" w:eastAsia="en-GB"/>
                <w14:ligatures w14:val="none"/>
              </w:rPr>
              <w:t>kvalifikovanom</w:t>
            </w:r>
            <w:proofErr w:type="spellEnd"/>
            <w:r w:rsidRPr="00D959B1">
              <w:rPr>
                <w:rFonts w:ascii="Aptos Narrow" w:eastAsia="Times New Roman" w:hAnsi="Aptos Narrow" w:cs="Times New Roman"/>
                <w:color w:val="000000"/>
                <w:sz w:val="16"/>
                <w:szCs w:val="16"/>
                <w:lang w:val="hr-HR" w:eastAsia="en-GB"/>
                <w14:ligatures w14:val="none"/>
              </w:rPr>
              <w:t xml:space="preserve"> radnom snagom u sektorima ICT, energetike, građevinarstva, turizma i zelenih tehnologija</w:t>
            </w:r>
          </w:p>
        </w:tc>
        <w:tc>
          <w:tcPr>
            <w:tcW w:w="599" w:type="pct"/>
            <w:shd w:val="clear" w:color="auto" w:fill="CAEDFB" w:themeFill="accent4" w:themeFillTint="33"/>
            <w:noWrap/>
            <w:hideMark/>
          </w:tcPr>
          <w:p w14:paraId="70B9510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PA06-10</w:t>
            </w:r>
          </w:p>
        </w:tc>
      </w:tr>
      <w:tr w:rsidR="00D959B1" w:rsidRPr="00D959B1" w14:paraId="365A15C1"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2F20F195"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1DE0A0D2"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Razvoj AI, STEM i naprednih digitalnih kompetencija otvara prostor za transformaciju obrazovnog sistema i tržišta rada</w:t>
            </w:r>
          </w:p>
        </w:tc>
        <w:tc>
          <w:tcPr>
            <w:tcW w:w="599" w:type="pct"/>
            <w:shd w:val="clear" w:color="auto" w:fill="CAEDFB" w:themeFill="accent4" w:themeFillTint="33"/>
            <w:noWrap/>
            <w:hideMark/>
          </w:tcPr>
          <w:p w14:paraId="4D865AE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PA06-10</w:t>
            </w:r>
          </w:p>
        </w:tc>
      </w:tr>
      <w:tr w:rsidR="00D959B1" w:rsidRPr="00D959B1" w14:paraId="263CD490"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39014BAE"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01C11F64"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Razvoj dualnog obrazovanja i jačanje partnerstva sa privredom mogu povećati </w:t>
            </w:r>
            <w:proofErr w:type="spellStart"/>
            <w:r w:rsidRPr="00D959B1">
              <w:rPr>
                <w:rFonts w:ascii="Aptos Narrow" w:eastAsia="Times New Roman" w:hAnsi="Aptos Narrow" w:cs="Times New Roman"/>
                <w:color w:val="000000"/>
                <w:sz w:val="16"/>
                <w:szCs w:val="16"/>
                <w:lang w:val="hr-HR" w:eastAsia="en-GB"/>
                <w14:ligatures w14:val="none"/>
              </w:rPr>
              <w:t>zapošljivost</w:t>
            </w:r>
            <w:proofErr w:type="spellEnd"/>
            <w:r w:rsidRPr="00D959B1">
              <w:rPr>
                <w:rFonts w:ascii="Aptos Narrow" w:eastAsia="Times New Roman" w:hAnsi="Aptos Narrow" w:cs="Times New Roman"/>
                <w:color w:val="000000"/>
                <w:sz w:val="16"/>
                <w:szCs w:val="16"/>
                <w:lang w:val="hr-HR" w:eastAsia="en-GB"/>
                <w14:ligatures w14:val="none"/>
              </w:rPr>
              <w:t xml:space="preserve"> mladih</w:t>
            </w:r>
          </w:p>
        </w:tc>
        <w:tc>
          <w:tcPr>
            <w:tcW w:w="599" w:type="pct"/>
            <w:shd w:val="clear" w:color="auto" w:fill="CAEDFB" w:themeFill="accent4" w:themeFillTint="33"/>
            <w:noWrap/>
            <w:hideMark/>
          </w:tcPr>
          <w:p w14:paraId="68DDF640"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PA06-14, PA06-15</w:t>
            </w:r>
          </w:p>
        </w:tc>
      </w:tr>
      <w:tr w:rsidR="00D959B1" w:rsidRPr="00D959B1" w14:paraId="3E0D39A9"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06B36498"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2B26CB40"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Razvoj inkluzivnih i digitalnih obrazovnih modela mogu povećati dostupnost obrazovanja ranjivim grupama i ruralnim područjima</w:t>
            </w:r>
          </w:p>
        </w:tc>
        <w:tc>
          <w:tcPr>
            <w:tcW w:w="599" w:type="pct"/>
            <w:shd w:val="clear" w:color="auto" w:fill="CAEDFB" w:themeFill="accent4" w:themeFillTint="33"/>
            <w:noWrap/>
            <w:hideMark/>
          </w:tcPr>
          <w:p w14:paraId="0A501A4A"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PA06-06</w:t>
            </w:r>
          </w:p>
        </w:tc>
      </w:tr>
      <w:tr w:rsidR="00D959B1" w:rsidRPr="00D959B1" w14:paraId="074D5087"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1C69EBC0"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2685F90C"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Razvoj sistema cjeloživotnog učenja, </w:t>
            </w:r>
            <w:proofErr w:type="spellStart"/>
            <w:r w:rsidRPr="00D959B1">
              <w:rPr>
                <w:rFonts w:ascii="Aptos Narrow" w:eastAsia="Times New Roman" w:hAnsi="Aptos Narrow" w:cs="Times New Roman"/>
                <w:color w:val="000000"/>
                <w:sz w:val="16"/>
                <w:szCs w:val="16"/>
                <w:lang w:val="hr-HR" w:eastAsia="en-GB"/>
                <w14:ligatures w14:val="none"/>
              </w:rPr>
              <w:t>reskilling</w:t>
            </w:r>
            <w:proofErr w:type="spellEnd"/>
            <w:r w:rsidRPr="00D959B1">
              <w:rPr>
                <w:rFonts w:ascii="Aptos Narrow" w:eastAsia="Times New Roman" w:hAnsi="Aptos Narrow" w:cs="Times New Roman"/>
                <w:color w:val="000000"/>
                <w:sz w:val="16"/>
                <w:szCs w:val="16"/>
                <w:lang w:val="hr-HR" w:eastAsia="en-GB"/>
                <w14:ligatures w14:val="none"/>
              </w:rPr>
              <w:t>/</w:t>
            </w:r>
            <w:proofErr w:type="spellStart"/>
            <w:r w:rsidRPr="00D959B1">
              <w:rPr>
                <w:rFonts w:ascii="Aptos Narrow" w:eastAsia="Times New Roman" w:hAnsi="Aptos Narrow" w:cs="Times New Roman"/>
                <w:color w:val="000000"/>
                <w:sz w:val="16"/>
                <w:szCs w:val="16"/>
                <w:lang w:val="hr-HR" w:eastAsia="en-GB"/>
                <w14:ligatures w14:val="none"/>
              </w:rPr>
              <w:t>upskilling</w:t>
            </w:r>
            <w:proofErr w:type="spellEnd"/>
            <w:r w:rsidRPr="00D959B1">
              <w:rPr>
                <w:rFonts w:ascii="Aptos Narrow" w:eastAsia="Times New Roman" w:hAnsi="Aptos Narrow" w:cs="Times New Roman"/>
                <w:color w:val="000000"/>
                <w:sz w:val="16"/>
                <w:szCs w:val="16"/>
                <w:lang w:val="hr-HR" w:eastAsia="en-GB"/>
                <w14:ligatures w14:val="none"/>
              </w:rPr>
              <w:t xml:space="preserve"> programa i priznavanja prethodnog učenja</w:t>
            </w:r>
          </w:p>
        </w:tc>
        <w:tc>
          <w:tcPr>
            <w:tcW w:w="599" w:type="pct"/>
            <w:shd w:val="clear" w:color="auto" w:fill="CAEDFB" w:themeFill="accent4" w:themeFillTint="33"/>
            <w:noWrap/>
            <w:hideMark/>
          </w:tcPr>
          <w:p w14:paraId="7CB00218"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PA06-06, PA06-12</w:t>
            </w:r>
          </w:p>
        </w:tc>
      </w:tr>
      <w:tr w:rsidR="00D959B1" w:rsidRPr="00D959B1" w14:paraId="558359C3"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3C16FD9F"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590C878A"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Razvoj Strategije pametne specijalizacije (S3) 2026-2031 može unaprijediti vezu između obrazovanja, istraživanja i inovacija</w:t>
            </w:r>
          </w:p>
        </w:tc>
        <w:tc>
          <w:tcPr>
            <w:tcW w:w="599" w:type="pct"/>
            <w:shd w:val="clear" w:color="auto" w:fill="CAEDFB" w:themeFill="accent4" w:themeFillTint="33"/>
            <w:noWrap/>
            <w:hideMark/>
          </w:tcPr>
          <w:p w14:paraId="50B89D9C"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PA06-06</w:t>
            </w:r>
          </w:p>
        </w:tc>
      </w:tr>
      <w:tr w:rsidR="00D959B1" w:rsidRPr="00D959B1" w14:paraId="6B21FE3D"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2B1783DA"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p>
        </w:tc>
        <w:tc>
          <w:tcPr>
            <w:tcW w:w="3854" w:type="pct"/>
            <w:shd w:val="clear" w:color="auto" w:fill="CAEDFB" w:themeFill="accent4" w:themeFillTint="33"/>
            <w:noWrap/>
            <w:hideMark/>
          </w:tcPr>
          <w:p w14:paraId="402A1F42"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Veća upotreba podataka i međunarodnih evaluacija može unaprijediti kreiranje politika zasnovanih na dokazima</w:t>
            </w:r>
          </w:p>
        </w:tc>
        <w:tc>
          <w:tcPr>
            <w:tcW w:w="599" w:type="pct"/>
            <w:shd w:val="clear" w:color="auto" w:fill="CAEDFB" w:themeFill="accent4" w:themeFillTint="33"/>
            <w:noWrap/>
            <w:hideMark/>
          </w:tcPr>
          <w:p w14:paraId="2AFDF162"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PA06-09</w:t>
            </w:r>
          </w:p>
        </w:tc>
      </w:tr>
      <w:tr w:rsidR="00D959B1" w:rsidRPr="00D959B1" w14:paraId="7E26C5CE"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val="restart"/>
            <w:shd w:val="clear" w:color="auto" w:fill="FFFFCC"/>
            <w:noWrap/>
            <w:textDirection w:val="btLr"/>
            <w:vAlign w:val="center"/>
            <w:hideMark/>
          </w:tcPr>
          <w:p w14:paraId="1223487F" w14:textId="77777777" w:rsidR="00D959B1" w:rsidRPr="00D959B1" w:rsidRDefault="00D959B1" w:rsidP="00D959B1">
            <w:pPr>
              <w:ind w:left="113" w:right="113"/>
              <w:jc w:val="center"/>
              <w:rPr>
                <w:rFonts w:ascii="Aptos Narrow" w:eastAsia="Times New Roman" w:hAnsi="Aptos Narrow" w:cs="Times New Roman"/>
                <w:b w:val="0"/>
                <w:bCs w:val="0"/>
                <w:color w:val="000000"/>
                <w:sz w:val="28"/>
                <w:szCs w:val="28"/>
                <w:lang w:val="hr-HR" w:eastAsia="en-GB"/>
                <w14:ligatures w14:val="none"/>
              </w:rPr>
            </w:pPr>
            <w:r w:rsidRPr="00D959B1">
              <w:rPr>
                <w:rFonts w:ascii="Aptos Narrow" w:eastAsia="Times New Roman" w:hAnsi="Aptos Narrow" w:cs="Times New Roman"/>
                <w:b w:val="0"/>
                <w:bCs w:val="0"/>
                <w:color w:val="000000"/>
                <w:sz w:val="28"/>
                <w:szCs w:val="28"/>
                <w:lang w:val="hr-HR" w:eastAsia="en-GB"/>
                <w14:ligatures w14:val="none"/>
              </w:rPr>
              <w:t>PRIJETNJE</w:t>
            </w:r>
          </w:p>
        </w:tc>
        <w:tc>
          <w:tcPr>
            <w:tcW w:w="3854" w:type="pct"/>
            <w:shd w:val="clear" w:color="auto" w:fill="FFFFCC"/>
            <w:noWrap/>
            <w:hideMark/>
          </w:tcPr>
          <w:p w14:paraId="6EA0FDFC"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Brze tehnološke promjene i razvoj AI/digitalne ekonomije mogu produbiti postojeći jaz vještina ukoliko sistem reformi bude spor</w:t>
            </w:r>
          </w:p>
        </w:tc>
        <w:tc>
          <w:tcPr>
            <w:tcW w:w="599" w:type="pct"/>
            <w:shd w:val="clear" w:color="auto" w:fill="FFFFCC"/>
            <w:noWrap/>
            <w:hideMark/>
          </w:tcPr>
          <w:p w14:paraId="313CA22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PA06-05, PA06-10</w:t>
            </w:r>
          </w:p>
        </w:tc>
      </w:tr>
      <w:tr w:rsidR="00D959B1" w:rsidRPr="00D959B1" w14:paraId="35608B77"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307F5CC8"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p>
        </w:tc>
        <w:tc>
          <w:tcPr>
            <w:tcW w:w="3854" w:type="pct"/>
            <w:shd w:val="clear" w:color="auto" w:fill="FFFFCC"/>
            <w:noWrap/>
            <w:hideMark/>
          </w:tcPr>
          <w:p w14:paraId="211742B2"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Demografski pad i starenje stanovništva mogu smanjiti broj učenika, nastavnika i aktivne radne snage</w:t>
            </w:r>
          </w:p>
        </w:tc>
        <w:tc>
          <w:tcPr>
            <w:tcW w:w="599" w:type="pct"/>
            <w:shd w:val="clear" w:color="auto" w:fill="FFFFCC"/>
            <w:noWrap/>
            <w:hideMark/>
          </w:tcPr>
          <w:p w14:paraId="14665892"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PA06-04, PA06-06, PA06-13</w:t>
            </w:r>
          </w:p>
        </w:tc>
      </w:tr>
      <w:tr w:rsidR="00D959B1" w:rsidRPr="00D959B1" w14:paraId="62645B4C"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53D3376F"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p>
        </w:tc>
        <w:tc>
          <w:tcPr>
            <w:tcW w:w="3854" w:type="pct"/>
            <w:shd w:val="clear" w:color="auto" w:fill="FFFFCC"/>
            <w:noWrap/>
            <w:hideMark/>
          </w:tcPr>
          <w:p w14:paraId="69028A0B"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Geopolitičke nestabilnosti, </w:t>
            </w:r>
            <w:proofErr w:type="spellStart"/>
            <w:r w:rsidRPr="00D959B1">
              <w:rPr>
                <w:rFonts w:ascii="Aptos Narrow" w:eastAsia="Times New Roman" w:hAnsi="Aptos Narrow" w:cs="Times New Roman"/>
                <w:color w:val="000000"/>
                <w:sz w:val="16"/>
                <w:szCs w:val="16"/>
                <w:lang w:val="hr-HR" w:eastAsia="en-GB"/>
                <w14:ligatures w14:val="none"/>
              </w:rPr>
              <w:t>migratorni</w:t>
            </w:r>
            <w:proofErr w:type="spellEnd"/>
            <w:r w:rsidRPr="00D959B1">
              <w:rPr>
                <w:rFonts w:ascii="Aptos Narrow" w:eastAsia="Times New Roman" w:hAnsi="Aptos Narrow" w:cs="Times New Roman"/>
                <w:color w:val="000000"/>
                <w:sz w:val="16"/>
                <w:szCs w:val="16"/>
                <w:lang w:val="hr-HR" w:eastAsia="en-GB"/>
                <w14:ligatures w14:val="none"/>
              </w:rPr>
              <w:t xml:space="preserve"> </w:t>
            </w:r>
            <w:proofErr w:type="spellStart"/>
            <w:r w:rsidRPr="00D959B1">
              <w:rPr>
                <w:rFonts w:ascii="Aptos Narrow" w:eastAsia="Times New Roman" w:hAnsi="Aptos Narrow" w:cs="Times New Roman"/>
                <w:color w:val="000000"/>
                <w:sz w:val="16"/>
                <w:szCs w:val="16"/>
                <w:lang w:val="hr-HR" w:eastAsia="en-GB"/>
                <w14:ligatures w14:val="none"/>
              </w:rPr>
              <w:t>talasi</w:t>
            </w:r>
            <w:proofErr w:type="spellEnd"/>
            <w:r w:rsidRPr="00D959B1">
              <w:rPr>
                <w:rFonts w:ascii="Aptos Narrow" w:eastAsia="Times New Roman" w:hAnsi="Aptos Narrow" w:cs="Times New Roman"/>
                <w:color w:val="000000"/>
                <w:sz w:val="16"/>
                <w:szCs w:val="16"/>
                <w:lang w:val="hr-HR" w:eastAsia="en-GB"/>
                <w14:ligatures w14:val="none"/>
              </w:rPr>
              <w:t xml:space="preserve"> i poremećaji tržišta rada mogu smanjiti javna ulaganja u obrazovanje, mlade, sport i razvoj vještina, usporavajući infrastrukturna ulaganja i reforme sistema cjeloživotnog učenja.</w:t>
            </w:r>
          </w:p>
        </w:tc>
        <w:tc>
          <w:tcPr>
            <w:tcW w:w="599" w:type="pct"/>
            <w:shd w:val="clear" w:color="auto" w:fill="FFFFCC"/>
            <w:noWrap/>
            <w:hideMark/>
          </w:tcPr>
          <w:p w14:paraId="2176B757"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PA06-06, PA06-13, PA06-12</w:t>
            </w:r>
          </w:p>
        </w:tc>
      </w:tr>
      <w:tr w:rsidR="00D959B1" w:rsidRPr="00D959B1" w14:paraId="7721F244"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3F0F5285"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p>
        </w:tc>
        <w:tc>
          <w:tcPr>
            <w:tcW w:w="3854" w:type="pct"/>
            <w:shd w:val="clear" w:color="auto" w:fill="FFFFCC"/>
            <w:noWrap/>
            <w:hideMark/>
          </w:tcPr>
          <w:p w14:paraId="49DD7EF9"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Globalne ekonomske krize i fiskalni pritisci mogu ograničiti javna ulaganja u obrazovanje, sport i mlade</w:t>
            </w:r>
          </w:p>
        </w:tc>
        <w:tc>
          <w:tcPr>
            <w:tcW w:w="599" w:type="pct"/>
            <w:shd w:val="clear" w:color="auto" w:fill="FFFFCC"/>
            <w:noWrap/>
            <w:hideMark/>
          </w:tcPr>
          <w:p w14:paraId="515CFB4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PA06-17, PA06-16, PA06-15, PA06-14, PA06-13</w:t>
            </w:r>
          </w:p>
        </w:tc>
      </w:tr>
      <w:tr w:rsidR="00D959B1" w:rsidRPr="00D959B1" w14:paraId="2341867C"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6C582279"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p>
        </w:tc>
        <w:tc>
          <w:tcPr>
            <w:tcW w:w="3854" w:type="pct"/>
            <w:shd w:val="clear" w:color="auto" w:fill="FFFFCC"/>
            <w:noWrap/>
            <w:hideMark/>
          </w:tcPr>
          <w:p w14:paraId="0C2F5AE5"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Nedovoljno razvijena svijest o značaju bavljenja sportom</w:t>
            </w:r>
          </w:p>
        </w:tc>
        <w:tc>
          <w:tcPr>
            <w:tcW w:w="599" w:type="pct"/>
            <w:shd w:val="clear" w:color="auto" w:fill="FFFFCC"/>
            <w:noWrap/>
            <w:hideMark/>
          </w:tcPr>
          <w:p w14:paraId="0FBEBC11"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PA06-17, PA06-16</w:t>
            </w:r>
          </w:p>
        </w:tc>
      </w:tr>
      <w:tr w:rsidR="00D959B1" w:rsidRPr="00D959B1" w14:paraId="6F0D7693"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23D10044"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p>
        </w:tc>
        <w:tc>
          <w:tcPr>
            <w:tcW w:w="3854" w:type="pct"/>
            <w:shd w:val="clear" w:color="auto" w:fill="FFFFCC"/>
            <w:noWrap/>
            <w:hideMark/>
          </w:tcPr>
          <w:p w14:paraId="2403F38B"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Nedovoljno uključivanje privatnog sektora i poslodavaca može usporiti modernizaciju obrazovnog sistema i usklađivanje srednjeg, stručnog, visokog i obrazovanja odraslih sa potrebama tržišta rada</w:t>
            </w:r>
          </w:p>
        </w:tc>
        <w:tc>
          <w:tcPr>
            <w:tcW w:w="599" w:type="pct"/>
            <w:shd w:val="clear" w:color="auto" w:fill="FFFFCC"/>
            <w:noWrap/>
            <w:hideMark/>
          </w:tcPr>
          <w:p w14:paraId="46A2CFD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PA06-03, PA06-12</w:t>
            </w:r>
          </w:p>
        </w:tc>
      </w:tr>
      <w:tr w:rsidR="00D959B1" w:rsidRPr="00D959B1" w14:paraId="0B66DA2B"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728ADA10"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p>
        </w:tc>
        <w:tc>
          <w:tcPr>
            <w:tcW w:w="3854" w:type="pct"/>
            <w:shd w:val="clear" w:color="auto" w:fill="FFFFCC"/>
            <w:noWrap/>
            <w:hideMark/>
          </w:tcPr>
          <w:p w14:paraId="53DC90F8"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Odliv mozgova, emigracija mladih i konkurencija razvijenijih tržišta rada EU mogu dodatno smanjiti raspoloživi ljudski kapital</w:t>
            </w:r>
          </w:p>
        </w:tc>
        <w:tc>
          <w:tcPr>
            <w:tcW w:w="599" w:type="pct"/>
            <w:shd w:val="clear" w:color="auto" w:fill="FFFFCC"/>
            <w:noWrap/>
            <w:hideMark/>
          </w:tcPr>
          <w:p w14:paraId="4FB26F5B"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PA06-08, PA06-10, PA06-14</w:t>
            </w:r>
          </w:p>
        </w:tc>
      </w:tr>
      <w:tr w:rsidR="00D959B1" w:rsidRPr="00D959B1" w14:paraId="58BCD506"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03CC4A83"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p>
        </w:tc>
        <w:tc>
          <w:tcPr>
            <w:tcW w:w="3854" w:type="pct"/>
            <w:shd w:val="clear" w:color="auto" w:fill="FFFFCC"/>
            <w:noWrap/>
            <w:hideMark/>
          </w:tcPr>
          <w:p w14:paraId="4F53417B"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Produženo trajanje niskih ishoda učenja može dugoročno ograničiti produktivnost, </w:t>
            </w:r>
            <w:proofErr w:type="spellStart"/>
            <w:r w:rsidRPr="00D959B1">
              <w:rPr>
                <w:rFonts w:ascii="Aptos Narrow" w:eastAsia="Times New Roman" w:hAnsi="Aptos Narrow" w:cs="Times New Roman"/>
                <w:color w:val="000000"/>
                <w:sz w:val="16"/>
                <w:szCs w:val="16"/>
                <w:lang w:val="hr-HR" w:eastAsia="en-GB"/>
                <w14:ligatures w14:val="none"/>
              </w:rPr>
              <w:t>inovacioni</w:t>
            </w:r>
            <w:proofErr w:type="spellEnd"/>
            <w:r w:rsidRPr="00D959B1">
              <w:rPr>
                <w:rFonts w:ascii="Aptos Narrow" w:eastAsia="Times New Roman" w:hAnsi="Aptos Narrow" w:cs="Times New Roman"/>
                <w:color w:val="000000"/>
                <w:sz w:val="16"/>
                <w:szCs w:val="16"/>
                <w:lang w:val="hr-HR" w:eastAsia="en-GB"/>
                <w14:ligatures w14:val="none"/>
              </w:rPr>
              <w:t xml:space="preserve"> kapacitet i konkurentnost ekonomije</w:t>
            </w:r>
          </w:p>
        </w:tc>
        <w:tc>
          <w:tcPr>
            <w:tcW w:w="599" w:type="pct"/>
            <w:shd w:val="clear" w:color="auto" w:fill="FFFFCC"/>
            <w:noWrap/>
            <w:hideMark/>
          </w:tcPr>
          <w:p w14:paraId="4803E6DF"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PA06-01</w:t>
            </w:r>
          </w:p>
        </w:tc>
      </w:tr>
      <w:tr w:rsidR="00D959B1" w:rsidRPr="00D959B1" w14:paraId="03CA8E74"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5F45231D"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p>
        </w:tc>
        <w:tc>
          <w:tcPr>
            <w:tcW w:w="3854" w:type="pct"/>
            <w:shd w:val="clear" w:color="auto" w:fill="FFFFCC"/>
            <w:noWrap/>
            <w:hideMark/>
          </w:tcPr>
          <w:p w14:paraId="7A610ADD"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Promjena potreba, naročito djece koja se sa sporta usmjeravaju na alternativne vidove zabave i rekreacije</w:t>
            </w:r>
          </w:p>
        </w:tc>
        <w:tc>
          <w:tcPr>
            <w:tcW w:w="599" w:type="pct"/>
            <w:shd w:val="clear" w:color="auto" w:fill="FFFFCC"/>
            <w:noWrap/>
            <w:hideMark/>
          </w:tcPr>
          <w:p w14:paraId="77EABFBC"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PA06-17, PA06-16</w:t>
            </w:r>
          </w:p>
        </w:tc>
      </w:tr>
      <w:tr w:rsidR="00D959B1" w:rsidRPr="00D959B1" w14:paraId="0EF07F3D"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0CC7B510"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p>
        </w:tc>
        <w:tc>
          <w:tcPr>
            <w:tcW w:w="3854" w:type="pct"/>
            <w:shd w:val="clear" w:color="auto" w:fill="FFFFCC"/>
            <w:noWrap/>
            <w:hideMark/>
          </w:tcPr>
          <w:p w14:paraId="6479CDC6"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Regionalne i </w:t>
            </w:r>
            <w:proofErr w:type="spellStart"/>
            <w:r w:rsidRPr="00D959B1">
              <w:rPr>
                <w:rFonts w:ascii="Aptos Narrow" w:eastAsia="Times New Roman" w:hAnsi="Aptos Narrow" w:cs="Times New Roman"/>
                <w:color w:val="000000"/>
                <w:sz w:val="16"/>
                <w:szCs w:val="16"/>
                <w:lang w:val="hr-HR" w:eastAsia="en-GB"/>
                <w14:ligatures w14:val="none"/>
              </w:rPr>
              <w:t>socio</w:t>
            </w:r>
            <w:proofErr w:type="spellEnd"/>
            <w:r w:rsidRPr="00D959B1">
              <w:rPr>
                <w:rFonts w:ascii="Aptos Narrow" w:eastAsia="Times New Roman" w:hAnsi="Aptos Narrow" w:cs="Times New Roman"/>
                <w:color w:val="000000"/>
                <w:sz w:val="16"/>
                <w:szCs w:val="16"/>
                <w:lang w:val="hr-HR" w:eastAsia="en-GB"/>
                <w14:ligatures w14:val="none"/>
              </w:rPr>
              <w:t>-ekonomske nejednakosti mogu dodatno produbiti nejednak pristup kvalitetnom obrazovanju i uslugama</w:t>
            </w:r>
          </w:p>
        </w:tc>
        <w:tc>
          <w:tcPr>
            <w:tcW w:w="599" w:type="pct"/>
            <w:shd w:val="clear" w:color="auto" w:fill="FFFFCC"/>
            <w:noWrap/>
            <w:hideMark/>
          </w:tcPr>
          <w:p w14:paraId="2FD81027"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PA06-13, PA06-02, PA06-07</w:t>
            </w:r>
          </w:p>
        </w:tc>
      </w:tr>
      <w:tr w:rsidR="00D959B1" w:rsidRPr="00D959B1" w14:paraId="12FE1FAE"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3B4DFD2F"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p>
        </w:tc>
        <w:tc>
          <w:tcPr>
            <w:tcW w:w="3854" w:type="pct"/>
            <w:shd w:val="clear" w:color="auto" w:fill="FFFFCC"/>
            <w:noWrap/>
            <w:hideMark/>
          </w:tcPr>
          <w:p w14:paraId="39F6CC7E"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Rizik od digitalne i zelene tranzicije bez adekvatnog </w:t>
            </w:r>
            <w:proofErr w:type="spellStart"/>
            <w:r w:rsidRPr="00D959B1">
              <w:rPr>
                <w:rFonts w:ascii="Aptos Narrow" w:eastAsia="Times New Roman" w:hAnsi="Aptos Narrow" w:cs="Times New Roman"/>
                <w:color w:val="000000"/>
                <w:sz w:val="16"/>
                <w:szCs w:val="16"/>
                <w:lang w:val="hr-HR" w:eastAsia="en-GB"/>
                <w14:ligatures w14:val="none"/>
              </w:rPr>
              <w:t>reskilling</w:t>
            </w:r>
            <w:proofErr w:type="spellEnd"/>
            <w:r w:rsidRPr="00D959B1">
              <w:rPr>
                <w:rFonts w:ascii="Aptos Narrow" w:eastAsia="Times New Roman" w:hAnsi="Aptos Narrow" w:cs="Times New Roman"/>
                <w:color w:val="000000"/>
                <w:sz w:val="16"/>
                <w:szCs w:val="16"/>
                <w:lang w:val="hr-HR" w:eastAsia="en-GB"/>
                <w14:ligatures w14:val="none"/>
              </w:rPr>
              <w:t>/</w:t>
            </w:r>
            <w:proofErr w:type="spellStart"/>
            <w:r w:rsidRPr="00D959B1">
              <w:rPr>
                <w:rFonts w:ascii="Aptos Narrow" w:eastAsia="Times New Roman" w:hAnsi="Aptos Narrow" w:cs="Times New Roman"/>
                <w:color w:val="000000"/>
                <w:sz w:val="16"/>
                <w:szCs w:val="16"/>
                <w:lang w:val="hr-HR" w:eastAsia="en-GB"/>
                <w14:ligatures w14:val="none"/>
              </w:rPr>
              <w:t>upskilling</w:t>
            </w:r>
            <w:proofErr w:type="spellEnd"/>
            <w:r w:rsidRPr="00D959B1">
              <w:rPr>
                <w:rFonts w:ascii="Aptos Narrow" w:eastAsia="Times New Roman" w:hAnsi="Aptos Narrow" w:cs="Times New Roman"/>
                <w:color w:val="000000"/>
                <w:sz w:val="16"/>
                <w:szCs w:val="16"/>
                <w:lang w:val="hr-HR" w:eastAsia="en-GB"/>
                <w14:ligatures w14:val="none"/>
              </w:rPr>
              <w:t xml:space="preserve"> sistema može povećati strukturnu nezaposlenost</w:t>
            </w:r>
          </w:p>
        </w:tc>
        <w:tc>
          <w:tcPr>
            <w:tcW w:w="599" w:type="pct"/>
            <w:shd w:val="clear" w:color="auto" w:fill="FFFFCC"/>
            <w:noWrap/>
            <w:hideMark/>
          </w:tcPr>
          <w:p w14:paraId="4C0FBE23"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PA06-05, PA06-10, PA06-06</w:t>
            </w:r>
          </w:p>
        </w:tc>
      </w:tr>
      <w:tr w:rsidR="00D959B1" w:rsidRPr="00D959B1" w14:paraId="2C43012A"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3A121D52"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p>
        </w:tc>
        <w:tc>
          <w:tcPr>
            <w:tcW w:w="3854" w:type="pct"/>
            <w:shd w:val="clear" w:color="auto" w:fill="FFFFCC"/>
            <w:noWrap/>
            <w:hideMark/>
          </w:tcPr>
          <w:p w14:paraId="63FB94B9"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 xml:space="preserve">Rizik od sporije implementacije reformi </w:t>
            </w:r>
            <w:proofErr w:type="spellStart"/>
            <w:r w:rsidRPr="00D959B1">
              <w:rPr>
                <w:rFonts w:ascii="Aptos Narrow" w:eastAsia="Times New Roman" w:hAnsi="Aptos Narrow" w:cs="Times New Roman"/>
                <w:color w:val="000000"/>
                <w:sz w:val="16"/>
                <w:szCs w:val="16"/>
                <w:lang w:val="hr-HR" w:eastAsia="en-GB"/>
                <w14:ligatures w14:val="none"/>
              </w:rPr>
              <w:t>usljed</w:t>
            </w:r>
            <w:proofErr w:type="spellEnd"/>
            <w:r w:rsidRPr="00D959B1">
              <w:rPr>
                <w:rFonts w:ascii="Aptos Narrow" w:eastAsia="Times New Roman" w:hAnsi="Aptos Narrow" w:cs="Times New Roman"/>
                <w:color w:val="000000"/>
                <w:sz w:val="16"/>
                <w:szCs w:val="16"/>
                <w:lang w:val="hr-HR" w:eastAsia="en-GB"/>
                <w14:ligatures w14:val="none"/>
              </w:rPr>
              <w:t xml:space="preserve"> ograničenih administrativnih kapaciteta i fiskalnih ograničenja</w:t>
            </w:r>
          </w:p>
        </w:tc>
        <w:tc>
          <w:tcPr>
            <w:tcW w:w="599" w:type="pct"/>
            <w:shd w:val="clear" w:color="auto" w:fill="FFFFCC"/>
            <w:noWrap/>
            <w:hideMark/>
          </w:tcPr>
          <w:p w14:paraId="4585776A"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PA06-09</w:t>
            </w:r>
          </w:p>
        </w:tc>
      </w:tr>
      <w:tr w:rsidR="00D959B1" w:rsidRPr="00D959B1" w14:paraId="087342B3" w14:textId="77777777" w:rsidTr="00D959B1">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21907210" w14:textId="77777777" w:rsidR="00D959B1" w:rsidRPr="00D959B1" w:rsidRDefault="00D959B1" w:rsidP="00D959B1">
            <w:pPr>
              <w:jc w:val="left"/>
              <w:rPr>
                <w:rFonts w:ascii="Aptos Narrow" w:eastAsia="Times New Roman" w:hAnsi="Aptos Narrow" w:cs="Times New Roman"/>
                <w:b w:val="0"/>
                <w:bCs w:val="0"/>
                <w:color w:val="000000"/>
                <w:sz w:val="16"/>
                <w:szCs w:val="16"/>
                <w:lang w:val="hr-HR" w:eastAsia="en-GB"/>
                <w14:ligatures w14:val="none"/>
              </w:rPr>
            </w:pPr>
          </w:p>
        </w:tc>
        <w:tc>
          <w:tcPr>
            <w:tcW w:w="3854" w:type="pct"/>
            <w:shd w:val="clear" w:color="auto" w:fill="FFFFCC"/>
            <w:noWrap/>
            <w:hideMark/>
          </w:tcPr>
          <w:p w14:paraId="3D74A66E"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Slabljenje motivacije mladih za društveno i građansko učešće može povećati socijalnu isključenost i političku apatiju</w:t>
            </w:r>
          </w:p>
        </w:tc>
        <w:tc>
          <w:tcPr>
            <w:tcW w:w="599" w:type="pct"/>
            <w:shd w:val="clear" w:color="auto" w:fill="FFFFCC"/>
            <w:noWrap/>
            <w:hideMark/>
          </w:tcPr>
          <w:p w14:paraId="3F21A2E7" w14:textId="77777777" w:rsidR="00D959B1" w:rsidRPr="00D959B1" w:rsidRDefault="00D959B1" w:rsidP="00D959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D959B1">
              <w:rPr>
                <w:rFonts w:ascii="Aptos Narrow" w:eastAsia="Times New Roman" w:hAnsi="Aptos Narrow" w:cs="Times New Roman"/>
                <w:color w:val="000000"/>
                <w:sz w:val="16"/>
                <w:szCs w:val="16"/>
                <w:lang w:val="hr-HR" w:eastAsia="en-GB"/>
                <w14:ligatures w14:val="none"/>
              </w:rPr>
              <w:t>PA06-14</w:t>
            </w:r>
          </w:p>
        </w:tc>
      </w:tr>
    </w:tbl>
    <w:p w14:paraId="783B70F7" w14:textId="77777777" w:rsidR="00953F67" w:rsidRPr="00D959B1" w:rsidRDefault="00953F67" w:rsidP="00D959B1">
      <w:pPr>
        <w:rPr>
          <w:lang w:val="hr-HR"/>
        </w:rPr>
      </w:pPr>
    </w:p>
    <w:p w14:paraId="0D2B6C54" w14:textId="77777777" w:rsidR="0092523F" w:rsidRPr="00D959B1" w:rsidRDefault="00417444" w:rsidP="004D67BC">
      <w:pPr>
        <w:pStyle w:val="Naslov1"/>
        <w:rPr>
          <w:rFonts w:eastAsia="Times New Roman"/>
          <w:lang w:val="hr-HR"/>
        </w:rPr>
      </w:pPr>
      <w:r w:rsidRPr="00D959B1">
        <w:rPr>
          <w:rFonts w:eastAsia="Times New Roman"/>
          <w:lang w:val="hr-HR"/>
        </w:rPr>
        <w:br w:type="page"/>
      </w:r>
    </w:p>
    <w:p w14:paraId="291B7541" w14:textId="55E79041" w:rsidR="004D67BC" w:rsidRPr="00D959B1" w:rsidRDefault="00417444" w:rsidP="004D67BC">
      <w:pPr>
        <w:pStyle w:val="Naslov1"/>
        <w:rPr>
          <w:rFonts w:eastAsia="Times New Roman"/>
          <w:lang w:val="hr-HR"/>
        </w:rPr>
      </w:pPr>
      <w:r w:rsidRPr="00D959B1">
        <w:rPr>
          <w:rFonts w:eastAsia="Times New Roman"/>
          <w:lang w:val="hr-HR"/>
        </w:rPr>
        <w:lastRenderedPageBreak/>
        <w:t>Reference</w:t>
      </w:r>
    </w:p>
    <w:p w14:paraId="23CC232F" w14:textId="77777777" w:rsidR="00813534" w:rsidRPr="00D959B1" w:rsidRDefault="00813534" w:rsidP="00813534">
      <w:pPr>
        <w:rPr>
          <w:lang w:val="hr-HR"/>
        </w:rPr>
      </w:pPr>
    </w:p>
    <w:p w14:paraId="696E79E5"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CEDEFOP &amp; European Training </w:t>
      </w:r>
      <w:proofErr w:type="spellStart"/>
      <w:r w:rsidRPr="00D959B1">
        <w:rPr>
          <w:sz w:val="20"/>
          <w:szCs w:val="20"/>
          <w:lang w:val="hr-HR"/>
        </w:rPr>
        <w:t>Foundation</w:t>
      </w:r>
      <w:proofErr w:type="spellEnd"/>
      <w:r w:rsidRPr="00D959B1">
        <w:rPr>
          <w:sz w:val="20"/>
          <w:szCs w:val="20"/>
          <w:lang w:val="hr-HR"/>
        </w:rPr>
        <w:t xml:space="preserve">. (2025). </w:t>
      </w:r>
      <w:proofErr w:type="spellStart"/>
      <w:r w:rsidRPr="00D959B1">
        <w:rPr>
          <w:sz w:val="20"/>
          <w:szCs w:val="20"/>
          <w:lang w:val="hr-HR"/>
        </w:rPr>
        <w:t>Towards</w:t>
      </w:r>
      <w:proofErr w:type="spellEnd"/>
      <w:r w:rsidRPr="00D959B1">
        <w:rPr>
          <w:sz w:val="20"/>
          <w:szCs w:val="20"/>
          <w:lang w:val="hr-HR"/>
        </w:rPr>
        <w:t xml:space="preserve"> EU </w:t>
      </w:r>
      <w:proofErr w:type="spellStart"/>
      <w:r w:rsidRPr="00D959B1">
        <w:rPr>
          <w:sz w:val="20"/>
          <w:szCs w:val="20"/>
          <w:lang w:val="hr-HR"/>
        </w:rPr>
        <w:t>priorities</w:t>
      </w:r>
      <w:proofErr w:type="spellEnd"/>
      <w:r w:rsidRPr="00D959B1">
        <w:rPr>
          <w:sz w:val="20"/>
          <w:szCs w:val="20"/>
          <w:lang w:val="hr-HR"/>
        </w:rPr>
        <w:t xml:space="preserve"> </w:t>
      </w:r>
      <w:proofErr w:type="spellStart"/>
      <w:r w:rsidRPr="00D959B1">
        <w:rPr>
          <w:sz w:val="20"/>
          <w:szCs w:val="20"/>
          <w:lang w:val="hr-HR"/>
        </w:rPr>
        <w:t>in</w:t>
      </w:r>
      <w:proofErr w:type="spellEnd"/>
      <w:r w:rsidRPr="00D959B1">
        <w:rPr>
          <w:sz w:val="20"/>
          <w:szCs w:val="20"/>
          <w:lang w:val="hr-HR"/>
        </w:rPr>
        <w:t xml:space="preserve"> VET 2021–2025 </w:t>
      </w:r>
      <w:proofErr w:type="spellStart"/>
      <w:r w:rsidRPr="00D959B1">
        <w:rPr>
          <w:sz w:val="20"/>
          <w:szCs w:val="20"/>
          <w:lang w:val="hr-HR"/>
        </w:rPr>
        <w:t>progress</w:t>
      </w:r>
      <w:proofErr w:type="spellEnd"/>
      <w:r w:rsidRPr="00D959B1">
        <w:rPr>
          <w:sz w:val="20"/>
          <w:szCs w:val="20"/>
          <w:lang w:val="hr-HR"/>
        </w:rPr>
        <w:t>. https://www.cedefop.europa.eu/en/publications/9205</w:t>
      </w:r>
    </w:p>
    <w:p w14:paraId="4E472C65"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Council </w:t>
      </w:r>
      <w:proofErr w:type="spellStart"/>
      <w:r w:rsidRPr="00D959B1">
        <w:rPr>
          <w:sz w:val="20"/>
          <w:szCs w:val="20"/>
          <w:lang w:val="hr-HR"/>
        </w:rPr>
        <w:t>of</w:t>
      </w:r>
      <w:proofErr w:type="spellEnd"/>
      <w:r w:rsidRPr="00D959B1">
        <w:rPr>
          <w:sz w:val="20"/>
          <w:szCs w:val="20"/>
          <w:lang w:val="hr-HR"/>
        </w:rPr>
        <w:t xml:space="preserve"> </w:t>
      </w:r>
      <w:proofErr w:type="spellStart"/>
      <w:r w:rsidRPr="00D959B1">
        <w:rPr>
          <w:sz w:val="20"/>
          <w:szCs w:val="20"/>
          <w:lang w:val="hr-HR"/>
        </w:rPr>
        <w:t>the</w:t>
      </w:r>
      <w:proofErr w:type="spellEnd"/>
      <w:r w:rsidRPr="00D959B1">
        <w:rPr>
          <w:sz w:val="20"/>
          <w:szCs w:val="20"/>
          <w:lang w:val="hr-HR"/>
        </w:rPr>
        <w:t xml:space="preserve"> European Union. (2020). Council </w:t>
      </w:r>
      <w:proofErr w:type="spellStart"/>
      <w:r w:rsidRPr="00D959B1">
        <w:rPr>
          <w:sz w:val="20"/>
          <w:szCs w:val="20"/>
          <w:lang w:val="hr-HR"/>
        </w:rPr>
        <w:t>Recommendation</w:t>
      </w:r>
      <w:proofErr w:type="spellEnd"/>
      <w:r w:rsidRPr="00D959B1">
        <w:rPr>
          <w:sz w:val="20"/>
          <w:szCs w:val="20"/>
          <w:lang w:val="hr-HR"/>
        </w:rPr>
        <w:t xml:space="preserve"> on </w:t>
      </w:r>
      <w:proofErr w:type="spellStart"/>
      <w:r w:rsidRPr="00D959B1">
        <w:rPr>
          <w:sz w:val="20"/>
          <w:szCs w:val="20"/>
          <w:lang w:val="hr-HR"/>
        </w:rPr>
        <w:t>vocational</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training</w:t>
      </w:r>
      <w:proofErr w:type="spellEnd"/>
      <w:r w:rsidRPr="00D959B1">
        <w:rPr>
          <w:sz w:val="20"/>
          <w:szCs w:val="20"/>
          <w:lang w:val="hr-HR"/>
        </w:rPr>
        <w:t xml:space="preserve"> (VET) for </w:t>
      </w:r>
      <w:proofErr w:type="spellStart"/>
      <w:r w:rsidRPr="00D959B1">
        <w:rPr>
          <w:sz w:val="20"/>
          <w:szCs w:val="20"/>
          <w:lang w:val="hr-HR"/>
        </w:rPr>
        <w:t>sustainable</w:t>
      </w:r>
      <w:proofErr w:type="spellEnd"/>
      <w:r w:rsidRPr="00D959B1">
        <w:rPr>
          <w:sz w:val="20"/>
          <w:szCs w:val="20"/>
          <w:lang w:val="hr-HR"/>
        </w:rPr>
        <w:t xml:space="preserve"> </w:t>
      </w:r>
      <w:proofErr w:type="spellStart"/>
      <w:r w:rsidRPr="00D959B1">
        <w:rPr>
          <w:sz w:val="20"/>
          <w:szCs w:val="20"/>
          <w:lang w:val="hr-HR"/>
        </w:rPr>
        <w:t>competitiveness</w:t>
      </w:r>
      <w:proofErr w:type="spellEnd"/>
      <w:r w:rsidRPr="00D959B1">
        <w:rPr>
          <w:sz w:val="20"/>
          <w:szCs w:val="20"/>
          <w:lang w:val="hr-HR"/>
        </w:rPr>
        <w:t xml:space="preserve">, </w:t>
      </w:r>
      <w:proofErr w:type="spellStart"/>
      <w:r w:rsidRPr="00D959B1">
        <w:rPr>
          <w:sz w:val="20"/>
          <w:szCs w:val="20"/>
          <w:lang w:val="hr-HR"/>
        </w:rPr>
        <w:t>social</w:t>
      </w:r>
      <w:proofErr w:type="spellEnd"/>
      <w:r w:rsidRPr="00D959B1">
        <w:rPr>
          <w:sz w:val="20"/>
          <w:szCs w:val="20"/>
          <w:lang w:val="hr-HR"/>
        </w:rPr>
        <w:t xml:space="preserve"> </w:t>
      </w:r>
      <w:proofErr w:type="spellStart"/>
      <w:r w:rsidRPr="00D959B1">
        <w:rPr>
          <w:sz w:val="20"/>
          <w:szCs w:val="20"/>
          <w:lang w:val="hr-HR"/>
        </w:rPr>
        <w:t>fairness</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resilience</w:t>
      </w:r>
      <w:proofErr w:type="spellEnd"/>
      <w:r w:rsidRPr="00D959B1">
        <w:rPr>
          <w:sz w:val="20"/>
          <w:szCs w:val="20"/>
          <w:lang w:val="hr-HR"/>
        </w:rPr>
        <w:t>. https://eur-lex.europa.eu/legal-content/EN/TXT/?uri=CELEX:32020H1202(01)</w:t>
      </w:r>
    </w:p>
    <w:p w14:paraId="1B7EEF3E"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Council </w:t>
      </w:r>
      <w:proofErr w:type="spellStart"/>
      <w:r w:rsidRPr="00D959B1">
        <w:rPr>
          <w:sz w:val="20"/>
          <w:szCs w:val="20"/>
          <w:lang w:val="hr-HR"/>
        </w:rPr>
        <w:t>of</w:t>
      </w:r>
      <w:proofErr w:type="spellEnd"/>
      <w:r w:rsidRPr="00D959B1">
        <w:rPr>
          <w:sz w:val="20"/>
          <w:szCs w:val="20"/>
          <w:lang w:val="hr-HR"/>
        </w:rPr>
        <w:t xml:space="preserve"> </w:t>
      </w:r>
      <w:proofErr w:type="spellStart"/>
      <w:r w:rsidRPr="00D959B1">
        <w:rPr>
          <w:sz w:val="20"/>
          <w:szCs w:val="20"/>
          <w:lang w:val="hr-HR"/>
        </w:rPr>
        <w:t>the</w:t>
      </w:r>
      <w:proofErr w:type="spellEnd"/>
      <w:r w:rsidRPr="00D959B1">
        <w:rPr>
          <w:sz w:val="20"/>
          <w:szCs w:val="20"/>
          <w:lang w:val="hr-HR"/>
        </w:rPr>
        <w:t xml:space="preserve"> European Union. (2021). Council </w:t>
      </w:r>
      <w:proofErr w:type="spellStart"/>
      <w:r w:rsidRPr="00D959B1">
        <w:rPr>
          <w:sz w:val="20"/>
          <w:szCs w:val="20"/>
          <w:lang w:val="hr-HR"/>
        </w:rPr>
        <w:t>Resolution</w:t>
      </w:r>
      <w:proofErr w:type="spellEnd"/>
      <w:r w:rsidRPr="00D959B1">
        <w:rPr>
          <w:sz w:val="20"/>
          <w:szCs w:val="20"/>
          <w:lang w:val="hr-HR"/>
        </w:rPr>
        <w:t xml:space="preserve"> on a </w:t>
      </w:r>
      <w:proofErr w:type="spellStart"/>
      <w:r w:rsidRPr="00D959B1">
        <w:rPr>
          <w:sz w:val="20"/>
          <w:szCs w:val="20"/>
          <w:lang w:val="hr-HR"/>
        </w:rPr>
        <w:t>strategic</w:t>
      </w:r>
      <w:proofErr w:type="spellEnd"/>
      <w:r w:rsidRPr="00D959B1">
        <w:rPr>
          <w:sz w:val="20"/>
          <w:szCs w:val="20"/>
          <w:lang w:val="hr-HR"/>
        </w:rPr>
        <w:t xml:space="preserve"> </w:t>
      </w:r>
      <w:proofErr w:type="spellStart"/>
      <w:r w:rsidRPr="00D959B1">
        <w:rPr>
          <w:sz w:val="20"/>
          <w:szCs w:val="20"/>
          <w:lang w:val="hr-HR"/>
        </w:rPr>
        <w:t>framework</w:t>
      </w:r>
      <w:proofErr w:type="spellEnd"/>
      <w:r w:rsidRPr="00D959B1">
        <w:rPr>
          <w:sz w:val="20"/>
          <w:szCs w:val="20"/>
          <w:lang w:val="hr-HR"/>
        </w:rPr>
        <w:t xml:space="preserve"> for European </w:t>
      </w:r>
      <w:proofErr w:type="spellStart"/>
      <w:r w:rsidRPr="00D959B1">
        <w:rPr>
          <w:sz w:val="20"/>
          <w:szCs w:val="20"/>
          <w:lang w:val="hr-HR"/>
        </w:rPr>
        <w:t>cooperation</w:t>
      </w:r>
      <w:proofErr w:type="spellEnd"/>
      <w:r w:rsidRPr="00D959B1">
        <w:rPr>
          <w:sz w:val="20"/>
          <w:szCs w:val="20"/>
          <w:lang w:val="hr-HR"/>
        </w:rPr>
        <w:t xml:space="preserve"> </w:t>
      </w:r>
      <w:proofErr w:type="spellStart"/>
      <w:r w:rsidRPr="00D959B1">
        <w:rPr>
          <w:sz w:val="20"/>
          <w:szCs w:val="20"/>
          <w:lang w:val="hr-HR"/>
        </w:rPr>
        <w:t>in</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training</w:t>
      </w:r>
      <w:proofErr w:type="spellEnd"/>
      <w:r w:rsidRPr="00D959B1">
        <w:rPr>
          <w:sz w:val="20"/>
          <w:szCs w:val="20"/>
          <w:lang w:val="hr-HR"/>
        </w:rPr>
        <w:t xml:space="preserve"> </w:t>
      </w:r>
      <w:proofErr w:type="spellStart"/>
      <w:r w:rsidRPr="00D959B1">
        <w:rPr>
          <w:sz w:val="20"/>
          <w:szCs w:val="20"/>
          <w:lang w:val="hr-HR"/>
        </w:rPr>
        <w:t>towards</w:t>
      </w:r>
      <w:proofErr w:type="spellEnd"/>
      <w:r w:rsidRPr="00D959B1">
        <w:rPr>
          <w:sz w:val="20"/>
          <w:szCs w:val="20"/>
          <w:lang w:val="hr-HR"/>
        </w:rPr>
        <w:t xml:space="preserve"> </w:t>
      </w:r>
      <w:proofErr w:type="spellStart"/>
      <w:r w:rsidRPr="00D959B1">
        <w:rPr>
          <w:sz w:val="20"/>
          <w:szCs w:val="20"/>
          <w:lang w:val="hr-HR"/>
        </w:rPr>
        <w:t>the</w:t>
      </w:r>
      <w:proofErr w:type="spellEnd"/>
      <w:r w:rsidRPr="00D959B1">
        <w:rPr>
          <w:sz w:val="20"/>
          <w:szCs w:val="20"/>
          <w:lang w:val="hr-HR"/>
        </w:rPr>
        <w:t xml:space="preserve"> European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Area</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beyond</w:t>
      </w:r>
      <w:proofErr w:type="spellEnd"/>
      <w:r w:rsidRPr="00D959B1">
        <w:rPr>
          <w:sz w:val="20"/>
          <w:szCs w:val="20"/>
          <w:lang w:val="hr-HR"/>
        </w:rPr>
        <w:t xml:space="preserve"> (2021–2030). https://eur-lex.europa.eu/legal-content/EN/TXT/?uri=CELEX:32021G0226(01)</w:t>
      </w:r>
    </w:p>
    <w:p w14:paraId="6FACDB1D"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xml:space="preserve"> &amp; Council </w:t>
      </w:r>
      <w:proofErr w:type="spellStart"/>
      <w:r w:rsidRPr="00D959B1">
        <w:rPr>
          <w:sz w:val="20"/>
          <w:szCs w:val="20"/>
          <w:lang w:val="hr-HR"/>
        </w:rPr>
        <w:t>of</w:t>
      </w:r>
      <w:proofErr w:type="spellEnd"/>
      <w:r w:rsidRPr="00D959B1">
        <w:rPr>
          <w:sz w:val="20"/>
          <w:szCs w:val="20"/>
          <w:lang w:val="hr-HR"/>
        </w:rPr>
        <w:t xml:space="preserve"> </w:t>
      </w:r>
      <w:proofErr w:type="spellStart"/>
      <w:r w:rsidRPr="00D959B1">
        <w:rPr>
          <w:sz w:val="20"/>
          <w:szCs w:val="20"/>
          <w:lang w:val="hr-HR"/>
        </w:rPr>
        <w:t>the</w:t>
      </w:r>
      <w:proofErr w:type="spellEnd"/>
      <w:r w:rsidRPr="00D959B1">
        <w:rPr>
          <w:sz w:val="20"/>
          <w:szCs w:val="20"/>
          <w:lang w:val="hr-HR"/>
        </w:rPr>
        <w:t xml:space="preserve"> European Union. (2020). </w:t>
      </w:r>
      <w:proofErr w:type="spellStart"/>
      <w:r w:rsidRPr="00D959B1">
        <w:rPr>
          <w:sz w:val="20"/>
          <w:szCs w:val="20"/>
          <w:lang w:val="hr-HR"/>
        </w:rPr>
        <w:t>Osnabrück</w:t>
      </w:r>
      <w:proofErr w:type="spellEnd"/>
      <w:r w:rsidRPr="00D959B1">
        <w:rPr>
          <w:sz w:val="20"/>
          <w:szCs w:val="20"/>
          <w:lang w:val="hr-HR"/>
        </w:rPr>
        <w:t xml:space="preserve"> </w:t>
      </w:r>
      <w:proofErr w:type="spellStart"/>
      <w:r w:rsidRPr="00D959B1">
        <w:rPr>
          <w:sz w:val="20"/>
          <w:szCs w:val="20"/>
          <w:lang w:val="hr-HR"/>
        </w:rPr>
        <w:t>Declaration</w:t>
      </w:r>
      <w:proofErr w:type="spellEnd"/>
      <w:r w:rsidRPr="00D959B1">
        <w:rPr>
          <w:sz w:val="20"/>
          <w:szCs w:val="20"/>
          <w:lang w:val="hr-HR"/>
        </w:rPr>
        <w:t xml:space="preserve"> on </w:t>
      </w:r>
      <w:proofErr w:type="spellStart"/>
      <w:r w:rsidRPr="00D959B1">
        <w:rPr>
          <w:sz w:val="20"/>
          <w:szCs w:val="20"/>
          <w:lang w:val="hr-HR"/>
        </w:rPr>
        <w:t>vocational</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training</w:t>
      </w:r>
      <w:proofErr w:type="spellEnd"/>
      <w:r w:rsidRPr="00D959B1">
        <w:rPr>
          <w:sz w:val="20"/>
          <w:szCs w:val="20"/>
          <w:lang w:val="hr-HR"/>
        </w:rPr>
        <w:t xml:space="preserve"> as </w:t>
      </w:r>
      <w:proofErr w:type="spellStart"/>
      <w:r w:rsidRPr="00D959B1">
        <w:rPr>
          <w:sz w:val="20"/>
          <w:szCs w:val="20"/>
          <w:lang w:val="hr-HR"/>
        </w:rPr>
        <w:t>an</w:t>
      </w:r>
      <w:proofErr w:type="spellEnd"/>
      <w:r w:rsidRPr="00D959B1">
        <w:rPr>
          <w:sz w:val="20"/>
          <w:szCs w:val="20"/>
          <w:lang w:val="hr-HR"/>
        </w:rPr>
        <w:t xml:space="preserve"> </w:t>
      </w:r>
      <w:proofErr w:type="spellStart"/>
      <w:r w:rsidRPr="00D959B1">
        <w:rPr>
          <w:sz w:val="20"/>
          <w:szCs w:val="20"/>
          <w:lang w:val="hr-HR"/>
        </w:rPr>
        <w:t>enabler</w:t>
      </w:r>
      <w:proofErr w:type="spellEnd"/>
      <w:r w:rsidRPr="00D959B1">
        <w:rPr>
          <w:sz w:val="20"/>
          <w:szCs w:val="20"/>
          <w:lang w:val="hr-HR"/>
        </w:rPr>
        <w:t xml:space="preserve"> </w:t>
      </w:r>
      <w:proofErr w:type="spellStart"/>
      <w:r w:rsidRPr="00D959B1">
        <w:rPr>
          <w:sz w:val="20"/>
          <w:szCs w:val="20"/>
          <w:lang w:val="hr-HR"/>
        </w:rPr>
        <w:t>of</w:t>
      </w:r>
      <w:proofErr w:type="spellEnd"/>
      <w:r w:rsidRPr="00D959B1">
        <w:rPr>
          <w:sz w:val="20"/>
          <w:szCs w:val="20"/>
          <w:lang w:val="hr-HR"/>
        </w:rPr>
        <w:t xml:space="preserve"> </w:t>
      </w:r>
      <w:proofErr w:type="spellStart"/>
      <w:r w:rsidRPr="00D959B1">
        <w:rPr>
          <w:sz w:val="20"/>
          <w:szCs w:val="20"/>
          <w:lang w:val="hr-HR"/>
        </w:rPr>
        <w:t>recovery</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just</w:t>
      </w:r>
      <w:proofErr w:type="spellEnd"/>
      <w:r w:rsidRPr="00D959B1">
        <w:rPr>
          <w:sz w:val="20"/>
          <w:szCs w:val="20"/>
          <w:lang w:val="hr-HR"/>
        </w:rPr>
        <w:t xml:space="preserve"> </w:t>
      </w:r>
      <w:proofErr w:type="spellStart"/>
      <w:r w:rsidRPr="00D959B1">
        <w:rPr>
          <w:sz w:val="20"/>
          <w:szCs w:val="20"/>
          <w:lang w:val="hr-HR"/>
        </w:rPr>
        <w:t>transitions</w:t>
      </w:r>
      <w:proofErr w:type="spellEnd"/>
      <w:r w:rsidRPr="00D959B1">
        <w:rPr>
          <w:sz w:val="20"/>
          <w:szCs w:val="20"/>
          <w:lang w:val="hr-HR"/>
        </w:rPr>
        <w:t xml:space="preserve"> to </w:t>
      </w:r>
      <w:proofErr w:type="spellStart"/>
      <w:r w:rsidRPr="00D959B1">
        <w:rPr>
          <w:sz w:val="20"/>
          <w:szCs w:val="20"/>
          <w:lang w:val="hr-HR"/>
        </w:rPr>
        <w:t>digital</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green</w:t>
      </w:r>
      <w:proofErr w:type="spellEnd"/>
      <w:r w:rsidRPr="00D959B1">
        <w:rPr>
          <w:sz w:val="20"/>
          <w:szCs w:val="20"/>
          <w:lang w:val="hr-HR"/>
        </w:rPr>
        <w:t xml:space="preserve"> </w:t>
      </w:r>
      <w:proofErr w:type="spellStart"/>
      <w:r w:rsidRPr="00D959B1">
        <w:rPr>
          <w:sz w:val="20"/>
          <w:szCs w:val="20"/>
          <w:lang w:val="hr-HR"/>
        </w:rPr>
        <w:t>economies</w:t>
      </w:r>
      <w:proofErr w:type="spellEnd"/>
      <w:r w:rsidRPr="00D959B1">
        <w:rPr>
          <w:sz w:val="20"/>
          <w:szCs w:val="20"/>
          <w:lang w:val="hr-HR"/>
        </w:rPr>
        <w:t>. https://www.cedefop.europa.eu/files/osnabrueck_declaration_eu2020.pdf</w:t>
      </w:r>
    </w:p>
    <w:p w14:paraId="555ECD36"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xml:space="preserve">, EACEA, </w:t>
      </w:r>
      <w:proofErr w:type="spellStart"/>
      <w:r w:rsidRPr="00D959B1">
        <w:rPr>
          <w:sz w:val="20"/>
          <w:szCs w:val="20"/>
          <w:lang w:val="hr-HR"/>
        </w:rPr>
        <w:t>Eurydice</w:t>
      </w:r>
      <w:proofErr w:type="spellEnd"/>
      <w:r w:rsidRPr="00D959B1">
        <w:rPr>
          <w:sz w:val="20"/>
          <w:szCs w:val="20"/>
          <w:lang w:val="hr-HR"/>
        </w:rPr>
        <w:t>. (</w:t>
      </w:r>
      <w:proofErr w:type="spellStart"/>
      <w:r w:rsidRPr="00D959B1">
        <w:rPr>
          <w:sz w:val="20"/>
          <w:szCs w:val="20"/>
          <w:lang w:val="hr-HR"/>
        </w:rPr>
        <w:t>n.d</w:t>
      </w:r>
      <w:proofErr w:type="spellEnd"/>
      <w:r w:rsidRPr="00D959B1">
        <w:rPr>
          <w:sz w:val="20"/>
          <w:szCs w:val="20"/>
          <w:lang w:val="hr-HR"/>
        </w:rPr>
        <w:t xml:space="preserve">.). </w:t>
      </w:r>
      <w:proofErr w:type="spellStart"/>
      <w:r w:rsidRPr="00D959B1">
        <w:rPr>
          <w:sz w:val="20"/>
          <w:szCs w:val="20"/>
          <w:lang w:val="hr-HR"/>
        </w:rPr>
        <w:t>Montenegro</w:t>
      </w:r>
      <w:proofErr w:type="spellEnd"/>
      <w:r w:rsidRPr="00D959B1">
        <w:rPr>
          <w:sz w:val="20"/>
          <w:szCs w:val="20"/>
          <w:lang w:val="hr-HR"/>
        </w:rPr>
        <w:t xml:space="preserve">: National </w:t>
      </w:r>
      <w:proofErr w:type="spellStart"/>
      <w:r w:rsidRPr="00D959B1">
        <w:rPr>
          <w:sz w:val="20"/>
          <w:szCs w:val="20"/>
          <w:lang w:val="hr-HR"/>
        </w:rPr>
        <w:t>reforms</w:t>
      </w:r>
      <w:proofErr w:type="spellEnd"/>
      <w:r w:rsidRPr="00D959B1">
        <w:rPr>
          <w:sz w:val="20"/>
          <w:szCs w:val="20"/>
          <w:lang w:val="hr-HR"/>
        </w:rPr>
        <w:t xml:space="preserve"> </w:t>
      </w:r>
      <w:proofErr w:type="spellStart"/>
      <w:r w:rsidRPr="00D959B1">
        <w:rPr>
          <w:sz w:val="20"/>
          <w:szCs w:val="20"/>
          <w:lang w:val="hr-HR"/>
        </w:rPr>
        <w:t>in</w:t>
      </w:r>
      <w:proofErr w:type="spellEnd"/>
      <w:r w:rsidRPr="00D959B1">
        <w:rPr>
          <w:sz w:val="20"/>
          <w:szCs w:val="20"/>
          <w:lang w:val="hr-HR"/>
        </w:rPr>
        <w:t xml:space="preserve"> </w:t>
      </w:r>
      <w:proofErr w:type="spellStart"/>
      <w:r w:rsidRPr="00D959B1">
        <w:rPr>
          <w:sz w:val="20"/>
          <w:szCs w:val="20"/>
          <w:lang w:val="hr-HR"/>
        </w:rPr>
        <w:t>vocational</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training</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adult</w:t>
      </w:r>
      <w:proofErr w:type="spellEnd"/>
      <w:r w:rsidRPr="00D959B1">
        <w:rPr>
          <w:sz w:val="20"/>
          <w:szCs w:val="20"/>
          <w:lang w:val="hr-HR"/>
        </w:rPr>
        <w:t xml:space="preserve"> </w:t>
      </w:r>
      <w:proofErr w:type="spellStart"/>
      <w:r w:rsidRPr="00D959B1">
        <w:rPr>
          <w:sz w:val="20"/>
          <w:szCs w:val="20"/>
          <w:lang w:val="hr-HR"/>
        </w:rPr>
        <w:t>learning</w:t>
      </w:r>
      <w:proofErr w:type="spellEnd"/>
      <w:r w:rsidRPr="00D959B1">
        <w:rPr>
          <w:sz w:val="20"/>
          <w:szCs w:val="20"/>
          <w:lang w:val="hr-HR"/>
        </w:rPr>
        <w:t>. https://eurydice.eacea.ec.europa.eu/eurypedia/montenegro/national-reforms-vocational-education-and-training-and-adult-learning</w:t>
      </w:r>
    </w:p>
    <w:p w14:paraId="30F37D31"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xml:space="preserve">, EACEA, </w:t>
      </w:r>
      <w:proofErr w:type="spellStart"/>
      <w:r w:rsidRPr="00D959B1">
        <w:rPr>
          <w:sz w:val="20"/>
          <w:szCs w:val="20"/>
          <w:lang w:val="hr-HR"/>
        </w:rPr>
        <w:t>Eurydice</w:t>
      </w:r>
      <w:proofErr w:type="spellEnd"/>
      <w:r w:rsidRPr="00D959B1">
        <w:rPr>
          <w:sz w:val="20"/>
          <w:szCs w:val="20"/>
          <w:lang w:val="hr-HR"/>
        </w:rPr>
        <w:t>. (</w:t>
      </w:r>
      <w:proofErr w:type="spellStart"/>
      <w:r w:rsidRPr="00D959B1">
        <w:rPr>
          <w:sz w:val="20"/>
          <w:szCs w:val="20"/>
          <w:lang w:val="hr-HR"/>
        </w:rPr>
        <w:t>n.d</w:t>
      </w:r>
      <w:proofErr w:type="spellEnd"/>
      <w:r w:rsidRPr="00D959B1">
        <w:rPr>
          <w:sz w:val="20"/>
          <w:szCs w:val="20"/>
          <w:lang w:val="hr-HR"/>
        </w:rPr>
        <w:t xml:space="preserve">.). </w:t>
      </w:r>
      <w:proofErr w:type="spellStart"/>
      <w:r w:rsidRPr="00D959B1">
        <w:rPr>
          <w:sz w:val="20"/>
          <w:szCs w:val="20"/>
          <w:lang w:val="hr-HR"/>
        </w:rPr>
        <w:t>Montenegro</w:t>
      </w:r>
      <w:proofErr w:type="spellEnd"/>
      <w:r w:rsidRPr="00D959B1">
        <w:rPr>
          <w:sz w:val="20"/>
          <w:szCs w:val="20"/>
          <w:lang w:val="hr-HR"/>
        </w:rPr>
        <w:t xml:space="preserve">: </w:t>
      </w:r>
      <w:proofErr w:type="spellStart"/>
      <w:r w:rsidRPr="00D959B1">
        <w:rPr>
          <w:sz w:val="20"/>
          <w:szCs w:val="20"/>
          <w:lang w:val="hr-HR"/>
        </w:rPr>
        <w:t>Organisation</w:t>
      </w:r>
      <w:proofErr w:type="spellEnd"/>
      <w:r w:rsidRPr="00D959B1">
        <w:rPr>
          <w:sz w:val="20"/>
          <w:szCs w:val="20"/>
          <w:lang w:val="hr-HR"/>
        </w:rPr>
        <w:t xml:space="preserve"> </w:t>
      </w:r>
      <w:proofErr w:type="spellStart"/>
      <w:r w:rsidRPr="00D959B1">
        <w:rPr>
          <w:sz w:val="20"/>
          <w:szCs w:val="20"/>
          <w:lang w:val="hr-HR"/>
        </w:rPr>
        <w:t>of</w:t>
      </w:r>
      <w:proofErr w:type="spellEnd"/>
      <w:r w:rsidRPr="00D959B1">
        <w:rPr>
          <w:sz w:val="20"/>
          <w:szCs w:val="20"/>
          <w:lang w:val="hr-HR"/>
        </w:rPr>
        <w:t xml:space="preserve"> </w:t>
      </w:r>
      <w:proofErr w:type="spellStart"/>
      <w:r w:rsidRPr="00D959B1">
        <w:rPr>
          <w:sz w:val="20"/>
          <w:szCs w:val="20"/>
          <w:lang w:val="hr-HR"/>
        </w:rPr>
        <w:t>vocational</w:t>
      </w:r>
      <w:proofErr w:type="spellEnd"/>
      <w:r w:rsidRPr="00D959B1">
        <w:rPr>
          <w:sz w:val="20"/>
          <w:szCs w:val="20"/>
          <w:lang w:val="hr-HR"/>
        </w:rPr>
        <w:t xml:space="preserve"> </w:t>
      </w:r>
      <w:proofErr w:type="spellStart"/>
      <w:r w:rsidRPr="00D959B1">
        <w:rPr>
          <w:sz w:val="20"/>
          <w:szCs w:val="20"/>
          <w:lang w:val="hr-HR"/>
        </w:rPr>
        <w:t>upper</w:t>
      </w:r>
      <w:proofErr w:type="spellEnd"/>
      <w:r w:rsidRPr="00D959B1">
        <w:rPr>
          <w:sz w:val="20"/>
          <w:szCs w:val="20"/>
          <w:lang w:val="hr-HR"/>
        </w:rPr>
        <w:t xml:space="preserve"> </w:t>
      </w:r>
      <w:proofErr w:type="spellStart"/>
      <w:r w:rsidRPr="00D959B1">
        <w:rPr>
          <w:sz w:val="20"/>
          <w:szCs w:val="20"/>
          <w:lang w:val="hr-HR"/>
        </w:rPr>
        <w:t>secondary</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https://eurydice.eacea.ec.europa.eu/eurypedia/montenegro/organisation-vocational-upper-secondary-education</w:t>
      </w:r>
    </w:p>
    <w:p w14:paraId="08167BD9"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xml:space="preserve">. (2020). Digital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Action</w:t>
      </w:r>
      <w:proofErr w:type="spellEnd"/>
      <w:r w:rsidRPr="00D959B1">
        <w:rPr>
          <w:sz w:val="20"/>
          <w:szCs w:val="20"/>
          <w:lang w:val="hr-HR"/>
        </w:rPr>
        <w:t xml:space="preserve"> Plan 2021–2027. https://education.ec.europa.eu/focus-topics/digital-education/action-plan</w:t>
      </w:r>
    </w:p>
    <w:p w14:paraId="6199EC67"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xml:space="preserve">. (2020). European </w:t>
      </w:r>
      <w:proofErr w:type="spellStart"/>
      <w:r w:rsidRPr="00D959B1">
        <w:rPr>
          <w:sz w:val="20"/>
          <w:szCs w:val="20"/>
          <w:lang w:val="hr-HR"/>
        </w:rPr>
        <w:t>Skills</w:t>
      </w:r>
      <w:proofErr w:type="spellEnd"/>
      <w:r w:rsidRPr="00D959B1">
        <w:rPr>
          <w:sz w:val="20"/>
          <w:szCs w:val="20"/>
          <w:lang w:val="hr-HR"/>
        </w:rPr>
        <w:t xml:space="preserve"> Agenda for </w:t>
      </w:r>
      <w:proofErr w:type="spellStart"/>
      <w:r w:rsidRPr="00D959B1">
        <w:rPr>
          <w:sz w:val="20"/>
          <w:szCs w:val="20"/>
          <w:lang w:val="hr-HR"/>
        </w:rPr>
        <w:t>sustainable</w:t>
      </w:r>
      <w:proofErr w:type="spellEnd"/>
      <w:r w:rsidRPr="00D959B1">
        <w:rPr>
          <w:sz w:val="20"/>
          <w:szCs w:val="20"/>
          <w:lang w:val="hr-HR"/>
        </w:rPr>
        <w:t xml:space="preserve"> </w:t>
      </w:r>
      <w:proofErr w:type="spellStart"/>
      <w:r w:rsidRPr="00D959B1">
        <w:rPr>
          <w:sz w:val="20"/>
          <w:szCs w:val="20"/>
          <w:lang w:val="hr-HR"/>
        </w:rPr>
        <w:t>competitiveness</w:t>
      </w:r>
      <w:proofErr w:type="spellEnd"/>
      <w:r w:rsidRPr="00D959B1">
        <w:rPr>
          <w:sz w:val="20"/>
          <w:szCs w:val="20"/>
          <w:lang w:val="hr-HR"/>
        </w:rPr>
        <w:t xml:space="preserve">, </w:t>
      </w:r>
      <w:proofErr w:type="spellStart"/>
      <w:r w:rsidRPr="00D959B1">
        <w:rPr>
          <w:sz w:val="20"/>
          <w:szCs w:val="20"/>
          <w:lang w:val="hr-HR"/>
        </w:rPr>
        <w:t>social</w:t>
      </w:r>
      <w:proofErr w:type="spellEnd"/>
      <w:r w:rsidRPr="00D959B1">
        <w:rPr>
          <w:sz w:val="20"/>
          <w:szCs w:val="20"/>
          <w:lang w:val="hr-HR"/>
        </w:rPr>
        <w:t xml:space="preserve"> </w:t>
      </w:r>
      <w:proofErr w:type="spellStart"/>
      <w:r w:rsidRPr="00D959B1">
        <w:rPr>
          <w:sz w:val="20"/>
          <w:szCs w:val="20"/>
          <w:lang w:val="hr-HR"/>
        </w:rPr>
        <w:t>fairness</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resilience</w:t>
      </w:r>
      <w:proofErr w:type="spellEnd"/>
      <w:r w:rsidRPr="00D959B1">
        <w:rPr>
          <w:sz w:val="20"/>
          <w:szCs w:val="20"/>
          <w:lang w:val="hr-HR"/>
        </w:rPr>
        <w:t>. https://ec.europa.eu/social/main.jsp?catId=1223&amp;langId=en</w:t>
      </w:r>
    </w:p>
    <w:p w14:paraId="690F0A93"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xml:space="preserve">. (2021). </w:t>
      </w:r>
      <w:proofErr w:type="spellStart"/>
      <w:r w:rsidRPr="00D959B1">
        <w:rPr>
          <w:sz w:val="20"/>
          <w:szCs w:val="20"/>
          <w:lang w:val="hr-HR"/>
        </w:rPr>
        <w:t>Action</w:t>
      </w:r>
      <w:proofErr w:type="spellEnd"/>
      <w:r w:rsidRPr="00D959B1">
        <w:rPr>
          <w:sz w:val="20"/>
          <w:szCs w:val="20"/>
          <w:lang w:val="hr-HR"/>
        </w:rPr>
        <w:t xml:space="preserve"> Plan on </w:t>
      </w:r>
      <w:proofErr w:type="spellStart"/>
      <w:r w:rsidRPr="00D959B1">
        <w:rPr>
          <w:sz w:val="20"/>
          <w:szCs w:val="20"/>
          <w:lang w:val="hr-HR"/>
        </w:rPr>
        <w:t>the</w:t>
      </w:r>
      <w:proofErr w:type="spellEnd"/>
      <w:r w:rsidRPr="00D959B1">
        <w:rPr>
          <w:sz w:val="20"/>
          <w:szCs w:val="20"/>
          <w:lang w:val="hr-HR"/>
        </w:rPr>
        <w:t xml:space="preserve"> European </w:t>
      </w:r>
      <w:proofErr w:type="spellStart"/>
      <w:r w:rsidRPr="00D959B1">
        <w:rPr>
          <w:sz w:val="20"/>
          <w:szCs w:val="20"/>
          <w:lang w:val="hr-HR"/>
        </w:rPr>
        <w:t>Pillar</w:t>
      </w:r>
      <w:proofErr w:type="spellEnd"/>
      <w:r w:rsidRPr="00D959B1">
        <w:rPr>
          <w:sz w:val="20"/>
          <w:szCs w:val="20"/>
          <w:lang w:val="hr-HR"/>
        </w:rPr>
        <w:t xml:space="preserve"> </w:t>
      </w:r>
      <w:proofErr w:type="spellStart"/>
      <w:r w:rsidRPr="00D959B1">
        <w:rPr>
          <w:sz w:val="20"/>
          <w:szCs w:val="20"/>
          <w:lang w:val="hr-HR"/>
        </w:rPr>
        <w:t>of</w:t>
      </w:r>
      <w:proofErr w:type="spellEnd"/>
      <w:r w:rsidRPr="00D959B1">
        <w:rPr>
          <w:sz w:val="20"/>
          <w:szCs w:val="20"/>
          <w:lang w:val="hr-HR"/>
        </w:rPr>
        <w:t xml:space="preserve"> </w:t>
      </w:r>
      <w:proofErr w:type="spellStart"/>
      <w:r w:rsidRPr="00D959B1">
        <w:rPr>
          <w:sz w:val="20"/>
          <w:szCs w:val="20"/>
          <w:lang w:val="hr-HR"/>
        </w:rPr>
        <w:t>Social</w:t>
      </w:r>
      <w:proofErr w:type="spellEnd"/>
      <w:r w:rsidRPr="00D959B1">
        <w:rPr>
          <w:sz w:val="20"/>
          <w:szCs w:val="20"/>
          <w:lang w:val="hr-HR"/>
        </w:rPr>
        <w:t xml:space="preserve"> Rights. </w:t>
      </w:r>
      <w:proofErr w:type="spellStart"/>
      <w:r w:rsidRPr="00D959B1">
        <w:rPr>
          <w:sz w:val="20"/>
          <w:szCs w:val="20"/>
          <w:lang w:val="hr-HR"/>
        </w:rPr>
        <w:t>Publications</w:t>
      </w:r>
      <w:proofErr w:type="spellEnd"/>
      <w:r w:rsidRPr="00D959B1">
        <w:rPr>
          <w:sz w:val="20"/>
          <w:szCs w:val="20"/>
          <w:lang w:val="hr-HR"/>
        </w:rPr>
        <w:t xml:space="preserve"> Office </w:t>
      </w:r>
      <w:proofErr w:type="spellStart"/>
      <w:r w:rsidRPr="00D959B1">
        <w:rPr>
          <w:sz w:val="20"/>
          <w:szCs w:val="20"/>
          <w:lang w:val="hr-HR"/>
        </w:rPr>
        <w:t>of</w:t>
      </w:r>
      <w:proofErr w:type="spellEnd"/>
      <w:r w:rsidRPr="00D959B1">
        <w:rPr>
          <w:sz w:val="20"/>
          <w:szCs w:val="20"/>
          <w:lang w:val="hr-HR"/>
        </w:rPr>
        <w:t xml:space="preserve"> </w:t>
      </w:r>
      <w:proofErr w:type="spellStart"/>
      <w:r w:rsidRPr="00D959B1">
        <w:rPr>
          <w:sz w:val="20"/>
          <w:szCs w:val="20"/>
          <w:lang w:val="hr-HR"/>
        </w:rPr>
        <w:t>the</w:t>
      </w:r>
      <w:proofErr w:type="spellEnd"/>
      <w:r w:rsidRPr="00D959B1">
        <w:rPr>
          <w:sz w:val="20"/>
          <w:szCs w:val="20"/>
          <w:lang w:val="hr-HR"/>
        </w:rPr>
        <w:t xml:space="preserve"> European Union. https://eur-lex.europa.eu/legal-content/EN/TXT/?uri=CELEX:52021DC0102</w:t>
      </w:r>
    </w:p>
    <w:p w14:paraId="01159D78"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xml:space="preserve">. (2022). A European </w:t>
      </w:r>
      <w:proofErr w:type="spellStart"/>
      <w:r w:rsidRPr="00D959B1">
        <w:rPr>
          <w:sz w:val="20"/>
          <w:szCs w:val="20"/>
          <w:lang w:val="hr-HR"/>
        </w:rPr>
        <w:t>strategy</w:t>
      </w:r>
      <w:proofErr w:type="spellEnd"/>
      <w:r w:rsidRPr="00D959B1">
        <w:rPr>
          <w:sz w:val="20"/>
          <w:szCs w:val="20"/>
          <w:lang w:val="hr-HR"/>
        </w:rPr>
        <w:t xml:space="preserve"> for </w:t>
      </w:r>
      <w:proofErr w:type="spellStart"/>
      <w:r w:rsidRPr="00D959B1">
        <w:rPr>
          <w:sz w:val="20"/>
          <w:szCs w:val="20"/>
          <w:lang w:val="hr-HR"/>
        </w:rPr>
        <w:t>universities</w:t>
      </w:r>
      <w:proofErr w:type="spellEnd"/>
      <w:r w:rsidRPr="00D959B1">
        <w:rPr>
          <w:sz w:val="20"/>
          <w:szCs w:val="20"/>
          <w:lang w:val="hr-HR"/>
        </w:rPr>
        <w:t>. https://education.ec.europa.eu/node/1497</w:t>
      </w:r>
    </w:p>
    <w:p w14:paraId="3546C5EF"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xml:space="preserve">. (2025). </w:t>
      </w:r>
      <w:proofErr w:type="spellStart"/>
      <w:r w:rsidRPr="00D959B1">
        <w:rPr>
          <w:sz w:val="20"/>
          <w:szCs w:val="20"/>
          <w:lang w:val="hr-HR"/>
        </w:rPr>
        <w:t>Commission</w:t>
      </w:r>
      <w:proofErr w:type="spellEnd"/>
      <w:r w:rsidRPr="00D959B1">
        <w:rPr>
          <w:sz w:val="20"/>
          <w:szCs w:val="20"/>
          <w:lang w:val="hr-HR"/>
        </w:rPr>
        <w:t xml:space="preserve"> </w:t>
      </w:r>
      <w:proofErr w:type="spellStart"/>
      <w:r w:rsidRPr="00D959B1">
        <w:rPr>
          <w:sz w:val="20"/>
          <w:szCs w:val="20"/>
          <w:lang w:val="hr-HR"/>
        </w:rPr>
        <w:t>staff</w:t>
      </w:r>
      <w:proofErr w:type="spellEnd"/>
      <w:r w:rsidRPr="00D959B1">
        <w:rPr>
          <w:sz w:val="20"/>
          <w:szCs w:val="20"/>
          <w:lang w:val="hr-HR"/>
        </w:rPr>
        <w:t xml:space="preserve"> </w:t>
      </w:r>
      <w:proofErr w:type="spellStart"/>
      <w:r w:rsidRPr="00D959B1">
        <w:rPr>
          <w:sz w:val="20"/>
          <w:szCs w:val="20"/>
          <w:lang w:val="hr-HR"/>
        </w:rPr>
        <w:t>working</w:t>
      </w:r>
      <w:proofErr w:type="spellEnd"/>
      <w:r w:rsidRPr="00D959B1">
        <w:rPr>
          <w:sz w:val="20"/>
          <w:szCs w:val="20"/>
          <w:lang w:val="hr-HR"/>
        </w:rPr>
        <w:t xml:space="preserve"> </w:t>
      </w:r>
      <w:proofErr w:type="spellStart"/>
      <w:r w:rsidRPr="00D959B1">
        <w:rPr>
          <w:sz w:val="20"/>
          <w:szCs w:val="20"/>
          <w:lang w:val="hr-HR"/>
        </w:rPr>
        <w:t>document</w:t>
      </w:r>
      <w:proofErr w:type="spellEnd"/>
      <w:r w:rsidRPr="00D959B1">
        <w:rPr>
          <w:sz w:val="20"/>
          <w:szCs w:val="20"/>
          <w:lang w:val="hr-HR"/>
        </w:rPr>
        <w:t xml:space="preserve">: </w:t>
      </w:r>
      <w:proofErr w:type="spellStart"/>
      <w:r w:rsidRPr="00D959B1">
        <w:rPr>
          <w:sz w:val="20"/>
          <w:szCs w:val="20"/>
          <w:lang w:val="hr-HR"/>
        </w:rPr>
        <w:t>Economic</w:t>
      </w:r>
      <w:proofErr w:type="spellEnd"/>
      <w:r w:rsidRPr="00D959B1">
        <w:rPr>
          <w:sz w:val="20"/>
          <w:szCs w:val="20"/>
          <w:lang w:val="hr-HR"/>
        </w:rPr>
        <w:t xml:space="preserve"> </w:t>
      </w:r>
      <w:proofErr w:type="spellStart"/>
      <w:r w:rsidRPr="00D959B1">
        <w:rPr>
          <w:sz w:val="20"/>
          <w:szCs w:val="20"/>
          <w:lang w:val="hr-HR"/>
        </w:rPr>
        <w:t>reform</w:t>
      </w:r>
      <w:proofErr w:type="spellEnd"/>
      <w:r w:rsidRPr="00D959B1">
        <w:rPr>
          <w:sz w:val="20"/>
          <w:szCs w:val="20"/>
          <w:lang w:val="hr-HR"/>
        </w:rPr>
        <w:t xml:space="preserve"> </w:t>
      </w:r>
      <w:proofErr w:type="spellStart"/>
      <w:r w:rsidRPr="00D959B1">
        <w:rPr>
          <w:sz w:val="20"/>
          <w:szCs w:val="20"/>
          <w:lang w:val="hr-HR"/>
        </w:rPr>
        <w:t>programme</w:t>
      </w:r>
      <w:proofErr w:type="spellEnd"/>
      <w:r w:rsidRPr="00D959B1">
        <w:rPr>
          <w:sz w:val="20"/>
          <w:szCs w:val="20"/>
          <w:lang w:val="hr-HR"/>
        </w:rPr>
        <w:t xml:space="preserve"> </w:t>
      </w:r>
      <w:proofErr w:type="spellStart"/>
      <w:r w:rsidRPr="00D959B1">
        <w:rPr>
          <w:sz w:val="20"/>
          <w:szCs w:val="20"/>
          <w:lang w:val="hr-HR"/>
        </w:rPr>
        <w:t>of</w:t>
      </w:r>
      <w:proofErr w:type="spellEnd"/>
      <w:r w:rsidRPr="00D959B1">
        <w:rPr>
          <w:sz w:val="20"/>
          <w:szCs w:val="20"/>
          <w:lang w:val="hr-HR"/>
        </w:rPr>
        <w:t xml:space="preserve"> </w:t>
      </w:r>
      <w:proofErr w:type="spellStart"/>
      <w:r w:rsidRPr="00D959B1">
        <w:rPr>
          <w:sz w:val="20"/>
          <w:szCs w:val="20"/>
          <w:lang w:val="hr-HR"/>
        </w:rPr>
        <w:t>Montenegro</w:t>
      </w:r>
      <w:proofErr w:type="spellEnd"/>
      <w:r w:rsidRPr="00D959B1">
        <w:rPr>
          <w:sz w:val="20"/>
          <w:szCs w:val="20"/>
          <w:lang w:val="hr-HR"/>
        </w:rPr>
        <w:t xml:space="preserve"> (2025–2027) – </w:t>
      </w:r>
      <w:proofErr w:type="spellStart"/>
      <w:r w:rsidRPr="00D959B1">
        <w:rPr>
          <w:sz w:val="20"/>
          <w:szCs w:val="20"/>
          <w:lang w:val="hr-HR"/>
        </w:rPr>
        <w:t>Commission</w:t>
      </w:r>
      <w:proofErr w:type="spellEnd"/>
      <w:r w:rsidRPr="00D959B1">
        <w:rPr>
          <w:sz w:val="20"/>
          <w:szCs w:val="20"/>
          <w:lang w:val="hr-HR"/>
        </w:rPr>
        <w:t xml:space="preserve"> </w:t>
      </w:r>
      <w:proofErr w:type="spellStart"/>
      <w:r w:rsidRPr="00D959B1">
        <w:rPr>
          <w:sz w:val="20"/>
          <w:szCs w:val="20"/>
          <w:lang w:val="hr-HR"/>
        </w:rPr>
        <w:t>assessment</w:t>
      </w:r>
      <w:proofErr w:type="spellEnd"/>
      <w:r w:rsidRPr="00D959B1">
        <w:rPr>
          <w:sz w:val="20"/>
          <w:szCs w:val="20"/>
          <w:lang w:val="hr-HR"/>
        </w:rPr>
        <w:t xml:space="preserve"> (SWD(2025) 106 </w:t>
      </w:r>
      <w:proofErr w:type="spellStart"/>
      <w:r w:rsidRPr="00D959B1">
        <w:rPr>
          <w:sz w:val="20"/>
          <w:szCs w:val="20"/>
          <w:lang w:val="hr-HR"/>
        </w:rPr>
        <w:t>final</w:t>
      </w:r>
      <w:proofErr w:type="spellEnd"/>
      <w:r w:rsidRPr="00D959B1">
        <w:rPr>
          <w:sz w:val="20"/>
          <w:szCs w:val="20"/>
          <w:lang w:val="hr-HR"/>
        </w:rPr>
        <w:t xml:space="preserve">). Council </w:t>
      </w:r>
      <w:proofErr w:type="spellStart"/>
      <w:r w:rsidRPr="00D959B1">
        <w:rPr>
          <w:sz w:val="20"/>
          <w:szCs w:val="20"/>
          <w:lang w:val="hr-HR"/>
        </w:rPr>
        <w:t>of</w:t>
      </w:r>
      <w:proofErr w:type="spellEnd"/>
      <w:r w:rsidRPr="00D959B1">
        <w:rPr>
          <w:sz w:val="20"/>
          <w:szCs w:val="20"/>
          <w:lang w:val="hr-HR"/>
        </w:rPr>
        <w:t xml:space="preserve"> </w:t>
      </w:r>
      <w:proofErr w:type="spellStart"/>
      <w:r w:rsidRPr="00D959B1">
        <w:rPr>
          <w:sz w:val="20"/>
          <w:szCs w:val="20"/>
          <w:lang w:val="hr-HR"/>
        </w:rPr>
        <w:t>the</w:t>
      </w:r>
      <w:proofErr w:type="spellEnd"/>
      <w:r w:rsidRPr="00D959B1">
        <w:rPr>
          <w:sz w:val="20"/>
          <w:szCs w:val="20"/>
          <w:lang w:val="hr-HR"/>
        </w:rPr>
        <w:t xml:space="preserve"> European Union, </w:t>
      </w:r>
      <w:proofErr w:type="spellStart"/>
      <w:r w:rsidRPr="00D959B1">
        <w:rPr>
          <w:sz w:val="20"/>
          <w:szCs w:val="20"/>
          <w:lang w:val="hr-HR"/>
        </w:rPr>
        <w:t>document</w:t>
      </w:r>
      <w:proofErr w:type="spellEnd"/>
      <w:r w:rsidRPr="00D959B1">
        <w:rPr>
          <w:sz w:val="20"/>
          <w:szCs w:val="20"/>
          <w:lang w:val="hr-HR"/>
        </w:rPr>
        <w:t xml:space="preserve"> ST-8076-2025-INIT. https://data.consilium.europa.eu/doc/document/ST-8076-2025-INIT/en/pd</w:t>
      </w:r>
    </w:p>
    <w:p w14:paraId="77242449"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xml:space="preserve">. (2025). </w:t>
      </w:r>
      <w:proofErr w:type="spellStart"/>
      <w:r w:rsidRPr="00D959B1">
        <w:rPr>
          <w:sz w:val="20"/>
          <w:szCs w:val="20"/>
          <w:lang w:val="hr-HR"/>
        </w:rPr>
        <w:t>Herning</w:t>
      </w:r>
      <w:proofErr w:type="spellEnd"/>
      <w:r w:rsidRPr="00D959B1">
        <w:rPr>
          <w:sz w:val="20"/>
          <w:szCs w:val="20"/>
          <w:lang w:val="hr-HR"/>
        </w:rPr>
        <w:t xml:space="preserve"> </w:t>
      </w:r>
      <w:proofErr w:type="spellStart"/>
      <w:r w:rsidRPr="00D959B1">
        <w:rPr>
          <w:sz w:val="20"/>
          <w:szCs w:val="20"/>
          <w:lang w:val="hr-HR"/>
        </w:rPr>
        <w:t>Declaration</w:t>
      </w:r>
      <w:proofErr w:type="spellEnd"/>
      <w:r w:rsidRPr="00D959B1">
        <w:rPr>
          <w:sz w:val="20"/>
          <w:szCs w:val="20"/>
          <w:lang w:val="hr-HR"/>
        </w:rPr>
        <w:t xml:space="preserve"> on </w:t>
      </w:r>
      <w:proofErr w:type="spellStart"/>
      <w:r w:rsidRPr="00D959B1">
        <w:rPr>
          <w:sz w:val="20"/>
          <w:szCs w:val="20"/>
          <w:lang w:val="hr-HR"/>
        </w:rPr>
        <w:t>attractive</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inclusive</w:t>
      </w:r>
      <w:proofErr w:type="spellEnd"/>
      <w:r w:rsidRPr="00D959B1">
        <w:rPr>
          <w:sz w:val="20"/>
          <w:szCs w:val="20"/>
          <w:lang w:val="hr-HR"/>
        </w:rPr>
        <w:t xml:space="preserve"> </w:t>
      </w:r>
      <w:proofErr w:type="spellStart"/>
      <w:r w:rsidRPr="00D959B1">
        <w:rPr>
          <w:sz w:val="20"/>
          <w:szCs w:val="20"/>
          <w:lang w:val="hr-HR"/>
        </w:rPr>
        <w:t>vocational</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training</w:t>
      </w:r>
      <w:proofErr w:type="spellEnd"/>
      <w:r w:rsidRPr="00D959B1">
        <w:rPr>
          <w:sz w:val="20"/>
          <w:szCs w:val="20"/>
          <w:lang w:val="hr-HR"/>
        </w:rPr>
        <w:t xml:space="preserve"> (2026–2030). https://employment-social-affairs.ec.europa.eu/policies-and-activities/skills-and-qualifications/skills-jobs/vocational-education-and-training-vet_en</w:t>
      </w:r>
    </w:p>
    <w:p w14:paraId="4090EE48"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xml:space="preserve">. (2025). </w:t>
      </w:r>
      <w:proofErr w:type="spellStart"/>
      <w:r w:rsidRPr="00D959B1">
        <w:rPr>
          <w:sz w:val="20"/>
          <w:szCs w:val="20"/>
          <w:lang w:val="hr-HR"/>
        </w:rPr>
        <w:t>Montenegro</w:t>
      </w:r>
      <w:proofErr w:type="spellEnd"/>
      <w:r w:rsidRPr="00D959B1">
        <w:rPr>
          <w:sz w:val="20"/>
          <w:szCs w:val="20"/>
          <w:lang w:val="hr-HR"/>
        </w:rPr>
        <w:t xml:space="preserve"> </w:t>
      </w:r>
      <w:proofErr w:type="spellStart"/>
      <w:r w:rsidRPr="00D959B1">
        <w:rPr>
          <w:sz w:val="20"/>
          <w:szCs w:val="20"/>
          <w:lang w:val="hr-HR"/>
        </w:rPr>
        <w:t>report</w:t>
      </w:r>
      <w:proofErr w:type="spellEnd"/>
      <w:r w:rsidRPr="00D959B1">
        <w:rPr>
          <w:sz w:val="20"/>
          <w:szCs w:val="20"/>
          <w:lang w:val="hr-HR"/>
        </w:rPr>
        <w:t xml:space="preserve"> 2025. https://enlargement.ec.europa.eu/montenegro-report-2025_en</w:t>
      </w:r>
    </w:p>
    <w:p w14:paraId="131215A7"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xml:space="preserve">. (2025). </w:t>
      </w:r>
      <w:proofErr w:type="spellStart"/>
      <w:r w:rsidRPr="00D959B1">
        <w:rPr>
          <w:sz w:val="20"/>
          <w:szCs w:val="20"/>
          <w:lang w:val="hr-HR"/>
        </w:rPr>
        <w:t>Proposal</w:t>
      </w:r>
      <w:proofErr w:type="spellEnd"/>
      <w:r w:rsidRPr="00D959B1">
        <w:rPr>
          <w:sz w:val="20"/>
          <w:szCs w:val="20"/>
          <w:lang w:val="hr-HR"/>
        </w:rPr>
        <w:t xml:space="preserve"> for a </w:t>
      </w:r>
      <w:proofErr w:type="spellStart"/>
      <w:r w:rsidRPr="00D959B1">
        <w:rPr>
          <w:sz w:val="20"/>
          <w:szCs w:val="20"/>
          <w:lang w:val="hr-HR"/>
        </w:rPr>
        <w:t>regulation</w:t>
      </w:r>
      <w:proofErr w:type="spellEnd"/>
      <w:r w:rsidRPr="00D959B1">
        <w:rPr>
          <w:sz w:val="20"/>
          <w:szCs w:val="20"/>
          <w:lang w:val="hr-HR"/>
        </w:rPr>
        <w:t xml:space="preserve"> </w:t>
      </w:r>
      <w:proofErr w:type="spellStart"/>
      <w:r w:rsidRPr="00D959B1">
        <w:rPr>
          <w:sz w:val="20"/>
          <w:szCs w:val="20"/>
          <w:lang w:val="hr-HR"/>
        </w:rPr>
        <w:t>establishing</w:t>
      </w:r>
      <w:proofErr w:type="spellEnd"/>
      <w:r w:rsidRPr="00D959B1">
        <w:rPr>
          <w:sz w:val="20"/>
          <w:szCs w:val="20"/>
          <w:lang w:val="hr-HR"/>
        </w:rPr>
        <w:t xml:space="preserve"> a </w:t>
      </w:r>
      <w:proofErr w:type="spellStart"/>
      <w:r w:rsidRPr="00D959B1">
        <w:rPr>
          <w:sz w:val="20"/>
          <w:szCs w:val="20"/>
          <w:lang w:val="hr-HR"/>
        </w:rPr>
        <w:t>budget</w:t>
      </w:r>
      <w:proofErr w:type="spellEnd"/>
      <w:r w:rsidRPr="00D959B1">
        <w:rPr>
          <w:sz w:val="20"/>
          <w:szCs w:val="20"/>
          <w:lang w:val="hr-HR"/>
        </w:rPr>
        <w:t xml:space="preserve"> </w:t>
      </w:r>
      <w:proofErr w:type="spellStart"/>
      <w:r w:rsidRPr="00D959B1">
        <w:rPr>
          <w:sz w:val="20"/>
          <w:szCs w:val="20"/>
          <w:lang w:val="hr-HR"/>
        </w:rPr>
        <w:t>expenditure</w:t>
      </w:r>
      <w:proofErr w:type="spellEnd"/>
      <w:r w:rsidRPr="00D959B1">
        <w:rPr>
          <w:sz w:val="20"/>
          <w:szCs w:val="20"/>
          <w:lang w:val="hr-HR"/>
        </w:rPr>
        <w:t xml:space="preserve"> </w:t>
      </w:r>
      <w:proofErr w:type="spellStart"/>
      <w:r w:rsidRPr="00D959B1">
        <w:rPr>
          <w:sz w:val="20"/>
          <w:szCs w:val="20"/>
          <w:lang w:val="hr-HR"/>
        </w:rPr>
        <w:t>tracking</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performance</w:t>
      </w:r>
      <w:proofErr w:type="spellEnd"/>
      <w:r w:rsidRPr="00D959B1">
        <w:rPr>
          <w:sz w:val="20"/>
          <w:szCs w:val="20"/>
          <w:lang w:val="hr-HR"/>
        </w:rPr>
        <w:t xml:space="preserve"> </w:t>
      </w:r>
      <w:proofErr w:type="spellStart"/>
      <w:r w:rsidRPr="00D959B1">
        <w:rPr>
          <w:sz w:val="20"/>
          <w:szCs w:val="20"/>
          <w:lang w:val="hr-HR"/>
        </w:rPr>
        <w:t>framework</w:t>
      </w:r>
      <w:proofErr w:type="spellEnd"/>
      <w:r w:rsidRPr="00D959B1">
        <w:rPr>
          <w:sz w:val="20"/>
          <w:szCs w:val="20"/>
          <w:lang w:val="hr-HR"/>
        </w:rPr>
        <w:t xml:space="preserve"> (COM(2025) 545 </w:t>
      </w:r>
      <w:proofErr w:type="spellStart"/>
      <w:r w:rsidRPr="00D959B1">
        <w:rPr>
          <w:sz w:val="20"/>
          <w:szCs w:val="20"/>
          <w:lang w:val="hr-HR"/>
        </w:rPr>
        <w:t>final</w:t>
      </w:r>
      <w:proofErr w:type="spellEnd"/>
      <w:r w:rsidRPr="00D959B1">
        <w:rPr>
          <w:sz w:val="20"/>
          <w:szCs w:val="20"/>
          <w:lang w:val="hr-HR"/>
        </w:rPr>
        <w:t xml:space="preserve">, </w:t>
      </w:r>
      <w:proofErr w:type="spellStart"/>
      <w:r w:rsidRPr="00D959B1">
        <w:rPr>
          <w:sz w:val="20"/>
          <w:szCs w:val="20"/>
          <w:lang w:val="hr-HR"/>
        </w:rPr>
        <w:t>Annex</w:t>
      </w:r>
      <w:proofErr w:type="spellEnd"/>
      <w:r w:rsidRPr="00D959B1">
        <w:rPr>
          <w:sz w:val="20"/>
          <w:szCs w:val="20"/>
          <w:lang w:val="hr-HR"/>
        </w:rPr>
        <w:t xml:space="preserve"> I). https://eur-lex.europa.eu/legal-content/EN/TXT/?uri=CELEX%3A52025PC0545</w:t>
      </w:r>
    </w:p>
    <w:p w14:paraId="37D564CF"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w:t>
      </w:r>
      <w:proofErr w:type="spellStart"/>
      <w:r w:rsidRPr="00D959B1">
        <w:rPr>
          <w:sz w:val="20"/>
          <w:szCs w:val="20"/>
          <w:lang w:val="hr-HR"/>
        </w:rPr>
        <w:t>n.d</w:t>
      </w:r>
      <w:proofErr w:type="spellEnd"/>
      <w:r w:rsidRPr="00D959B1">
        <w:rPr>
          <w:sz w:val="20"/>
          <w:szCs w:val="20"/>
          <w:lang w:val="hr-HR"/>
        </w:rPr>
        <w:t>.). Creative Europe. https://culture.ec.europa.eu/creative-europe</w:t>
      </w:r>
    </w:p>
    <w:p w14:paraId="10893B6F"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w:t>
      </w:r>
      <w:proofErr w:type="spellStart"/>
      <w:r w:rsidRPr="00D959B1">
        <w:rPr>
          <w:sz w:val="20"/>
          <w:szCs w:val="20"/>
          <w:lang w:val="hr-HR"/>
        </w:rPr>
        <w:t>n.d</w:t>
      </w:r>
      <w:proofErr w:type="spellEnd"/>
      <w:r w:rsidRPr="00D959B1">
        <w:rPr>
          <w:sz w:val="20"/>
          <w:szCs w:val="20"/>
          <w:lang w:val="hr-HR"/>
        </w:rPr>
        <w:t xml:space="preserve">.). European </w:t>
      </w:r>
      <w:proofErr w:type="spellStart"/>
      <w:r w:rsidRPr="00D959B1">
        <w:rPr>
          <w:sz w:val="20"/>
          <w:szCs w:val="20"/>
          <w:lang w:val="hr-HR"/>
        </w:rPr>
        <w:t>Week</w:t>
      </w:r>
      <w:proofErr w:type="spellEnd"/>
      <w:r w:rsidRPr="00D959B1">
        <w:rPr>
          <w:sz w:val="20"/>
          <w:szCs w:val="20"/>
          <w:lang w:val="hr-HR"/>
        </w:rPr>
        <w:t xml:space="preserve"> </w:t>
      </w:r>
      <w:proofErr w:type="spellStart"/>
      <w:r w:rsidRPr="00D959B1">
        <w:rPr>
          <w:sz w:val="20"/>
          <w:szCs w:val="20"/>
          <w:lang w:val="hr-HR"/>
        </w:rPr>
        <w:t>of</w:t>
      </w:r>
      <w:proofErr w:type="spellEnd"/>
      <w:r w:rsidRPr="00D959B1">
        <w:rPr>
          <w:sz w:val="20"/>
          <w:szCs w:val="20"/>
          <w:lang w:val="hr-HR"/>
        </w:rPr>
        <w:t xml:space="preserve"> Sport. https://sport.ec.europa.eu/european-week-of-sport</w:t>
      </w:r>
    </w:p>
    <w:p w14:paraId="7BB9C9D1"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Commission</w:t>
      </w:r>
      <w:proofErr w:type="spellEnd"/>
      <w:r w:rsidRPr="00D959B1">
        <w:rPr>
          <w:sz w:val="20"/>
          <w:szCs w:val="20"/>
          <w:lang w:val="hr-HR"/>
        </w:rPr>
        <w:t>. (</w:t>
      </w:r>
      <w:proofErr w:type="spellStart"/>
      <w:r w:rsidRPr="00D959B1">
        <w:rPr>
          <w:sz w:val="20"/>
          <w:szCs w:val="20"/>
          <w:lang w:val="hr-HR"/>
        </w:rPr>
        <w:t>n.d</w:t>
      </w:r>
      <w:proofErr w:type="spellEnd"/>
      <w:r w:rsidRPr="00D959B1">
        <w:rPr>
          <w:sz w:val="20"/>
          <w:szCs w:val="20"/>
          <w:lang w:val="hr-HR"/>
        </w:rPr>
        <w:t xml:space="preserve">.). Union </w:t>
      </w:r>
      <w:proofErr w:type="spellStart"/>
      <w:r w:rsidRPr="00D959B1">
        <w:rPr>
          <w:sz w:val="20"/>
          <w:szCs w:val="20"/>
          <w:lang w:val="hr-HR"/>
        </w:rPr>
        <w:t>of</w:t>
      </w:r>
      <w:proofErr w:type="spellEnd"/>
      <w:r w:rsidRPr="00D959B1">
        <w:rPr>
          <w:sz w:val="20"/>
          <w:szCs w:val="20"/>
          <w:lang w:val="hr-HR"/>
        </w:rPr>
        <w:t xml:space="preserve"> </w:t>
      </w:r>
      <w:proofErr w:type="spellStart"/>
      <w:r w:rsidRPr="00D959B1">
        <w:rPr>
          <w:sz w:val="20"/>
          <w:szCs w:val="20"/>
          <w:lang w:val="hr-HR"/>
        </w:rPr>
        <w:t>Skills</w:t>
      </w:r>
      <w:proofErr w:type="spellEnd"/>
      <w:r w:rsidRPr="00D959B1">
        <w:rPr>
          <w:sz w:val="20"/>
          <w:szCs w:val="20"/>
          <w:lang w:val="hr-HR"/>
        </w:rPr>
        <w:t>. https://commission.europa.eu/topics/competitiveness/union-skills_en</w:t>
      </w:r>
    </w:p>
    <w:p w14:paraId="2180557B"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w:t>
      </w:r>
      <w:proofErr w:type="spellStart"/>
      <w:r w:rsidRPr="00D959B1">
        <w:rPr>
          <w:sz w:val="20"/>
          <w:szCs w:val="20"/>
          <w:lang w:val="hr-HR"/>
        </w:rPr>
        <w:t>Higher</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Area</w:t>
      </w:r>
      <w:proofErr w:type="spellEnd"/>
      <w:r w:rsidRPr="00D959B1">
        <w:rPr>
          <w:sz w:val="20"/>
          <w:szCs w:val="20"/>
          <w:lang w:val="hr-HR"/>
        </w:rPr>
        <w:t xml:space="preserve">. (2018). </w:t>
      </w:r>
      <w:proofErr w:type="spellStart"/>
      <w:r w:rsidRPr="00D959B1">
        <w:rPr>
          <w:sz w:val="20"/>
          <w:szCs w:val="20"/>
          <w:lang w:val="hr-HR"/>
        </w:rPr>
        <w:t>Qualifications</w:t>
      </w:r>
      <w:proofErr w:type="spellEnd"/>
      <w:r w:rsidRPr="00D959B1">
        <w:rPr>
          <w:sz w:val="20"/>
          <w:szCs w:val="20"/>
          <w:lang w:val="hr-HR"/>
        </w:rPr>
        <w:t xml:space="preserve"> Framework for </w:t>
      </w:r>
      <w:proofErr w:type="spellStart"/>
      <w:r w:rsidRPr="00D959B1">
        <w:rPr>
          <w:sz w:val="20"/>
          <w:szCs w:val="20"/>
          <w:lang w:val="hr-HR"/>
        </w:rPr>
        <w:t>the</w:t>
      </w:r>
      <w:proofErr w:type="spellEnd"/>
      <w:r w:rsidRPr="00D959B1">
        <w:rPr>
          <w:sz w:val="20"/>
          <w:szCs w:val="20"/>
          <w:lang w:val="hr-HR"/>
        </w:rPr>
        <w:t xml:space="preserve"> European </w:t>
      </w:r>
      <w:proofErr w:type="spellStart"/>
      <w:r w:rsidRPr="00D959B1">
        <w:rPr>
          <w:sz w:val="20"/>
          <w:szCs w:val="20"/>
          <w:lang w:val="hr-HR"/>
        </w:rPr>
        <w:t>Higher</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Area</w:t>
      </w:r>
      <w:proofErr w:type="spellEnd"/>
      <w:r w:rsidRPr="00D959B1">
        <w:rPr>
          <w:sz w:val="20"/>
          <w:szCs w:val="20"/>
          <w:lang w:val="hr-HR"/>
        </w:rPr>
        <w:t xml:space="preserve"> (QF-EHEA). https://ehea.info/media.ehea.info/file/BFUG_Meeting/49/6/BFUG_BG_SR_61_4c_AppendixIII_947496.pdf</w:t>
      </w:r>
    </w:p>
    <w:p w14:paraId="535C2194"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lastRenderedPageBreak/>
        <w:t xml:space="preserve">European Training </w:t>
      </w:r>
      <w:proofErr w:type="spellStart"/>
      <w:r w:rsidRPr="00D959B1">
        <w:rPr>
          <w:sz w:val="20"/>
          <w:szCs w:val="20"/>
          <w:lang w:val="hr-HR"/>
        </w:rPr>
        <w:t>Foundation</w:t>
      </w:r>
      <w:proofErr w:type="spellEnd"/>
      <w:r w:rsidRPr="00D959B1">
        <w:rPr>
          <w:sz w:val="20"/>
          <w:szCs w:val="20"/>
          <w:lang w:val="hr-HR"/>
        </w:rPr>
        <w:t xml:space="preserve">. (2018, </w:t>
      </w:r>
      <w:proofErr w:type="spellStart"/>
      <w:r w:rsidRPr="00D959B1">
        <w:rPr>
          <w:sz w:val="20"/>
          <w:szCs w:val="20"/>
          <w:lang w:val="hr-HR"/>
        </w:rPr>
        <w:t>October</w:t>
      </w:r>
      <w:proofErr w:type="spellEnd"/>
      <w:r w:rsidRPr="00D959B1">
        <w:rPr>
          <w:sz w:val="20"/>
          <w:szCs w:val="20"/>
          <w:lang w:val="hr-HR"/>
        </w:rPr>
        <w:t>). Re-</w:t>
      </w:r>
      <w:proofErr w:type="spellStart"/>
      <w:r w:rsidRPr="00D959B1">
        <w:rPr>
          <w:sz w:val="20"/>
          <w:szCs w:val="20"/>
          <w:lang w:val="hr-HR"/>
        </w:rPr>
        <w:t>thinking</w:t>
      </w:r>
      <w:proofErr w:type="spellEnd"/>
      <w:r w:rsidRPr="00D959B1">
        <w:rPr>
          <w:sz w:val="20"/>
          <w:szCs w:val="20"/>
          <w:lang w:val="hr-HR"/>
        </w:rPr>
        <w:t xml:space="preserve"> </w:t>
      </w:r>
      <w:proofErr w:type="spellStart"/>
      <w:r w:rsidRPr="00D959B1">
        <w:rPr>
          <w:sz w:val="20"/>
          <w:szCs w:val="20"/>
          <w:lang w:val="hr-HR"/>
        </w:rPr>
        <w:t>vocational</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training</w:t>
      </w:r>
      <w:proofErr w:type="spellEnd"/>
      <w:r w:rsidRPr="00D959B1">
        <w:rPr>
          <w:sz w:val="20"/>
          <w:szCs w:val="20"/>
          <w:lang w:val="hr-HR"/>
        </w:rPr>
        <w:t xml:space="preserve"> </w:t>
      </w:r>
      <w:proofErr w:type="spellStart"/>
      <w:r w:rsidRPr="00D959B1">
        <w:rPr>
          <w:sz w:val="20"/>
          <w:szCs w:val="20"/>
          <w:lang w:val="hr-HR"/>
        </w:rPr>
        <w:t>in</w:t>
      </w:r>
      <w:proofErr w:type="spellEnd"/>
      <w:r w:rsidRPr="00D959B1">
        <w:rPr>
          <w:sz w:val="20"/>
          <w:szCs w:val="20"/>
          <w:lang w:val="hr-HR"/>
        </w:rPr>
        <w:t xml:space="preserve"> </w:t>
      </w:r>
      <w:proofErr w:type="spellStart"/>
      <w:r w:rsidRPr="00D959B1">
        <w:rPr>
          <w:sz w:val="20"/>
          <w:szCs w:val="20"/>
          <w:lang w:val="hr-HR"/>
        </w:rPr>
        <w:t>Montenegro</w:t>
      </w:r>
      <w:proofErr w:type="spellEnd"/>
      <w:r w:rsidRPr="00D959B1">
        <w:rPr>
          <w:sz w:val="20"/>
          <w:szCs w:val="20"/>
          <w:lang w:val="hr-HR"/>
        </w:rPr>
        <w:t>. https://www.etf.europa.eu/en/news-and-events/news/re-thinking-vocational-education-and-training-montenegro</w:t>
      </w:r>
    </w:p>
    <w:p w14:paraId="10811910"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European Training </w:t>
      </w:r>
      <w:proofErr w:type="spellStart"/>
      <w:r w:rsidRPr="00D959B1">
        <w:rPr>
          <w:sz w:val="20"/>
          <w:szCs w:val="20"/>
          <w:lang w:val="hr-HR"/>
        </w:rPr>
        <w:t>Foundation</w:t>
      </w:r>
      <w:proofErr w:type="spellEnd"/>
      <w:r w:rsidRPr="00D959B1">
        <w:rPr>
          <w:sz w:val="20"/>
          <w:szCs w:val="20"/>
          <w:lang w:val="hr-HR"/>
        </w:rPr>
        <w:t xml:space="preserve">. (2024). </w:t>
      </w:r>
      <w:proofErr w:type="spellStart"/>
      <w:r w:rsidRPr="00D959B1">
        <w:rPr>
          <w:sz w:val="20"/>
          <w:szCs w:val="20"/>
          <w:lang w:val="hr-HR"/>
        </w:rPr>
        <w:t>Key</w:t>
      </w:r>
      <w:proofErr w:type="spellEnd"/>
      <w:r w:rsidRPr="00D959B1">
        <w:rPr>
          <w:sz w:val="20"/>
          <w:szCs w:val="20"/>
          <w:lang w:val="hr-HR"/>
        </w:rPr>
        <w:t xml:space="preserve"> </w:t>
      </w:r>
      <w:proofErr w:type="spellStart"/>
      <w:r w:rsidRPr="00D959B1">
        <w:rPr>
          <w:sz w:val="20"/>
          <w:szCs w:val="20"/>
          <w:lang w:val="hr-HR"/>
        </w:rPr>
        <w:t>policy</w:t>
      </w:r>
      <w:proofErr w:type="spellEnd"/>
      <w:r w:rsidRPr="00D959B1">
        <w:rPr>
          <w:sz w:val="20"/>
          <w:szCs w:val="20"/>
          <w:lang w:val="hr-HR"/>
        </w:rPr>
        <w:t xml:space="preserve"> </w:t>
      </w:r>
      <w:proofErr w:type="spellStart"/>
      <w:r w:rsidRPr="00D959B1">
        <w:rPr>
          <w:sz w:val="20"/>
          <w:szCs w:val="20"/>
          <w:lang w:val="hr-HR"/>
        </w:rPr>
        <w:t>developments</w:t>
      </w:r>
      <w:proofErr w:type="spellEnd"/>
      <w:r w:rsidRPr="00D959B1">
        <w:rPr>
          <w:sz w:val="20"/>
          <w:szCs w:val="20"/>
          <w:lang w:val="hr-HR"/>
        </w:rPr>
        <w:t xml:space="preserve"> </w:t>
      </w:r>
      <w:proofErr w:type="spellStart"/>
      <w:r w:rsidRPr="00D959B1">
        <w:rPr>
          <w:sz w:val="20"/>
          <w:szCs w:val="20"/>
          <w:lang w:val="hr-HR"/>
        </w:rPr>
        <w:t>in</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training</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employment</w:t>
      </w:r>
      <w:proofErr w:type="spellEnd"/>
      <w:r w:rsidRPr="00D959B1">
        <w:rPr>
          <w:sz w:val="20"/>
          <w:szCs w:val="20"/>
          <w:lang w:val="hr-HR"/>
        </w:rPr>
        <w:t xml:space="preserve">: </w:t>
      </w:r>
      <w:proofErr w:type="spellStart"/>
      <w:r w:rsidRPr="00D959B1">
        <w:rPr>
          <w:sz w:val="20"/>
          <w:szCs w:val="20"/>
          <w:lang w:val="hr-HR"/>
        </w:rPr>
        <w:t>Montenegro</w:t>
      </w:r>
      <w:proofErr w:type="spellEnd"/>
      <w:r w:rsidRPr="00D959B1">
        <w:rPr>
          <w:sz w:val="20"/>
          <w:szCs w:val="20"/>
          <w:lang w:val="hr-HR"/>
        </w:rPr>
        <w:t>. https://www.etf.europa.eu/en/publications-and-resources/publications/key-policy-developments-education-training-and-employment</w:t>
      </w:r>
    </w:p>
    <w:p w14:paraId="43AB3CAD" w14:textId="77777777" w:rsidR="00813534" w:rsidRPr="00D959B1" w:rsidRDefault="00813534" w:rsidP="00813534">
      <w:pPr>
        <w:pStyle w:val="Tekstfusnote"/>
        <w:numPr>
          <w:ilvl w:val="0"/>
          <w:numId w:val="19"/>
        </w:numPr>
        <w:rPr>
          <w:sz w:val="20"/>
          <w:szCs w:val="20"/>
          <w:lang w:val="hr-HR"/>
        </w:rPr>
      </w:pPr>
      <w:proofErr w:type="spellStart"/>
      <w:r w:rsidRPr="00D959B1">
        <w:rPr>
          <w:sz w:val="20"/>
          <w:szCs w:val="20"/>
          <w:lang w:val="hr-HR"/>
        </w:rPr>
        <w:t>Eurydice</w:t>
      </w:r>
      <w:proofErr w:type="spellEnd"/>
      <w:r w:rsidRPr="00D959B1">
        <w:rPr>
          <w:sz w:val="20"/>
          <w:szCs w:val="20"/>
          <w:lang w:val="hr-HR"/>
        </w:rPr>
        <w:t>. (</w:t>
      </w:r>
      <w:proofErr w:type="spellStart"/>
      <w:r w:rsidRPr="00D959B1">
        <w:rPr>
          <w:sz w:val="20"/>
          <w:szCs w:val="20"/>
          <w:lang w:val="hr-HR"/>
        </w:rPr>
        <w:t>n.d</w:t>
      </w:r>
      <w:proofErr w:type="spellEnd"/>
      <w:r w:rsidRPr="00D959B1">
        <w:rPr>
          <w:sz w:val="20"/>
          <w:szCs w:val="20"/>
          <w:lang w:val="hr-HR"/>
        </w:rPr>
        <w:t xml:space="preserve">.). </w:t>
      </w:r>
      <w:proofErr w:type="spellStart"/>
      <w:r w:rsidRPr="00D959B1">
        <w:rPr>
          <w:sz w:val="20"/>
          <w:szCs w:val="20"/>
          <w:lang w:val="hr-HR"/>
        </w:rPr>
        <w:t>Funding</w:t>
      </w:r>
      <w:proofErr w:type="spellEnd"/>
      <w:r w:rsidRPr="00D959B1">
        <w:rPr>
          <w:sz w:val="20"/>
          <w:szCs w:val="20"/>
          <w:lang w:val="hr-HR"/>
        </w:rPr>
        <w:t xml:space="preserve"> </w:t>
      </w:r>
      <w:proofErr w:type="spellStart"/>
      <w:r w:rsidRPr="00D959B1">
        <w:rPr>
          <w:sz w:val="20"/>
          <w:szCs w:val="20"/>
          <w:lang w:val="hr-HR"/>
        </w:rPr>
        <w:t>in</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Montenegro</w:t>
      </w:r>
      <w:proofErr w:type="spellEnd"/>
      <w:r w:rsidRPr="00D959B1">
        <w:rPr>
          <w:sz w:val="20"/>
          <w:szCs w:val="20"/>
          <w:lang w:val="hr-HR"/>
        </w:rPr>
        <w:t>. https://eurydice.eacea.ec.europa.eu/eurypedia/montenegro/funding-education</w:t>
      </w:r>
    </w:p>
    <w:p w14:paraId="1B4385BA" w14:textId="77777777" w:rsidR="00813534" w:rsidRPr="00D959B1" w:rsidRDefault="00813534" w:rsidP="00813534">
      <w:pPr>
        <w:pStyle w:val="Tekstfusnote"/>
        <w:numPr>
          <w:ilvl w:val="0"/>
          <w:numId w:val="19"/>
        </w:numPr>
        <w:rPr>
          <w:sz w:val="20"/>
          <w:szCs w:val="20"/>
          <w:lang w:val="hr-HR"/>
        </w:rPr>
      </w:pPr>
      <w:proofErr w:type="spellStart"/>
      <w:r w:rsidRPr="00D959B1">
        <w:rPr>
          <w:sz w:val="20"/>
          <w:szCs w:val="20"/>
          <w:lang w:val="hr-HR"/>
        </w:rPr>
        <w:t>Eurydice</w:t>
      </w:r>
      <w:proofErr w:type="spellEnd"/>
      <w:r w:rsidRPr="00D959B1">
        <w:rPr>
          <w:sz w:val="20"/>
          <w:szCs w:val="20"/>
          <w:lang w:val="hr-HR"/>
        </w:rPr>
        <w:t>. (</w:t>
      </w:r>
      <w:proofErr w:type="spellStart"/>
      <w:r w:rsidRPr="00D959B1">
        <w:rPr>
          <w:sz w:val="20"/>
          <w:szCs w:val="20"/>
          <w:lang w:val="hr-HR"/>
        </w:rPr>
        <w:t>n.d</w:t>
      </w:r>
      <w:proofErr w:type="spellEnd"/>
      <w:r w:rsidRPr="00D959B1">
        <w:rPr>
          <w:sz w:val="20"/>
          <w:szCs w:val="20"/>
          <w:lang w:val="hr-HR"/>
        </w:rPr>
        <w:t xml:space="preserve">.). National </w:t>
      </w:r>
      <w:proofErr w:type="spellStart"/>
      <w:r w:rsidRPr="00D959B1">
        <w:rPr>
          <w:sz w:val="20"/>
          <w:szCs w:val="20"/>
          <w:lang w:val="hr-HR"/>
        </w:rPr>
        <w:t>reforms</w:t>
      </w:r>
      <w:proofErr w:type="spellEnd"/>
      <w:r w:rsidRPr="00D959B1">
        <w:rPr>
          <w:sz w:val="20"/>
          <w:szCs w:val="20"/>
          <w:lang w:val="hr-HR"/>
        </w:rPr>
        <w:t xml:space="preserve"> </w:t>
      </w:r>
      <w:proofErr w:type="spellStart"/>
      <w:r w:rsidRPr="00D959B1">
        <w:rPr>
          <w:sz w:val="20"/>
          <w:szCs w:val="20"/>
          <w:lang w:val="hr-HR"/>
        </w:rPr>
        <w:t>in</w:t>
      </w:r>
      <w:proofErr w:type="spellEnd"/>
      <w:r w:rsidRPr="00D959B1">
        <w:rPr>
          <w:sz w:val="20"/>
          <w:szCs w:val="20"/>
          <w:lang w:val="hr-HR"/>
        </w:rPr>
        <w:t xml:space="preserve"> </w:t>
      </w:r>
      <w:proofErr w:type="spellStart"/>
      <w:r w:rsidRPr="00D959B1">
        <w:rPr>
          <w:sz w:val="20"/>
          <w:szCs w:val="20"/>
          <w:lang w:val="hr-HR"/>
        </w:rPr>
        <w:t>higher</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Montenegro</w:t>
      </w:r>
      <w:proofErr w:type="spellEnd"/>
      <w:r w:rsidRPr="00D959B1">
        <w:rPr>
          <w:sz w:val="20"/>
          <w:szCs w:val="20"/>
          <w:lang w:val="hr-HR"/>
        </w:rPr>
        <w:t xml:space="preserve">. https://eurydice.eacea. </w:t>
      </w:r>
    </w:p>
    <w:p w14:paraId="086DF1FD"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OECD. (2023). PISA 2022 </w:t>
      </w:r>
      <w:proofErr w:type="spellStart"/>
      <w:r w:rsidRPr="00D959B1">
        <w:rPr>
          <w:sz w:val="20"/>
          <w:szCs w:val="20"/>
          <w:lang w:val="hr-HR"/>
        </w:rPr>
        <w:t>results</w:t>
      </w:r>
      <w:proofErr w:type="spellEnd"/>
      <w:r w:rsidRPr="00D959B1">
        <w:rPr>
          <w:sz w:val="20"/>
          <w:szCs w:val="20"/>
          <w:lang w:val="hr-HR"/>
        </w:rPr>
        <w:t xml:space="preserve"> (</w:t>
      </w:r>
      <w:proofErr w:type="spellStart"/>
      <w:r w:rsidRPr="00D959B1">
        <w:rPr>
          <w:sz w:val="20"/>
          <w:szCs w:val="20"/>
          <w:lang w:val="hr-HR"/>
        </w:rPr>
        <w:t>Volumes</w:t>
      </w:r>
      <w:proofErr w:type="spellEnd"/>
      <w:r w:rsidRPr="00D959B1">
        <w:rPr>
          <w:sz w:val="20"/>
          <w:szCs w:val="20"/>
          <w:lang w:val="hr-HR"/>
        </w:rPr>
        <w:t xml:space="preserve"> I &amp; II): </w:t>
      </w:r>
      <w:proofErr w:type="spellStart"/>
      <w:r w:rsidRPr="00D959B1">
        <w:rPr>
          <w:sz w:val="20"/>
          <w:szCs w:val="20"/>
          <w:lang w:val="hr-HR"/>
        </w:rPr>
        <w:t>Country</w:t>
      </w:r>
      <w:proofErr w:type="spellEnd"/>
      <w:r w:rsidRPr="00D959B1">
        <w:rPr>
          <w:sz w:val="20"/>
          <w:szCs w:val="20"/>
          <w:lang w:val="hr-HR"/>
        </w:rPr>
        <w:t xml:space="preserve"> note – </w:t>
      </w:r>
      <w:proofErr w:type="spellStart"/>
      <w:r w:rsidRPr="00D959B1">
        <w:rPr>
          <w:sz w:val="20"/>
          <w:szCs w:val="20"/>
          <w:lang w:val="hr-HR"/>
        </w:rPr>
        <w:t>Montenegro</w:t>
      </w:r>
      <w:proofErr w:type="spellEnd"/>
      <w:r w:rsidRPr="00D959B1">
        <w:rPr>
          <w:sz w:val="20"/>
          <w:szCs w:val="20"/>
          <w:lang w:val="hr-HR"/>
        </w:rPr>
        <w:t xml:space="preserve"> [PDF]. https://www.oecd.org/content/dam/oecd/en/publications/reports/2023/11/pisa-2022-results-volume-i-and-ii-country-notes_2fca04b9/montenegro_87c6902b/84d80839-en.pdf</w:t>
      </w:r>
    </w:p>
    <w:p w14:paraId="7CE919F9"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OECD. (2023). PISA 2022 </w:t>
      </w:r>
      <w:proofErr w:type="spellStart"/>
      <w:r w:rsidRPr="00D959B1">
        <w:rPr>
          <w:sz w:val="20"/>
          <w:szCs w:val="20"/>
          <w:lang w:val="hr-HR"/>
        </w:rPr>
        <w:t>results</w:t>
      </w:r>
      <w:proofErr w:type="spellEnd"/>
      <w:r w:rsidRPr="00D959B1">
        <w:rPr>
          <w:sz w:val="20"/>
          <w:szCs w:val="20"/>
          <w:lang w:val="hr-HR"/>
        </w:rPr>
        <w:t xml:space="preserve"> (</w:t>
      </w:r>
      <w:proofErr w:type="spellStart"/>
      <w:r w:rsidRPr="00D959B1">
        <w:rPr>
          <w:sz w:val="20"/>
          <w:szCs w:val="20"/>
          <w:lang w:val="hr-HR"/>
        </w:rPr>
        <w:t>Volumes</w:t>
      </w:r>
      <w:proofErr w:type="spellEnd"/>
      <w:r w:rsidRPr="00D959B1">
        <w:rPr>
          <w:sz w:val="20"/>
          <w:szCs w:val="20"/>
          <w:lang w:val="hr-HR"/>
        </w:rPr>
        <w:t xml:space="preserve"> I &amp; II): </w:t>
      </w:r>
      <w:proofErr w:type="spellStart"/>
      <w:r w:rsidRPr="00D959B1">
        <w:rPr>
          <w:sz w:val="20"/>
          <w:szCs w:val="20"/>
          <w:lang w:val="hr-HR"/>
        </w:rPr>
        <w:t>Country</w:t>
      </w:r>
      <w:proofErr w:type="spellEnd"/>
      <w:r w:rsidRPr="00D959B1">
        <w:rPr>
          <w:sz w:val="20"/>
          <w:szCs w:val="20"/>
          <w:lang w:val="hr-HR"/>
        </w:rPr>
        <w:t xml:space="preserve"> notes – </w:t>
      </w:r>
      <w:proofErr w:type="spellStart"/>
      <w:r w:rsidRPr="00D959B1">
        <w:rPr>
          <w:sz w:val="20"/>
          <w:szCs w:val="20"/>
          <w:lang w:val="hr-HR"/>
        </w:rPr>
        <w:t>Montenegro</w:t>
      </w:r>
      <w:proofErr w:type="spellEnd"/>
      <w:r w:rsidRPr="00D959B1">
        <w:rPr>
          <w:sz w:val="20"/>
          <w:szCs w:val="20"/>
          <w:lang w:val="hr-HR"/>
        </w:rPr>
        <w:t>. https://www.oecd.org/en/publications/pisa-2022-results-volume-i-and-ii-country-notes_ed6fbcc5-en/montenegro_84d80839-en.html</w:t>
      </w:r>
    </w:p>
    <w:p w14:paraId="159665F6"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OECD. (2023). PISA 2022 </w:t>
      </w:r>
      <w:proofErr w:type="spellStart"/>
      <w:r w:rsidRPr="00D959B1">
        <w:rPr>
          <w:sz w:val="20"/>
          <w:szCs w:val="20"/>
          <w:lang w:val="hr-HR"/>
        </w:rPr>
        <w:t>results</w:t>
      </w:r>
      <w:proofErr w:type="spellEnd"/>
      <w:r w:rsidRPr="00D959B1">
        <w:rPr>
          <w:sz w:val="20"/>
          <w:szCs w:val="20"/>
          <w:lang w:val="hr-HR"/>
        </w:rPr>
        <w:t xml:space="preserve">: </w:t>
      </w:r>
      <w:proofErr w:type="spellStart"/>
      <w:r w:rsidRPr="00D959B1">
        <w:rPr>
          <w:sz w:val="20"/>
          <w:szCs w:val="20"/>
          <w:lang w:val="hr-HR"/>
        </w:rPr>
        <w:t>Volume</w:t>
      </w:r>
      <w:proofErr w:type="spellEnd"/>
      <w:r w:rsidRPr="00D959B1">
        <w:rPr>
          <w:sz w:val="20"/>
          <w:szCs w:val="20"/>
          <w:lang w:val="hr-HR"/>
        </w:rPr>
        <w:t xml:space="preserve"> I – </w:t>
      </w:r>
      <w:proofErr w:type="spellStart"/>
      <w:r w:rsidRPr="00D959B1">
        <w:rPr>
          <w:sz w:val="20"/>
          <w:szCs w:val="20"/>
          <w:lang w:val="hr-HR"/>
        </w:rPr>
        <w:t>The</w:t>
      </w:r>
      <w:proofErr w:type="spellEnd"/>
      <w:r w:rsidRPr="00D959B1">
        <w:rPr>
          <w:sz w:val="20"/>
          <w:szCs w:val="20"/>
          <w:lang w:val="hr-HR"/>
        </w:rPr>
        <w:t xml:space="preserve"> </w:t>
      </w:r>
      <w:proofErr w:type="spellStart"/>
      <w:r w:rsidRPr="00D959B1">
        <w:rPr>
          <w:sz w:val="20"/>
          <w:szCs w:val="20"/>
          <w:lang w:val="hr-HR"/>
        </w:rPr>
        <w:t>state</w:t>
      </w:r>
      <w:proofErr w:type="spellEnd"/>
      <w:r w:rsidRPr="00D959B1">
        <w:rPr>
          <w:sz w:val="20"/>
          <w:szCs w:val="20"/>
          <w:lang w:val="hr-HR"/>
        </w:rPr>
        <w:t xml:space="preserve"> </w:t>
      </w:r>
      <w:proofErr w:type="spellStart"/>
      <w:r w:rsidRPr="00D959B1">
        <w:rPr>
          <w:sz w:val="20"/>
          <w:szCs w:val="20"/>
          <w:lang w:val="hr-HR"/>
        </w:rPr>
        <w:t>of</w:t>
      </w:r>
      <w:proofErr w:type="spellEnd"/>
      <w:r w:rsidRPr="00D959B1">
        <w:rPr>
          <w:sz w:val="20"/>
          <w:szCs w:val="20"/>
          <w:lang w:val="hr-HR"/>
        </w:rPr>
        <w:t xml:space="preserve"> </w:t>
      </w:r>
      <w:proofErr w:type="spellStart"/>
      <w:r w:rsidRPr="00D959B1">
        <w:rPr>
          <w:sz w:val="20"/>
          <w:szCs w:val="20"/>
          <w:lang w:val="hr-HR"/>
        </w:rPr>
        <w:t>learning</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equity</w:t>
      </w:r>
      <w:proofErr w:type="spellEnd"/>
      <w:r w:rsidRPr="00D959B1">
        <w:rPr>
          <w:sz w:val="20"/>
          <w:szCs w:val="20"/>
          <w:lang w:val="hr-HR"/>
        </w:rPr>
        <w:t xml:space="preserve"> </w:t>
      </w:r>
      <w:proofErr w:type="spellStart"/>
      <w:r w:rsidRPr="00D959B1">
        <w:rPr>
          <w:sz w:val="20"/>
          <w:szCs w:val="20"/>
          <w:lang w:val="hr-HR"/>
        </w:rPr>
        <w:t>in</w:t>
      </w:r>
      <w:proofErr w:type="spellEnd"/>
      <w:r w:rsidRPr="00D959B1">
        <w:rPr>
          <w:sz w:val="20"/>
          <w:szCs w:val="20"/>
          <w:lang w:val="hr-HR"/>
        </w:rPr>
        <w:t xml:space="preserve"> </w:t>
      </w:r>
      <w:proofErr w:type="spellStart"/>
      <w:r w:rsidRPr="00D959B1">
        <w:rPr>
          <w:sz w:val="20"/>
          <w:szCs w:val="20"/>
          <w:lang w:val="hr-HR"/>
        </w:rPr>
        <w:t>education</w:t>
      </w:r>
      <w:proofErr w:type="spellEnd"/>
      <w:r w:rsidRPr="00D959B1">
        <w:rPr>
          <w:sz w:val="20"/>
          <w:szCs w:val="20"/>
          <w:lang w:val="hr-HR"/>
        </w:rPr>
        <w:t>. https://www.oecd.org/en/publications/pisa-2022-results-volume-i_53f23881-en.html</w:t>
      </w:r>
    </w:p>
    <w:p w14:paraId="45D255A0"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Opšti zakon o obrazovanju i </w:t>
      </w:r>
      <w:proofErr w:type="spellStart"/>
      <w:r w:rsidRPr="00D959B1">
        <w:rPr>
          <w:sz w:val="20"/>
          <w:szCs w:val="20"/>
          <w:lang w:val="hr-HR"/>
        </w:rPr>
        <w:t>vaspitanju</w:t>
      </w:r>
      <w:proofErr w:type="spellEnd"/>
      <w:r w:rsidRPr="00D959B1">
        <w:rPr>
          <w:sz w:val="20"/>
          <w:szCs w:val="20"/>
          <w:lang w:val="hr-HR"/>
        </w:rPr>
        <w:t xml:space="preserve"> (Sl. list RCG br. 64/02, 31/05, 49/07; Sl. list CG br. 4/08, 21/09, 45/10, 73/10, 40/11, 45/11, 36/13, 39/13, 44/13, 47/17, 59/21, 76/21, 146/21, 3/23, 84/24, 89/25, 12/26).</w:t>
      </w:r>
    </w:p>
    <w:p w14:paraId="312BAB00"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Regional </w:t>
      </w:r>
      <w:proofErr w:type="spellStart"/>
      <w:r w:rsidRPr="00D959B1">
        <w:rPr>
          <w:sz w:val="20"/>
          <w:szCs w:val="20"/>
          <w:lang w:val="hr-HR"/>
        </w:rPr>
        <w:t>Cooperation</w:t>
      </w:r>
      <w:proofErr w:type="spellEnd"/>
      <w:r w:rsidRPr="00D959B1">
        <w:rPr>
          <w:sz w:val="20"/>
          <w:szCs w:val="20"/>
          <w:lang w:val="hr-HR"/>
        </w:rPr>
        <w:t xml:space="preserve"> Council. (2025). </w:t>
      </w:r>
      <w:proofErr w:type="spellStart"/>
      <w:r w:rsidRPr="00D959B1">
        <w:rPr>
          <w:sz w:val="20"/>
          <w:szCs w:val="20"/>
          <w:lang w:val="hr-HR"/>
        </w:rPr>
        <w:t>Review</w:t>
      </w:r>
      <w:proofErr w:type="spellEnd"/>
      <w:r w:rsidRPr="00D959B1">
        <w:rPr>
          <w:sz w:val="20"/>
          <w:szCs w:val="20"/>
          <w:lang w:val="hr-HR"/>
        </w:rPr>
        <w:t xml:space="preserve"> on </w:t>
      </w:r>
      <w:proofErr w:type="spellStart"/>
      <w:r w:rsidRPr="00D959B1">
        <w:rPr>
          <w:sz w:val="20"/>
          <w:szCs w:val="20"/>
          <w:lang w:val="hr-HR"/>
        </w:rPr>
        <w:t>Montenegro</w:t>
      </w:r>
      <w:proofErr w:type="spellEnd"/>
      <w:r w:rsidRPr="00D959B1">
        <w:rPr>
          <w:sz w:val="20"/>
          <w:szCs w:val="20"/>
          <w:lang w:val="hr-HR"/>
        </w:rPr>
        <w:t xml:space="preserve"> – </w:t>
      </w:r>
      <w:proofErr w:type="spellStart"/>
      <w:r w:rsidRPr="00D959B1">
        <w:rPr>
          <w:sz w:val="20"/>
          <w:szCs w:val="20"/>
          <w:lang w:val="hr-HR"/>
        </w:rPr>
        <w:t>Employment</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Social</w:t>
      </w:r>
      <w:proofErr w:type="spellEnd"/>
      <w:r w:rsidRPr="00D959B1">
        <w:rPr>
          <w:sz w:val="20"/>
          <w:szCs w:val="20"/>
          <w:lang w:val="hr-HR"/>
        </w:rPr>
        <w:t xml:space="preserve"> </w:t>
      </w:r>
      <w:proofErr w:type="spellStart"/>
      <w:r w:rsidRPr="00D959B1">
        <w:rPr>
          <w:sz w:val="20"/>
          <w:szCs w:val="20"/>
          <w:lang w:val="hr-HR"/>
        </w:rPr>
        <w:t>Affairs</w:t>
      </w:r>
      <w:proofErr w:type="spellEnd"/>
      <w:r w:rsidRPr="00D959B1">
        <w:rPr>
          <w:sz w:val="20"/>
          <w:szCs w:val="20"/>
          <w:lang w:val="hr-HR"/>
        </w:rPr>
        <w:t xml:space="preserve"> </w:t>
      </w:r>
      <w:proofErr w:type="spellStart"/>
      <w:r w:rsidRPr="00D959B1">
        <w:rPr>
          <w:sz w:val="20"/>
          <w:szCs w:val="20"/>
          <w:lang w:val="hr-HR"/>
        </w:rPr>
        <w:t>Platform</w:t>
      </w:r>
      <w:proofErr w:type="spellEnd"/>
      <w:r w:rsidRPr="00D959B1">
        <w:rPr>
          <w:sz w:val="20"/>
          <w:szCs w:val="20"/>
          <w:lang w:val="hr-HR"/>
        </w:rPr>
        <w:t xml:space="preserve"> (ESAP). https://www.rcc.int/files/user/docs/afbc8898d59753d416ac0ec079fea002.pdf</w:t>
      </w:r>
    </w:p>
    <w:p w14:paraId="734BEA9A"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Vlada Crne Gore (2021). Strategija ranog i predškolskog </w:t>
      </w:r>
      <w:proofErr w:type="spellStart"/>
      <w:r w:rsidRPr="00D959B1">
        <w:rPr>
          <w:sz w:val="20"/>
          <w:szCs w:val="20"/>
          <w:lang w:val="hr-HR"/>
        </w:rPr>
        <w:t>vaspitanja</w:t>
      </w:r>
      <w:proofErr w:type="spellEnd"/>
      <w:r w:rsidRPr="00D959B1">
        <w:rPr>
          <w:sz w:val="20"/>
          <w:szCs w:val="20"/>
          <w:lang w:val="hr-HR"/>
        </w:rPr>
        <w:t xml:space="preserve"> i obrazovanja 2021–2025 sa Akcionim planom. https://www.gov.me/clanak/strategija-ranog-i-predskolskog-vaspitanja-i-obrazovanja-2021-2025-sa- </w:t>
      </w:r>
    </w:p>
    <w:p w14:paraId="4273FA59"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Vlada Crne Gore (2025). Plan obrazovanja odraslih 2025-2029 (https://www.gov.me/dokumenta/a534be63-c8d5-4cf7-9657-70fc3b47e171)</w:t>
      </w:r>
    </w:p>
    <w:p w14:paraId="76581174"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Vlada Crne Gore (2026). Izvještaj o realizaciji godišnjeg plana obrazovanja odraslih u 2025. godini, MPNI, https://www.gov.me/clanak/izvjestaj-o-realizaciji-godisnjeg-plana-obrazovanja-odraslih-za-2025-godinu</w:t>
      </w:r>
    </w:p>
    <w:p w14:paraId="2BA28946"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Vlada Crne Gore. (2019). Smart </w:t>
      </w:r>
      <w:proofErr w:type="spellStart"/>
      <w:r w:rsidRPr="00D959B1">
        <w:rPr>
          <w:sz w:val="20"/>
          <w:szCs w:val="20"/>
          <w:lang w:val="hr-HR"/>
        </w:rPr>
        <w:t>Specialisation</w:t>
      </w:r>
      <w:proofErr w:type="spellEnd"/>
      <w:r w:rsidRPr="00D959B1">
        <w:rPr>
          <w:sz w:val="20"/>
          <w:szCs w:val="20"/>
          <w:lang w:val="hr-HR"/>
        </w:rPr>
        <w:t xml:space="preserve"> </w:t>
      </w:r>
      <w:proofErr w:type="spellStart"/>
      <w:r w:rsidRPr="00D959B1">
        <w:rPr>
          <w:sz w:val="20"/>
          <w:szCs w:val="20"/>
          <w:lang w:val="hr-HR"/>
        </w:rPr>
        <w:t>Strategy</w:t>
      </w:r>
      <w:proofErr w:type="spellEnd"/>
      <w:r w:rsidRPr="00D959B1">
        <w:rPr>
          <w:sz w:val="20"/>
          <w:szCs w:val="20"/>
          <w:lang w:val="hr-HR"/>
        </w:rPr>
        <w:t xml:space="preserve"> 2019–2024. </w:t>
      </w:r>
      <w:hyperlink r:id="rId10" w:history="1">
        <w:r w:rsidRPr="00D959B1">
          <w:rPr>
            <w:rStyle w:val="Hiperveza"/>
            <w:sz w:val="20"/>
            <w:szCs w:val="20"/>
            <w:lang w:val="hr-HR"/>
          </w:rPr>
          <w:t>https://www.gov.me/</w:t>
        </w:r>
      </w:hyperlink>
      <w:r w:rsidRPr="00D959B1">
        <w:rPr>
          <w:sz w:val="20"/>
          <w:szCs w:val="20"/>
          <w:lang w:val="hr-HR"/>
        </w:rPr>
        <w:t xml:space="preserve"> </w:t>
      </w:r>
    </w:p>
    <w:p w14:paraId="15791F45"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Vlada Crne Gore. (2022). Strategija za digitalizaciju obrazovnog sistema 2022–2027. https://www.gov.me/dokumenta/038614ce-395b-411b-ad40-8d89791a37fe</w:t>
      </w:r>
    </w:p>
    <w:p w14:paraId="62B14F90"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Vlada Crne Gore. (2024). Program razvoja </w:t>
      </w:r>
      <w:proofErr w:type="spellStart"/>
      <w:r w:rsidRPr="00D959B1">
        <w:rPr>
          <w:sz w:val="20"/>
          <w:szCs w:val="20"/>
          <w:lang w:val="hr-HR"/>
        </w:rPr>
        <w:t>opšteg</w:t>
      </w:r>
      <w:proofErr w:type="spellEnd"/>
      <w:r w:rsidRPr="00D959B1">
        <w:rPr>
          <w:sz w:val="20"/>
          <w:szCs w:val="20"/>
          <w:lang w:val="hr-HR"/>
        </w:rPr>
        <w:t xml:space="preserve"> srednjeg obrazovanja u Crnoj Gori 2024–2026. https://www.gov.me/clanak/program-razvoja-opsteg-srednjeg-obrazovanja-u-crnoj-gori-2024-2026</w:t>
      </w:r>
    </w:p>
    <w:p w14:paraId="47463BAD"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Vlada Crne Gore. (2024). </w:t>
      </w:r>
      <w:proofErr w:type="spellStart"/>
      <w:r w:rsidRPr="00D959B1">
        <w:rPr>
          <w:sz w:val="20"/>
          <w:szCs w:val="20"/>
          <w:lang w:val="hr-HR"/>
        </w:rPr>
        <w:t>Reform</w:t>
      </w:r>
      <w:proofErr w:type="spellEnd"/>
      <w:r w:rsidRPr="00D959B1">
        <w:rPr>
          <w:sz w:val="20"/>
          <w:szCs w:val="20"/>
          <w:lang w:val="hr-HR"/>
        </w:rPr>
        <w:t xml:space="preserve"> agenda </w:t>
      </w:r>
      <w:proofErr w:type="spellStart"/>
      <w:r w:rsidRPr="00D959B1">
        <w:rPr>
          <w:sz w:val="20"/>
          <w:szCs w:val="20"/>
          <w:lang w:val="hr-HR"/>
        </w:rPr>
        <w:t>of</w:t>
      </w:r>
      <w:proofErr w:type="spellEnd"/>
      <w:r w:rsidRPr="00D959B1">
        <w:rPr>
          <w:sz w:val="20"/>
          <w:szCs w:val="20"/>
          <w:lang w:val="hr-HR"/>
        </w:rPr>
        <w:t xml:space="preserve"> </w:t>
      </w:r>
      <w:proofErr w:type="spellStart"/>
      <w:r w:rsidRPr="00D959B1">
        <w:rPr>
          <w:sz w:val="20"/>
          <w:szCs w:val="20"/>
          <w:lang w:val="hr-HR"/>
        </w:rPr>
        <w:t>Montenegro</w:t>
      </w:r>
      <w:proofErr w:type="spellEnd"/>
      <w:r w:rsidRPr="00D959B1">
        <w:rPr>
          <w:sz w:val="20"/>
          <w:szCs w:val="20"/>
          <w:lang w:val="hr-HR"/>
        </w:rPr>
        <w:t xml:space="preserve"> 2024–2027. https://reform-monitor.org/wp-content/uploads/2025/05/Reform-agenda-Montenegro_.pdf</w:t>
      </w:r>
    </w:p>
    <w:p w14:paraId="6C6C390E"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Vlada Crne Gore. (2024). Strategija razvoja visokog obrazovanja Crne Gore 2024–2027. https://www.gov.me/clanak/strategija-visokog-obrazovanja</w:t>
      </w:r>
    </w:p>
    <w:p w14:paraId="0ED5CCCB"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Vlada Crne Gore. (2025).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reform</w:t>
      </w:r>
      <w:proofErr w:type="spellEnd"/>
      <w:r w:rsidRPr="00D959B1">
        <w:rPr>
          <w:sz w:val="20"/>
          <w:szCs w:val="20"/>
          <w:lang w:val="hr-HR"/>
        </w:rPr>
        <w:t xml:space="preserve"> </w:t>
      </w:r>
      <w:proofErr w:type="spellStart"/>
      <w:r w:rsidRPr="00D959B1">
        <w:rPr>
          <w:sz w:val="20"/>
          <w:szCs w:val="20"/>
          <w:lang w:val="hr-HR"/>
        </w:rPr>
        <w:t>strategy</w:t>
      </w:r>
      <w:proofErr w:type="spellEnd"/>
      <w:r w:rsidRPr="00D959B1">
        <w:rPr>
          <w:sz w:val="20"/>
          <w:szCs w:val="20"/>
          <w:lang w:val="hr-HR"/>
        </w:rPr>
        <w:t xml:space="preserve"> 2025–2035. </w:t>
      </w:r>
      <w:proofErr w:type="spellStart"/>
      <w:r w:rsidRPr="00D959B1">
        <w:rPr>
          <w:sz w:val="20"/>
          <w:szCs w:val="20"/>
          <w:lang w:val="hr-HR"/>
        </w:rPr>
        <w:t>Referenced</w:t>
      </w:r>
      <w:proofErr w:type="spellEnd"/>
      <w:r w:rsidRPr="00D959B1">
        <w:rPr>
          <w:sz w:val="20"/>
          <w:szCs w:val="20"/>
          <w:lang w:val="hr-HR"/>
        </w:rPr>
        <w:t xml:space="preserve"> </w:t>
      </w:r>
      <w:proofErr w:type="spellStart"/>
      <w:r w:rsidRPr="00D959B1">
        <w:rPr>
          <w:sz w:val="20"/>
          <w:szCs w:val="20"/>
          <w:lang w:val="hr-HR"/>
        </w:rPr>
        <w:t>in</w:t>
      </w:r>
      <w:proofErr w:type="spellEnd"/>
      <w:r w:rsidRPr="00D959B1">
        <w:rPr>
          <w:sz w:val="20"/>
          <w:szCs w:val="20"/>
          <w:lang w:val="hr-HR"/>
        </w:rPr>
        <w:t xml:space="preserve"> UNICEF </w:t>
      </w:r>
      <w:proofErr w:type="spellStart"/>
      <w:r w:rsidRPr="00D959B1">
        <w:rPr>
          <w:sz w:val="20"/>
          <w:szCs w:val="20"/>
          <w:lang w:val="hr-HR"/>
        </w:rPr>
        <w:t>Montenegro</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Eurydice</w:t>
      </w:r>
      <w:proofErr w:type="spellEnd"/>
      <w:r w:rsidRPr="00D959B1">
        <w:rPr>
          <w:sz w:val="20"/>
          <w:szCs w:val="20"/>
          <w:lang w:val="hr-HR"/>
        </w:rPr>
        <w:t xml:space="preserve">. </w:t>
      </w:r>
      <w:hyperlink r:id="rId11" w:history="1">
        <w:r w:rsidRPr="00D959B1">
          <w:rPr>
            <w:rStyle w:val="Hiperveza"/>
            <w:sz w:val="20"/>
            <w:szCs w:val="20"/>
            <w:lang w:val="hr-HR"/>
          </w:rPr>
          <w:t>https://www.gov.me/dokumenta/73f999b6-b879-4868-a72d-e670ce78f77f</w:t>
        </w:r>
      </w:hyperlink>
      <w:r w:rsidRPr="00D959B1">
        <w:rPr>
          <w:sz w:val="20"/>
          <w:szCs w:val="20"/>
          <w:lang w:val="hr-HR"/>
        </w:rPr>
        <w:t xml:space="preserve"> </w:t>
      </w:r>
    </w:p>
    <w:p w14:paraId="3B1E4137"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Vlada Crne Gore. (2025). Strategija karijernog vođenja i savjetovanja 2025–2030. </w:t>
      </w:r>
      <w:hyperlink r:id="rId12" w:history="1">
        <w:r w:rsidRPr="00D959B1">
          <w:rPr>
            <w:rStyle w:val="Hiperveza"/>
            <w:sz w:val="20"/>
            <w:szCs w:val="20"/>
            <w:lang w:val="hr-HR"/>
          </w:rPr>
          <w:t>https://www.gov.me/dokumenta/c5343fcc-2a27-49ea-9a91-6c117b009076</w:t>
        </w:r>
      </w:hyperlink>
    </w:p>
    <w:p w14:paraId="12B8C109"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Vlada Crne Gore. (</w:t>
      </w:r>
      <w:proofErr w:type="spellStart"/>
      <w:r w:rsidRPr="00D959B1">
        <w:rPr>
          <w:sz w:val="20"/>
          <w:szCs w:val="20"/>
          <w:lang w:val="hr-HR"/>
        </w:rPr>
        <w:t>n.d</w:t>
      </w:r>
      <w:proofErr w:type="spellEnd"/>
      <w:r w:rsidRPr="00D959B1">
        <w:rPr>
          <w:sz w:val="20"/>
          <w:szCs w:val="20"/>
          <w:lang w:val="hr-HR"/>
        </w:rPr>
        <w:t xml:space="preserve">.). </w:t>
      </w:r>
      <w:proofErr w:type="spellStart"/>
      <w:r w:rsidRPr="00D959B1">
        <w:rPr>
          <w:sz w:val="20"/>
          <w:szCs w:val="20"/>
          <w:lang w:val="hr-HR"/>
        </w:rPr>
        <w:t>Chapter</w:t>
      </w:r>
      <w:proofErr w:type="spellEnd"/>
      <w:r w:rsidRPr="00D959B1">
        <w:rPr>
          <w:sz w:val="20"/>
          <w:szCs w:val="20"/>
          <w:lang w:val="hr-HR"/>
        </w:rPr>
        <w:t xml:space="preserve"> 26 – </w:t>
      </w:r>
      <w:proofErr w:type="spellStart"/>
      <w:r w:rsidRPr="00D959B1">
        <w:rPr>
          <w:sz w:val="20"/>
          <w:szCs w:val="20"/>
          <w:lang w:val="hr-HR"/>
        </w:rPr>
        <w:t>Education</w:t>
      </w:r>
      <w:proofErr w:type="spellEnd"/>
      <w:r w:rsidRPr="00D959B1">
        <w:rPr>
          <w:sz w:val="20"/>
          <w:szCs w:val="20"/>
          <w:lang w:val="hr-HR"/>
        </w:rPr>
        <w:t xml:space="preserve"> </w:t>
      </w:r>
      <w:proofErr w:type="spellStart"/>
      <w:r w:rsidRPr="00D959B1">
        <w:rPr>
          <w:sz w:val="20"/>
          <w:szCs w:val="20"/>
          <w:lang w:val="hr-HR"/>
        </w:rPr>
        <w:t>and</w:t>
      </w:r>
      <w:proofErr w:type="spellEnd"/>
      <w:r w:rsidRPr="00D959B1">
        <w:rPr>
          <w:sz w:val="20"/>
          <w:szCs w:val="20"/>
          <w:lang w:val="hr-HR"/>
        </w:rPr>
        <w:t xml:space="preserve"> </w:t>
      </w:r>
      <w:proofErr w:type="spellStart"/>
      <w:r w:rsidRPr="00D959B1">
        <w:rPr>
          <w:sz w:val="20"/>
          <w:szCs w:val="20"/>
          <w:lang w:val="hr-HR"/>
        </w:rPr>
        <w:t>culture</w:t>
      </w:r>
      <w:proofErr w:type="spellEnd"/>
      <w:r w:rsidRPr="00D959B1">
        <w:rPr>
          <w:sz w:val="20"/>
          <w:szCs w:val="20"/>
          <w:lang w:val="hr-HR"/>
        </w:rPr>
        <w:t xml:space="preserve">. </w:t>
      </w:r>
      <w:hyperlink r:id="rId13" w:history="1">
        <w:r w:rsidRPr="00D959B1">
          <w:rPr>
            <w:rStyle w:val="Hiperveza"/>
            <w:sz w:val="20"/>
            <w:szCs w:val="20"/>
            <w:lang w:val="hr-HR"/>
          </w:rPr>
          <w:t>https://www.eu.me/en/poglavlje-26-obrazovanje-i-kultura/</w:t>
        </w:r>
      </w:hyperlink>
    </w:p>
    <w:p w14:paraId="54D238E1" w14:textId="2EAEDE61" w:rsidR="00813534" w:rsidRPr="00D959B1" w:rsidRDefault="00813534" w:rsidP="00813534">
      <w:pPr>
        <w:pStyle w:val="Tekstfusnote"/>
        <w:numPr>
          <w:ilvl w:val="0"/>
          <w:numId w:val="19"/>
        </w:numPr>
        <w:rPr>
          <w:sz w:val="20"/>
          <w:szCs w:val="20"/>
          <w:lang w:val="hr-HR"/>
        </w:rPr>
      </w:pPr>
      <w:r w:rsidRPr="00D959B1">
        <w:rPr>
          <w:sz w:val="20"/>
          <w:szCs w:val="20"/>
          <w:lang w:val="hr-HR"/>
        </w:rPr>
        <w:t>Vlada Crne Gore. (2020). Strategija razvoja stručnog obrazovanja u Crnoj Gori 2020–2024 sa Akcionim planom. https://www.gov.me/dokumenta/3f8ece83-b549-4c84-8ae9-a8620ff67928</w:t>
      </w:r>
    </w:p>
    <w:p w14:paraId="1FDCFBF0"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Western </w:t>
      </w:r>
      <w:proofErr w:type="spellStart"/>
      <w:r w:rsidRPr="00D959B1">
        <w:rPr>
          <w:sz w:val="20"/>
          <w:szCs w:val="20"/>
          <w:lang w:val="hr-HR"/>
        </w:rPr>
        <w:t>Balkans</w:t>
      </w:r>
      <w:proofErr w:type="spellEnd"/>
      <w:r w:rsidRPr="00D959B1">
        <w:rPr>
          <w:sz w:val="20"/>
          <w:szCs w:val="20"/>
          <w:lang w:val="hr-HR"/>
        </w:rPr>
        <w:t xml:space="preserve"> Info </w:t>
      </w:r>
      <w:proofErr w:type="spellStart"/>
      <w:r w:rsidRPr="00D959B1">
        <w:rPr>
          <w:sz w:val="20"/>
          <w:szCs w:val="20"/>
          <w:lang w:val="hr-HR"/>
        </w:rPr>
        <w:t>Hub</w:t>
      </w:r>
      <w:proofErr w:type="spellEnd"/>
      <w:r w:rsidRPr="00D959B1">
        <w:rPr>
          <w:sz w:val="20"/>
          <w:szCs w:val="20"/>
          <w:lang w:val="hr-HR"/>
        </w:rPr>
        <w:t>. (</w:t>
      </w:r>
      <w:proofErr w:type="spellStart"/>
      <w:r w:rsidRPr="00D959B1">
        <w:rPr>
          <w:sz w:val="20"/>
          <w:szCs w:val="20"/>
          <w:lang w:val="hr-HR"/>
        </w:rPr>
        <w:t>n.d</w:t>
      </w:r>
      <w:proofErr w:type="spellEnd"/>
      <w:r w:rsidRPr="00D959B1">
        <w:rPr>
          <w:sz w:val="20"/>
          <w:szCs w:val="20"/>
          <w:lang w:val="hr-HR"/>
        </w:rPr>
        <w:t xml:space="preserve">.). Youth </w:t>
      </w:r>
      <w:proofErr w:type="spellStart"/>
      <w:r w:rsidRPr="00D959B1">
        <w:rPr>
          <w:sz w:val="20"/>
          <w:szCs w:val="20"/>
          <w:lang w:val="hr-HR"/>
        </w:rPr>
        <w:t>dialogue</w:t>
      </w:r>
      <w:proofErr w:type="spellEnd"/>
      <w:r w:rsidRPr="00D959B1">
        <w:rPr>
          <w:sz w:val="20"/>
          <w:szCs w:val="20"/>
          <w:lang w:val="hr-HR"/>
        </w:rPr>
        <w:t xml:space="preserve"> </w:t>
      </w:r>
      <w:proofErr w:type="spellStart"/>
      <w:r w:rsidRPr="00D959B1">
        <w:rPr>
          <w:sz w:val="20"/>
          <w:szCs w:val="20"/>
          <w:lang w:val="hr-HR"/>
        </w:rPr>
        <w:t>campaign</w:t>
      </w:r>
      <w:proofErr w:type="spellEnd"/>
      <w:r w:rsidRPr="00D959B1">
        <w:rPr>
          <w:sz w:val="20"/>
          <w:szCs w:val="20"/>
          <w:lang w:val="hr-HR"/>
        </w:rPr>
        <w:t xml:space="preserve"> </w:t>
      </w:r>
      <w:proofErr w:type="spellStart"/>
      <w:r w:rsidRPr="00D959B1">
        <w:rPr>
          <w:sz w:val="20"/>
          <w:szCs w:val="20"/>
          <w:lang w:val="hr-HR"/>
        </w:rPr>
        <w:t>in</w:t>
      </w:r>
      <w:proofErr w:type="spellEnd"/>
      <w:r w:rsidRPr="00D959B1">
        <w:rPr>
          <w:sz w:val="20"/>
          <w:szCs w:val="20"/>
          <w:lang w:val="hr-HR"/>
        </w:rPr>
        <w:t xml:space="preserve"> </w:t>
      </w:r>
      <w:proofErr w:type="spellStart"/>
      <w:r w:rsidRPr="00D959B1">
        <w:rPr>
          <w:sz w:val="20"/>
          <w:szCs w:val="20"/>
          <w:lang w:val="hr-HR"/>
        </w:rPr>
        <w:t>Montenegro</w:t>
      </w:r>
      <w:proofErr w:type="spellEnd"/>
      <w:r w:rsidRPr="00D959B1">
        <w:rPr>
          <w:sz w:val="20"/>
          <w:szCs w:val="20"/>
          <w:lang w:val="hr-HR"/>
        </w:rPr>
        <w:t>. https://webalkans.eu/en/news/youth-dialogue-campaign-in-montenegro/</w:t>
      </w:r>
    </w:p>
    <w:p w14:paraId="7BB9E4C0"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Zakon o gimnaziji (Sl. list RCG br. 64/02, 49/07; Sl. list CG br. 45/10, 73/10, 39/13, 47/17, 145/21, 60/25).</w:t>
      </w:r>
    </w:p>
    <w:p w14:paraId="25898D4B"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lastRenderedPageBreak/>
        <w:t>Zakon o mladima (Sl. list CG br. 25/19, 27/19).</w:t>
      </w:r>
    </w:p>
    <w:p w14:paraId="28FE2D52"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Zakon o nacionalnom okviru kvalifikacija (Sl. list CG br. 80/10, 53/25).</w:t>
      </w:r>
    </w:p>
    <w:p w14:paraId="3A1D69AC"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Zakon o obrazovanju odraslih (Sl. list CG br. 51/25).</w:t>
      </w:r>
    </w:p>
    <w:p w14:paraId="156BBEE2"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Zakon o osnovnom obrazovanju i </w:t>
      </w:r>
      <w:proofErr w:type="spellStart"/>
      <w:r w:rsidRPr="00D959B1">
        <w:rPr>
          <w:sz w:val="20"/>
          <w:szCs w:val="20"/>
          <w:lang w:val="hr-HR"/>
        </w:rPr>
        <w:t>vaspitanju</w:t>
      </w:r>
      <w:proofErr w:type="spellEnd"/>
      <w:r w:rsidRPr="00D959B1">
        <w:rPr>
          <w:sz w:val="20"/>
          <w:szCs w:val="20"/>
          <w:lang w:val="hr-HR"/>
        </w:rPr>
        <w:t xml:space="preserve"> (Sl. list RCG br. 64/02, 49/07; Sl. list CG br. 45/10, 40/11, 39/13, 47/17, 59/21, 3/23, 51/25).</w:t>
      </w:r>
    </w:p>
    <w:p w14:paraId="61869DF2"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Zakon o predškolskom obrazovanju i </w:t>
      </w:r>
      <w:proofErr w:type="spellStart"/>
      <w:r w:rsidRPr="00D959B1">
        <w:rPr>
          <w:sz w:val="20"/>
          <w:szCs w:val="20"/>
          <w:lang w:val="hr-HR"/>
        </w:rPr>
        <w:t>vaspitanju</w:t>
      </w:r>
      <w:proofErr w:type="spellEnd"/>
      <w:r w:rsidRPr="00D959B1">
        <w:rPr>
          <w:sz w:val="20"/>
          <w:szCs w:val="20"/>
          <w:lang w:val="hr-HR"/>
        </w:rPr>
        <w:t xml:space="preserve"> (Sl. list CG br. 3/26).</w:t>
      </w:r>
    </w:p>
    <w:p w14:paraId="04662F73"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Zakon o sportu (Sl. list CG br. 44/18, 123/21).</w:t>
      </w:r>
    </w:p>
    <w:p w14:paraId="5F36FCC8"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Zakon o stručnom obrazovanju (Sl. list RCG br. 64/02, 49/07; Sl. list CG br. 45/10, 39/13, 47/17, 145/21, 69/25, 3/26).</w:t>
      </w:r>
    </w:p>
    <w:p w14:paraId="5B8C72B9"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 xml:space="preserve">Zakon o </w:t>
      </w:r>
      <w:proofErr w:type="spellStart"/>
      <w:r w:rsidRPr="00D959B1">
        <w:rPr>
          <w:sz w:val="20"/>
          <w:szCs w:val="20"/>
          <w:lang w:val="hr-HR"/>
        </w:rPr>
        <w:t>vaspitanju</w:t>
      </w:r>
      <w:proofErr w:type="spellEnd"/>
      <w:r w:rsidRPr="00D959B1">
        <w:rPr>
          <w:sz w:val="20"/>
          <w:szCs w:val="20"/>
          <w:lang w:val="hr-HR"/>
        </w:rPr>
        <w:t xml:space="preserve"> i obrazovanju djece sa posebnim potrebama (Sl. list RCG br. 80/04; Sl. list CG br. 45/10, 47/17, 145/21, 122/25).</w:t>
      </w:r>
    </w:p>
    <w:p w14:paraId="361A1CE4" w14:textId="77777777" w:rsidR="00813534" w:rsidRPr="00D959B1" w:rsidRDefault="00813534" w:rsidP="00813534">
      <w:pPr>
        <w:pStyle w:val="Tekstfusnote"/>
        <w:numPr>
          <w:ilvl w:val="0"/>
          <w:numId w:val="19"/>
        </w:numPr>
        <w:rPr>
          <w:sz w:val="20"/>
          <w:szCs w:val="20"/>
          <w:lang w:val="hr-HR"/>
        </w:rPr>
      </w:pPr>
      <w:r w:rsidRPr="00D959B1">
        <w:rPr>
          <w:sz w:val="20"/>
          <w:szCs w:val="20"/>
          <w:lang w:val="hr-HR"/>
        </w:rPr>
        <w:t>Zakon o visokom obrazovanju (Sl. list CG br. 122/25).</w:t>
      </w:r>
    </w:p>
    <w:sectPr w:rsidR="00813534" w:rsidRPr="00D959B1" w:rsidSect="00D959B1">
      <w:headerReference w:type="default" r:id="rId14"/>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F5BE9" w14:textId="77777777" w:rsidR="00A31522" w:rsidRDefault="00A31522" w:rsidP="004D67BC">
      <w:pPr>
        <w:spacing w:after="0" w:line="240" w:lineRule="auto"/>
      </w:pPr>
      <w:r>
        <w:separator/>
      </w:r>
    </w:p>
  </w:endnote>
  <w:endnote w:type="continuationSeparator" w:id="0">
    <w:p w14:paraId="048F1E47" w14:textId="77777777" w:rsidR="00A31522" w:rsidRDefault="00A31522" w:rsidP="004D6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45026"/>
      <w:docPartObj>
        <w:docPartGallery w:val="Page Numbers (Bottom of Page)"/>
        <w:docPartUnique/>
      </w:docPartObj>
    </w:sdtPr>
    <w:sdtEndPr>
      <w:rPr>
        <w:noProof/>
      </w:rPr>
    </w:sdtEndPr>
    <w:sdtContent>
      <w:p w14:paraId="0B005000" w14:textId="609145FF" w:rsidR="00621981" w:rsidRDefault="00621981">
        <w:pPr>
          <w:pStyle w:val="Podnoje"/>
          <w:jc w:val="center"/>
        </w:pPr>
        <w:r>
          <w:fldChar w:fldCharType="begin"/>
        </w:r>
        <w:r>
          <w:instrText xml:space="preserve"> PAGE   \* MERGEFORMAT </w:instrText>
        </w:r>
        <w:r>
          <w:fldChar w:fldCharType="separate"/>
        </w:r>
        <w:r w:rsidR="003B0810">
          <w:rPr>
            <w:noProof/>
          </w:rPr>
          <w:t>1</w:t>
        </w:r>
        <w:r w:rsidR="003B0810">
          <w:rPr>
            <w:noProof/>
          </w:rPr>
          <w:t>8</w:t>
        </w:r>
        <w:r>
          <w:rPr>
            <w:noProof/>
          </w:rPr>
          <w:fldChar w:fldCharType="end"/>
        </w:r>
      </w:p>
    </w:sdtContent>
  </w:sdt>
  <w:p w14:paraId="6D1C593B" w14:textId="77777777" w:rsidR="00621981" w:rsidRDefault="0062198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A7BDF" w14:textId="77777777" w:rsidR="00A31522" w:rsidRDefault="00A31522" w:rsidP="004D67BC">
      <w:pPr>
        <w:spacing w:after="0" w:line="240" w:lineRule="auto"/>
      </w:pPr>
      <w:r>
        <w:separator/>
      </w:r>
    </w:p>
  </w:footnote>
  <w:footnote w:type="continuationSeparator" w:id="0">
    <w:p w14:paraId="6A4212B9" w14:textId="77777777" w:rsidR="00A31522" w:rsidRDefault="00A31522" w:rsidP="004D67BC">
      <w:pPr>
        <w:spacing w:after="0" w:line="240" w:lineRule="auto"/>
      </w:pPr>
      <w:r>
        <w:continuationSeparator/>
      </w:r>
    </w:p>
  </w:footnote>
  <w:footnote w:id="1">
    <w:p w14:paraId="5CF02D7F" w14:textId="373E14F2" w:rsidR="00621981" w:rsidRDefault="00621981">
      <w:pPr>
        <w:pStyle w:val="Tekstfusnote"/>
      </w:pPr>
      <w:r>
        <w:rPr>
          <w:rStyle w:val="Referencafusnote"/>
        </w:rPr>
        <w:footnoteRef/>
      </w:r>
      <w:r>
        <w:t xml:space="preserve"> PISA (Programme for International Student Assessment) — Međunarodni program procjene učeničkih postignuća OECD-a.</w:t>
      </w:r>
    </w:p>
  </w:footnote>
  <w:footnote w:id="2">
    <w:p w14:paraId="5490F438" w14:textId="77777777" w:rsidR="00621981" w:rsidRDefault="00621981" w:rsidP="004D67BC">
      <w:pPr>
        <w:pStyle w:val="Tekstfusnote"/>
      </w:pPr>
      <w:r>
        <w:rPr>
          <w:rStyle w:val="Referencafusnote"/>
        </w:rPr>
        <w:footnoteRef/>
      </w:r>
      <w:r>
        <w:t xml:space="preserve"> </w:t>
      </w:r>
      <w:r w:rsidRPr="0031666C">
        <w:t>OECD (2023).</w:t>
      </w:r>
      <w:r>
        <w:t xml:space="preserve"> </w:t>
      </w:r>
      <w:r w:rsidRPr="0024108C">
        <w:t>PISA</w:t>
      </w:r>
      <w:r>
        <w:t xml:space="preserve"> 2022 Results, The state of learning and equity in education; </w:t>
      </w:r>
      <w:hyperlink r:id="rId1" w:history="1">
        <w:r>
          <w:rPr>
            <w:rStyle w:val="Hiperveza"/>
          </w:rPr>
          <w:t>https://www.oecd.org/en/publications/pisa-2022-results-volume-i_53f23881-en.html</w:t>
        </w:r>
      </w:hyperlink>
    </w:p>
  </w:footnote>
  <w:footnote w:id="3">
    <w:p w14:paraId="57F5EA0D" w14:textId="77777777" w:rsidR="00621981" w:rsidRDefault="00621981" w:rsidP="004D67BC">
      <w:pPr>
        <w:pStyle w:val="Tekstfusnote"/>
      </w:pPr>
      <w:r>
        <w:rPr>
          <w:rStyle w:val="Referencafusnote"/>
        </w:rPr>
        <w:footnoteRef/>
      </w:r>
      <w:r>
        <w:t xml:space="preserve"> European Commission. (2025). </w:t>
      </w:r>
      <w:r>
        <w:rPr>
          <w:rStyle w:val="Istaknuto"/>
        </w:rPr>
        <w:t>Proposal for a Regulation establishing a budget expenditure tracking and performance framework</w:t>
      </w:r>
      <w:r>
        <w:t xml:space="preserve"> (COM(2025) 545 final), Annex I. </w:t>
      </w:r>
      <w:hyperlink r:id="rId2" w:history="1">
        <w:r w:rsidRPr="00E929F6">
          <w:rPr>
            <w:rStyle w:val="Hiperveza"/>
          </w:rPr>
          <w:t>https://eur-lex.europa.eu/legal-content/EN/TXT/?uri=CELEX%3A52025PC0545</w:t>
        </w:r>
      </w:hyperlink>
    </w:p>
  </w:footnote>
  <w:footnote w:id="4">
    <w:p w14:paraId="1020C92C" w14:textId="77777777" w:rsidR="00621981" w:rsidRDefault="00621981" w:rsidP="004D67BC">
      <w:pPr>
        <w:pStyle w:val="Tekstfusnote"/>
      </w:pPr>
      <w:r>
        <w:rPr>
          <w:rStyle w:val="Referencafusnote"/>
        </w:rPr>
        <w:footnoteRef/>
      </w:r>
      <w:r>
        <w:t xml:space="preserve"> Council of the European Union. (2021). </w:t>
      </w:r>
      <w:r>
        <w:rPr>
          <w:rStyle w:val="Istaknuto"/>
        </w:rPr>
        <w:t>Council Resolution on a strategic framework for European cooperation in education and training towards the European Education Area and beyond (2021–2030)</w:t>
      </w:r>
      <w:r>
        <w:t xml:space="preserve">. </w:t>
      </w:r>
      <w:hyperlink r:id="rId3" w:history="1">
        <w:r w:rsidRPr="00E929F6">
          <w:rPr>
            <w:rStyle w:val="Hiperveza"/>
          </w:rPr>
          <w:t>https://eur-lex.europa.eu/legal-content/EN/TXT/?uri=CELEX:32021G0226(01)</w:t>
        </w:r>
      </w:hyperlink>
      <w:r>
        <w:t xml:space="preserve"> </w:t>
      </w:r>
    </w:p>
  </w:footnote>
  <w:footnote w:id="5">
    <w:p w14:paraId="54D2454B" w14:textId="77777777" w:rsidR="00621981" w:rsidRDefault="00621981" w:rsidP="004D67BC">
      <w:pPr>
        <w:pStyle w:val="Tekstfusnote"/>
      </w:pPr>
      <w:r>
        <w:rPr>
          <w:rStyle w:val="Referencafusnote"/>
        </w:rPr>
        <w:footnoteRef/>
      </w:r>
      <w:r>
        <w:t xml:space="preserve"> Council of the European Union. (2021). </w:t>
      </w:r>
      <w:r>
        <w:rPr>
          <w:rStyle w:val="Istaknuto"/>
        </w:rPr>
        <w:t>Council Resolution on a strategic framework for European cooperation in education and training towards the European Education Area and beyond (2021–2030)</w:t>
      </w:r>
      <w:r>
        <w:t xml:space="preserve">. </w:t>
      </w:r>
      <w:hyperlink r:id="rId4" w:history="1">
        <w:r w:rsidRPr="00E929F6">
          <w:rPr>
            <w:rStyle w:val="Hiperveza"/>
          </w:rPr>
          <w:t>https://eur-lex.europa.eu/legal-content/EN/TXT/?uri=CELEX:32021G0226(01)</w:t>
        </w:r>
      </w:hyperlink>
    </w:p>
  </w:footnote>
  <w:footnote w:id="6">
    <w:p w14:paraId="21B943D0" w14:textId="77777777" w:rsidR="00621981" w:rsidRDefault="00621981" w:rsidP="004D67BC">
      <w:pPr>
        <w:pStyle w:val="Tekstfusnote"/>
      </w:pPr>
      <w:r>
        <w:rPr>
          <w:rStyle w:val="Referencafusnote"/>
        </w:rPr>
        <w:footnoteRef/>
      </w:r>
      <w:r>
        <w:t xml:space="preserve"> Council of the European Union. (2020). </w:t>
      </w:r>
      <w:r>
        <w:rPr>
          <w:rStyle w:val="Istaknuto"/>
        </w:rPr>
        <w:t>Council Recommendation on vocational education and training (VET) for sustainable competitiveness, social fairness and resilience</w:t>
      </w:r>
      <w:r>
        <w:t xml:space="preserve">. </w:t>
      </w:r>
      <w:hyperlink r:id="rId5" w:history="1">
        <w:r w:rsidRPr="00E929F6">
          <w:rPr>
            <w:rStyle w:val="Hiperveza"/>
          </w:rPr>
          <w:t>https://eur-lex.europa.eu/legal-content/EN/TXT/?uri=CELEX:32020H1202(01)</w:t>
        </w:r>
      </w:hyperlink>
    </w:p>
  </w:footnote>
  <w:footnote w:id="7">
    <w:p w14:paraId="5B6B35D0" w14:textId="77777777" w:rsidR="00621981" w:rsidRDefault="00621981" w:rsidP="004D67BC">
      <w:pPr>
        <w:pStyle w:val="Tekstfusnote"/>
      </w:pPr>
      <w:r>
        <w:rPr>
          <w:rStyle w:val="Referencafusnote"/>
        </w:rPr>
        <w:footnoteRef/>
      </w:r>
      <w:r>
        <w:t xml:space="preserve"> European Commission &amp; Council of the European Union. (2020). </w:t>
      </w:r>
      <w:r>
        <w:rPr>
          <w:rStyle w:val="Istaknuto"/>
        </w:rPr>
        <w:t>Osnabrück Declaration on vocational education and training as an enabler of recovery and just transitions to digital and green economies</w:t>
      </w:r>
      <w:r>
        <w:t xml:space="preserve">. </w:t>
      </w:r>
      <w:hyperlink r:id="rId6" w:history="1">
        <w:r w:rsidRPr="00E929F6">
          <w:rPr>
            <w:rStyle w:val="Hiperveza"/>
          </w:rPr>
          <w:t>https://www.cedefop.europa.eu/files/osnabrueck_declaration_eu2020.pdf</w:t>
        </w:r>
      </w:hyperlink>
    </w:p>
  </w:footnote>
  <w:footnote w:id="8">
    <w:p w14:paraId="3AFC4FB1" w14:textId="77777777" w:rsidR="00621981" w:rsidRDefault="00621981" w:rsidP="004D67BC">
      <w:pPr>
        <w:pStyle w:val="Tekstfusnote"/>
      </w:pPr>
      <w:r>
        <w:rPr>
          <w:rStyle w:val="Referencafusnote"/>
        </w:rPr>
        <w:footnoteRef/>
      </w:r>
      <w:r>
        <w:t xml:space="preserve"> European Commission. (2025). </w:t>
      </w:r>
      <w:r>
        <w:rPr>
          <w:rStyle w:val="Istaknuto"/>
        </w:rPr>
        <w:t>Herning Declaration on attractive and inclusive vocational education and training (2026–2030)</w:t>
      </w:r>
      <w:r>
        <w:t xml:space="preserve">. </w:t>
      </w:r>
      <w:hyperlink r:id="rId7" w:history="1">
        <w:r>
          <w:rPr>
            <w:rStyle w:val="Hiperveza"/>
          </w:rPr>
          <w:t>https://employment-social-affairs.ec.europa.eu/policies-and-activities/skills-and-qualifications/skills-jobs/vocational-education-and-training-vet_en</w:t>
        </w:r>
      </w:hyperlink>
    </w:p>
  </w:footnote>
  <w:footnote w:id="9">
    <w:p w14:paraId="7C8A1F0D" w14:textId="77777777" w:rsidR="00621981" w:rsidRDefault="00621981" w:rsidP="004D67BC">
      <w:pPr>
        <w:pStyle w:val="Tekstfusnote"/>
      </w:pPr>
      <w:r>
        <w:rPr>
          <w:rStyle w:val="Referencafusnote"/>
        </w:rPr>
        <w:footnoteRef/>
      </w:r>
      <w:r>
        <w:t xml:space="preserve"> CEDEFOP &amp; ETF (2025). Towards EU priorities in VET 2021-2025 progress, </w:t>
      </w:r>
      <w:hyperlink r:id="rId8" w:history="1">
        <w:r>
          <w:rPr>
            <w:rStyle w:val="Hiperveza"/>
          </w:rPr>
          <w:t>https://www.cedefop.europa.eu/en/publications/9205</w:t>
        </w:r>
      </w:hyperlink>
    </w:p>
  </w:footnote>
  <w:footnote w:id="10">
    <w:p w14:paraId="59D62930" w14:textId="77777777" w:rsidR="00621981" w:rsidRDefault="00621981" w:rsidP="004D67BC">
      <w:pPr>
        <w:pStyle w:val="Tekstfusnote"/>
      </w:pPr>
      <w:r>
        <w:rPr>
          <w:rStyle w:val="Referencafusnote"/>
        </w:rPr>
        <w:footnoteRef/>
      </w:r>
      <w:r>
        <w:t xml:space="preserve"> </w:t>
      </w:r>
      <w:r w:rsidRPr="00240467">
        <w:t>ETF (2024).</w:t>
      </w:r>
      <w:r w:rsidRPr="007F6778">
        <w:t xml:space="preserve"> Key Policy Developments in Education, Training and Employment, Montenegro, </w:t>
      </w:r>
      <w:hyperlink r:id="rId9" w:history="1">
        <w:r w:rsidRPr="00296FF0">
          <w:t>https://www.etf.europa.eu/en/publications-and-resources/publications/key-policy-developments-education-training-and-employment</w:t>
        </w:r>
      </w:hyperlink>
    </w:p>
  </w:footnote>
  <w:footnote w:id="11">
    <w:p w14:paraId="07F6ECD5" w14:textId="77777777" w:rsidR="00621981" w:rsidRPr="00186040" w:rsidRDefault="00621981" w:rsidP="004D67BC">
      <w:pPr>
        <w:pStyle w:val="Tekstfusnote"/>
      </w:pPr>
      <w:r>
        <w:rPr>
          <w:rStyle w:val="Referencafusnote"/>
        </w:rPr>
        <w:footnoteRef/>
      </w:r>
      <w:r>
        <w:t xml:space="preserve"> European Commission. (2020). </w:t>
      </w:r>
      <w:r>
        <w:rPr>
          <w:rStyle w:val="Istaknuto"/>
        </w:rPr>
        <w:t>European Skills Agenda for sustainable competitiveness, social fairness and resilience</w:t>
      </w:r>
      <w:r>
        <w:t xml:space="preserve">. </w:t>
      </w:r>
      <w:hyperlink r:id="rId10" w:history="1">
        <w:r w:rsidRPr="00E929F6">
          <w:rPr>
            <w:rStyle w:val="Hiperveza"/>
          </w:rPr>
          <w:t>https://ec.europa.eu/social/main.jsp?catId=1223&amp;langId=en</w:t>
        </w:r>
      </w:hyperlink>
      <w:r>
        <w:t>,</w:t>
      </w:r>
    </w:p>
  </w:footnote>
  <w:footnote w:id="12">
    <w:p w14:paraId="26E86B6A" w14:textId="77777777" w:rsidR="00621981" w:rsidRPr="00186040" w:rsidRDefault="00621981" w:rsidP="004D67BC">
      <w:pPr>
        <w:pStyle w:val="Tekstfusnote"/>
      </w:pPr>
      <w:r>
        <w:rPr>
          <w:rStyle w:val="Referencafusnote"/>
        </w:rPr>
        <w:footnoteRef/>
      </w:r>
      <w:r>
        <w:t xml:space="preserve"> European Commission. (2020). </w:t>
      </w:r>
      <w:r>
        <w:rPr>
          <w:rStyle w:val="Istaknuto"/>
        </w:rPr>
        <w:t>Digital Education Action Plan 2021–2027</w:t>
      </w:r>
      <w:r>
        <w:t xml:space="preserve">. </w:t>
      </w:r>
      <w:hyperlink r:id="rId11" w:history="1">
        <w:r w:rsidRPr="00E929F6">
          <w:rPr>
            <w:rStyle w:val="Hiperveza"/>
          </w:rPr>
          <w:t>https://education.ec.europa.eu/focus-topics/digital-education/action-plan</w:t>
        </w:r>
      </w:hyperlink>
    </w:p>
  </w:footnote>
  <w:footnote w:id="13">
    <w:p w14:paraId="3D6D98A6" w14:textId="77777777" w:rsidR="00621981" w:rsidRPr="00186040" w:rsidRDefault="00621981" w:rsidP="004D67BC">
      <w:pPr>
        <w:pStyle w:val="Tekstfusnote"/>
      </w:pPr>
      <w:r>
        <w:rPr>
          <w:rStyle w:val="Referencafusnote"/>
        </w:rPr>
        <w:footnoteRef/>
      </w:r>
      <w:r>
        <w:t xml:space="preserve"> Council of the European Union. (2020). </w:t>
      </w:r>
      <w:r>
        <w:rPr>
          <w:rStyle w:val="Istaknuto"/>
        </w:rPr>
        <w:t>Council Recommendation on vocational education and training (VET) for sustainable competitiveness, social fairness and resilience</w:t>
      </w:r>
      <w:r>
        <w:t xml:space="preserve">. </w:t>
      </w:r>
      <w:hyperlink r:id="rId12" w:history="1">
        <w:r w:rsidRPr="00E929F6">
          <w:rPr>
            <w:rStyle w:val="Hiperveza"/>
          </w:rPr>
          <w:t>https://eur-lex.europa.eu/legal-content/EN/TXT/?uri=CELEX:32020H1202(01)</w:t>
        </w:r>
      </w:hyperlink>
    </w:p>
  </w:footnote>
  <w:footnote w:id="14">
    <w:p w14:paraId="3085FBA9" w14:textId="77777777" w:rsidR="00621981" w:rsidRPr="00186040" w:rsidRDefault="00621981" w:rsidP="004D67BC">
      <w:pPr>
        <w:pStyle w:val="Tekstfusnote"/>
      </w:pPr>
      <w:r>
        <w:rPr>
          <w:rStyle w:val="Referencafusnote"/>
        </w:rPr>
        <w:footnoteRef/>
      </w:r>
      <w:r>
        <w:t xml:space="preserve"> </w:t>
      </w:r>
      <w:r w:rsidRPr="00F61631">
        <w:t>European Commission. (n.d.). Union of Skills. https://commission.europa.eu/topics/</w:t>
      </w:r>
      <w:r>
        <w:t>competitiveness/union-skills_en</w:t>
      </w:r>
    </w:p>
  </w:footnote>
  <w:footnote w:id="15">
    <w:p w14:paraId="1F1456B1" w14:textId="77777777" w:rsidR="00621981" w:rsidRPr="00186040" w:rsidRDefault="00621981" w:rsidP="004D67BC">
      <w:pPr>
        <w:pStyle w:val="Tekstfusnote"/>
        <w:rPr>
          <w:lang w:val="en-US"/>
        </w:rPr>
      </w:pPr>
      <w:r>
        <w:rPr>
          <w:rStyle w:val="Referencafusnote"/>
        </w:rPr>
        <w:footnoteRef/>
      </w:r>
      <w:r>
        <w:t xml:space="preserve"> European Higher Education Area. (2018). </w:t>
      </w:r>
      <w:r w:rsidRPr="001D5944">
        <w:rPr>
          <w:rStyle w:val="Istaknuto"/>
        </w:rPr>
        <w:t>Qualifications Framework for the European Higher Education Area (QF-EHEA)</w:t>
      </w:r>
      <w:r>
        <w:t xml:space="preserve">, </w:t>
      </w:r>
      <w:hyperlink r:id="rId13" w:history="1">
        <w:r w:rsidRPr="00E929F6">
          <w:rPr>
            <w:rStyle w:val="Hiperveza"/>
          </w:rPr>
          <w:t>https://ehea.info/media.ehea.info/file/BFUG_Meeting/49/6/BFUG_BG_SR_61_4c_AppendixIII_947496.pdf</w:t>
        </w:r>
      </w:hyperlink>
    </w:p>
  </w:footnote>
  <w:footnote w:id="16">
    <w:p w14:paraId="6A4E8509" w14:textId="77777777" w:rsidR="00621981" w:rsidRPr="00186040" w:rsidRDefault="00621981" w:rsidP="004D67BC">
      <w:pPr>
        <w:pStyle w:val="Tekstfusnote"/>
        <w:rPr>
          <w:lang w:val="en-US"/>
        </w:rPr>
      </w:pPr>
      <w:r>
        <w:rPr>
          <w:rStyle w:val="Referencafusnote"/>
        </w:rPr>
        <w:footnoteRef/>
      </w:r>
      <w:r>
        <w:t xml:space="preserve"> European Commission. (2022). </w:t>
      </w:r>
      <w:r>
        <w:rPr>
          <w:rStyle w:val="Istaknuto"/>
        </w:rPr>
        <w:t>A European strategy for universities</w:t>
      </w:r>
      <w:r>
        <w:t xml:space="preserve">. </w:t>
      </w:r>
      <w:hyperlink r:id="rId14" w:history="1">
        <w:r w:rsidRPr="00E929F6">
          <w:rPr>
            <w:rStyle w:val="Hiperveza"/>
          </w:rPr>
          <w:t>https://education.ec.europa.eu/node/1497</w:t>
        </w:r>
      </w:hyperlink>
    </w:p>
  </w:footnote>
  <w:footnote w:id="17">
    <w:p w14:paraId="6152A813" w14:textId="77777777" w:rsidR="00621981" w:rsidRPr="00186040" w:rsidRDefault="00621981" w:rsidP="004D67BC">
      <w:pPr>
        <w:pStyle w:val="Tekstfusnote"/>
        <w:rPr>
          <w:lang w:val="en-US"/>
        </w:rPr>
      </w:pPr>
      <w:r>
        <w:rPr>
          <w:rStyle w:val="Referencafusnote"/>
        </w:rPr>
        <w:footnoteRef/>
      </w:r>
      <w:r>
        <w:t xml:space="preserve"> Erasmus+ - Montenegro participates since 2014. </w:t>
      </w:r>
      <w:hyperlink r:id="rId15" w:history="1">
        <w:r>
          <w:rPr>
            <w:rStyle w:val="Hiperveza"/>
          </w:rPr>
          <w:t>https://www.eu.me/en/poglavlje-26-obrazovanje-i-kultura/</w:t>
        </w:r>
      </w:hyperlink>
    </w:p>
  </w:footnote>
  <w:footnote w:id="18">
    <w:p w14:paraId="3B06B9C5" w14:textId="77777777" w:rsidR="00621981" w:rsidRPr="00186040" w:rsidRDefault="00621981" w:rsidP="004D67BC">
      <w:pPr>
        <w:pStyle w:val="Tekstfusnote"/>
      </w:pPr>
      <w:r>
        <w:rPr>
          <w:rStyle w:val="Referencafusnote"/>
        </w:rPr>
        <w:footnoteRef/>
      </w:r>
      <w:r>
        <w:t xml:space="preserve"> EC Montenegro Report 2025, Chapter 26 - Education and Culture. </w:t>
      </w:r>
      <w:hyperlink r:id="rId16" w:history="1">
        <w:r w:rsidRPr="00147733">
          <w:rPr>
            <w:rStyle w:val="Hiperveza"/>
            <w:lang w:val="en-US"/>
          </w:rPr>
          <w:t>https://enlargement.ec.europa.eu/montenegro-report-2025_en</w:t>
        </w:r>
      </w:hyperlink>
    </w:p>
  </w:footnote>
  <w:footnote w:id="19">
    <w:p w14:paraId="0C117E61" w14:textId="77777777" w:rsidR="00621981" w:rsidRPr="002E719F" w:rsidRDefault="00621981" w:rsidP="004D67BC">
      <w:pPr>
        <w:pStyle w:val="Tekstfusnote"/>
        <w:rPr>
          <w:lang w:val="en-US"/>
        </w:rPr>
      </w:pPr>
      <w:r>
        <w:rPr>
          <w:rStyle w:val="Referencafusnote"/>
        </w:rPr>
        <w:footnoteRef/>
      </w:r>
      <w:r>
        <w:t xml:space="preserve"> European Commission. (2025). </w:t>
      </w:r>
      <w:r>
        <w:rPr>
          <w:rStyle w:val="Istaknuto"/>
        </w:rPr>
        <w:t>Montenegro Report 2025</w:t>
      </w:r>
      <w:r>
        <w:t xml:space="preserve">. </w:t>
      </w:r>
      <w:hyperlink r:id="rId17" w:history="1">
        <w:r w:rsidRPr="00E929F6">
          <w:rPr>
            <w:rStyle w:val="Hiperveza"/>
          </w:rPr>
          <w:t>https://enlargement.ec.europa.eu/montenegro-report-2025_en</w:t>
        </w:r>
      </w:hyperlink>
    </w:p>
  </w:footnote>
  <w:footnote w:id="20">
    <w:p w14:paraId="162A117A" w14:textId="77777777" w:rsidR="00621981" w:rsidRPr="002E719F" w:rsidRDefault="00621981" w:rsidP="004D67BC">
      <w:pPr>
        <w:pStyle w:val="Tekstfusnote"/>
        <w:rPr>
          <w:lang w:val="en-US"/>
        </w:rPr>
      </w:pPr>
      <w:r>
        <w:rPr>
          <w:rStyle w:val="Referencafusnote"/>
        </w:rPr>
        <w:footnoteRef/>
      </w:r>
      <w:r>
        <w:t xml:space="preserve"> </w:t>
      </w:r>
      <w:r>
        <w:rPr>
          <w:lang w:val="en-US"/>
        </w:rPr>
        <w:t>Ibid</w:t>
      </w:r>
    </w:p>
  </w:footnote>
  <w:footnote w:id="21">
    <w:p w14:paraId="66ED3EAC" w14:textId="77777777" w:rsidR="00621981" w:rsidRPr="002E719F" w:rsidRDefault="00621981" w:rsidP="004D67BC">
      <w:pPr>
        <w:pStyle w:val="Tekstfusnote"/>
      </w:pPr>
      <w:r>
        <w:rPr>
          <w:rStyle w:val="Referencafusnote"/>
        </w:rPr>
        <w:footnoteRef/>
      </w:r>
      <w:r>
        <w:t xml:space="preserve"> Eurydice, Montenegro: Education for the future, July 2025. </w:t>
      </w:r>
      <w:hyperlink r:id="rId18" w:history="1">
        <w:r>
          <w:rPr>
            <w:rStyle w:val="Hiperveza"/>
          </w:rPr>
          <w:t>https://eurydice.eacea.ec.europa.eu/news/montenegro-education-future-adopting-education-reform-strategy-2025-2035</w:t>
        </w:r>
      </w:hyperlink>
    </w:p>
  </w:footnote>
  <w:footnote w:id="22">
    <w:p w14:paraId="368A4605" w14:textId="77777777" w:rsidR="00621981" w:rsidRPr="002E719F" w:rsidRDefault="00621981" w:rsidP="004D67BC">
      <w:pPr>
        <w:pStyle w:val="Tekstfusnote"/>
      </w:pPr>
      <w:r>
        <w:rPr>
          <w:rStyle w:val="Referencafusnote"/>
        </w:rPr>
        <w:footnoteRef/>
      </w:r>
      <w:r>
        <w:t xml:space="preserve"> </w:t>
      </w:r>
      <w:hyperlink r:id="rId19" w:history="1">
        <w:r w:rsidRPr="00750C28">
          <w:rPr>
            <w:rStyle w:val="Hiperveza"/>
          </w:rPr>
          <w:t>https://www.gov.me/dokumenta/73f999b6-b879-4868-a72d-e670ce78f77f</w:t>
        </w:r>
      </w:hyperlink>
      <w:r>
        <w:t xml:space="preserve"> </w:t>
      </w:r>
    </w:p>
  </w:footnote>
  <w:footnote w:id="23">
    <w:p w14:paraId="71ACF91E" w14:textId="77777777" w:rsidR="00621981" w:rsidRPr="00A402A1" w:rsidRDefault="00621981" w:rsidP="004D67BC">
      <w:pPr>
        <w:pStyle w:val="Tekstfusnote"/>
      </w:pPr>
      <w:r>
        <w:rPr>
          <w:rStyle w:val="Referencafusnote"/>
        </w:rPr>
        <w:footnoteRef/>
      </w:r>
      <w:r>
        <w:t xml:space="preserve"> EC Montenegro Report 2025, Chapter 26 - Education and Culture. </w:t>
      </w:r>
      <w:hyperlink r:id="rId20" w:history="1">
        <w:r w:rsidRPr="003C075A">
          <w:rPr>
            <w:rStyle w:val="Hiperveza"/>
          </w:rPr>
          <w:t>https://enlargement.ec.europa.eu/montenegro-report-2025_en</w:t>
        </w:r>
      </w:hyperlink>
    </w:p>
  </w:footnote>
  <w:footnote w:id="24">
    <w:p w14:paraId="13DDE2CC" w14:textId="77777777" w:rsidR="00621981" w:rsidRDefault="00621981" w:rsidP="004D67BC">
      <w:pPr>
        <w:pStyle w:val="Tekstfusnote"/>
      </w:pPr>
      <w:r>
        <w:rPr>
          <w:rStyle w:val="Referencafusnote"/>
        </w:rPr>
        <w:footnoteRef/>
      </w:r>
      <w:r>
        <w:t xml:space="preserve"> </w:t>
      </w:r>
      <w:r w:rsidRPr="0078248A">
        <w:rPr>
          <w:rFonts w:eastAsia="Times New Roman" w:cstheme="minorHAnsi"/>
          <w:bCs/>
        </w:rPr>
        <w:t>The Strategy for Early and Preschool Education 2021</w:t>
      </w:r>
      <w:r>
        <w:rPr>
          <w:rFonts w:eastAsia="Times New Roman" w:cstheme="minorHAnsi"/>
          <w:bCs/>
        </w:rPr>
        <w:t>-</w:t>
      </w:r>
      <w:r w:rsidRPr="0078248A">
        <w:rPr>
          <w:rFonts w:eastAsia="Times New Roman" w:cstheme="minorHAnsi"/>
          <w:bCs/>
        </w:rPr>
        <w:t>2025</w:t>
      </w:r>
      <w:r>
        <w:rPr>
          <w:rFonts w:eastAsia="Times New Roman" w:cstheme="minorHAnsi"/>
          <w:bCs/>
        </w:rPr>
        <w:t xml:space="preserve">. </w:t>
      </w:r>
      <w:r w:rsidRPr="003B6503">
        <w:t>https://www.gov.me/clanak/strategija-ranog-i-predskolskog-vaspitanja-i-obrazovanja-2021-2025-sa-akcionim-planom</w:t>
      </w:r>
    </w:p>
  </w:footnote>
  <w:footnote w:id="25">
    <w:p w14:paraId="425258FE" w14:textId="77777777" w:rsidR="00621981" w:rsidRDefault="00621981" w:rsidP="004D67BC">
      <w:pPr>
        <w:pStyle w:val="Tekstfusnote"/>
      </w:pPr>
      <w:r>
        <w:rPr>
          <w:rStyle w:val="Referencafusnote"/>
        </w:rPr>
        <w:footnoteRef/>
      </w:r>
      <w:r>
        <w:t xml:space="preserve"> Izvještaj Evropske komisije za Crnu Goru (2025);</w:t>
      </w:r>
    </w:p>
  </w:footnote>
  <w:footnote w:id="26">
    <w:p w14:paraId="6C2CDA8B" w14:textId="77777777" w:rsidR="00621981" w:rsidRPr="00BB7497" w:rsidRDefault="00621981" w:rsidP="004D67BC">
      <w:pPr>
        <w:pStyle w:val="Tekstfusnote"/>
        <w:rPr>
          <w:rStyle w:val="Hiperveza"/>
        </w:rPr>
      </w:pPr>
      <w:r>
        <w:rPr>
          <w:rStyle w:val="Referencafusnote"/>
        </w:rPr>
        <w:footnoteRef/>
      </w:r>
      <w:r>
        <w:t xml:space="preserve"> </w:t>
      </w:r>
      <w:r w:rsidRPr="00BB7497">
        <w:rPr>
          <w:rStyle w:val="Hiperveza"/>
        </w:rPr>
        <w:t xml:space="preserve">https://www.gov.me/clanak/strategija-ranog-razvoja-djeteta   </w:t>
      </w:r>
    </w:p>
  </w:footnote>
  <w:footnote w:id="27">
    <w:p w14:paraId="0FC8F146" w14:textId="77777777" w:rsidR="00621981" w:rsidRPr="004D67BC" w:rsidRDefault="00621981" w:rsidP="004D67BC">
      <w:pPr>
        <w:pStyle w:val="Tekstfusnote"/>
      </w:pPr>
      <w:r>
        <w:rPr>
          <w:rStyle w:val="Referencafusnote"/>
        </w:rPr>
        <w:footnoteRef/>
      </w:r>
      <w:r>
        <w:t xml:space="preserve"> </w:t>
      </w:r>
    </w:p>
  </w:footnote>
  <w:footnote w:id="28">
    <w:p w14:paraId="2ADCB7C3" w14:textId="77777777" w:rsidR="00621981" w:rsidRDefault="00621981" w:rsidP="004D67BC">
      <w:pPr>
        <w:pStyle w:val="Tekstfusnote"/>
      </w:pPr>
      <w:r>
        <w:rPr>
          <w:rStyle w:val="Referencafusnote"/>
        </w:rPr>
        <w:footnoteRef/>
      </w:r>
      <w:r>
        <w:t xml:space="preserve"> Vlada Crne Gore (2025). Program razvoja opšteg srednjeg obrazovanja u Crnoj Gori za period 2024-2026, </w:t>
      </w:r>
      <w:hyperlink r:id="rId21" w:history="1">
        <w:r w:rsidRPr="00E929F6">
          <w:rPr>
            <w:rStyle w:val="Hiperveza"/>
          </w:rPr>
          <w:t>https://www.gov.me/clanak/program-razvoja-opsteg-srednjeg-obrazovanja-u-crnoj-gori-2024-2026</w:t>
        </w:r>
      </w:hyperlink>
      <w:r>
        <w:t xml:space="preserve"> </w:t>
      </w:r>
    </w:p>
  </w:footnote>
  <w:footnote w:id="29">
    <w:p w14:paraId="7082898E" w14:textId="77777777" w:rsidR="00621981" w:rsidRDefault="00621981" w:rsidP="004D67BC">
      <w:pPr>
        <w:pStyle w:val="Tekstfusnote"/>
      </w:pPr>
      <w:r>
        <w:rPr>
          <w:rStyle w:val="Referencafusnote"/>
        </w:rPr>
        <w:footnoteRef/>
      </w:r>
      <w:r>
        <w:t xml:space="preserve"> Regional Cooperation Council. (2025). </w:t>
      </w:r>
      <w:r>
        <w:rPr>
          <w:rStyle w:val="Istaknuto"/>
        </w:rPr>
        <w:t>Review on Montenegro – Employment and Social Affairs Platform (ESAP)</w:t>
      </w:r>
      <w:r>
        <w:t xml:space="preserve">. </w:t>
      </w:r>
      <w:hyperlink r:id="rId22" w:history="1">
        <w:r w:rsidRPr="00E929F6">
          <w:rPr>
            <w:rStyle w:val="Hiperveza"/>
          </w:rPr>
          <w:t>https://www.rcc.int/files/user/docs/afbc8898d59753d416ac0ec079fea002.pdf</w:t>
        </w:r>
      </w:hyperlink>
    </w:p>
  </w:footnote>
  <w:footnote w:id="30">
    <w:p w14:paraId="5AE404FF" w14:textId="77777777" w:rsidR="00621981" w:rsidRDefault="00621981" w:rsidP="004D67BC">
      <w:pPr>
        <w:pStyle w:val="Tekstfusnote"/>
      </w:pPr>
      <w:r>
        <w:rPr>
          <w:rStyle w:val="Referencafusnote"/>
        </w:rPr>
        <w:footnoteRef/>
      </w:r>
      <w:r>
        <w:t xml:space="preserve"> Ibid.</w:t>
      </w:r>
    </w:p>
  </w:footnote>
  <w:footnote w:id="31">
    <w:p w14:paraId="78A08094" w14:textId="77777777" w:rsidR="00621981" w:rsidRDefault="00621981" w:rsidP="004D67BC">
      <w:pPr>
        <w:pStyle w:val="Tekstfusnote"/>
      </w:pPr>
      <w:r>
        <w:rPr>
          <w:rStyle w:val="Referencafusnote"/>
        </w:rPr>
        <w:footnoteRef/>
      </w:r>
      <w:r>
        <w:t xml:space="preserve"> </w:t>
      </w:r>
      <w:r w:rsidRPr="0031666C">
        <w:t>OECD (2023).</w:t>
      </w:r>
      <w:r>
        <w:t xml:space="preserve"> </w:t>
      </w:r>
      <w:r w:rsidRPr="0024108C">
        <w:t>PISA</w:t>
      </w:r>
      <w:r>
        <w:t xml:space="preserve"> 2022 Results, The state of learning and equity in education; </w:t>
      </w:r>
      <w:r w:rsidRPr="0011731E">
        <w:rPr>
          <w:rStyle w:val="Hiperveza"/>
        </w:rPr>
        <w:t>https://www.oecd.org/en/publications/pisa-2022-results-volume-i_53f23881-en.html</w:t>
      </w:r>
    </w:p>
  </w:footnote>
  <w:footnote w:id="32">
    <w:p w14:paraId="407194B8" w14:textId="77777777" w:rsidR="00621981" w:rsidRDefault="00621981" w:rsidP="004D67BC">
      <w:pPr>
        <w:pStyle w:val="Tekstfusnote"/>
      </w:pPr>
      <w:r>
        <w:rPr>
          <w:rStyle w:val="Referencafusnote"/>
        </w:rPr>
        <w:footnoteRef/>
      </w:r>
      <w:r>
        <w:t xml:space="preserve"> Ibid.</w:t>
      </w:r>
    </w:p>
  </w:footnote>
  <w:footnote w:id="33">
    <w:p w14:paraId="6358C2BF" w14:textId="39EAF5B5" w:rsidR="00621981" w:rsidRPr="00E27755" w:rsidRDefault="00621981" w:rsidP="00E27755">
      <w:pPr>
        <w:rPr>
          <w:sz w:val="16"/>
          <w:szCs w:val="16"/>
          <w14:ligatures w14:val="none"/>
        </w:rPr>
      </w:pPr>
      <w:r>
        <w:rPr>
          <w:rStyle w:val="Referencafusnote"/>
        </w:rPr>
        <w:footnoteRef/>
      </w:r>
      <w:r>
        <w:t xml:space="preserve"> </w:t>
      </w:r>
      <w:r w:rsidRPr="00E27755">
        <w:rPr>
          <w:sz w:val="16"/>
          <w:szCs w:val="16"/>
          <w14:ligatures w14:val="none"/>
        </w:rPr>
        <w:t>PIRLS (Progress in International Reading Literacy Study) — Međunarodno istraživanje razvoja čitalačke pismenosti;   TIMSS (Trends in International Mathematics and Science Study) — Međunarodno istraživanje trendova u znanju matematike i prirodnih nauka ; ICILS (International Computer and Information Literacy Study) — Međunarodno istraživanje računarske i informacione pismenosti</w:t>
      </w:r>
    </w:p>
  </w:footnote>
  <w:footnote w:id="34">
    <w:p w14:paraId="6063207F" w14:textId="77777777" w:rsidR="00621981" w:rsidRDefault="00621981" w:rsidP="004D67BC">
      <w:pPr>
        <w:pStyle w:val="Tekstfusnote"/>
      </w:pPr>
      <w:r>
        <w:rPr>
          <w:rStyle w:val="Referencafusnote"/>
        </w:rPr>
        <w:footnoteRef/>
      </w:r>
      <w:r>
        <w:t xml:space="preserve"> Organisation for Economic Co-operation and Development (OECD). (2023). </w:t>
      </w:r>
      <w:r>
        <w:rPr>
          <w:rStyle w:val="Istaknuto"/>
        </w:rPr>
        <w:t>PISA 2022 results (Volume I &amp; II): Country notes – Montenegro</w:t>
      </w:r>
      <w:r>
        <w:t xml:space="preserve">. </w:t>
      </w:r>
      <w:hyperlink r:id="rId23" w:history="1">
        <w:r w:rsidRPr="00E929F6">
          <w:rPr>
            <w:rStyle w:val="Hiperveza"/>
          </w:rPr>
          <w:t>https://www.oecd.org/en/publications/pisa-2022-results-volume-i-and-ii-country-notes_ed6fbcc5-en/montenegro_84d80839-en.html</w:t>
        </w:r>
      </w:hyperlink>
      <w:r>
        <w:t xml:space="preserve"> and </w:t>
      </w:r>
    </w:p>
    <w:p w14:paraId="55E2972E" w14:textId="77777777" w:rsidR="00621981" w:rsidRDefault="00621981" w:rsidP="004D67BC">
      <w:pPr>
        <w:pStyle w:val="Tekstfusnote"/>
      </w:pPr>
      <w:r>
        <w:t xml:space="preserve">Organisation for Economic Co-operation and Development (OECD). (2023). </w:t>
      </w:r>
      <w:r>
        <w:rPr>
          <w:rStyle w:val="Istaknuto"/>
        </w:rPr>
        <w:t>PISA 2022 results (Volume I &amp; II): Country note – Montenegro</w:t>
      </w:r>
      <w:r>
        <w:t xml:space="preserve"> [PDF]. </w:t>
      </w:r>
      <w:hyperlink r:id="rId24" w:history="1">
        <w:r w:rsidRPr="00E929F6">
          <w:rPr>
            <w:rStyle w:val="Hiperveza"/>
          </w:rPr>
          <w:t>https://www.oecd.org/content/dam/oecd/en/publications/reports/2023/11/pisa-2022-results-volume-i-and-ii-country-notes_2fca04b9/montenegro_87c6902b/84d80839-en.pdf</w:t>
        </w:r>
      </w:hyperlink>
    </w:p>
  </w:footnote>
  <w:footnote w:id="35">
    <w:p w14:paraId="70CEA0E4" w14:textId="77777777" w:rsidR="00621981" w:rsidRDefault="00621981" w:rsidP="004D67BC">
      <w:pPr>
        <w:pStyle w:val="Tekstfusnote"/>
      </w:pPr>
      <w:r>
        <w:rPr>
          <w:rStyle w:val="Referencafusnote"/>
        </w:rPr>
        <w:footnoteRef/>
      </w:r>
      <w:r>
        <w:t xml:space="preserve"> </w:t>
      </w:r>
      <w:r w:rsidRPr="0031666C">
        <w:rPr>
          <w:lang w:val="pl-PL"/>
        </w:rPr>
        <w:t xml:space="preserve">Vlada Crne Gore (2020). </w:t>
      </w:r>
      <w:r w:rsidRPr="0031666C">
        <w:rPr>
          <w:rStyle w:val="Istaknuto"/>
          <w:lang w:val="pl-PL"/>
        </w:rPr>
        <w:t>Strategija razvoja stručnog obrazovanja u Crnoj Gori 2020–2024. godine sa Akcionim planom</w:t>
      </w:r>
      <w:r w:rsidRPr="0031666C">
        <w:rPr>
          <w:lang w:val="pl-PL"/>
        </w:rPr>
        <w:t xml:space="preserve">. </w:t>
      </w:r>
      <w:hyperlink r:id="rId25" w:history="1">
        <w:r w:rsidRPr="00E929F6">
          <w:rPr>
            <w:rStyle w:val="Hiperveza"/>
          </w:rPr>
          <w:t>https://www.gov.me/dokumenta/3f8ece83-b549-4c84-8ae9-a8620ff67928</w:t>
        </w:r>
      </w:hyperlink>
    </w:p>
  </w:footnote>
  <w:footnote w:id="36">
    <w:p w14:paraId="41FF3B39" w14:textId="77777777" w:rsidR="00621981" w:rsidRDefault="00621981" w:rsidP="004D67BC">
      <w:pPr>
        <w:pStyle w:val="Tekstfusnote"/>
      </w:pPr>
      <w:r>
        <w:rPr>
          <w:rStyle w:val="Referencafusnote"/>
        </w:rPr>
        <w:footnoteRef/>
      </w:r>
      <w:r>
        <w:t xml:space="preserve"> </w:t>
      </w:r>
      <w:r w:rsidRPr="0031666C">
        <w:t xml:space="preserve">European Commission, EACEA, Eurydice. (n.d.). </w:t>
      </w:r>
      <w:r w:rsidRPr="0031666C">
        <w:rPr>
          <w:rStyle w:val="Istaknuto"/>
          <w:i w:val="0"/>
          <w:iCs w:val="0"/>
        </w:rPr>
        <w:t>Montenegro: National reforms in vocational education and training and adult learning</w:t>
      </w:r>
      <w:r w:rsidRPr="0031666C">
        <w:t xml:space="preserve">. </w:t>
      </w:r>
      <w:hyperlink r:id="rId26" w:history="1">
        <w:r w:rsidRPr="00A95B28">
          <w:rPr>
            <w:rStyle w:val="Hiperveza"/>
          </w:rPr>
          <w:t>https://eurydice.eacea.ec.europa.eu/eurypedia/montenegro/national-reforms-vocational-education-and-training-and-adult-learning</w:t>
        </w:r>
      </w:hyperlink>
      <w:r>
        <w:rPr>
          <w:rStyle w:val="Hiperveza"/>
          <w:color w:val="auto"/>
          <w:u w:val="none"/>
        </w:rPr>
        <w:t xml:space="preserve"> </w:t>
      </w:r>
    </w:p>
  </w:footnote>
  <w:footnote w:id="37">
    <w:p w14:paraId="778FBEDD" w14:textId="77777777" w:rsidR="00621981" w:rsidRDefault="00621981" w:rsidP="004D67BC">
      <w:pPr>
        <w:pStyle w:val="Tekstfusnote"/>
      </w:pPr>
      <w:r>
        <w:rPr>
          <w:rStyle w:val="Referencafusnote"/>
        </w:rPr>
        <w:footnoteRef/>
      </w:r>
      <w:r>
        <w:t xml:space="preserve"> Ibid. </w:t>
      </w:r>
    </w:p>
  </w:footnote>
  <w:footnote w:id="38">
    <w:p w14:paraId="609A1739" w14:textId="77777777" w:rsidR="00621981" w:rsidRDefault="00621981" w:rsidP="004D67BC">
      <w:pPr>
        <w:pStyle w:val="Tekstfusnote"/>
      </w:pPr>
      <w:r>
        <w:rPr>
          <w:rStyle w:val="Referencafusnote"/>
        </w:rPr>
        <w:footnoteRef/>
      </w:r>
      <w:r>
        <w:t xml:space="preserve"> European Commission, EACEA, Eurydice. (n.d.). </w:t>
      </w:r>
      <w:r>
        <w:rPr>
          <w:rStyle w:val="Istaknuto"/>
        </w:rPr>
        <w:t>Montenegro: Organisation of vocational upper secondary education</w:t>
      </w:r>
      <w:r>
        <w:t xml:space="preserve">. </w:t>
      </w:r>
      <w:hyperlink r:id="rId27" w:history="1">
        <w:r w:rsidRPr="00E929F6">
          <w:rPr>
            <w:rStyle w:val="Hiperveza"/>
          </w:rPr>
          <w:t>https://eurydice.eacea.ec.europa.eu/eurypedia/montenegro/organisation-vocational-upper-secondary-education</w:t>
        </w:r>
      </w:hyperlink>
    </w:p>
  </w:footnote>
  <w:footnote w:id="39">
    <w:p w14:paraId="1279D820" w14:textId="77777777" w:rsidR="00621981" w:rsidRDefault="00621981" w:rsidP="004D67BC">
      <w:pPr>
        <w:pStyle w:val="Tekstfusnote"/>
      </w:pPr>
      <w:r>
        <w:rPr>
          <w:rStyle w:val="Referencafusnote"/>
        </w:rPr>
        <w:footnoteRef/>
      </w:r>
      <w:r>
        <w:t xml:space="preserve"> European Commission, EACEA, Eurydice. (n.d.). </w:t>
      </w:r>
      <w:r>
        <w:rPr>
          <w:rStyle w:val="Istaknuto"/>
        </w:rPr>
        <w:t>Montenegro: National reforms in vocational education and training and adult learning</w:t>
      </w:r>
      <w:r>
        <w:t xml:space="preserve">. </w:t>
      </w:r>
      <w:hyperlink r:id="rId28" w:history="1">
        <w:r w:rsidRPr="00E929F6">
          <w:rPr>
            <w:rStyle w:val="Hiperveza"/>
          </w:rPr>
          <w:t>https://eurydice.eacea.ec.europa.eu/eurypedia/montenegro/national-reforms-vocational-education-and-training-and-adult-learning</w:t>
        </w:r>
      </w:hyperlink>
    </w:p>
  </w:footnote>
  <w:footnote w:id="40">
    <w:p w14:paraId="09023D28" w14:textId="77777777" w:rsidR="00621981" w:rsidRDefault="00621981" w:rsidP="00A52279">
      <w:pPr>
        <w:pStyle w:val="Tekstfusnote"/>
      </w:pPr>
      <w:r>
        <w:rPr>
          <w:rStyle w:val="Referencafusnote"/>
        </w:rPr>
        <w:footnoteRef/>
      </w:r>
      <w:r>
        <w:t xml:space="preserve"> ETF, Re-thinking vocational education and training in Montenegro, October 2018. </w:t>
      </w:r>
      <w:hyperlink r:id="rId29" w:history="1">
        <w:r>
          <w:rPr>
            <w:rStyle w:val="Hiperveza"/>
          </w:rPr>
          <w:t>https://www.etf.europa.eu/en/news-and-events/news/re-thinking-vocational-education-and-training-montenegro</w:t>
        </w:r>
      </w:hyperlink>
    </w:p>
  </w:footnote>
  <w:footnote w:id="41">
    <w:p w14:paraId="2981F9EF" w14:textId="77777777" w:rsidR="00621981" w:rsidRDefault="00621981" w:rsidP="004D67BC">
      <w:pPr>
        <w:pStyle w:val="Tekstfusnote"/>
      </w:pPr>
      <w:r>
        <w:rPr>
          <w:rStyle w:val="Referencafusnote"/>
        </w:rPr>
        <w:footnoteRef/>
      </w:r>
      <w:r>
        <w:t xml:space="preserve"> CEDEFOP &amp; ETF, Towards EU priorities in VET 2021-2025 progress, 2025. </w:t>
      </w:r>
      <w:hyperlink r:id="rId30" w:history="1">
        <w:r w:rsidRPr="00147733">
          <w:rPr>
            <w:rStyle w:val="Hiperveza"/>
            <w:lang w:val="en-US"/>
          </w:rPr>
          <w:t>https</w:t>
        </w:r>
        <w:r w:rsidRPr="00346D79">
          <w:rPr>
            <w:rStyle w:val="Hiperveza"/>
          </w:rPr>
          <w:t>://</w:t>
        </w:r>
        <w:r w:rsidRPr="00147733">
          <w:rPr>
            <w:rStyle w:val="Hiperveza"/>
            <w:lang w:val="en-US"/>
          </w:rPr>
          <w:t>www</w:t>
        </w:r>
        <w:r w:rsidRPr="00346D79">
          <w:rPr>
            <w:rStyle w:val="Hiperveza"/>
          </w:rPr>
          <w:t>.</w:t>
        </w:r>
        <w:proofErr w:type="spellStart"/>
        <w:r w:rsidRPr="00147733">
          <w:rPr>
            <w:rStyle w:val="Hiperveza"/>
            <w:lang w:val="en-US"/>
          </w:rPr>
          <w:t>cedefop</w:t>
        </w:r>
        <w:proofErr w:type="spellEnd"/>
        <w:r w:rsidRPr="00346D79">
          <w:rPr>
            <w:rStyle w:val="Hiperveza"/>
          </w:rPr>
          <w:t>.</w:t>
        </w:r>
        <w:proofErr w:type="spellStart"/>
        <w:r w:rsidRPr="00147733">
          <w:rPr>
            <w:rStyle w:val="Hiperveza"/>
            <w:lang w:val="en-US"/>
          </w:rPr>
          <w:t>europa</w:t>
        </w:r>
        <w:proofErr w:type="spellEnd"/>
        <w:r w:rsidRPr="00346D79">
          <w:rPr>
            <w:rStyle w:val="Hiperveza"/>
          </w:rPr>
          <w:t>.</w:t>
        </w:r>
        <w:proofErr w:type="spellStart"/>
        <w:r w:rsidRPr="00147733">
          <w:rPr>
            <w:rStyle w:val="Hiperveza"/>
            <w:lang w:val="en-US"/>
          </w:rPr>
          <w:t>eu</w:t>
        </w:r>
        <w:proofErr w:type="spellEnd"/>
        <w:r w:rsidRPr="00346D79">
          <w:rPr>
            <w:rStyle w:val="Hiperveza"/>
          </w:rPr>
          <w:t>/</w:t>
        </w:r>
        <w:proofErr w:type="spellStart"/>
        <w:r w:rsidRPr="00147733">
          <w:rPr>
            <w:rStyle w:val="Hiperveza"/>
            <w:lang w:val="en-US"/>
          </w:rPr>
          <w:t>en</w:t>
        </w:r>
        <w:proofErr w:type="spellEnd"/>
        <w:r w:rsidRPr="00346D79">
          <w:rPr>
            <w:rStyle w:val="Hiperveza"/>
          </w:rPr>
          <w:t>/</w:t>
        </w:r>
        <w:r w:rsidRPr="00147733">
          <w:rPr>
            <w:rStyle w:val="Hiperveza"/>
            <w:lang w:val="en-US"/>
          </w:rPr>
          <w:t>publications</w:t>
        </w:r>
        <w:r w:rsidRPr="00346D79">
          <w:rPr>
            <w:rStyle w:val="Hiperveza"/>
          </w:rPr>
          <w:t>/9205</w:t>
        </w:r>
      </w:hyperlink>
    </w:p>
  </w:footnote>
  <w:footnote w:id="42">
    <w:p w14:paraId="7A5E1BD7" w14:textId="77777777" w:rsidR="00621981" w:rsidRDefault="00621981" w:rsidP="004D67BC">
      <w:pPr>
        <w:pStyle w:val="Tekstfusnote"/>
      </w:pPr>
      <w:r>
        <w:rPr>
          <w:rStyle w:val="Referencafusnote"/>
        </w:rPr>
        <w:footnoteRef/>
      </w:r>
      <w:r>
        <w:t xml:space="preserve"> European Commission, EACEA, Eurydice. (26.02.2026.) Crna Gora – vrste institucija visokog obrazovanja, </w:t>
      </w:r>
      <w:hyperlink r:id="rId31" w:history="1">
        <w:r w:rsidRPr="00E929F6">
          <w:rPr>
            <w:rStyle w:val="Hiperveza"/>
          </w:rPr>
          <w:t>https://eurydice.eacea.ec.europa.eu/me/eurypedia/montenegro/crna-gora-vrste-institucija-visokog-obrazovanja</w:t>
        </w:r>
      </w:hyperlink>
      <w:r>
        <w:t xml:space="preserve"> </w:t>
      </w:r>
    </w:p>
  </w:footnote>
  <w:footnote w:id="43">
    <w:p w14:paraId="075EF507" w14:textId="77777777" w:rsidR="00621981" w:rsidRDefault="00621981" w:rsidP="004D67BC">
      <w:pPr>
        <w:pStyle w:val="Tekstfusnote"/>
      </w:pPr>
      <w:r>
        <w:rPr>
          <w:rStyle w:val="Referencafusnote"/>
        </w:rPr>
        <w:footnoteRef/>
      </w:r>
      <w:r>
        <w:t xml:space="preserve"> </w:t>
      </w:r>
      <w:r>
        <w:rPr>
          <w:lang w:val="pl-PL"/>
        </w:rPr>
        <w:t>Vlada</w:t>
      </w:r>
      <w:r w:rsidRPr="00BE7C07">
        <w:t xml:space="preserve"> </w:t>
      </w:r>
      <w:r>
        <w:rPr>
          <w:lang w:val="pl-PL"/>
        </w:rPr>
        <w:t>Crne</w:t>
      </w:r>
      <w:r w:rsidRPr="00BE7C07">
        <w:t xml:space="preserve"> </w:t>
      </w:r>
      <w:r>
        <w:rPr>
          <w:lang w:val="pl-PL"/>
        </w:rPr>
        <w:t>Gore</w:t>
      </w:r>
      <w:r w:rsidRPr="00BE7C07">
        <w:t xml:space="preserve"> (2024). </w:t>
      </w:r>
      <w:r w:rsidRPr="0024108C">
        <w:rPr>
          <w:lang w:val="pl-PL"/>
        </w:rPr>
        <w:t xml:space="preserve">Strategija razvoja visokog obrazovanja Crne Gore 2024-2027. </w:t>
      </w:r>
      <w:hyperlink r:id="rId32" w:history="1">
        <w:r w:rsidRPr="001B571B">
          <w:rPr>
            <w:rStyle w:val="Hiperveza"/>
            <w:lang w:val="en-US"/>
          </w:rPr>
          <w:t>https://www.gov.me/clanak/strategija-visokog-obrazovanja</w:t>
        </w:r>
      </w:hyperlink>
      <w:r w:rsidRPr="001B571B">
        <w:rPr>
          <w:lang w:val="en-US"/>
        </w:rPr>
        <w:t xml:space="preserve"> </w:t>
      </w:r>
    </w:p>
  </w:footnote>
  <w:footnote w:id="44">
    <w:p w14:paraId="60EAD300" w14:textId="77777777" w:rsidR="00621981" w:rsidRDefault="00621981" w:rsidP="004D67BC">
      <w:pPr>
        <w:pStyle w:val="Tekstfusnote"/>
      </w:pPr>
      <w:r>
        <w:rPr>
          <w:rStyle w:val="Referencafusnote"/>
        </w:rPr>
        <w:footnoteRef/>
      </w:r>
      <w:r>
        <w:t xml:space="preserve"> Eurydice, National reforms in higher education. </w:t>
      </w:r>
      <w:hyperlink r:id="rId33" w:history="1">
        <w:r w:rsidRPr="00E929F6">
          <w:rPr>
            <w:rStyle w:val="Hiperveza"/>
          </w:rPr>
          <w:t>https://eurydice.eacea.ec.europa.eu/eurypedia/montenegro/national-reforms-higher-education</w:t>
        </w:r>
      </w:hyperlink>
      <w:r>
        <w:t xml:space="preserve">  </w:t>
      </w:r>
    </w:p>
  </w:footnote>
  <w:footnote w:id="45">
    <w:p w14:paraId="2BAD8F74" w14:textId="77777777" w:rsidR="00621981" w:rsidRDefault="00621981" w:rsidP="004D67BC">
      <w:pPr>
        <w:pStyle w:val="Tekstfusnote"/>
      </w:pPr>
      <w:r>
        <w:rPr>
          <w:rStyle w:val="Referencafusnote"/>
        </w:rPr>
        <w:footnoteRef/>
      </w:r>
      <w:r>
        <w:t xml:space="preserve"> Chapter 26 - Montenegro. </w:t>
      </w:r>
      <w:hyperlink r:id="rId34" w:history="1">
        <w:r>
          <w:rPr>
            <w:rStyle w:val="Hiperveza"/>
          </w:rPr>
          <w:t>https://www.eu.me/en/poglavlje-26-obrazovanje-i-kultura/</w:t>
        </w:r>
      </w:hyperlink>
    </w:p>
  </w:footnote>
  <w:footnote w:id="46">
    <w:p w14:paraId="3C65108F" w14:textId="77777777" w:rsidR="00621981" w:rsidRDefault="00621981" w:rsidP="004D67BC">
      <w:pPr>
        <w:pStyle w:val="Tekstfusnote"/>
      </w:pPr>
      <w:r>
        <w:rPr>
          <w:rStyle w:val="Referencafusnote"/>
        </w:rPr>
        <w:footnoteRef/>
      </w:r>
      <w:r>
        <w:t xml:space="preserve"> EC Montenegro Report 2025</w:t>
      </w:r>
    </w:p>
  </w:footnote>
  <w:footnote w:id="47">
    <w:p w14:paraId="0C39195D" w14:textId="77777777" w:rsidR="00621981" w:rsidRDefault="00621981" w:rsidP="004D67BC">
      <w:pPr>
        <w:pStyle w:val="Tekstfusnote"/>
      </w:pPr>
      <w:r>
        <w:rPr>
          <w:rStyle w:val="Referencafusnote"/>
        </w:rPr>
        <w:footnoteRef/>
      </w:r>
      <w:r>
        <w:t xml:space="preserve"> Government of Montenegro (2019). Smart Specialisation Strategy 2019-2024 (</w:t>
      </w:r>
      <w:hyperlink r:id="rId35" w:history="1">
        <w:r w:rsidRPr="00E929F6">
          <w:rPr>
            <w:rStyle w:val="Hiperveza"/>
          </w:rPr>
          <w:t>https://www.gov.me/dokumenta/ea1d661e-922a-4d42-af8d-ae55bc53988e</w:t>
        </w:r>
      </w:hyperlink>
      <w:r>
        <w:t xml:space="preserve"> );</w:t>
      </w:r>
    </w:p>
  </w:footnote>
  <w:footnote w:id="48">
    <w:p w14:paraId="058ECF58" w14:textId="77777777" w:rsidR="00621981" w:rsidRDefault="00621981" w:rsidP="004D67BC">
      <w:pPr>
        <w:pStyle w:val="Tekstfusnote"/>
      </w:pPr>
      <w:r>
        <w:rPr>
          <w:rStyle w:val="Referencafusnote"/>
        </w:rPr>
        <w:footnoteRef/>
      </w:r>
      <w:r>
        <w:t xml:space="preserve"> Chapter 26 - Montenegro. </w:t>
      </w:r>
      <w:hyperlink r:id="rId36" w:history="1">
        <w:r>
          <w:rPr>
            <w:rStyle w:val="Hiperveza"/>
          </w:rPr>
          <w:t>https://www.eu.me/en/poglavlje-26-obrazovanje-i-kultura/</w:t>
        </w:r>
      </w:hyperlink>
    </w:p>
  </w:footnote>
  <w:footnote w:id="49">
    <w:p w14:paraId="7267B5AD" w14:textId="7FA5D747" w:rsidR="00813534" w:rsidRDefault="00813534">
      <w:pPr>
        <w:pStyle w:val="Tekstfusnote"/>
      </w:pPr>
      <w:r>
        <w:rPr>
          <w:rStyle w:val="Referencafusnote"/>
        </w:rPr>
        <w:footnoteRef/>
      </w:r>
      <w:r>
        <w:t xml:space="preserve"> Vlada Crne Gore (2025). Plan obrazovanja odraslih 2025-2029 (</w:t>
      </w:r>
      <w:r w:rsidRPr="00813534">
        <w:t>https://www.gov.me/dokumenta/a534be63-c8d5-4cf7-9657-70fc3b47e171</w:t>
      </w:r>
      <w:r>
        <w:t>)</w:t>
      </w:r>
    </w:p>
  </w:footnote>
  <w:footnote w:id="50">
    <w:p w14:paraId="415A041C" w14:textId="60090051" w:rsidR="00813534" w:rsidRDefault="00813534">
      <w:pPr>
        <w:pStyle w:val="Tekstfusnote"/>
      </w:pPr>
      <w:r>
        <w:rPr>
          <w:rStyle w:val="Referencafusnote"/>
        </w:rPr>
        <w:footnoteRef/>
      </w:r>
      <w:r>
        <w:t xml:space="preserve"> Vlada Crne Gore (2025). Strategija karijernog vođenja i savjetovanja 2025-2030 /  The Lifelong Career Development Programme (guidance) (2023-2025), </w:t>
      </w:r>
      <w:hyperlink r:id="rId37" w:history="1">
        <w:r w:rsidRPr="00E929F6">
          <w:rPr>
            <w:rStyle w:val="Hiperveza"/>
          </w:rPr>
          <w:t>https://www.gov.me/dokumenta/c5343fcc-2a27-49ea-9a91-6c117b009076</w:t>
        </w:r>
      </w:hyperlink>
      <w:r>
        <w:t xml:space="preserve"> </w:t>
      </w:r>
      <w:r w:rsidRPr="00F527CC">
        <w:t xml:space="preserve"> </w:t>
      </w:r>
      <w:r>
        <w:t xml:space="preserve"> </w:t>
      </w:r>
    </w:p>
  </w:footnote>
  <w:footnote w:id="51">
    <w:p w14:paraId="06A116CF" w14:textId="77777777" w:rsidR="00621981" w:rsidRDefault="00621981" w:rsidP="004D67BC">
      <w:pPr>
        <w:pStyle w:val="Tekstfusnote"/>
      </w:pPr>
      <w:r>
        <w:rPr>
          <w:rStyle w:val="Referencafusnote"/>
        </w:rPr>
        <w:footnoteRef/>
      </w:r>
      <w:r>
        <w:t xml:space="preserve"> </w:t>
      </w:r>
      <w:r>
        <w:rPr>
          <w:lang w:val="pl-PL"/>
        </w:rPr>
        <w:t xml:space="preserve">Vlada Crne Gore (2022). </w:t>
      </w:r>
      <w:r w:rsidRPr="0024108C">
        <w:rPr>
          <w:lang w:val="pl-PL"/>
        </w:rPr>
        <w:t>Strategija za digitalizaciju obrazovnog sistema 2022 - 2027. https://www.gov.me/dokumenta/038614ce-395b-411b-ad40-8d89791a37fe</w:t>
      </w:r>
    </w:p>
  </w:footnote>
  <w:footnote w:id="52">
    <w:p w14:paraId="6CF4AB5C" w14:textId="77777777" w:rsidR="00621981" w:rsidRDefault="00621981" w:rsidP="004D67BC">
      <w:pPr>
        <w:pStyle w:val="Tekstfusnote"/>
      </w:pPr>
      <w:r>
        <w:rPr>
          <w:rStyle w:val="Referencafusnote"/>
        </w:rPr>
        <w:footnoteRef/>
      </w:r>
      <w:r>
        <w:t xml:space="preserve"> </w:t>
      </w:r>
      <w:r w:rsidRPr="0024108C">
        <w:rPr>
          <w:lang w:val="pl-PL"/>
        </w:rPr>
        <w:t>https</w:t>
      </w:r>
      <w:r w:rsidRPr="00933DAD">
        <w:t>://</w:t>
      </w:r>
      <w:r w:rsidRPr="0024108C">
        <w:rPr>
          <w:lang w:val="pl-PL"/>
        </w:rPr>
        <w:t>sport</w:t>
      </w:r>
      <w:r w:rsidRPr="00933DAD">
        <w:t>.</w:t>
      </w:r>
      <w:r w:rsidRPr="0024108C">
        <w:rPr>
          <w:lang w:val="pl-PL"/>
        </w:rPr>
        <w:t>ec</w:t>
      </w:r>
      <w:r w:rsidRPr="00933DAD">
        <w:t>.</w:t>
      </w:r>
      <w:r w:rsidRPr="0024108C">
        <w:rPr>
          <w:lang w:val="pl-PL"/>
        </w:rPr>
        <w:t>europa</w:t>
      </w:r>
      <w:r w:rsidRPr="00933DAD">
        <w:t>.</w:t>
      </w:r>
      <w:r w:rsidRPr="0024108C">
        <w:rPr>
          <w:lang w:val="pl-PL"/>
        </w:rPr>
        <w:t>eu</w:t>
      </w:r>
      <w:r w:rsidRPr="00933DAD">
        <w:t>/</w:t>
      </w:r>
      <w:r w:rsidRPr="0024108C">
        <w:rPr>
          <w:lang w:val="pl-PL"/>
        </w:rPr>
        <w:t>european</w:t>
      </w:r>
      <w:r w:rsidRPr="00933DAD">
        <w:t>-</w:t>
      </w:r>
      <w:r w:rsidRPr="0024108C">
        <w:rPr>
          <w:lang w:val="pl-PL"/>
        </w:rPr>
        <w:t>week</w:t>
      </w:r>
      <w:r w:rsidRPr="00933DAD">
        <w:t>-</w:t>
      </w:r>
      <w:r w:rsidRPr="0024108C">
        <w:rPr>
          <w:lang w:val="pl-PL"/>
        </w:rPr>
        <w:t>of</w:t>
      </w:r>
      <w:r w:rsidRPr="00933DAD">
        <w:t>-</w:t>
      </w:r>
      <w:r w:rsidRPr="0024108C">
        <w:rPr>
          <w:lang w:val="pl-PL"/>
        </w:rPr>
        <w:t>sport</w:t>
      </w:r>
    </w:p>
  </w:footnote>
  <w:footnote w:id="53">
    <w:p w14:paraId="015ED00D" w14:textId="77777777" w:rsidR="00621981" w:rsidRDefault="00621981" w:rsidP="004D67BC">
      <w:pPr>
        <w:pStyle w:val="Tekstfusnote"/>
      </w:pPr>
      <w:r>
        <w:rPr>
          <w:rStyle w:val="Referencafusnote"/>
        </w:rPr>
        <w:footnoteRef/>
      </w:r>
      <w:r>
        <w:t xml:space="preserve"> </w:t>
      </w:r>
      <w:r w:rsidRPr="0024108C">
        <w:rPr>
          <w:lang w:val="pl-PL"/>
        </w:rPr>
        <w:t>https</w:t>
      </w:r>
      <w:r w:rsidRPr="00933DAD">
        <w:t>://</w:t>
      </w:r>
      <w:r w:rsidRPr="0024108C">
        <w:rPr>
          <w:lang w:val="pl-PL"/>
        </w:rPr>
        <w:t>culture</w:t>
      </w:r>
      <w:r w:rsidRPr="00933DAD">
        <w:t>.</w:t>
      </w:r>
      <w:r w:rsidRPr="0024108C">
        <w:rPr>
          <w:lang w:val="pl-PL"/>
        </w:rPr>
        <w:t>ec</w:t>
      </w:r>
      <w:r w:rsidRPr="00933DAD">
        <w:t>.</w:t>
      </w:r>
      <w:r w:rsidRPr="0024108C">
        <w:rPr>
          <w:lang w:val="pl-PL"/>
        </w:rPr>
        <w:t>europa</w:t>
      </w:r>
      <w:r w:rsidRPr="00933DAD">
        <w:t>.</w:t>
      </w:r>
      <w:r w:rsidRPr="0024108C">
        <w:rPr>
          <w:lang w:val="pl-PL"/>
        </w:rPr>
        <w:t>eu</w:t>
      </w:r>
      <w:r w:rsidRPr="00933DAD">
        <w:t>/</w:t>
      </w:r>
      <w:r w:rsidRPr="0024108C">
        <w:rPr>
          <w:lang w:val="pl-PL"/>
        </w:rPr>
        <w:t>creative</w:t>
      </w:r>
      <w:r w:rsidRPr="00933DAD">
        <w:t>-</w:t>
      </w:r>
      <w:r w:rsidRPr="0024108C">
        <w:rPr>
          <w:lang w:val="pl-PL"/>
        </w:rPr>
        <w:t>europe</w:t>
      </w:r>
    </w:p>
  </w:footnote>
  <w:footnote w:id="54">
    <w:p w14:paraId="2D603E4B" w14:textId="77777777" w:rsidR="00621981" w:rsidRDefault="00621981" w:rsidP="004D67BC">
      <w:pPr>
        <w:pStyle w:val="Tekstfusnote"/>
      </w:pPr>
      <w:r>
        <w:rPr>
          <w:rStyle w:val="Referencafusnote"/>
        </w:rPr>
        <w:footnoteRef/>
      </w:r>
      <w:r>
        <w:t xml:space="preserve"> </w:t>
      </w:r>
      <w:r w:rsidRPr="0024108C">
        <w:rPr>
          <w:lang w:val="pl-PL"/>
        </w:rPr>
        <w:t>https</w:t>
      </w:r>
      <w:r w:rsidRPr="00933DAD">
        <w:t>://</w:t>
      </w:r>
      <w:r w:rsidRPr="0024108C">
        <w:rPr>
          <w:lang w:val="pl-PL"/>
        </w:rPr>
        <w:t>webalkans</w:t>
      </w:r>
      <w:r w:rsidRPr="00933DAD">
        <w:t>.</w:t>
      </w:r>
      <w:r w:rsidRPr="0024108C">
        <w:rPr>
          <w:lang w:val="pl-PL"/>
        </w:rPr>
        <w:t>eu</w:t>
      </w:r>
      <w:r w:rsidRPr="00933DAD">
        <w:t>/</w:t>
      </w:r>
      <w:r w:rsidRPr="0024108C">
        <w:rPr>
          <w:lang w:val="pl-PL"/>
        </w:rPr>
        <w:t>en</w:t>
      </w:r>
      <w:r w:rsidRPr="00933DAD">
        <w:t>/</w:t>
      </w:r>
      <w:r w:rsidRPr="0024108C">
        <w:rPr>
          <w:lang w:val="pl-PL"/>
        </w:rPr>
        <w:t>news</w:t>
      </w:r>
      <w:r w:rsidRPr="00933DAD">
        <w:t>/</w:t>
      </w:r>
      <w:r w:rsidRPr="0024108C">
        <w:rPr>
          <w:lang w:val="pl-PL"/>
        </w:rPr>
        <w:t>youth</w:t>
      </w:r>
      <w:r w:rsidRPr="00933DAD">
        <w:t>-</w:t>
      </w:r>
      <w:r w:rsidRPr="0024108C">
        <w:rPr>
          <w:lang w:val="pl-PL"/>
        </w:rPr>
        <w:t>dialogue</w:t>
      </w:r>
      <w:r w:rsidRPr="00933DAD">
        <w:t>-</w:t>
      </w:r>
      <w:r w:rsidRPr="0024108C">
        <w:rPr>
          <w:lang w:val="pl-PL"/>
        </w:rPr>
        <w:t>campaign</w:t>
      </w:r>
      <w:r w:rsidRPr="00933DAD">
        <w:t>-</w:t>
      </w:r>
      <w:r w:rsidRPr="0024108C">
        <w:rPr>
          <w:lang w:val="pl-PL"/>
        </w:rPr>
        <w:t>in</w:t>
      </w:r>
      <w:r w:rsidRPr="00933DAD">
        <w:t>-</w:t>
      </w:r>
      <w:r w:rsidRPr="0024108C">
        <w:rPr>
          <w:lang w:val="pl-PL"/>
        </w:rPr>
        <w:t>montenegro</w:t>
      </w:r>
      <w:r>
        <w:t>/</w:t>
      </w:r>
    </w:p>
  </w:footnote>
  <w:footnote w:id="55">
    <w:p w14:paraId="6042863B" w14:textId="77777777" w:rsidR="00621981" w:rsidRDefault="00621981" w:rsidP="004D67BC">
      <w:pPr>
        <w:pStyle w:val="Tekstfusnote"/>
      </w:pPr>
      <w:r>
        <w:rPr>
          <w:rStyle w:val="Referencafusnote"/>
        </w:rPr>
        <w:footnoteRef/>
      </w:r>
      <w:r>
        <w:t xml:space="preserve"> EC Montenegro Report 2025, Chapter 26 - youth and sport sections.</w:t>
      </w:r>
    </w:p>
  </w:footnote>
  <w:footnote w:id="56">
    <w:p w14:paraId="7324799B" w14:textId="77777777" w:rsidR="00621981" w:rsidRDefault="00621981" w:rsidP="004D67BC">
      <w:pPr>
        <w:pStyle w:val="Tekstfusnote"/>
      </w:pPr>
      <w:r>
        <w:rPr>
          <w:rStyle w:val="Referencafusnote"/>
        </w:rPr>
        <w:footnoteRef/>
      </w:r>
      <w:r>
        <w:t xml:space="preserve"> Chapter 26 - Montenegro. </w:t>
      </w:r>
      <w:hyperlink r:id="rId38" w:history="1">
        <w:r>
          <w:rPr>
            <w:rStyle w:val="Hiperveza"/>
          </w:rPr>
          <w:t>https://www.eu.me/en/poglavlje-26-obrazovanje-i-kultura/</w:t>
        </w:r>
      </w:hyperlink>
    </w:p>
  </w:footnote>
  <w:footnote w:id="57">
    <w:p w14:paraId="595A34AE" w14:textId="77777777" w:rsidR="00621981" w:rsidRDefault="00621981" w:rsidP="004D67BC">
      <w:pPr>
        <w:pStyle w:val="Tekstfusnote"/>
      </w:pPr>
      <w:r>
        <w:rPr>
          <w:rStyle w:val="Referencafusnote"/>
        </w:rPr>
        <w:footnoteRef/>
      </w:r>
      <w:r>
        <w:t xml:space="preserve"> Reform Agenda of Montenegro 2024-2027. </w:t>
      </w:r>
      <w:hyperlink r:id="rId39" w:history="1">
        <w:r>
          <w:rPr>
            <w:rStyle w:val="Hiperveza"/>
          </w:rPr>
          <w:t>https://reform-monitor.org/wp-content/uploads/2025/05/Reform-agenda-Montenegro_.pdf</w:t>
        </w:r>
      </w:hyperlink>
    </w:p>
  </w:footnote>
  <w:footnote w:id="58">
    <w:p w14:paraId="74A3DD56" w14:textId="77777777" w:rsidR="00621981" w:rsidRPr="00147733" w:rsidRDefault="00621981" w:rsidP="004D67BC">
      <w:pPr>
        <w:pStyle w:val="Tekstfusnote"/>
        <w:rPr>
          <w:lang w:val="en-US"/>
        </w:rPr>
      </w:pPr>
      <w:r>
        <w:rPr>
          <w:rStyle w:val="Referencafusnote"/>
        </w:rPr>
        <w:footnoteRef/>
      </w:r>
      <w:r>
        <w:t xml:space="preserve"> European Commission. (2025). </w:t>
      </w:r>
      <w:r>
        <w:rPr>
          <w:rStyle w:val="Istaknuto"/>
        </w:rPr>
        <w:t>Commission staff working document: Economic reform programme of Montenegro (2025–2027) – Commission assessment</w:t>
      </w:r>
      <w:r>
        <w:t xml:space="preserve"> (SWD(2025) 106 final). Council of the European Union, document ST-8076-2025-INIT. </w:t>
      </w:r>
      <w:hyperlink r:id="rId40" w:history="1">
        <w:r w:rsidRPr="00E929F6">
          <w:rPr>
            <w:rStyle w:val="Hiperveza"/>
          </w:rPr>
          <w:t>https://data.consilium.europa.eu/doc/document/ST-8076-2025-INIT/en/pd</w:t>
        </w:r>
      </w:hyperlink>
    </w:p>
  </w:footnote>
  <w:footnote w:id="59">
    <w:p w14:paraId="4D6F1C2F" w14:textId="77777777" w:rsidR="00621981" w:rsidRPr="00147733" w:rsidRDefault="00621981" w:rsidP="004D67BC">
      <w:pPr>
        <w:pStyle w:val="Tekstfusnote"/>
        <w:rPr>
          <w:lang w:val="en-US"/>
        </w:rPr>
      </w:pPr>
      <w:r>
        <w:rPr>
          <w:rStyle w:val="Referencafusnote"/>
        </w:rPr>
        <w:footnoteRef/>
      </w:r>
      <w:r>
        <w:t xml:space="preserve"> EC Montenegro Report 2025. </w:t>
      </w:r>
      <w:hyperlink r:id="rId41" w:history="1">
        <w:r>
          <w:rPr>
            <w:rStyle w:val="Hiperveza"/>
          </w:rPr>
          <w:t>https://enlargement.ec.europa.eu/montenegro-report-2025_en</w:t>
        </w:r>
      </w:hyperlink>
    </w:p>
  </w:footnote>
  <w:footnote w:id="60">
    <w:p w14:paraId="3A991F4D" w14:textId="77777777" w:rsidR="00621981" w:rsidRPr="001C523E" w:rsidRDefault="00621981" w:rsidP="004D67BC">
      <w:pPr>
        <w:pStyle w:val="Tekstfusnote"/>
        <w:rPr>
          <w:lang w:val="pl-PL"/>
        </w:rPr>
      </w:pPr>
      <w:r>
        <w:rPr>
          <w:rStyle w:val="Referencafusnote"/>
        </w:rPr>
        <w:footnoteRef/>
      </w:r>
      <w:r>
        <w:t xml:space="preserve"> </w:t>
      </w:r>
      <w:r w:rsidRPr="001C523E">
        <w:rPr>
          <w:lang w:val="pl-PL"/>
        </w:rPr>
        <w:t>26786 upisanih, 3-6 uyrast – 29.540, pa je stepen u</w:t>
      </w:r>
      <w:r>
        <w:rPr>
          <w:lang w:val="pl-PL"/>
        </w:rPr>
        <w:t xml:space="preserve">pisa 90.7% (Monstat) </w:t>
      </w:r>
      <w:hyperlink r:id="rId42" w:history="1">
        <w:r w:rsidRPr="00750C28">
          <w:rPr>
            <w:rStyle w:val="Hiperveza"/>
            <w:lang w:val="pl-PL"/>
          </w:rPr>
          <w:t>https://monstat.org/cg/page.php?id=1676&amp;pageid=75</w:t>
        </w:r>
      </w:hyperlink>
      <w:r>
        <w:rPr>
          <w:lang w:val="pl-PL"/>
        </w:rPr>
        <w:t xml:space="preserve"> </w:t>
      </w:r>
    </w:p>
  </w:footnote>
  <w:footnote w:id="61">
    <w:p w14:paraId="49533642" w14:textId="50771BAD" w:rsidR="00621981" w:rsidRDefault="00621981">
      <w:pPr>
        <w:pStyle w:val="Tekstfusnote"/>
      </w:pPr>
      <w:r>
        <w:rPr>
          <w:rStyle w:val="Referencafusnote"/>
        </w:rPr>
        <w:footnoteRef/>
      </w:r>
      <w:r>
        <w:t xml:space="preserve"> </w:t>
      </w:r>
      <w:r w:rsidRPr="006008DB">
        <w:t>https://op.europa.eu/webpub/eac/education-and-training-monitor/en/monitor-toolbox/themes/adult-learning.html?utm_source=chatgpt.com</w:t>
      </w:r>
    </w:p>
  </w:footnote>
  <w:footnote w:id="62">
    <w:p w14:paraId="2D50DEC0" w14:textId="57ECC68F" w:rsidR="00621981" w:rsidRDefault="00621981">
      <w:pPr>
        <w:pStyle w:val="Tekstfusnote"/>
      </w:pPr>
      <w:r>
        <w:rPr>
          <w:rStyle w:val="Referencafusnote"/>
        </w:rPr>
        <w:footnoteRef/>
      </w:r>
      <w:r>
        <w:t xml:space="preserve"> </w:t>
      </w:r>
      <w:r w:rsidRPr="006008DB">
        <w:t>https://www.gov.me/clanak/izvjestaj-o-realizaciji-godisnjeg-plana-obrazovanja-odraslih-za-2025-godinu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A55F9" w14:textId="45D39B95" w:rsidR="00D959B1" w:rsidRDefault="00D959B1">
    <w:pPr>
      <w:pStyle w:val="Zaglavlje"/>
    </w:pPr>
    <w:r w:rsidRPr="00095509">
      <w:rPr>
        <w:lang w:val="en-US"/>
      </w:rPr>
      <w:drawing>
        <wp:anchor distT="0" distB="0" distL="114300" distR="114300" simplePos="0" relativeHeight="251659264" behindDoc="0" locked="0" layoutInCell="1" allowOverlap="1" wp14:anchorId="3BFB9A6D" wp14:editId="3EBE09FB">
          <wp:simplePos x="0" y="0"/>
          <wp:positionH relativeFrom="column">
            <wp:posOffset>0</wp:posOffset>
          </wp:positionH>
          <wp:positionV relativeFrom="paragraph">
            <wp:posOffset>115248</wp:posOffset>
          </wp:positionV>
          <wp:extent cx="1459865" cy="729615"/>
          <wp:effectExtent l="0" t="0" r="6985" b="0"/>
          <wp:wrapThrough wrapText="bothSides">
            <wp:wrapPolygon edited="0">
              <wp:start x="1973" y="3948"/>
              <wp:lineTo x="282" y="6768"/>
              <wp:lineTo x="282" y="12407"/>
              <wp:lineTo x="1973" y="14663"/>
              <wp:lineTo x="12120" y="16919"/>
              <wp:lineTo x="15784" y="16919"/>
              <wp:lineTo x="20858" y="14663"/>
              <wp:lineTo x="21421" y="12971"/>
              <wp:lineTo x="21421" y="5076"/>
              <wp:lineTo x="3382" y="3948"/>
              <wp:lineTo x="1973" y="3948"/>
            </wp:wrapPolygon>
          </wp:wrapThrough>
          <wp:docPr id="154918060"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459865" cy="729615"/>
                  </a:xfrm>
                  <a:prstGeom prst="rect">
                    <a:avLst/>
                  </a:prstGeom>
                </pic:spPr>
              </pic:pic>
            </a:graphicData>
          </a:graphic>
        </wp:anchor>
      </w:drawing>
    </w:r>
  </w:p>
  <w:p w14:paraId="2C7692BC" w14:textId="2C1EE119" w:rsidR="00D959B1" w:rsidRDefault="00D959B1">
    <w:pPr>
      <w:pStyle w:val="Zaglavlje"/>
    </w:pPr>
  </w:p>
  <w:p w14:paraId="6C61B2B1" w14:textId="21D4B5C7" w:rsidR="00D959B1" w:rsidRDefault="00D959B1">
    <w:pPr>
      <w:pStyle w:val="Zaglavlje"/>
    </w:pPr>
  </w:p>
  <w:p w14:paraId="5C340568" w14:textId="77777777" w:rsidR="00D959B1" w:rsidRDefault="00D959B1">
    <w:pPr>
      <w:pStyle w:val="Zaglavlje"/>
    </w:pPr>
  </w:p>
  <w:p w14:paraId="3675CEAC" w14:textId="4819EC9F" w:rsidR="00D959B1" w:rsidRDefault="00D959B1">
    <w:pPr>
      <w:pStyle w:val="Zaglavlje"/>
    </w:pPr>
  </w:p>
  <w:p w14:paraId="02C96E27" w14:textId="3D56CBC2" w:rsidR="00D959B1" w:rsidRDefault="00D959B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17F5"/>
    <w:multiLevelType w:val="hybridMultilevel"/>
    <w:tmpl w:val="6CB2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87A82"/>
    <w:multiLevelType w:val="hybridMultilevel"/>
    <w:tmpl w:val="2C7272E8"/>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2" w15:restartNumberingAfterBreak="0">
    <w:nsid w:val="1D562515"/>
    <w:multiLevelType w:val="hybridMultilevel"/>
    <w:tmpl w:val="9CCE17A6"/>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3" w15:restartNumberingAfterBreak="0">
    <w:nsid w:val="1DD52FD2"/>
    <w:multiLevelType w:val="hybridMultilevel"/>
    <w:tmpl w:val="A6827D0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E485B4D"/>
    <w:multiLevelType w:val="hybridMultilevel"/>
    <w:tmpl w:val="D124E9D4"/>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5" w15:restartNumberingAfterBreak="0">
    <w:nsid w:val="20911E0F"/>
    <w:multiLevelType w:val="multilevel"/>
    <w:tmpl w:val="CB8C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BA6CEF"/>
    <w:multiLevelType w:val="multilevel"/>
    <w:tmpl w:val="AAB2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21AE7"/>
    <w:multiLevelType w:val="hybridMultilevel"/>
    <w:tmpl w:val="99EA11C2"/>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261934D7"/>
    <w:multiLevelType w:val="multilevel"/>
    <w:tmpl w:val="B5AA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3206BD"/>
    <w:multiLevelType w:val="hybridMultilevel"/>
    <w:tmpl w:val="53E04BF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34322DB9"/>
    <w:multiLevelType w:val="hybridMultilevel"/>
    <w:tmpl w:val="A4EC639C"/>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1" w15:restartNumberingAfterBreak="0">
    <w:nsid w:val="370D2320"/>
    <w:multiLevelType w:val="hybridMultilevel"/>
    <w:tmpl w:val="7250E50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976339A"/>
    <w:multiLevelType w:val="hybridMultilevel"/>
    <w:tmpl w:val="9A38D540"/>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40B81928"/>
    <w:multiLevelType w:val="hybridMultilevel"/>
    <w:tmpl w:val="BB9CCEA2"/>
    <w:lvl w:ilvl="0" w:tplc="04090001">
      <w:start w:val="1"/>
      <w:numFmt w:val="bullet"/>
      <w:lvlText w:val=""/>
      <w:lvlJc w:val="left"/>
      <w:pPr>
        <w:ind w:left="720" w:hanging="360"/>
      </w:pPr>
      <w:rPr>
        <w:rFonts w:ascii="Symbol" w:hAnsi="Symbol" w:hint="default"/>
      </w:rPr>
    </w:lvl>
    <w:lvl w:ilvl="1" w:tplc="B5589B74">
      <w:numFmt w:val="bullet"/>
      <w:lvlText w:val="•"/>
      <w:lvlJc w:val="left"/>
      <w:pPr>
        <w:ind w:left="1440" w:hanging="360"/>
      </w:pPr>
      <w:rPr>
        <w:rFonts w:ascii="Calibri" w:eastAsiaTheme="minorHAnsi" w:hAnsi="Calibri" w:cs="Calibri"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501913F3"/>
    <w:multiLevelType w:val="hybridMultilevel"/>
    <w:tmpl w:val="2198091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67196650"/>
    <w:multiLevelType w:val="hybridMultilevel"/>
    <w:tmpl w:val="AAA87C26"/>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6BE86C55"/>
    <w:multiLevelType w:val="multilevel"/>
    <w:tmpl w:val="A670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EF4E31"/>
    <w:multiLevelType w:val="multilevel"/>
    <w:tmpl w:val="055C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DB1EEF"/>
    <w:multiLevelType w:val="hybridMultilevel"/>
    <w:tmpl w:val="E1728152"/>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9" w15:restartNumberingAfterBreak="0">
    <w:nsid w:val="7A5856D4"/>
    <w:multiLevelType w:val="hybridMultilevel"/>
    <w:tmpl w:val="95CC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5446222">
    <w:abstractNumId w:val="13"/>
  </w:num>
  <w:num w:numId="2" w16cid:durableId="247424258">
    <w:abstractNumId w:val="0"/>
  </w:num>
  <w:num w:numId="3" w16cid:durableId="773328457">
    <w:abstractNumId w:val="15"/>
  </w:num>
  <w:num w:numId="4" w16cid:durableId="1295208822">
    <w:abstractNumId w:val="2"/>
  </w:num>
  <w:num w:numId="5" w16cid:durableId="367680820">
    <w:abstractNumId w:val="12"/>
  </w:num>
  <w:num w:numId="6" w16cid:durableId="611133370">
    <w:abstractNumId w:val="19"/>
  </w:num>
  <w:num w:numId="7" w16cid:durableId="47539522">
    <w:abstractNumId w:val="16"/>
  </w:num>
  <w:num w:numId="8" w16cid:durableId="1111314207">
    <w:abstractNumId w:val="17"/>
  </w:num>
  <w:num w:numId="9" w16cid:durableId="1951622975">
    <w:abstractNumId w:val="5"/>
  </w:num>
  <w:num w:numId="10" w16cid:durableId="331875492">
    <w:abstractNumId w:val="6"/>
  </w:num>
  <w:num w:numId="11" w16cid:durableId="838159964">
    <w:abstractNumId w:val="8"/>
  </w:num>
  <w:num w:numId="12" w16cid:durableId="1390153941">
    <w:abstractNumId w:val="10"/>
  </w:num>
  <w:num w:numId="13" w16cid:durableId="550725677">
    <w:abstractNumId w:val="9"/>
  </w:num>
  <w:num w:numId="14" w16cid:durableId="1914773884">
    <w:abstractNumId w:val="3"/>
  </w:num>
  <w:num w:numId="15" w16cid:durableId="754209205">
    <w:abstractNumId w:val="14"/>
  </w:num>
  <w:num w:numId="16" w16cid:durableId="1064839807">
    <w:abstractNumId w:val="4"/>
  </w:num>
  <w:num w:numId="17" w16cid:durableId="1193566406">
    <w:abstractNumId w:val="18"/>
  </w:num>
  <w:num w:numId="18" w16cid:durableId="1134639969">
    <w:abstractNumId w:val="11"/>
  </w:num>
  <w:num w:numId="19" w16cid:durableId="202210920">
    <w:abstractNumId w:val="7"/>
  </w:num>
  <w:num w:numId="20" w16cid:durableId="219439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7BC"/>
    <w:rsid w:val="000363E7"/>
    <w:rsid w:val="00036A11"/>
    <w:rsid w:val="000647F9"/>
    <w:rsid w:val="000C0E13"/>
    <w:rsid w:val="000E1F00"/>
    <w:rsid w:val="00112D31"/>
    <w:rsid w:val="0012229B"/>
    <w:rsid w:val="00174792"/>
    <w:rsid w:val="001C56CB"/>
    <w:rsid w:val="00201618"/>
    <w:rsid w:val="00265F8C"/>
    <w:rsid w:val="00284A5B"/>
    <w:rsid w:val="002A1381"/>
    <w:rsid w:val="002A1BB8"/>
    <w:rsid w:val="002A663A"/>
    <w:rsid w:val="002D6FE8"/>
    <w:rsid w:val="002D7E3A"/>
    <w:rsid w:val="00311BC7"/>
    <w:rsid w:val="00315DF0"/>
    <w:rsid w:val="00355719"/>
    <w:rsid w:val="003630F9"/>
    <w:rsid w:val="003B0810"/>
    <w:rsid w:val="003B687C"/>
    <w:rsid w:val="003D7080"/>
    <w:rsid w:val="003E084B"/>
    <w:rsid w:val="003E226A"/>
    <w:rsid w:val="00405165"/>
    <w:rsid w:val="004137DD"/>
    <w:rsid w:val="00417444"/>
    <w:rsid w:val="0042392A"/>
    <w:rsid w:val="004D41F0"/>
    <w:rsid w:val="004D67BC"/>
    <w:rsid w:val="00551AAC"/>
    <w:rsid w:val="00577784"/>
    <w:rsid w:val="006008DB"/>
    <w:rsid w:val="00621981"/>
    <w:rsid w:val="00672BA3"/>
    <w:rsid w:val="006951F6"/>
    <w:rsid w:val="006A1BFC"/>
    <w:rsid w:val="006B306A"/>
    <w:rsid w:val="006E0D11"/>
    <w:rsid w:val="0074338B"/>
    <w:rsid w:val="008069C2"/>
    <w:rsid w:val="00811E78"/>
    <w:rsid w:val="00813534"/>
    <w:rsid w:val="0087152E"/>
    <w:rsid w:val="008740C9"/>
    <w:rsid w:val="008C2B0C"/>
    <w:rsid w:val="008E64BA"/>
    <w:rsid w:val="008F34A9"/>
    <w:rsid w:val="0092523F"/>
    <w:rsid w:val="0093136E"/>
    <w:rsid w:val="00953F67"/>
    <w:rsid w:val="0099339D"/>
    <w:rsid w:val="009A0264"/>
    <w:rsid w:val="00A1491C"/>
    <w:rsid w:val="00A31522"/>
    <w:rsid w:val="00A32C81"/>
    <w:rsid w:val="00A52279"/>
    <w:rsid w:val="00AC410E"/>
    <w:rsid w:val="00B17B5B"/>
    <w:rsid w:val="00B44439"/>
    <w:rsid w:val="00B722BD"/>
    <w:rsid w:val="00B86172"/>
    <w:rsid w:val="00B96841"/>
    <w:rsid w:val="00BD1487"/>
    <w:rsid w:val="00C04B1C"/>
    <w:rsid w:val="00C07005"/>
    <w:rsid w:val="00C94037"/>
    <w:rsid w:val="00D01142"/>
    <w:rsid w:val="00D13A85"/>
    <w:rsid w:val="00D15A01"/>
    <w:rsid w:val="00D23846"/>
    <w:rsid w:val="00D94D9A"/>
    <w:rsid w:val="00D959B1"/>
    <w:rsid w:val="00DC0566"/>
    <w:rsid w:val="00DE2FF4"/>
    <w:rsid w:val="00E27755"/>
    <w:rsid w:val="00E92DFE"/>
    <w:rsid w:val="00EA7686"/>
    <w:rsid w:val="00F1307B"/>
    <w:rsid w:val="00F4622C"/>
    <w:rsid w:val="00FC15BF"/>
    <w:rsid w:val="4BB01E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F652"/>
  <w15:chartTrackingRefBased/>
  <w15:docId w15:val="{CB5BF37B-F7B4-4023-84CF-3C348147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7BC"/>
    <w:pPr>
      <w:jc w:val="both"/>
    </w:pPr>
    <w:rPr>
      <w:sz w:val="22"/>
      <w:lang w:val="sr-Latn-ME"/>
    </w:rPr>
  </w:style>
  <w:style w:type="paragraph" w:styleId="Naslov1">
    <w:name w:val="heading 1"/>
    <w:basedOn w:val="Normal"/>
    <w:next w:val="Normal"/>
    <w:link w:val="Naslov1Char"/>
    <w:uiPriority w:val="9"/>
    <w:qFormat/>
    <w:rsid w:val="004D67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4D67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4D67B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4D67B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4D67BC"/>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4D67B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D67B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D67B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D67B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D67BC"/>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4D67BC"/>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4D67BC"/>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4D67BC"/>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D67BC"/>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D67B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D67B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D67B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D67BC"/>
    <w:rPr>
      <w:rFonts w:eastAsiaTheme="majorEastAsia" w:cstheme="majorBidi"/>
      <w:color w:val="272727" w:themeColor="text1" w:themeTint="D8"/>
    </w:rPr>
  </w:style>
  <w:style w:type="paragraph" w:styleId="Naslov">
    <w:name w:val="Title"/>
    <w:basedOn w:val="Normal"/>
    <w:next w:val="Normal"/>
    <w:link w:val="NaslovChar"/>
    <w:uiPriority w:val="10"/>
    <w:qFormat/>
    <w:rsid w:val="004D6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D67B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D67B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D67B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D67BC"/>
    <w:pPr>
      <w:spacing w:before="160"/>
      <w:jc w:val="center"/>
    </w:pPr>
    <w:rPr>
      <w:i/>
      <w:iCs/>
      <w:color w:val="404040" w:themeColor="text1" w:themeTint="BF"/>
    </w:rPr>
  </w:style>
  <w:style w:type="character" w:customStyle="1" w:styleId="CitatChar">
    <w:name w:val="Citat Char"/>
    <w:basedOn w:val="Zadanifontodlomka"/>
    <w:link w:val="Citat"/>
    <w:uiPriority w:val="29"/>
    <w:rsid w:val="004D67BC"/>
    <w:rPr>
      <w:i/>
      <w:iCs/>
      <w:color w:val="404040" w:themeColor="text1" w:themeTint="BF"/>
    </w:rPr>
  </w:style>
  <w:style w:type="paragraph" w:styleId="Odlomakpopisa">
    <w:name w:val="List Paragraph"/>
    <w:basedOn w:val="Normal"/>
    <w:uiPriority w:val="34"/>
    <w:qFormat/>
    <w:rsid w:val="004D67BC"/>
    <w:pPr>
      <w:ind w:left="720"/>
      <w:contextualSpacing/>
    </w:pPr>
  </w:style>
  <w:style w:type="character" w:styleId="Jakoisticanje">
    <w:name w:val="Intense Emphasis"/>
    <w:basedOn w:val="Zadanifontodlomka"/>
    <w:uiPriority w:val="21"/>
    <w:qFormat/>
    <w:rsid w:val="004D67BC"/>
    <w:rPr>
      <w:i/>
      <w:iCs/>
      <w:color w:val="0F4761" w:themeColor="accent1" w:themeShade="BF"/>
    </w:rPr>
  </w:style>
  <w:style w:type="paragraph" w:styleId="Naglaencitat">
    <w:name w:val="Intense Quote"/>
    <w:basedOn w:val="Normal"/>
    <w:next w:val="Normal"/>
    <w:link w:val="NaglaencitatChar"/>
    <w:uiPriority w:val="30"/>
    <w:qFormat/>
    <w:rsid w:val="004D67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4D67BC"/>
    <w:rPr>
      <w:i/>
      <w:iCs/>
      <w:color w:val="0F4761" w:themeColor="accent1" w:themeShade="BF"/>
    </w:rPr>
  </w:style>
  <w:style w:type="character" w:styleId="Istaknutareferenca">
    <w:name w:val="Intense Reference"/>
    <w:basedOn w:val="Zadanifontodlomka"/>
    <w:uiPriority w:val="32"/>
    <w:qFormat/>
    <w:rsid w:val="004D67BC"/>
    <w:rPr>
      <w:b/>
      <w:bCs/>
      <w:smallCaps/>
      <w:color w:val="0F4761" w:themeColor="accent1" w:themeShade="BF"/>
      <w:spacing w:val="5"/>
    </w:rPr>
  </w:style>
  <w:style w:type="character" w:styleId="Naglaeno">
    <w:name w:val="Strong"/>
    <w:basedOn w:val="Zadanifontodlomka"/>
    <w:uiPriority w:val="22"/>
    <w:qFormat/>
    <w:rsid w:val="004D67BC"/>
    <w:rPr>
      <w:b/>
      <w:bCs/>
    </w:rPr>
  </w:style>
  <w:style w:type="table" w:styleId="Reetkatablice">
    <w:name w:val="Table Grid"/>
    <w:basedOn w:val="Obinatablica"/>
    <w:uiPriority w:val="39"/>
    <w:rsid w:val="004D67BC"/>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aliases w:val="single space,Texte de note de bas de page,Note de bas de page Car,ALTS FOOTNOTE,ADB,fn,ft,Footnote Text Char Char,FOOTNOTES,Fodnotetekst Tegn,Footnote Text1,footnote text Char,footnote text Char Char Char,Fußnotentextf,Footnote Text Char1"/>
    <w:basedOn w:val="Normal"/>
    <w:link w:val="TekstfusnoteChar"/>
    <w:uiPriority w:val="99"/>
    <w:unhideWhenUsed/>
    <w:qFormat/>
    <w:rsid w:val="004D67BC"/>
    <w:pPr>
      <w:spacing w:after="0" w:line="240" w:lineRule="auto"/>
    </w:pPr>
    <w:rPr>
      <w:sz w:val="16"/>
      <w:szCs w:val="16"/>
      <w14:ligatures w14:val="none"/>
    </w:rPr>
  </w:style>
  <w:style w:type="character" w:customStyle="1" w:styleId="TekstfusnoteChar">
    <w:name w:val="Tekst fusnote Char"/>
    <w:aliases w:val="single space Char,Texte de note de bas de page Char,Note de bas de page Car Char,ALTS FOOTNOTE Char,ADB Char,fn Char,ft Char,Footnote Text Char Char Char,FOOTNOTES Char,Fodnotetekst Tegn Char,Footnote Text1 Char,Fußnotentextf Char"/>
    <w:basedOn w:val="Zadanifontodlomka"/>
    <w:link w:val="Tekstfusnote"/>
    <w:uiPriority w:val="99"/>
    <w:qFormat/>
    <w:rsid w:val="004D67BC"/>
    <w:rPr>
      <w:sz w:val="16"/>
      <w:szCs w:val="16"/>
      <w:lang w:val="sr-Latn-ME"/>
      <w14:ligatures w14:val="none"/>
    </w:rPr>
  </w:style>
  <w:style w:type="character" w:styleId="Referencafusnote">
    <w:name w:val="footnote reference"/>
    <w:aliases w:val="BVI fnr,BVI fnr Car Car,BVI fnr Char,BVI fnr Car Car Char,BVI fnr Car Char,BVI fnr Car Car Car Car Char,BVI fnr Car Car Car Car Char Char,4_,FNRefe Char Char,BVI fnr Char Char,BVI fnr Char Char Char,BVI fnr Car Car Char Char Char,ftre"/>
    <w:basedOn w:val="Zadanifontodlomka"/>
    <w:link w:val="Char2"/>
    <w:unhideWhenUsed/>
    <w:qFormat/>
    <w:rsid w:val="004D67BC"/>
    <w:rPr>
      <w:vertAlign w:val="superscript"/>
    </w:rPr>
  </w:style>
  <w:style w:type="character" w:styleId="Hiperveza">
    <w:name w:val="Hyperlink"/>
    <w:basedOn w:val="Zadanifontodlomka"/>
    <w:uiPriority w:val="99"/>
    <w:unhideWhenUsed/>
    <w:qFormat/>
    <w:rsid w:val="004D67BC"/>
    <w:rPr>
      <w:color w:val="467886" w:themeColor="hyperlink"/>
      <w:u w:val="single"/>
    </w:rPr>
  </w:style>
  <w:style w:type="character" w:styleId="Istaknuto">
    <w:name w:val="Emphasis"/>
    <w:basedOn w:val="Zadanifontodlomka"/>
    <w:uiPriority w:val="20"/>
    <w:qFormat/>
    <w:rsid w:val="004D67BC"/>
    <w:rPr>
      <w:i/>
      <w:iCs/>
    </w:rPr>
  </w:style>
  <w:style w:type="paragraph" w:customStyle="1" w:styleId="Char2">
    <w:name w:val="Char2"/>
    <w:basedOn w:val="Normal"/>
    <w:link w:val="Referencafusnote"/>
    <w:rsid w:val="004D67BC"/>
    <w:pPr>
      <w:spacing w:line="240" w:lineRule="exact"/>
    </w:pPr>
    <w:rPr>
      <w:vertAlign w:val="superscript"/>
    </w:rPr>
  </w:style>
  <w:style w:type="paragraph" w:styleId="Tekstbalonia">
    <w:name w:val="Balloon Text"/>
    <w:basedOn w:val="Normal"/>
    <w:link w:val="TekstbaloniaChar"/>
    <w:uiPriority w:val="99"/>
    <w:semiHidden/>
    <w:unhideWhenUsed/>
    <w:rsid w:val="00E2775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27755"/>
    <w:rPr>
      <w:rFonts w:ascii="Segoe UI" w:hAnsi="Segoe UI" w:cs="Segoe UI"/>
      <w:sz w:val="18"/>
      <w:szCs w:val="18"/>
      <w:lang w:val="sr-Latn-ME"/>
    </w:rPr>
  </w:style>
  <w:style w:type="paragraph" w:styleId="Zaglavlje">
    <w:name w:val="header"/>
    <w:basedOn w:val="Normal"/>
    <w:link w:val="ZaglavljeChar"/>
    <w:uiPriority w:val="99"/>
    <w:unhideWhenUsed/>
    <w:rsid w:val="008069C2"/>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8069C2"/>
    <w:rPr>
      <w:sz w:val="22"/>
      <w:lang w:val="sr-Latn-ME"/>
    </w:rPr>
  </w:style>
  <w:style w:type="paragraph" w:styleId="Podnoje">
    <w:name w:val="footer"/>
    <w:basedOn w:val="Normal"/>
    <w:link w:val="PodnojeChar"/>
    <w:uiPriority w:val="99"/>
    <w:unhideWhenUsed/>
    <w:rsid w:val="008069C2"/>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8069C2"/>
    <w:rPr>
      <w:sz w:val="22"/>
      <w:lang w:val="sr-Latn-ME"/>
    </w:rPr>
  </w:style>
  <w:style w:type="paragraph" w:styleId="Obinitekst">
    <w:name w:val="Plain Text"/>
    <w:basedOn w:val="Normal"/>
    <w:link w:val="ObinitekstChar"/>
    <w:uiPriority w:val="99"/>
    <w:semiHidden/>
    <w:unhideWhenUsed/>
    <w:rsid w:val="00953F67"/>
    <w:pPr>
      <w:spacing w:after="0" w:line="240" w:lineRule="auto"/>
      <w:jc w:val="left"/>
    </w:pPr>
    <w:rPr>
      <w:rFonts w:ascii="Calibri" w:hAnsi="Calibri"/>
      <w:szCs w:val="21"/>
      <w14:ligatures w14:val="none"/>
    </w:rPr>
  </w:style>
  <w:style w:type="character" w:customStyle="1" w:styleId="ObinitekstChar">
    <w:name w:val="Obični tekst Char"/>
    <w:basedOn w:val="Zadanifontodlomka"/>
    <w:link w:val="Obinitekst"/>
    <w:uiPriority w:val="99"/>
    <w:semiHidden/>
    <w:rsid w:val="00953F67"/>
    <w:rPr>
      <w:rFonts w:ascii="Calibri" w:hAnsi="Calibri"/>
      <w:sz w:val="22"/>
      <w:szCs w:val="21"/>
      <w:lang w:val="sr-Latn-ME"/>
      <w14:ligatures w14:val="none"/>
    </w:rPr>
  </w:style>
  <w:style w:type="table" w:styleId="Svijetlatablicareetke1-isticanje4">
    <w:name w:val="Grid Table 1 Light Accent 4"/>
    <w:basedOn w:val="Obinatablica"/>
    <w:uiPriority w:val="46"/>
    <w:rsid w:val="00D959B1"/>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Svijetlatablicareetke-isticanje1">
    <w:name w:val="Grid Table 1 Light Accent 1"/>
    <w:basedOn w:val="Obinatablica"/>
    <w:uiPriority w:val="46"/>
    <w:rsid w:val="00D959B1"/>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0087">
      <w:bodyDiv w:val="1"/>
      <w:marLeft w:val="0"/>
      <w:marRight w:val="0"/>
      <w:marTop w:val="0"/>
      <w:marBottom w:val="0"/>
      <w:divBdr>
        <w:top w:val="none" w:sz="0" w:space="0" w:color="auto"/>
        <w:left w:val="none" w:sz="0" w:space="0" w:color="auto"/>
        <w:bottom w:val="none" w:sz="0" w:space="0" w:color="auto"/>
        <w:right w:val="none" w:sz="0" w:space="0" w:color="auto"/>
      </w:divBdr>
    </w:div>
    <w:div w:id="233318060">
      <w:bodyDiv w:val="1"/>
      <w:marLeft w:val="0"/>
      <w:marRight w:val="0"/>
      <w:marTop w:val="0"/>
      <w:marBottom w:val="0"/>
      <w:divBdr>
        <w:top w:val="none" w:sz="0" w:space="0" w:color="auto"/>
        <w:left w:val="none" w:sz="0" w:space="0" w:color="auto"/>
        <w:bottom w:val="none" w:sz="0" w:space="0" w:color="auto"/>
        <w:right w:val="none" w:sz="0" w:space="0" w:color="auto"/>
      </w:divBdr>
    </w:div>
    <w:div w:id="491290533">
      <w:bodyDiv w:val="1"/>
      <w:marLeft w:val="0"/>
      <w:marRight w:val="0"/>
      <w:marTop w:val="0"/>
      <w:marBottom w:val="0"/>
      <w:divBdr>
        <w:top w:val="none" w:sz="0" w:space="0" w:color="auto"/>
        <w:left w:val="none" w:sz="0" w:space="0" w:color="auto"/>
        <w:bottom w:val="none" w:sz="0" w:space="0" w:color="auto"/>
        <w:right w:val="none" w:sz="0" w:space="0" w:color="auto"/>
      </w:divBdr>
    </w:div>
    <w:div w:id="511648921">
      <w:bodyDiv w:val="1"/>
      <w:marLeft w:val="0"/>
      <w:marRight w:val="0"/>
      <w:marTop w:val="0"/>
      <w:marBottom w:val="0"/>
      <w:divBdr>
        <w:top w:val="none" w:sz="0" w:space="0" w:color="auto"/>
        <w:left w:val="none" w:sz="0" w:space="0" w:color="auto"/>
        <w:bottom w:val="none" w:sz="0" w:space="0" w:color="auto"/>
        <w:right w:val="none" w:sz="0" w:space="0" w:color="auto"/>
      </w:divBdr>
    </w:div>
    <w:div w:id="586381883">
      <w:bodyDiv w:val="1"/>
      <w:marLeft w:val="0"/>
      <w:marRight w:val="0"/>
      <w:marTop w:val="0"/>
      <w:marBottom w:val="0"/>
      <w:divBdr>
        <w:top w:val="none" w:sz="0" w:space="0" w:color="auto"/>
        <w:left w:val="none" w:sz="0" w:space="0" w:color="auto"/>
        <w:bottom w:val="none" w:sz="0" w:space="0" w:color="auto"/>
        <w:right w:val="none" w:sz="0" w:space="0" w:color="auto"/>
      </w:divBdr>
    </w:div>
    <w:div w:id="943464813">
      <w:bodyDiv w:val="1"/>
      <w:marLeft w:val="0"/>
      <w:marRight w:val="0"/>
      <w:marTop w:val="0"/>
      <w:marBottom w:val="0"/>
      <w:divBdr>
        <w:top w:val="none" w:sz="0" w:space="0" w:color="auto"/>
        <w:left w:val="none" w:sz="0" w:space="0" w:color="auto"/>
        <w:bottom w:val="none" w:sz="0" w:space="0" w:color="auto"/>
        <w:right w:val="none" w:sz="0" w:space="0" w:color="auto"/>
      </w:divBdr>
    </w:div>
    <w:div w:id="1257520614">
      <w:bodyDiv w:val="1"/>
      <w:marLeft w:val="0"/>
      <w:marRight w:val="0"/>
      <w:marTop w:val="0"/>
      <w:marBottom w:val="0"/>
      <w:divBdr>
        <w:top w:val="none" w:sz="0" w:space="0" w:color="auto"/>
        <w:left w:val="none" w:sz="0" w:space="0" w:color="auto"/>
        <w:bottom w:val="none" w:sz="0" w:space="0" w:color="auto"/>
        <w:right w:val="none" w:sz="0" w:space="0" w:color="auto"/>
      </w:divBdr>
    </w:div>
    <w:div w:id="1454711172">
      <w:bodyDiv w:val="1"/>
      <w:marLeft w:val="0"/>
      <w:marRight w:val="0"/>
      <w:marTop w:val="0"/>
      <w:marBottom w:val="0"/>
      <w:divBdr>
        <w:top w:val="none" w:sz="0" w:space="0" w:color="auto"/>
        <w:left w:val="none" w:sz="0" w:space="0" w:color="auto"/>
        <w:bottom w:val="none" w:sz="0" w:space="0" w:color="auto"/>
        <w:right w:val="none" w:sz="0" w:space="0" w:color="auto"/>
      </w:divBdr>
    </w:div>
    <w:div w:id="1532717267">
      <w:bodyDiv w:val="1"/>
      <w:marLeft w:val="0"/>
      <w:marRight w:val="0"/>
      <w:marTop w:val="0"/>
      <w:marBottom w:val="0"/>
      <w:divBdr>
        <w:top w:val="none" w:sz="0" w:space="0" w:color="auto"/>
        <w:left w:val="none" w:sz="0" w:space="0" w:color="auto"/>
        <w:bottom w:val="none" w:sz="0" w:space="0" w:color="auto"/>
        <w:right w:val="none" w:sz="0" w:space="0" w:color="auto"/>
      </w:divBdr>
    </w:div>
    <w:div w:id="1933782200">
      <w:bodyDiv w:val="1"/>
      <w:marLeft w:val="0"/>
      <w:marRight w:val="0"/>
      <w:marTop w:val="0"/>
      <w:marBottom w:val="0"/>
      <w:divBdr>
        <w:top w:val="none" w:sz="0" w:space="0" w:color="auto"/>
        <w:left w:val="none" w:sz="0" w:space="0" w:color="auto"/>
        <w:bottom w:val="none" w:sz="0" w:space="0" w:color="auto"/>
        <w:right w:val="none" w:sz="0" w:space="0" w:color="auto"/>
      </w:divBdr>
    </w:div>
    <w:div w:id="193628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u.me/en/poglavlje-26-obrazovanje-i-kultur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me/dokumenta/c5343fcc-2a27-49ea-9a91-6c117b00907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me/dokumenta/73f999b6-b879-4868-a72d-e670ce78f77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ehea.info/media.ehea.info/file/BFUG_Meeting/49/6/BFUG_BG_SR_61_4c_AppendixIII_947496.pdf" TargetMode="External"/><Relationship Id="rId18" Type="http://schemas.openxmlformats.org/officeDocument/2006/relationships/hyperlink" Target="https://eurydice.eacea.ec.europa.eu/news/montenegro-education-future-adopting-education-reform-strategy-2025-2035" TargetMode="External"/><Relationship Id="rId26" Type="http://schemas.openxmlformats.org/officeDocument/2006/relationships/hyperlink" Target="https://eurydice.eacea.ec.europa.eu/eurypedia/montenegro/national-reforms-vocational-education-and-training-and-adult-learning" TargetMode="External"/><Relationship Id="rId39" Type="http://schemas.openxmlformats.org/officeDocument/2006/relationships/hyperlink" Target="https://reform-monitor.org/wp-content/uploads/2025/05/Reform-agenda-Montenegro_.pdf" TargetMode="External"/><Relationship Id="rId21" Type="http://schemas.openxmlformats.org/officeDocument/2006/relationships/hyperlink" Target="https://www.gov.me/clanak/program-razvoja-opsteg-srednjeg-obrazovanja-u-crnoj-gori-2024-2026" TargetMode="External"/><Relationship Id="rId34" Type="http://schemas.openxmlformats.org/officeDocument/2006/relationships/hyperlink" Target="https://www.eu.me/en/poglavlje-26-obrazovanje-i-kultura/" TargetMode="External"/><Relationship Id="rId42" Type="http://schemas.openxmlformats.org/officeDocument/2006/relationships/hyperlink" Target="https://monstat.org/cg/page.php?id=1676&amp;pageid=75" TargetMode="External"/><Relationship Id="rId7" Type="http://schemas.openxmlformats.org/officeDocument/2006/relationships/hyperlink" Target="https://employment-social-affairs.ec.europa.eu/policies-and-activities/skills-and-qualifications/skills-jobs/vocational-education-and-training-vet_en" TargetMode="External"/><Relationship Id="rId2" Type="http://schemas.openxmlformats.org/officeDocument/2006/relationships/hyperlink" Target="https://eur-lex.europa.eu/legal-content/EN/TXT/?uri=CELEX%3A52025PC0545" TargetMode="External"/><Relationship Id="rId16" Type="http://schemas.openxmlformats.org/officeDocument/2006/relationships/hyperlink" Target="https://enlargement.ec.europa.eu/montenegro-report-2025_en" TargetMode="External"/><Relationship Id="rId20" Type="http://schemas.openxmlformats.org/officeDocument/2006/relationships/hyperlink" Target="https://enlargement.ec.europa.eu/montenegro-report-2025_en" TargetMode="External"/><Relationship Id="rId29" Type="http://schemas.openxmlformats.org/officeDocument/2006/relationships/hyperlink" Target="https://www.etf.europa.eu/en/news-and-events/news/re-thinking-vocational-education-and-training-montenegro" TargetMode="External"/><Relationship Id="rId41" Type="http://schemas.openxmlformats.org/officeDocument/2006/relationships/hyperlink" Target="https://enlargement.ec.europa.eu/montenegro-report-2025_en" TargetMode="External"/><Relationship Id="rId1" Type="http://schemas.openxmlformats.org/officeDocument/2006/relationships/hyperlink" Target="https://www.oecd.org/en/publications/pisa-2022-results-volume-i_53f23881-en.html" TargetMode="External"/><Relationship Id="rId6" Type="http://schemas.openxmlformats.org/officeDocument/2006/relationships/hyperlink" Target="https://www.cedefop.europa.eu/files/osnabrueck_declaration_eu2020.pdf" TargetMode="External"/><Relationship Id="rId11" Type="http://schemas.openxmlformats.org/officeDocument/2006/relationships/hyperlink" Target="https://education.ec.europa.eu/focus-topics/digital-education/action-plan" TargetMode="External"/><Relationship Id="rId24" Type="http://schemas.openxmlformats.org/officeDocument/2006/relationships/hyperlink" Target="https://www.oecd.org/content/dam/oecd/en/publications/reports/2023/11/pisa-2022-results-volume-i-and-ii-country-notes_2fca04b9/montenegro_87c6902b/84d80839-en.pdf" TargetMode="External"/><Relationship Id="rId32" Type="http://schemas.openxmlformats.org/officeDocument/2006/relationships/hyperlink" Target="https://www.gov.me/clanak/strategija-visokog-obrazovanja" TargetMode="External"/><Relationship Id="rId37" Type="http://schemas.openxmlformats.org/officeDocument/2006/relationships/hyperlink" Target="https://www.gov.me/dokumenta/c5343fcc-2a27-49ea-9a91-6c117b009076" TargetMode="External"/><Relationship Id="rId40" Type="http://schemas.openxmlformats.org/officeDocument/2006/relationships/hyperlink" Target="https://data.consilium.europa.eu/doc/document/ST-8076-2025-INIT/en/pd" TargetMode="External"/><Relationship Id="rId5" Type="http://schemas.openxmlformats.org/officeDocument/2006/relationships/hyperlink" Target="https://eur-lex.europa.eu/legal-content/EN/TXT/?uri=CELEX:32020H1202(01)" TargetMode="External"/><Relationship Id="rId15" Type="http://schemas.openxmlformats.org/officeDocument/2006/relationships/hyperlink" Target="https://www.eu.me/en/poglavlje-26-obrazovanje-i-kultura/" TargetMode="External"/><Relationship Id="rId23" Type="http://schemas.openxmlformats.org/officeDocument/2006/relationships/hyperlink" Target="https://www.oecd.org/en/publications/pisa-2022-results-volume-i-and-ii-country-notes_ed6fbcc5-en/montenegro_84d80839-en.html" TargetMode="External"/><Relationship Id="rId28" Type="http://schemas.openxmlformats.org/officeDocument/2006/relationships/hyperlink" Target="https://eurydice.eacea.ec.europa.eu/eurypedia/montenegro/national-reforms-vocational-education-and-training-and-adult-learning" TargetMode="External"/><Relationship Id="rId36" Type="http://schemas.openxmlformats.org/officeDocument/2006/relationships/hyperlink" Target="https://www.eu.me/en/poglavlje-26-obrazovanje-i-kultura/" TargetMode="External"/><Relationship Id="rId10" Type="http://schemas.openxmlformats.org/officeDocument/2006/relationships/hyperlink" Target="https://ec.europa.eu/social/main.jsp?catId=1223&amp;langId=en" TargetMode="External"/><Relationship Id="rId19" Type="http://schemas.openxmlformats.org/officeDocument/2006/relationships/hyperlink" Target="https://www.gov.me/dokumenta/73f999b6-b879-4868-a72d-e670ce78f77f" TargetMode="External"/><Relationship Id="rId31" Type="http://schemas.openxmlformats.org/officeDocument/2006/relationships/hyperlink" Target="https://eurydice.eacea.ec.europa.eu/me/eurypedia/montenegro/crna-gora-vrste-institucija-visokog-obrazovanja" TargetMode="External"/><Relationship Id="rId4" Type="http://schemas.openxmlformats.org/officeDocument/2006/relationships/hyperlink" Target="https://eur-lex.europa.eu/legal-content/EN/TXT/?uri=CELEX:32021G0226(01)" TargetMode="External"/><Relationship Id="rId9" Type="http://schemas.openxmlformats.org/officeDocument/2006/relationships/hyperlink" Target="https://www.etf.europa.eu/en/publications-and-resources/publications/key-policy-developments-education-training-and-employment" TargetMode="External"/><Relationship Id="rId14" Type="http://schemas.openxmlformats.org/officeDocument/2006/relationships/hyperlink" Target="https://education.ec.europa.eu/node/1497" TargetMode="External"/><Relationship Id="rId22" Type="http://schemas.openxmlformats.org/officeDocument/2006/relationships/hyperlink" Target="https://www.rcc.int/files/user/docs/afbc8898d59753d416ac0ec079fea002.pdf" TargetMode="External"/><Relationship Id="rId27" Type="http://schemas.openxmlformats.org/officeDocument/2006/relationships/hyperlink" Target="https://eurydice.eacea.ec.europa.eu/eurypedia/montenegro/organisation-vocational-upper-secondary-education" TargetMode="External"/><Relationship Id="rId30" Type="http://schemas.openxmlformats.org/officeDocument/2006/relationships/hyperlink" Target="https://www.cedefop.europa.eu/en/publications/9205" TargetMode="External"/><Relationship Id="rId35" Type="http://schemas.openxmlformats.org/officeDocument/2006/relationships/hyperlink" Target="https://www.gov.me/dokumenta/ea1d661e-922a-4d42-af8d-ae55bc53988e" TargetMode="External"/><Relationship Id="rId8" Type="http://schemas.openxmlformats.org/officeDocument/2006/relationships/hyperlink" Target="https://www.cedefop.europa.eu/en/publications/9205" TargetMode="External"/><Relationship Id="rId3" Type="http://schemas.openxmlformats.org/officeDocument/2006/relationships/hyperlink" Target="https://eur-lex.europa.eu/legal-content/EN/TXT/?uri=CELEX:32021G0226(01)" TargetMode="External"/><Relationship Id="rId12" Type="http://schemas.openxmlformats.org/officeDocument/2006/relationships/hyperlink" Target="https://eur-lex.europa.eu/legal-content/EN/TXT/?uri=CELEX:32020H1202(01)" TargetMode="External"/><Relationship Id="rId17" Type="http://schemas.openxmlformats.org/officeDocument/2006/relationships/hyperlink" Target="https://enlargement.ec.europa.eu/montenegro-report-2025_en" TargetMode="External"/><Relationship Id="rId25" Type="http://schemas.openxmlformats.org/officeDocument/2006/relationships/hyperlink" Target="https://www.gov.me/dokumenta/3f8ece83-b549-4c84-8ae9-a8620ff67928" TargetMode="External"/><Relationship Id="rId33" Type="http://schemas.openxmlformats.org/officeDocument/2006/relationships/hyperlink" Target="https://eurydice.eacea.ec.europa.eu/eurypedia/montenegro/national-reforms-higher-education" TargetMode="External"/><Relationship Id="rId38" Type="http://schemas.openxmlformats.org/officeDocument/2006/relationships/hyperlink" Target="https://www.eu.me/en/poglavlje-26-obrazovanje-i-kultu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519C8-058B-49B7-B82E-0A7D46A5F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9160</Words>
  <Characters>52217</Characters>
  <Application>Microsoft Office Word</Application>
  <DocSecurity>0</DocSecurity>
  <Lines>435</Lines>
  <Paragraphs>122</Paragraphs>
  <ScaleCrop>false</ScaleCrop>
  <Company/>
  <LinksUpToDate>false</LinksUpToDate>
  <CharactersWithSpaces>61255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Kresimir Ivancic</cp:lastModifiedBy>
  <cp:revision>16</cp:revision>
  <cp:lastPrinted>2026-05-11T14:06:00Z</cp:lastPrinted>
  <dcterms:created xsi:type="dcterms:W3CDTF">2026-05-24T18:15:00Z</dcterms:created>
  <dcterms:modified xsi:type="dcterms:W3CDTF">2026-06-01T10:34:00Z</dcterms:modified>
</cp:coreProperties>
</file>