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1E269" w14:textId="77777777" w:rsidR="00D71DDF" w:rsidRDefault="00D71DDF" w:rsidP="00F579F5">
      <w:pPr>
        <w:pStyle w:val="Naslov"/>
        <w:rPr>
          <w:lang w:val="sr-Latn-ME"/>
        </w:rPr>
      </w:pPr>
      <w:r>
        <w:rPr>
          <w:lang w:val="sr-Latn-ME"/>
        </w:rPr>
        <w:t>Prioritetna oblast 07 – Efikasna javna uprava</w:t>
      </w:r>
    </w:p>
    <w:p w14:paraId="1B361F6A" w14:textId="6EE9E3B7" w:rsidR="0087152E" w:rsidRPr="00F579F5" w:rsidRDefault="00F579F5" w:rsidP="00D71DDF">
      <w:pPr>
        <w:pStyle w:val="Podnaslov"/>
        <w:rPr>
          <w:lang w:val="sr-Latn-ME"/>
        </w:rPr>
      </w:pPr>
      <w:r w:rsidRPr="00F579F5">
        <w:rPr>
          <w:lang w:val="sr-Latn-ME"/>
        </w:rPr>
        <w:t>Priprema Strateškog planskog dokumenta Crne Gore za potrebe korišćenja EU fondova</w:t>
      </w:r>
    </w:p>
    <w:p w14:paraId="6B615FC9" w14:textId="64BD18D5" w:rsidR="00F579F5" w:rsidRPr="00644947" w:rsidRDefault="47C3BDB9" w:rsidP="47C3BDB9">
      <w:pPr>
        <w:pStyle w:val="Naslov1"/>
        <w:rPr>
          <w:lang w:val="sr-Latn-ME"/>
        </w:rPr>
      </w:pPr>
      <w:r w:rsidRPr="47C3BDB9">
        <w:rPr>
          <w:lang w:val="sr-Latn-ME"/>
        </w:rPr>
        <w:t>Uvod i važnost</w:t>
      </w:r>
    </w:p>
    <w:p w14:paraId="7D7B3C90" w14:textId="15FAEBF9" w:rsidR="47C3BDB9" w:rsidRDefault="47C3BDB9" w:rsidP="47C3BDB9">
      <w:pPr>
        <w:rPr>
          <w:rFonts w:ascii="Aptos" w:eastAsia="Aptos" w:hAnsi="Aptos" w:cs="Aptos"/>
          <w:color w:val="000000" w:themeColor="text1"/>
          <w:lang w:val="sr-Latn-ME"/>
        </w:rPr>
      </w:pPr>
      <w:r w:rsidRPr="47C3BDB9">
        <w:rPr>
          <w:rFonts w:ascii="Aptos" w:eastAsia="Aptos" w:hAnsi="Aptos" w:cs="Aptos"/>
          <w:color w:val="000000" w:themeColor="text1"/>
          <w:sz w:val="24"/>
          <w:lang w:val="sr-Latn-ME"/>
        </w:rPr>
        <w:t>Situaciona analiza predstavlja analitičku osnovu za pripremu Strateškog planskog dokumenta Crne Gore za potrebe korišćenja fondova Evropske unije u okviru budućeg Nacionalnog i regionalnog partnerskog plana. Njena svrha je da, na sistematičan i na dokazima zasnovan način, identifikuje glavne razvojne izazove, potrebe, ciljne grupe, razvojne nejednakosti i investiciona uska grla u okviru predmetne oblasti politike, uzimajući u obzir ekonomske, socijalne, teritorijalne i, gdje je relevantno, ekološke dimenzije razvoja.</w:t>
      </w:r>
    </w:p>
    <w:p w14:paraId="259B1BF5" w14:textId="35592F16" w:rsidR="47C3BDB9" w:rsidRDefault="47C3BDB9" w:rsidP="47C3BDB9">
      <w:pPr>
        <w:rPr>
          <w:rFonts w:ascii="Aptos" w:eastAsia="Aptos" w:hAnsi="Aptos" w:cs="Aptos"/>
          <w:color w:val="000000" w:themeColor="text1"/>
          <w:lang w:val="sr-Latn-ME"/>
        </w:rPr>
      </w:pPr>
      <w:r w:rsidRPr="47C3BDB9">
        <w:rPr>
          <w:rFonts w:ascii="Aptos" w:eastAsia="Aptos" w:hAnsi="Aptos" w:cs="Aptos"/>
          <w:color w:val="000000" w:themeColor="text1"/>
          <w:sz w:val="24"/>
          <w:lang w:val="sr-Latn-ME"/>
        </w:rPr>
        <w:t>Značaj situacione analize dodatno proizlazi iz činjenice da je Strateški planski dokument prepoznat od strane Evropske komisije kao jedan od ključnih elemenata za ispunjenje mjerila za zatvaranje Poglavlja 22 – Regionalna politika i koordinacija strukturnih instrumenata, konkretno mjerila 2. Evropska komisija očekuje dostavljanje sveobuhvatnog, sažetog i kvalitetnog nacrta strateškog planskog dokumenta, koji u kontekstu finansijske perspektive 2021–2027 odgovara logici „Partnership Agreement“, a koji treba da obuhvati stratešku analizu, uključujući izazove, potrebe i ciljne grupe, odabrane prioritete i ciljeve, glavne očekivane rezultate, planirane tematske cjeline i izvore finansiranja, mehanizme za obezbjeđivanje usklađenosti sa relevantnim prioritetima i strategijama Evropske unije, kao i okvir upravljanja u skladu sa Evropskim kodeksom ponašanja o partnerstvu.</w:t>
      </w:r>
    </w:p>
    <w:p w14:paraId="7956EDC8" w14:textId="7598D8AC" w:rsidR="47C3BDB9" w:rsidRDefault="47C3BDB9" w:rsidP="47C3BDB9">
      <w:pPr>
        <w:rPr>
          <w:rFonts w:ascii="Aptos" w:eastAsia="Aptos" w:hAnsi="Aptos" w:cs="Aptos"/>
          <w:color w:val="000000" w:themeColor="text1"/>
          <w:lang w:val="sr-Latn-ME"/>
        </w:rPr>
      </w:pPr>
      <w:r w:rsidRPr="47C3BDB9">
        <w:rPr>
          <w:rFonts w:ascii="Aptos" w:eastAsia="Aptos" w:hAnsi="Aptos" w:cs="Aptos"/>
          <w:color w:val="000000" w:themeColor="text1"/>
          <w:sz w:val="24"/>
          <w:lang w:val="sr-Latn-ME"/>
        </w:rPr>
        <w:t>U tom smislu, situaciona analiza ne služi samo kao opis postojećeg stanja, već kao polazna tačka za definisanje prioritetnih pravaca djelovanja, očekivanih rezultata i budućih reformskih i investicionih intervencija. U skladu sa metodološkim pristupom za izradu Strateškog planskog dokumenta, razvojni izazovi se posmatraju kao problemi koji zahtijevaju javnopolitički odgovor, a ne kao unaprijed definisane mjere ili rješenja. Zbog toga analiza mora da poveže raspoložive statističke i administrativne podatke, nalaze nacionalnih strateških dokumenata, relevantne međunarodne i EU izvore, kao i uvide ključnih institucija i partnera.</w:t>
      </w:r>
    </w:p>
    <w:p w14:paraId="5BB00511" w14:textId="0CDFABFA" w:rsidR="47C3BDB9" w:rsidRDefault="47C3BDB9" w:rsidP="47C3BDB9">
      <w:pPr>
        <w:rPr>
          <w:rFonts w:ascii="Aptos" w:eastAsia="Aptos" w:hAnsi="Aptos" w:cs="Aptos"/>
          <w:color w:val="000000" w:themeColor="text1"/>
          <w:lang w:val="sr-Latn-ME"/>
        </w:rPr>
      </w:pPr>
      <w:r w:rsidRPr="47C3BDB9">
        <w:rPr>
          <w:rFonts w:ascii="Aptos" w:eastAsia="Aptos" w:hAnsi="Aptos" w:cs="Aptos"/>
          <w:color w:val="000000" w:themeColor="text1"/>
          <w:sz w:val="24"/>
          <w:lang w:val="sr-Latn-ME"/>
        </w:rPr>
        <w:t xml:space="preserve">Situaciona analiza istovremeno ima i važnu funkciju u obezbjeđivanju usklađenosti budućeg strateškog dokumenta sa prioritetima Evropske unije, pravnom tekovinom EU i programskim okvirom za period nakon 2027. godine. Kroz pregled međunarodnog i nacionalnog strateškog i pravnog okvira, planiranih reformi i ključnih pokazatelja, analiza </w:t>
      </w:r>
      <w:r w:rsidRPr="47C3BDB9">
        <w:rPr>
          <w:rFonts w:ascii="Aptos" w:eastAsia="Aptos" w:hAnsi="Aptos" w:cs="Aptos"/>
          <w:color w:val="000000" w:themeColor="text1"/>
          <w:sz w:val="24"/>
          <w:lang w:val="sr-Latn-ME"/>
        </w:rPr>
        <w:lastRenderedPageBreak/>
        <w:t>omogućava da se predmetna oblast politike sagleda u širem razvojnom i pristupnom kontekstu, uključujući doprinos pametnom, održivom i inkluzivnom rastu, ekonomskoj, socijalnoj i teritorijalnoj koheziji, kao i smanjenju razvojnih dispariteta.</w:t>
      </w:r>
    </w:p>
    <w:p w14:paraId="652E2511" w14:textId="3F9D1F7A" w:rsidR="47C3BDB9" w:rsidRDefault="47C3BDB9" w:rsidP="47C3BDB9">
      <w:pPr>
        <w:rPr>
          <w:rFonts w:ascii="Aptos" w:eastAsia="Aptos" w:hAnsi="Aptos" w:cs="Aptos"/>
          <w:color w:val="000000" w:themeColor="text1"/>
          <w:lang w:val="sr-Latn-ME"/>
        </w:rPr>
      </w:pPr>
      <w:r w:rsidRPr="47C3BDB9">
        <w:rPr>
          <w:rFonts w:ascii="Aptos" w:eastAsia="Aptos" w:hAnsi="Aptos" w:cs="Aptos"/>
          <w:color w:val="000000" w:themeColor="text1"/>
          <w:sz w:val="24"/>
          <w:lang w:val="sr-Latn-ME"/>
        </w:rPr>
        <w:t>Pored toga, situaciona analiza je važan alat za strukturiranje dijaloga unutar radnih grupa i sa širim krugom partnera. Njome se obezbjeđuje zajednička analitička osnova za SWOT razmatranje, validaciju nalaza i identifikaciju dugog spiska razvojnih izazova, koji će u narednim koracima biti prioritizovani. Na taj način, situaciona analiza doprinosi transparentnom, participativnom i metodološki utemeljenom procesu planiranja, u skladu sa principom partnerstva i višerazinskog upravljanja.</w:t>
      </w:r>
    </w:p>
    <w:p w14:paraId="68AAD0E9" w14:textId="431F699C" w:rsidR="00F579F5" w:rsidRDefault="00F579F5" w:rsidP="00F579F5">
      <w:pPr>
        <w:pStyle w:val="Naslov1"/>
        <w:rPr>
          <w:lang w:val="sr-Latn-ME"/>
        </w:rPr>
      </w:pPr>
      <w:r>
        <w:rPr>
          <w:lang w:val="sr-Latn-ME"/>
        </w:rPr>
        <w:t xml:space="preserve">Opis prioritetnih područja </w:t>
      </w:r>
    </w:p>
    <w:tbl>
      <w:tblPr>
        <w:tblStyle w:val="Reetkatablice"/>
        <w:tblW w:w="9036" w:type="dxa"/>
        <w:tblLook w:val="04A0" w:firstRow="1" w:lastRow="0" w:firstColumn="1" w:lastColumn="0" w:noHBand="0" w:noVBand="1"/>
      </w:tblPr>
      <w:tblGrid>
        <w:gridCol w:w="1812"/>
        <w:gridCol w:w="2235"/>
        <w:gridCol w:w="2577"/>
        <w:gridCol w:w="2412"/>
      </w:tblGrid>
      <w:tr w:rsidR="00F579F5" w14:paraId="479424C2" w14:textId="54850EDA" w:rsidTr="47C3BDB9">
        <w:tc>
          <w:tcPr>
            <w:tcW w:w="1812" w:type="dxa"/>
          </w:tcPr>
          <w:p w14:paraId="7518D6E4" w14:textId="195E6DF1" w:rsidR="47C3BDB9" w:rsidRDefault="47C3BDB9" w:rsidP="47C3BDB9">
            <w:pPr>
              <w:rPr>
                <w:rFonts w:ascii="Aptos" w:eastAsia="Aptos" w:hAnsi="Aptos" w:cs="Aptos"/>
                <w:color w:val="000000" w:themeColor="text1"/>
                <w:sz w:val="20"/>
                <w:szCs w:val="20"/>
              </w:rPr>
            </w:pPr>
            <w:r w:rsidRPr="47C3BDB9">
              <w:rPr>
                <w:rFonts w:ascii="Aptos" w:eastAsia="Aptos" w:hAnsi="Aptos" w:cs="Aptos"/>
                <w:b/>
                <w:bCs/>
                <w:color w:val="000000" w:themeColor="text1"/>
                <w:sz w:val="20"/>
                <w:szCs w:val="20"/>
                <w:lang w:val="sr-Latn-ME"/>
              </w:rPr>
              <w:t>Kod Prioritetnog područja nivo 1</w:t>
            </w:r>
          </w:p>
        </w:tc>
        <w:tc>
          <w:tcPr>
            <w:tcW w:w="2235" w:type="dxa"/>
          </w:tcPr>
          <w:p w14:paraId="0299CE09" w14:textId="5F2D47D0" w:rsidR="47C3BDB9" w:rsidRDefault="47C3BDB9" w:rsidP="47C3BDB9">
            <w:pPr>
              <w:rPr>
                <w:rFonts w:ascii="Aptos" w:eastAsia="Aptos" w:hAnsi="Aptos" w:cs="Aptos"/>
                <w:color w:val="000000" w:themeColor="text1"/>
                <w:sz w:val="20"/>
                <w:szCs w:val="20"/>
              </w:rPr>
            </w:pPr>
            <w:r w:rsidRPr="47C3BDB9">
              <w:rPr>
                <w:rFonts w:ascii="Aptos" w:eastAsia="Aptos" w:hAnsi="Aptos" w:cs="Aptos"/>
                <w:b/>
                <w:bCs/>
                <w:color w:val="000000" w:themeColor="text1"/>
                <w:sz w:val="20"/>
                <w:szCs w:val="20"/>
                <w:lang w:val="sr-Latn-ME"/>
              </w:rPr>
              <w:t>Naziv Prioritetnog područja nivo 1</w:t>
            </w:r>
          </w:p>
        </w:tc>
        <w:tc>
          <w:tcPr>
            <w:tcW w:w="2577" w:type="dxa"/>
          </w:tcPr>
          <w:p w14:paraId="13BADD19" w14:textId="1F058D3F" w:rsidR="47C3BDB9" w:rsidRDefault="47C3BDB9" w:rsidP="47C3BDB9">
            <w:pPr>
              <w:rPr>
                <w:rFonts w:ascii="Aptos" w:eastAsia="Aptos" w:hAnsi="Aptos" w:cs="Aptos"/>
                <w:color w:val="000000" w:themeColor="text1"/>
                <w:sz w:val="20"/>
                <w:szCs w:val="20"/>
              </w:rPr>
            </w:pPr>
            <w:r w:rsidRPr="47C3BDB9">
              <w:rPr>
                <w:rFonts w:ascii="Aptos" w:eastAsia="Aptos" w:hAnsi="Aptos" w:cs="Aptos"/>
                <w:b/>
                <w:bCs/>
                <w:color w:val="000000" w:themeColor="text1"/>
                <w:sz w:val="20"/>
                <w:szCs w:val="20"/>
                <w:lang w:val="sr-Latn-ME"/>
              </w:rPr>
              <w:t>Kod Prioritetnog područja nivo 2</w:t>
            </w:r>
          </w:p>
        </w:tc>
        <w:tc>
          <w:tcPr>
            <w:tcW w:w="2412" w:type="dxa"/>
          </w:tcPr>
          <w:p w14:paraId="41FE592F" w14:textId="2A03BEBA" w:rsidR="47C3BDB9" w:rsidRDefault="47C3BDB9" w:rsidP="47C3BDB9">
            <w:pPr>
              <w:rPr>
                <w:rFonts w:ascii="Aptos" w:eastAsia="Aptos" w:hAnsi="Aptos" w:cs="Aptos"/>
                <w:color w:val="000000" w:themeColor="text1"/>
                <w:sz w:val="20"/>
                <w:szCs w:val="20"/>
              </w:rPr>
            </w:pPr>
            <w:r w:rsidRPr="47C3BDB9">
              <w:rPr>
                <w:rFonts w:ascii="Aptos" w:eastAsia="Aptos" w:hAnsi="Aptos" w:cs="Aptos"/>
                <w:b/>
                <w:bCs/>
                <w:color w:val="000000" w:themeColor="text1"/>
                <w:sz w:val="20"/>
                <w:szCs w:val="20"/>
                <w:lang w:val="sr-Latn-ME"/>
              </w:rPr>
              <w:t>Naziv Prioritetnog područja nico 2</w:t>
            </w:r>
          </w:p>
        </w:tc>
      </w:tr>
      <w:tr w:rsidR="00F579F5" w14:paraId="52B2FC20" w14:textId="45C77E14" w:rsidTr="47C3BDB9">
        <w:tc>
          <w:tcPr>
            <w:tcW w:w="1812" w:type="dxa"/>
          </w:tcPr>
          <w:p w14:paraId="1952FEAB" w14:textId="7458CBFE" w:rsidR="00F579F5" w:rsidRDefault="47C3BDB9" w:rsidP="47C3BDB9">
            <w:pPr>
              <w:rPr>
                <w:rFonts w:ascii="Aptos" w:eastAsia="Aptos" w:hAnsi="Aptos" w:cs="Aptos"/>
                <w:b/>
                <w:bCs/>
                <w:color w:val="000000" w:themeColor="text1"/>
                <w:sz w:val="20"/>
                <w:szCs w:val="20"/>
                <w:lang w:val="sr-Latn-ME"/>
              </w:rPr>
            </w:pPr>
            <w:r w:rsidRPr="47C3BDB9">
              <w:rPr>
                <w:rFonts w:ascii="Aptos" w:eastAsia="Aptos" w:hAnsi="Aptos" w:cs="Aptos"/>
                <w:b/>
                <w:bCs/>
                <w:color w:val="000000" w:themeColor="text1"/>
                <w:sz w:val="20"/>
                <w:szCs w:val="20"/>
                <w:lang w:val="sr-Latn-ME"/>
              </w:rPr>
              <w:t>7</w:t>
            </w:r>
          </w:p>
        </w:tc>
        <w:tc>
          <w:tcPr>
            <w:tcW w:w="2235" w:type="dxa"/>
          </w:tcPr>
          <w:p w14:paraId="2000B7F2" w14:textId="5FC58BA1" w:rsidR="00F579F5" w:rsidRDefault="47C3BDB9" w:rsidP="47C3BDB9">
            <w:pPr>
              <w:rPr>
                <w:rFonts w:ascii="Aptos" w:eastAsia="Aptos" w:hAnsi="Aptos" w:cs="Aptos"/>
                <w:b/>
                <w:bCs/>
                <w:color w:val="000000" w:themeColor="text1"/>
                <w:sz w:val="20"/>
                <w:szCs w:val="20"/>
                <w:lang w:val="sr-Latn-ME"/>
              </w:rPr>
            </w:pPr>
            <w:r w:rsidRPr="47C3BDB9">
              <w:rPr>
                <w:rFonts w:ascii="Aptos" w:eastAsia="Aptos" w:hAnsi="Aptos" w:cs="Aptos"/>
                <w:b/>
                <w:bCs/>
                <w:color w:val="000000" w:themeColor="text1"/>
                <w:sz w:val="20"/>
                <w:szCs w:val="20"/>
                <w:lang w:val="sr-Latn-ME"/>
              </w:rPr>
              <w:t>Efikasna javna uprava</w:t>
            </w:r>
          </w:p>
        </w:tc>
        <w:tc>
          <w:tcPr>
            <w:tcW w:w="2577" w:type="dxa"/>
          </w:tcPr>
          <w:p w14:paraId="6D849FA3" w14:textId="4B136C8D" w:rsidR="00F579F5" w:rsidRDefault="47C3BDB9" w:rsidP="47C3BDB9">
            <w:pPr>
              <w:rPr>
                <w:rFonts w:ascii="Aptos" w:eastAsia="Aptos" w:hAnsi="Aptos" w:cs="Aptos"/>
                <w:b/>
                <w:bCs/>
                <w:color w:val="000000" w:themeColor="text1"/>
                <w:sz w:val="20"/>
                <w:szCs w:val="20"/>
                <w:lang w:val="sr-Latn-ME"/>
              </w:rPr>
            </w:pPr>
            <w:r w:rsidRPr="47C3BDB9">
              <w:rPr>
                <w:rFonts w:ascii="Aptos" w:eastAsia="Aptos" w:hAnsi="Aptos" w:cs="Aptos"/>
                <w:b/>
                <w:bCs/>
                <w:color w:val="000000" w:themeColor="text1"/>
                <w:sz w:val="20"/>
                <w:szCs w:val="20"/>
                <w:lang w:val="sr-Latn-ME"/>
              </w:rPr>
              <w:t>7.20</w:t>
            </w:r>
          </w:p>
        </w:tc>
        <w:tc>
          <w:tcPr>
            <w:tcW w:w="2412" w:type="dxa"/>
          </w:tcPr>
          <w:p w14:paraId="113CAF71" w14:textId="1885379F" w:rsidR="00F579F5" w:rsidRDefault="47C3BDB9" w:rsidP="47C3BDB9">
            <w:pPr>
              <w:rPr>
                <w:rFonts w:ascii="Aptos" w:eastAsia="Aptos" w:hAnsi="Aptos" w:cs="Aptos"/>
                <w:b/>
                <w:bCs/>
                <w:color w:val="000000" w:themeColor="text1"/>
                <w:sz w:val="20"/>
                <w:szCs w:val="20"/>
                <w:lang w:val="sr-Latn-ME"/>
              </w:rPr>
            </w:pPr>
            <w:r w:rsidRPr="47C3BDB9">
              <w:rPr>
                <w:rFonts w:ascii="Aptos" w:eastAsia="Aptos" w:hAnsi="Aptos" w:cs="Aptos"/>
                <w:b/>
                <w:bCs/>
                <w:color w:val="000000" w:themeColor="text1"/>
                <w:sz w:val="20"/>
                <w:szCs w:val="20"/>
                <w:lang w:val="sr-Latn-ME"/>
              </w:rPr>
              <w:t>Administrativni kapaciteti</w:t>
            </w:r>
          </w:p>
        </w:tc>
      </w:tr>
      <w:tr w:rsidR="00F579F5" w14:paraId="683D5823" w14:textId="60234449" w:rsidTr="47C3BDB9">
        <w:tc>
          <w:tcPr>
            <w:tcW w:w="1812" w:type="dxa"/>
          </w:tcPr>
          <w:p w14:paraId="377F3CB4" w14:textId="77777777" w:rsidR="00F579F5" w:rsidRDefault="00F579F5" w:rsidP="47C3BDB9">
            <w:pPr>
              <w:rPr>
                <w:rFonts w:ascii="Aptos" w:eastAsia="Aptos" w:hAnsi="Aptos" w:cs="Aptos"/>
                <w:b/>
                <w:bCs/>
                <w:color w:val="000000" w:themeColor="text1"/>
                <w:sz w:val="20"/>
                <w:szCs w:val="20"/>
                <w:lang w:val="sr-Latn-ME"/>
              </w:rPr>
            </w:pPr>
          </w:p>
        </w:tc>
        <w:tc>
          <w:tcPr>
            <w:tcW w:w="2235" w:type="dxa"/>
          </w:tcPr>
          <w:p w14:paraId="2748A081" w14:textId="77777777" w:rsidR="00F579F5" w:rsidRDefault="00F579F5" w:rsidP="47C3BDB9">
            <w:pPr>
              <w:rPr>
                <w:rFonts w:ascii="Aptos" w:eastAsia="Aptos" w:hAnsi="Aptos" w:cs="Aptos"/>
                <w:b/>
                <w:bCs/>
                <w:color w:val="000000" w:themeColor="text1"/>
                <w:sz w:val="20"/>
                <w:szCs w:val="20"/>
                <w:lang w:val="sr-Latn-ME"/>
              </w:rPr>
            </w:pPr>
          </w:p>
        </w:tc>
        <w:tc>
          <w:tcPr>
            <w:tcW w:w="2577" w:type="dxa"/>
          </w:tcPr>
          <w:p w14:paraId="099E9647" w14:textId="57DDA04F" w:rsidR="00F579F5" w:rsidRDefault="47C3BDB9" w:rsidP="47C3BDB9">
            <w:pPr>
              <w:rPr>
                <w:rFonts w:ascii="Aptos" w:eastAsia="Aptos" w:hAnsi="Aptos" w:cs="Aptos"/>
                <w:b/>
                <w:bCs/>
                <w:color w:val="000000" w:themeColor="text1"/>
                <w:sz w:val="20"/>
                <w:szCs w:val="20"/>
                <w:lang w:val="sr-Latn-ME"/>
              </w:rPr>
            </w:pPr>
            <w:r w:rsidRPr="47C3BDB9">
              <w:rPr>
                <w:rFonts w:ascii="Aptos" w:eastAsia="Aptos" w:hAnsi="Aptos" w:cs="Aptos"/>
                <w:b/>
                <w:bCs/>
                <w:color w:val="000000" w:themeColor="text1"/>
                <w:sz w:val="20"/>
                <w:szCs w:val="20"/>
                <w:lang w:val="sr-Latn-ME"/>
              </w:rPr>
              <w:t>7.21</w:t>
            </w:r>
          </w:p>
        </w:tc>
        <w:tc>
          <w:tcPr>
            <w:tcW w:w="2412" w:type="dxa"/>
          </w:tcPr>
          <w:p w14:paraId="43FF943D" w14:textId="3172EFCB" w:rsidR="00F579F5" w:rsidRDefault="47C3BDB9" w:rsidP="47C3BDB9">
            <w:pPr>
              <w:rPr>
                <w:rFonts w:ascii="Aptos" w:eastAsia="Aptos" w:hAnsi="Aptos" w:cs="Aptos"/>
                <w:b/>
                <w:bCs/>
                <w:color w:val="000000" w:themeColor="text1"/>
                <w:sz w:val="20"/>
                <w:szCs w:val="20"/>
                <w:lang w:val="sr-Latn-ME"/>
              </w:rPr>
            </w:pPr>
            <w:r w:rsidRPr="47C3BDB9">
              <w:rPr>
                <w:rFonts w:ascii="Aptos" w:eastAsia="Aptos" w:hAnsi="Aptos" w:cs="Aptos"/>
                <w:b/>
                <w:bCs/>
                <w:color w:val="000000" w:themeColor="text1"/>
                <w:sz w:val="20"/>
                <w:szCs w:val="20"/>
                <w:lang w:val="sr-Latn-ME"/>
              </w:rPr>
              <w:t>Saradnja</w:t>
            </w:r>
          </w:p>
        </w:tc>
      </w:tr>
      <w:tr w:rsidR="0030206E" w14:paraId="27D5C393" w14:textId="77777777" w:rsidTr="47C3BDB9">
        <w:tc>
          <w:tcPr>
            <w:tcW w:w="1812" w:type="dxa"/>
          </w:tcPr>
          <w:p w14:paraId="26672BD8" w14:textId="77777777" w:rsidR="0030206E" w:rsidRDefault="0030206E" w:rsidP="47C3BDB9">
            <w:pPr>
              <w:rPr>
                <w:rFonts w:ascii="Aptos" w:eastAsia="Aptos" w:hAnsi="Aptos" w:cs="Aptos"/>
                <w:b/>
                <w:bCs/>
                <w:color w:val="000000" w:themeColor="text1"/>
                <w:sz w:val="20"/>
                <w:szCs w:val="20"/>
                <w:lang w:val="sr-Latn-ME"/>
              </w:rPr>
            </w:pPr>
          </w:p>
        </w:tc>
        <w:tc>
          <w:tcPr>
            <w:tcW w:w="2235" w:type="dxa"/>
          </w:tcPr>
          <w:p w14:paraId="5F09B224" w14:textId="77777777" w:rsidR="0030206E" w:rsidRDefault="0030206E" w:rsidP="47C3BDB9">
            <w:pPr>
              <w:rPr>
                <w:rFonts w:ascii="Aptos" w:eastAsia="Aptos" w:hAnsi="Aptos" w:cs="Aptos"/>
                <w:b/>
                <w:bCs/>
                <w:color w:val="000000" w:themeColor="text1"/>
                <w:sz w:val="20"/>
                <w:szCs w:val="20"/>
                <w:lang w:val="sr-Latn-ME"/>
              </w:rPr>
            </w:pPr>
          </w:p>
        </w:tc>
        <w:tc>
          <w:tcPr>
            <w:tcW w:w="2577" w:type="dxa"/>
          </w:tcPr>
          <w:p w14:paraId="12040385" w14:textId="0F512E08" w:rsidR="0030206E" w:rsidRDefault="47C3BDB9" w:rsidP="47C3BDB9">
            <w:pPr>
              <w:rPr>
                <w:rFonts w:ascii="Aptos" w:eastAsia="Aptos" w:hAnsi="Aptos" w:cs="Aptos"/>
                <w:b/>
                <w:bCs/>
                <w:color w:val="000000" w:themeColor="text1"/>
                <w:sz w:val="20"/>
                <w:szCs w:val="20"/>
                <w:lang w:val="sr-Latn-ME"/>
              </w:rPr>
            </w:pPr>
            <w:r w:rsidRPr="47C3BDB9">
              <w:rPr>
                <w:rFonts w:ascii="Aptos" w:eastAsia="Aptos" w:hAnsi="Aptos" w:cs="Aptos"/>
                <w:b/>
                <w:bCs/>
                <w:color w:val="000000" w:themeColor="text1"/>
                <w:sz w:val="20"/>
                <w:szCs w:val="20"/>
                <w:lang w:val="sr-Latn-ME"/>
              </w:rPr>
              <w:t>7.22</w:t>
            </w:r>
          </w:p>
        </w:tc>
        <w:tc>
          <w:tcPr>
            <w:tcW w:w="2412" w:type="dxa"/>
          </w:tcPr>
          <w:p w14:paraId="3F07C322" w14:textId="52D8D9D6" w:rsidR="0030206E" w:rsidRDefault="47C3BDB9" w:rsidP="47C3BDB9">
            <w:pPr>
              <w:rPr>
                <w:rFonts w:ascii="Aptos" w:eastAsia="Aptos" w:hAnsi="Aptos" w:cs="Aptos"/>
                <w:b/>
                <w:bCs/>
                <w:color w:val="000000" w:themeColor="text1"/>
                <w:sz w:val="20"/>
                <w:szCs w:val="20"/>
                <w:lang w:val="sr-Latn-ME"/>
              </w:rPr>
            </w:pPr>
            <w:r w:rsidRPr="47C3BDB9">
              <w:rPr>
                <w:rFonts w:ascii="Aptos" w:eastAsia="Aptos" w:hAnsi="Aptos" w:cs="Aptos"/>
                <w:b/>
                <w:bCs/>
                <w:color w:val="000000" w:themeColor="text1"/>
                <w:sz w:val="20"/>
                <w:szCs w:val="20"/>
                <w:lang w:val="sr-Latn-ME"/>
              </w:rPr>
              <w:t>Digitalizacija</w:t>
            </w:r>
          </w:p>
        </w:tc>
      </w:tr>
      <w:tr w:rsidR="0030206E" w14:paraId="0A318272" w14:textId="77777777" w:rsidTr="47C3BDB9">
        <w:tc>
          <w:tcPr>
            <w:tcW w:w="1812" w:type="dxa"/>
          </w:tcPr>
          <w:p w14:paraId="5AF2F9F7" w14:textId="77777777" w:rsidR="0030206E" w:rsidRDefault="0030206E" w:rsidP="47C3BDB9">
            <w:pPr>
              <w:rPr>
                <w:rFonts w:ascii="Aptos" w:eastAsia="Aptos" w:hAnsi="Aptos" w:cs="Aptos"/>
                <w:b/>
                <w:bCs/>
                <w:color w:val="000000" w:themeColor="text1"/>
                <w:sz w:val="20"/>
                <w:szCs w:val="20"/>
                <w:lang w:val="sr-Latn-ME"/>
              </w:rPr>
            </w:pPr>
          </w:p>
        </w:tc>
        <w:tc>
          <w:tcPr>
            <w:tcW w:w="2235" w:type="dxa"/>
          </w:tcPr>
          <w:p w14:paraId="366C5053" w14:textId="77777777" w:rsidR="0030206E" w:rsidRDefault="0030206E" w:rsidP="47C3BDB9">
            <w:pPr>
              <w:rPr>
                <w:rFonts w:ascii="Aptos" w:eastAsia="Aptos" w:hAnsi="Aptos" w:cs="Aptos"/>
                <w:b/>
                <w:bCs/>
                <w:color w:val="000000" w:themeColor="text1"/>
                <w:sz w:val="20"/>
                <w:szCs w:val="20"/>
                <w:lang w:val="sr-Latn-ME"/>
              </w:rPr>
            </w:pPr>
          </w:p>
        </w:tc>
        <w:tc>
          <w:tcPr>
            <w:tcW w:w="2577" w:type="dxa"/>
          </w:tcPr>
          <w:p w14:paraId="74524096" w14:textId="2418950F" w:rsidR="0030206E" w:rsidRDefault="47C3BDB9" w:rsidP="47C3BDB9">
            <w:pPr>
              <w:rPr>
                <w:rFonts w:ascii="Aptos" w:eastAsia="Aptos" w:hAnsi="Aptos" w:cs="Aptos"/>
                <w:b/>
                <w:bCs/>
                <w:color w:val="000000" w:themeColor="text1"/>
                <w:sz w:val="20"/>
                <w:szCs w:val="20"/>
                <w:lang w:val="sr-Latn-ME"/>
              </w:rPr>
            </w:pPr>
            <w:r w:rsidRPr="47C3BDB9">
              <w:rPr>
                <w:rFonts w:ascii="Aptos" w:eastAsia="Aptos" w:hAnsi="Aptos" w:cs="Aptos"/>
                <w:b/>
                <w:bCs/>
                <w:color w:val="000000" w:themeColor="text1"/>
                <w:sz w:val="20"/>
                <w:szCs w:val="20"/>
                <w:lang w:val="sr-Latn-ME"/>
              </w:rPr>
              <w:t>7.23</w:t>
            </w:r>
          </w:p>
        </w:tc>
        <w:tc>
          <w:tcPr>
            <w:tcW w:w="2412" w:type="dxa"/>
          </w:tcPr>
          <w:p w14:paraId="1284C2CA" w14:textId="4DC1AA0E" w:rsidR="0030206E" w:rsidRDefault="47C3BDB9" w:rsidP="47C3BDB9">
            <w:pPr>
              <w:rPr>
                <w:rFonts w:ascii="Aptos" w:eastAsia="Aptos" w:hAnsi="Aptos" w:cs="Aptos"/>
                <w:b/>
                <w:bCs/>
                <w:color w:val="000000" w:themeColor="text1"/>
                <w:sz w:val="20"/>
                <w:szCs w:val="20"/>
                <w:lang w:val="sr-Latn-ME"/>
              </w:rPr>
            </w:pPr>
            <w:r w:rsidRPr="47C3BDB9">
              <w:rPr>
                <w:rFonts w:ascii="Aptos" w:eastAsia="Aptos" w:hAnsi="Aptos" w:cs="Aptos"/>
                <w:b/>
                <w:bCs/>
                <w:color w:val="000000" w:themeColor="text1"/>
                <w:sz w:val="20"/>
                <w:szCs w:val="20"/>
                <w:lang w:val="sr-Latn-ME"/>
              </w:rPr>
              <w:t>Statistika</w:t>
            </w:r>
          </w:p>
        </w:tc>
      </w:tr>
      <w:tr w:rsidR="0030206E" w14:paraId="1DA94B0D" w14:textId="77777777" w:rsidTr="47C3BDB9">
        <w:tc>
          <w:tcPr>
            <w:tcW w:w="1812" w:type="dxa"/>
          </w:tcPr>
          <w:p w14:paraId="5812779D" w14:textId="1CEBDD4F" w:rsidR="0030206E" w:rsidRDefault="0030206E" w:rsidP="47C3BDB9">
            <w:pPr>
              <w:rPr>
                <w:rFonts w:ascii="Aptos" w:eastAsia="Aptos" w:hAnsi="Aptos" w:cs="Aptos"/>
                <w:b/>
                <w:bCs/>
                <w:color w:val="000000" w:themeColor="text1"/>
                <w:sz w:val="20"/>
                <w:szCs w:val="20"/>
                <w:lang w:val="sr-Latn-ME"/>
              </w:rPr>
            </w:pPr>
          </w:p>
        </w:tc>
        <w:tc>
          <w:tcPr>
            <w:tcW w:w="2235" w:type="dxa"/>
          </w:tcPr>
          <w:p w14:paraId="5783A34A" w14:textId="77777777" w:rsidR="0030206E" w:rsidRDefault="0030206E" w:rsidP="47C3BDB9">
            <w:pPr>
              <w:rPr>
                <w:rFonts w:ascii="Aptos" w:eastAsia="Aptos" w:hAnsi="Aptos" w:cs="Aptos"/>
                <w:b/>
                <w:bCs/>
                <w:color w:val="000000" w:themeColor="text1"/>
                <w:sz w:val="20"/>
                <w:szCs w:val="20"/>
                <w:lang w:val="sr-Latn-ME"/>
              </w:rPr>
            </w:pPr>
          </w:p>
        </w:tc>
        <w:tc>
          <w:tcPr>
            <w:tcW w:w="2577" w:type="dxa"/>
          </w:tcPr>
          <w:p w14:paraId="701C453E" w14:textId="1F95EFA6" w:rsidR="0030206E" w:rsidRDefault="47C3BDB9" w:rsidP="47C3BDB9">
            <w:pPr>
              <w:rPr>
                <w:rFonts w:ascii="Aptos" w:eastAsia="Aptos" w:hAnsi="Aptos" w:cs="Aptos"/>
                <w:b/>
                <w:bCs/>
                <w:color w:val="000000" w:themeColor="text1"/>
                <w:sz w:val="20"/>
                <w:szCs w:val="20"/>
                <w:lang w:val="sr-Latn-ME"/>
              </w:rPr>
            </w:pPr>
            <w:r w:rsidRPr="47C3BDB9">
              <w:rPr>
                <w:rFonts w:ascii="Aptos" w:eastAsia="Aptos" w:hAnsi="Aptos" w:cs="Aptos"/>
                <w:b/>
                <w:bCs/>
                <w:color w:val="000000" w:themeColor="text1"/>
                <w:sz w:val="20"/>
                <w:szCs w:val="20"/>
                <w:lang w:val="sr-Latn-ME"/>
              </w:rPr>
              <w:t>7.05</w:t>
            </w:r>
          </w:p>
        </w:tc>
        <w:tc>
          <w:tcPr>
            <w:tcW w:w="2412" w:type="dxa"/>
          </w:tcPr>
          <w:p w14:paraId="079942EE" w14:textId="20D06392" w:rsidR="0030206E" w:rsidRDefault="47C3BDB9" w:rsidP="47C3BDB9">
            <w:pPr>
              <w:rPr>
                <w:rFonts w:ascii="Aptos" w:eastAsia="Aptos" w:hAnsi="Aptos" w:cs="Aptos"/>
                <w:b/>
                <w:bCs/>
                <w:color w:val="000000" w:themeColor="text1"/>
                <w:sz w:val="20"/>
                <w:szCs w:val="20"/>
                <w:lang w:val="sr-Latn-ME"/>
              </w:rPr>
            </w:pPr>
            <w:r w:rsidRPr="47C3BDB9">
              <w:rPr>
                <w:rFonts w:ascii="Aptos" w:eastAsia="Aptos" w:hAnsi="Aptos" w:cs="Aptos"/>
                <w:b/>
                <w:bCs/>
                <w:color w:val="000000" w:themeColor="text1"/>
                <w:sz w:val="20"/>
                <w:szCs w:val="20"/>
                <w:lang w:val="sr-Latn-ME"/>
              </w:rPr>
              <w:t>Reforma</w:t>
            </w:r>
          </w:p>
        </w:tc>
      </w:tr>
    </w:tbl>
    <w:p w14:paraId="0FDA5261" w14:textId="77777777" w:rsidR="00F579F5" w:rsidRDefault="00F579F5" w:rsidP="00F579F5">
      <w:pPr>
        <w:rPr>
          <w:lang w:val="sr-Latn-ME"/>
        </w:rPr>
      </w:pPr>
    </w:p>
    <w:p w14:paraId="1B481561" w14:textId="65A89294" w:rsidR="00F579F5" w:rsidRDefault="00F579F5" w:rsidP="00F579F5">
      <w:pPr>
        <w:pStyle w:val="Naslov1"/>
        <w:rPr>
          <w:lang w:val="sr-Latn-ME"/>
        </w:rPr>
      </w:pPr>
      <w:r>
        <w:rPr>
          <w:lang w:val="sr-Latn-ME"/>
        </w:rPr>
        <w:t>Situaci</w:t>
      </w:r>
      <w:r w:rsidR="00D71DDF">
        <w:rPr>
          <w:lang w:val="sr-Latn-ME"/>
        </w:rPr>
        <w:t>ona</w:t>
      </w:r>
      <w:r>
        <w:rPr>
          <w:lang w:val="sr-Latn-ME"/>
        </w:rPr>
        <w:t xml:space="preserve"> analiza</w:t>
      </w:r>
    </w:p>
    <w:p w14:paraId="370D6FC9" w14:textId="74385BDD" w:rsidR="00F579F5" w:rsidRDefault="47C3BDB9" w:rsidP="00F579F5">
      <w:pPr>
        <w:pStyle w:val="Naslov2"/>
        <w:rPr>
          <w:lang w:val="sr-Latn-ME"/>
        </w:rPr>
      </w:pPr>
      <w:r w:rsidRPr="47C3BDB9">
        <w:rPr>
          <w:lang w:val="sr-Latn-ME"/>
        </w:rPr>
        <w:t>Prioritetno područje nivo 1</w:t>
      </w:r>
    </w:p>
    <w:p w14:paraId="196F588A" w14:textId="6FC2C7F2" w:rsidR="0030206E" w:rsidRPr="0030206E" w:rsidRDefault="47C3BDB9" w:rsidP="0013764B">
      <w:pPr>
        <w:rPr>
          <w:lang w:val="sr-Latn-ME"/>
        </w:rPr>
      </w:pPr>
      <w:r w:rsidRPr="47C3BDB9">
        <w:rPr>
          <w:lang w:val="sr-Latn-ME"/>
        </w:rPr>
        <w:t xml:space="preserve">Prioritetno područje </w:t>
      </w:r>
      <w:r w:rsidRPr="47C3BDB9">
        <w:rPr>
          <w:b/>
          <w:bCs/>
          <w:lang w:val="sr-Latn-ME"/>
        </w:rPr>
        <w:t xml:space="preserve">Efikasna javna uprava </w:t>
      </w:r>
      <w:r w:rsidRPr="47C3BDB9">
        <w:rPr>
          <w:lang w:val="sr-Latn-ME"/>
        </w:rPr>
        <w:t>obuhvata reformske procese i institucionalne kapacitete koji omogućavaju da javna uprava funkcioniše profesionalno, koordinisano, transparentno, fiskalno odgovorno i usmjereno na rezultate. U tom smislu, ovo područje ne obuhvata samo klasičnu reformu javne uprave u užem smislu, već i kvalitet kreiranja i koordinacije javnih politika, funkcionisanje sistema državnih službenika, digitalizaciju uprave i javnih usluga, zvaničnu statistiku, upravljanje javnim finansijama, javne nabavke, zaštitu finansijskih interesa EU, kao i lokalnu samoupravu i lokalne javne usluge. Ovakvo određenje proizlazi iz same strukture interventnih polja dodijeljenih ovoj radnoj grupi, koja povezuje administrativne kapacitete, digitalizaciju, reformski regulatorni okvir, javne finansije, statistiku i regionalni/lokalni nivo u jedinstvenu cjelinu.</w:t>
      </w:r>
    </w:p>
    <w:p w14:paraId="43A35294" w14:textId="7A8E3106" w:rsidR="0030206E" w:rsidRPr="0030206E" w:rsidRDefault="0030206E" w:rsidP="0013764B">
      <w:pPr>
        <w:rPr>
          <w:lang w:val="sr-Latn-ME"/>
        </w:rPr>
      </w:pPr>
      <w:r w:rsidRPr="0030206E">
        <w:rPr>
          <w:lang w:val="sr-Latn-ME"/>
        </w:rPr>
        <w:t>U kontekstu pripreme strateško-planskog dokumenta za korišćenje EU fondova, ovo prioritetno područje ima horizontalni značaj. Njegov kvalitet neposredno utiče na sposobnost države da planira i sprovodi reforme, koordinira institucije, priprema i prati investicije, proizvodi pouzdane podatke za donošenje odluka i obezbijedi transparentno i efektivno korišćenje nacionalnih i EU sredstava. Zbog toga</w:t>
      </w:r>
      <w:r w:rsidR="006C59E8">
        <w:rPr>
          <w:lang w:val="sr-Latn-ME"/>
        </w:rPr>
        <w:t xml:space="preserve"> se „efikasna javna uprava” treba</w:t>
      </w:r>
      <w:r w:rsidRPr="0030206E">
        <w:rPr>
          <w:lang w:val="sr-Latn-ME"/>
        </w:rPr>
        <w:t xml:space="preserve"> posmatrati i kao posebna razvojna oblast i kao preduslov za uspješno sprovođenje drugih politika.</w:t>
      </w:r>
    </w:p>
    <w:p w14:paraId="6BA3D7BF" w14:textId="42F5EBF4" w:rsidR="0030206E" w:rsidRPr="0030206E" w:rsidRDefault="0030206E" w:rsidP="0013764B">
      <w:pPr>
        <w:rPr>
          <w:lang w:val="sr-Latn-ME"/>
        </w:rPr>
      </w:pPr>
      <w:r w:rsidRPr="0030206E">
        <w:rPr>
          <w:lang w:val="sr-Latn-ME"/>
        </w:rPr>
        <w:lastRenderedPageBreak/>
        <w:t xml:space="preserve">U strateškom smislu, riječ je o području od centralnog značaja za proces pristupanja EU, jer kvalitet javne uprave direktno utiče na sposobnost države da planira, usvaja, sprovodi i prati reforme, koristi EU fondove, obezbijedi kvalitetne usluge građanima i privredi i osigura fiskalnu disciplinu i pravnu sigurnost. SIGMA </w:t>
      </w:r>
      <w:r w:rsidR="0013764B">
        <w:rPr>
          <w:lang w:val="sr-Latn-ME"/>
        </w:rPr>
        <w:t xml:space="preserve">u svojim izvještajima </w:t>
      </w:r>
      <w:r w:rsidRPr="0030206E">
        <w:rPr>
          <w:lang w:val="sr-Latn-ME"/>
        </w:rPr>
        <w:t xml:space="preserve">za Crnu Goru konstatuje da je od 2021. </w:t>
      </w:r>
      <w:r w:rsidR="006C59E8">
        <w:rPr>
          <w:lang w:val="sr-Latn-ME"/>
        </w:rPr>
        <w:t xml:space="preserve">ostvaren značajan </w:t>
      </w:r>
      <w:r w:rsidRPr="0030206E">
        <w:rPr>
          <w:lang w:val="sr-Latn-ME"/>
        </w:rPr>
        <w:t>napredak prvenstveno u oblastima strateškog usmjeravanja reforme, razvoja i koordinacije politika i upravljanja ja</w:t>
      </w:r>
      <w:r w:rsidR="0013764B">
        <w:rPr>
          <w:lang w:val="sr-Latn-ME"/>
        </w:rPr>
        <w:t xml:space="preserve">vnim </w:t>
      </w:r>
      <w:r w:rsidR="006C59E8">
        <w:rPr>
          <w:lang w:val="sr-Latn-ME"/>
        </w:rPr>
        <w:t>finansijama, dok se od</w:t>
      </w:r>
      <w:r w:rsidR="0013764B">
        <w:rPr>
          <w:lang w:val="sr-Latn-ME"/>
        </w:rPr>
        <w:t xml:space="preserve"> javn</w:t>
      </w:r>
      <w:r w:rsidR="006C59E8">
        <w:rPr>
          <w:lang w:val="sr-Latn-ME"/>
        </w:rPr>
        <w:t>e uprave i HRM, kao i pružanja</w:t>
      </w:r>
      <w:r w:rsidRPr="0030206E">
        <w:rPr>
          <w:lang w:val="sr-Latn-ME"/>
        </w:rPr>
        <w:t xml:space="preserve"> usluga i digitalizacij</w:t>
      </w:r>
      <w:r w:rsidR="006C59E8">
        <w:rPr>
          <w:lang w:val="sr-Latn-ME"/>
        </w:rPr>
        <w:t>e</w:t>
      </w:r>
      <w:r w:rsidRPr="0030206E">
        <w:rPr>
          <w:lang w:val="sr-Latn-ME"/>
        </w:rPr>
        <w:t xml:space="preserve">, </w:t>
      </w:r>
      <w:r w:rsidR="006C59E8">
        <w:rPr>
          <w:lang w:val="sr-Latn-ME"/>
        </w:rPr>
        <w:t>očekuje veći iskorak</w:t>
      </w:r>
      <w:r w:rsidRPr="0030206E">
        <w:rPr>
          <w:lang w:val="sr-Latn-ME"/>
        </w:rPr>
        <w:t>. Evropska komisija u Izvještaju za 2025. ocjenjuje da je Crna Gora u oblasti reforme javne uprave umjereno spremna i da je ostvaren određeni napredak, ali da regulatorni okvir još treba finalizovati, posebno u oblasti slobodnog pristupa informacijama i sistema nagrađivanja zasnovanog na zaslugama, dok su administrativni kapaciteti i dalje slabi zbog kašnjenja u popunjavanju mjesta, velikog broja vršilaca dužn</w:t>
      </w:r>
      <w:r w:rsidR="00ED4AC3">
        <w:rPr>
          <w:lang w:val="sr-Latn-ME"/>
        </w:rPr>
        <w:t>osti i privremenih angažmana</w:t>
      </w:r>
      <w:r w:rsidR="006C59E8">
        <w:rPr>
          <w:lang w:val="sr-Latn-ME"/>
        </w:rPr>
        <w:t>.</w:t>
      </w:r>
    </w:p>
    <w:p w14:paraId="496280FB" w14:textId="28B028EF" w:rsidR="00F579F5" w:rsidRDefault="00F579F5" w:rsidP="00F579F5">
      <w:pPr>
        <w:pStyle w:val="Naslov3"/>
        <w:rPr>
          <w:lang w:val="sr-Latn-ME"/>
        </w:rPr>
      </w:pPr>
      <w:r>
        <w:rPr>
          <w:lang w:val="sr-Latn-ME"/>
        </w:rPr>
        <w:t>Međunarodni i EU Strateški i pravni okvir</w:t>
      </w:r>
    </w:p>
    <w:p w14:paraId="7311B6A4" w14:textId="5A9B5118" w:rsidR="00B31ED8" w:rsidRDefault="003F3DC0" w:rsidP="003F3DC0">
      <w:pPr>
        <w:rPr>
          <w:lang w:val="sr-Latn-ME"/>
        </w:rPr>
      </w:pPr>
      <w:r w:rsidRPr="003F3DC0">
        <w:rPr>
          <w:lang w:val="sr-Latn-ME"/>
        </w:rPr>
        <w:t>Strateški i regulatorni okvir Evropske unije za oblast efikasne javne uprave zasniva se na više međusobno povezanih nivoa: na pravilima procesa pristupanja i standardima dobre javne uprave; na pravnoj i institucionalnoj arhitekturi za upravljanje javnim politikama, javnim finansijama i fondovima EU; te na evropskim okvirima za digitalnu upravu, interoperabilnost, kvalitet upravljanja i partnerstvo. Zbog toga se ova oblast u evropskom kontekstu ne posmatra usko, kao pitanje organizacije državne uprave, već kao horizontalni preduslov za sprovođenje pravne tekovine, korišćenje EU sredstava, kvalitet javnih usluga i ukupnu sposobnost države da vodi razvojne politike.</w:t>
      </w:r>
      <w:r w:rsidR="00ED4AC3">
        <w:rPr>
          <w:lang w:val="sr-Latn-ME"/>
        </w:rPr>
        <w:t xml:space="preserve"> </w:t>
      </w:r>
      <w:r w:rsidRPr="003F3DC0">
        <w:rPr>
          <w:lang w:val="sr-Latn-ME"/>
        </w:rPr>
        <w:t xml:space="preserve">U osnovi ovog okvira nalazi se politika proširenja Evropske unije, u kojoj reforma javne uprave spada u tzv. temeljna pitanja pristupnog procesa. </w:t>
      </w:r>
    </w:p>
    <w:p w14:paraId="4F0E1620" w14:textId="589DC608" w:rsidR="00B31ED8" w:rsidRDefault="00B31ED8" w:rsidP="003F3DC0">
      <w:pPr>
        <w:rPr>
          <w:lang w:val="sr-Latn-ME"/>
        </w:rPr>
      </w:pPr>
      <w:r>
        <w:rPr>
          <w:lang w:val="sr-Latn-ME"/>
        </w:rPr>
        <w:t>E</w:t>
      </w:r>
      <w:r w:rsidRPr="00B31ED8">
        <w:rPr>
          <w:lang w:val="sr-Latn-ME"/>
        </w:rPr>
        <w:t>vropski strateški i regulatorni okvir za ovu oblast nije sadržan u jednom jedinstvenom propisu, već u skupu međusobno povezanih pravnih, strateških i standardizacijskih instrumenata koji zajedno oblikuju standarde dobre uprave za države članice i zemlje kandidatkinje. Za opšti okvir reforme javne uprave od posebnog su značaja SIGMA Principles of Public Administration, koji predstavljaju osnovni referentni standard za zemlje proširenja i obuhvataju strateški okvir reforme javne uprave, kreiranje i koordinaciju politika, javnu službu i upravljanje ljudskim resursima, organizaciju i odgovornost, pružanje usluga i up</w:t>
      </w:r>
      <w:r w:rsidR="00ED4AC3">
        <w:rPr>
          <w:lang w:val="sr-Latn-ME"/>
        </w:rPr>
        <w:t>ravljanje javnim finansijama</w:t>
      </w:r>
      <w:r w:rsidRPr="00B31ED8">
        <w:rPr>
          <w:lang w:val="sr-Latn-ME"/>
        </w:rPr>
        <w:t xml:space="preserve">. Za interventna polja koja se odnose na kvalitet javnih politika, koordinaciju i kvalitet propisa, ključan je okvir Better Regulation Evropske komisije, koji insistira na dokazima zasnovanom odlučivanju, procjeni uticaja, konsultacijama, ex post evaluaciji i smanjenju </w:t>
      </w:r>
      <w:r w:rsidR="00ED4AC3">
        <w:rPr>
          <w:lang w:val="sr-Latn-ME"/>
        </w:rPr>
        <w:t>administrativnog opterećenja</w:t>
      </w:r>
      <w:r w:rsidRPr="00B31ED8">
        <w:rPr>
          <w:lang w:val="sr-Latn-ME"/>
        </w:rPr>
        <w:t>. U dijelu koji se odnosi na digitalizaciju javne uprave i javnih usluga, posebno su relevantni Decision (EU) 2022/2481 establishing the Digital Decade Policy Programme 2030, koji postavlja ciljeve digitalne transformacije do 2030. godine, Regulation (EU) No 910/2014 (eIDAS) kao osnovni okvir za elektronsku identifikaciju i usluge povjerenja, kao i Regulation (EU) 2024/903 (Interoperable Europe Act), kojim se uređuju mjere za visok nivo interoperabilnosti j</w:t>
      </w:r>
      <w:r w:rsidR="00ED4AC3">
        <w:rPr>
          <w:lang w:val="sr-Latn-ME"/>
        </w:rPr>
        <w:t>avnog sektora širom Unije</w:t>
      </w:r>
      <w:r w:rsidRPr="00B31ED8">
        <w:rPr>
          <w:lang w:val="sr-Latn-ME"/>
        </w:rPr>
        <w:t>. Za oblast evropske statistike, koja je posebno važna za MONSTAT i druge proizvođače zvanične statistike, ključni pravni okvir čini Regulation (EC) No 223/2009 on European statistics, dok European Statistics Code of Practice predstavlja temeljni standard kvaliteta, profesionalne nezavisnosti, pouzdanosti i uporediv</w:t>
      </w:r>
      <w:r w:rsidR="00ED4AC3">
        <w:rPr>
          <w:lang w:val="sr-Latn-ME"/>
        </w:rPr>
        <w:t>osti evropske statistike</w:t>
      </w:r>
      <w:r w:rsidRPr="00B31ED8">
        <w:rPr>
          <w:lang w:val="sr-Latn-ME"/>
        </w:rPr>
        <w:t xml:space="preserve">. U dijelu koji se odnosi na budžetski okvir i fiskalno upravljanje, važna referenca je reformisani okvir ekonomskog upravljanja EU, naročito Regulation (EU) 2024/1263 on the effective coordination of economic policies and on </w:t>
      </w:r>
      <w:r w:rsidRPr="00B31ED8">
        <w:rPr>
          <w:lang w:val="sr-Latn-ME"/>
        </w:rPr>
        <w:lastRenderedPageBreak/>
        <w:t>multilateral budgetary surveillance, koji potvrđuje pravac ka srednjoročnom fiskalnom planiranju, fiskalnoj održivosti i snažnijem institucionalnom nadzoru [8]. Za zaštitu finansijskih interesa EU važnu ulogu ima institucionalni okvir saradnje sa OLAF-om i razvoj AFCOS mehanizama, što je od posebnog značaja za zemlje kandidatkinje koje koriste pret</w:t>
      </w:r>
      <w:r w:rsidR="00ED4AC3">
        <w:rPr>
          <w:lang w:val="sr-Latn-ME"/>
        </w:rPr>
        <w:t>pristupna i druga sredstva EU</w:t>
      </w:r>
      <w:r w:rsidRPr="00B31ED8">
        <w:rPr>
          <w:lang w:val="sr-Latn-ME"/>
        </w:rPr>
        <w:t xml:space="preserve">. </w:t>
      </w:r>
    </w:p>
    <w:p w14:paraId="6FCBEF7D" w14:textId="30EAE28F" w:rsidR="00B31ED8" w:rsidRDefault="00B31ED8" w:rsidP="003F3DC0">
      <w:pPr>
        <w:rPr>
          <w:lang w:val="sr-Latn-ME"/>
        </w:rPr>
      </w:pPr>
      <w:r w:rsidRPr="00B31ED8">
        <w:rPr>
          <w:lang w:val="sr-Latn-ME"/>
        </w:rPr>
        <w:t xml:space="preserve">Pored opšteg EU pravnog i strateškog okvira, za Crnu Goru su posebno značajne evropske i međunarodne inicijative koje podržavaju operativnu pripremu za članstvo. Tu prije svega treba izdvojiti SIGMA kao zajedničku inicijativu OECD-a i EU za podršku reformi javne </w:t>
      </w:r>
      <w:r w:rsidR="00ED4AC3">
        <w:rPr>
          <w:lang w:val="sr-Latn-ME"/>
        </w:rPr>
        <w:t>uprave u zemljama proširenja</w:t>
      </w:r>
      <w:r w:rsidRPr="00B31ED8">
        <w:rPr>
          <w:lang w:val="sr-Latn-ME"/>
        </w:rPr>
        <w:t xml:space="preserve">, zatim saradnju sa Eurostatom u okviru politike proširenja </w:t>
      </w:r>
      <w:r w:rsidR="00ED4AC3">
        <w:rPr>
          <w:lang w:val="sr-Latn-ME"/>
        </w:rPr>
        <w:t>i statističkog usklađivanja</w:t>
      </w:r>
      <w:r w:rsidRPr="00B31ED8">
        <w:rPr>
          <w:lang w:val="sr-Latn-ME"/>
        </w:rPr>
        <w:t>, kao i Economic and Financial Dialogue i sistem Economic Reform Programmes, kroz koje EU redovno prati kvalitet ekonomskog upravljanja i reformskih politik</w:t>
      </w:r>
      <w:r w:rsidR="00ED4AC3">
        <w:rPr>
          <w:lang w:val="sr-Latn-ME"/>
        </w:rPr>
        <w:t>a u zemljama kandidatkinjama</w:t>
      </w:r>
      <w:r w:rsidRPr="00B31ED8">
        <w:rPr>
          <w:lang w:val="sr-Latn-ME"/>
        </w:rPr>
        <w:t xml:space="preserve">. U novijem kontekstu dodatno je važan i Reform and Growth Facility for the Western Balkans, koji finansijsku podršku eksplicitno vezuje za uspješnu realizaciju reformi i time jača značaj administrativnih kapaciteta, koordinacije, odgovornosti i </w:t>
      </w:r>
      <w:r w:rsidR="00ED4AC3">
        <w:rPr>
          <w:lang w:val="sr-Latn-ME"/>
        </w:rPr>
        <w:t>monitoringa u javnoj upravi</w:t>
      </w:r>
      <w:r w:rsidRPr="00B31ED8">
        <w:rPr>
          <w:lang w:val="sr-Latn-ME"/>
        </w:rPr>
        <w:t xml:space="preserve">. </w:t>
      </w:r>
    </w:p>
    <w:p w14:paraId="3BDF3C0F" w14:textId="2FF99FCF" w:rsidR="00F579F5" w:rsidRPr="00F579F5" w:rsidRDefault="00B31ED8" w:rsidP="003F3DC0">
      <w:pPr>
        <w:rPr>
          <w:lang w:val="sr-Latn-ME"/>
        </w:rPr>
      </w:pPr>
      <w:r w:rsidRPr="00B31ED8">
        <w:rPr>
          <w:lang w:val="sr-Latn-ME"/>
        </w:rPr>
        <w:t>Od regionalnih inicijativa, za Crnu Goru su posebno relevantne ReSPA, kao specijalizovana regionalna platforma za reformu javne uprave i razvoj ka</w:t>
      </w:r>
      <w:r w:rsidR="00ED4AC3">
        <w:rPr>
          <w:lang w:val="sr-Latn-ME"/>
        </w:rPr>
        <w:t>paciteta u Zapadnom Balkanu</w:t>
      </w:r>
      <w:r w:rsidRPr="00B31ED8">
        <w:rPr>
          <w:lang w:val="sr-Latn-ME"/>
        </w:rPr>
        <w:t xml:space="preserve">, zatim Common Regional Market, koji je zasnovan na pravilima i standardima EU i predstavlja korak ka postepenoj integraciji regiona u </w:t>
      </w:r>
      <w:r w:rsidR="00ED4AC3">
        <w:rPr>
          <w:lang w:val="sr-Latn-ME"/>
        </w:rPr>
        <w:t>jedinstveno tržište EU</w:t>
      </w:r>
      <w:r w:rsidRPr="00B31ED8">
        <w:rPr>
          <w:lang w:val="sr-Latn-ME"/>
        </w:rPr>
        <w:t>, kao i WBIF, koji ima važnu ulogu u sprovođenju Reform and Growth Facility i šire u podršci investicijama i institucionalnoj pripremi regiona za članstvo. Za dio koji se odnosi na regionalni razvoj i lokalne javne usluge dodatno je korisno imati u vidu i NALAS, kao regionalnu mrežu asocijacija lokalnih vlasti u jugoistočnoj Evropi, relevantnu za upravljanje, razmjenu iskustava i jačanje lokalne upravne dimenzije ev</w:t>
      </w:r>
      <w:r w:rsidR="00ED4AC3">
        <w:rPr>
          <w:lang w:val="sr-Latn-ME"/>
        </w:rPr>
        <w:t>ropskih integracija</w:t>
      </w:r>
      <w:r w:rsidRPr="00B31ED8">
        <w:rPr>
          <w:lang w:val="sr-Latn-ME"/>
        </w:rPr>
        <w:t>. Posmatrano u cjelini, ovaj evropski i regionalni okvir potvrđuje da se politika efikasne javne uprave u slučaju Crne Gore ne može svesti samo na usku reformu državne administracije, već obuhvata širi proces usklađivanja sa standardima EU u domenu profesionalne i odgovorne javne službe, kvalitetnog kreiranja politika i propisa, digitalne transformacije, statističkog sistema, upravljanja javnim finansijama, zaštite finansijskih interesa EU i jačanja institucionalne sposobnosti na centralnom i lokalnom nivou.</w:t>
      </w:r>
      <w:r w:rsidR="003F3DC0" w:rsidRPr="003F3DC0">
        <w:rPr>
          <w:lang w:val="sr-Latn-ME"/>
        </w:rPr>
        <w:t xml:space="preserve"> To potvrđuje da je strateški i regulatorni okvir EU za ovu oblast po svojoj prirodi integrisan i višesektorski.</w:t>
      </w:r>
    </w:p>
    <w:p w14:paraId="096F3D65" w14:textId="78754DA8" w:rsidR="00F579F5" w:rsidRDefault="00F579F5" w:rsidP="00F579F5">
      <w:pPr>
        <w:pStyle w:val="Naslov3"/>
        <w:rPr>
          <w:lang w:val="sr-Latn-ME"/>
        </w:rPr>
      </w:pPr>
      <w:r>
        <w:rPr>
          <w:lang w:val="sr-Latn-ME"/>
        </w:rPr>
        <w:t>Crnogorski strateški i pravni okvir</w:t>
      </w:r>
    </w:p>
    <w:p w14:paraId="3875BA04" w14:textId="225ED6DB" w:rsidR="003F3DC0" w:rsidRPr="003F3DC0" w:rsidRDefault="003F3DC0" w:rsidP="00217401">
      <w:pPr>
        <w:rPr>
          <w:lang w:val="sr-Latn-ME"/>
        </w:rPr>
      </w:pPr>
      <w:r w:rsidRPr="003F3DC0">
        <w:rPr>
          <w:lang w:val="sr-Latn-ME"/>
        </w:rPr>
        <w:t>Crnogorski strateški i pravni okvir za prioritetno područje „Efikasna javna uprava” zasniva se na međusobno povezanom skupu reformskih, planskih i normativnih akata koji zajedno uređuju organizaciju i rad državne uprave, razvoj i koordinaciju javnih politika, službenički sistem, sistem zarada u javnom sektoru, upravljanje javnim finansijama, digitalnu upravu, informacionu bezbjednost, zvaničnu statistiku, javne nabavke i lokalnu samoupravu. Njegova osnovna karakteristika jeste širok institucionalni obuhvat i snažna veza sa procesom pristupanja Evropskoj uniji, zbog čega se ova oblast ne može svesti na jedan reformski dokument ili jednu grupu propisa, već se mora sagledavati kao cjelovit okvir upravljačkih i administrati</w:t>
      </w:r>
      <w:r w:rsidR="00ED4AC3">
        <w:rPr>
          <w:lang w:val="sr-Latn-ME"/>
        </w:rPr>
        <w:t>vnih kapaciteta države</w:t>
      </w:r>
      <w:r w:rsidRPr="003F3DC0">
        <w:rPr>
          <w:lang w:val="sr-Latn-ME"/>
        </w:rPr>
        <w:t>.</w:t>
      </w:r>
    </w:p>
    <w:p w14:paraId="7388B782" w14:textId="4BB90145" w:rsidR="003F3DC0" w:rsidRPr="003F3DC0" w:rsidRDefault="003F3DC0" w:rsidP="00217401">
      <w:pPr>
        <w:rPr>
          <w:lang w:val="sr-Latn-ME"/>
        </w:rPr>
      </w:pPr>
      <w:r w:rsidRPr="003F3DC0">
        <w:rPr>
          <w:lang w:val="sr-Latn-ME"/>
        </w:rPr>
        <w:t xml:space="preserve">Krovni strateški dokument u užem smislu reforme javne uprave predstavlja Strategija reforme javne uprave u Crnoj Gori 2022–2026. Ovim dokumentom definisana je vizija profesionalne, odgovorne, transparentne i servisno orijentisane uprave, sa adekvatnim kapacitetima za </w:t>
      </w:r>
      <w:r w:rsidRPr="003F3DC0">
        <w:rPr>
          <w:lang w:val="sr-Latn-ME"/>
        </w:rPr>
        <w:lastRenderedPageBreak/>
        <w:t>pristupanje Evropskoj uniji, dok su reformski prioriteti strukturirani kroz unapređenje organizacije i rada javne uprave, kvaliteta i dostupnosti usluga, profesionalizacije i upravljanja ljudskim resursima, transparentnosti i otvorenosti, kao i digitalizacije i konti</w:t>
      </w:r>
      <w:r w:rsidR="00ED4AC3">
        <w:rPr>
          <w:lang w:val="sr-Latn-ME"/>
        </w:rPr>
        <w:t>nuiranog unapređenja sistema</w:t>
      </w:r>
      <w:r w:rsidRPr="003F3DC0">
        <w:rPr>
          <w:lang w:val="sr-Latn-ME"/>
        </w:rPr>
        <w:t>. Strategija je operacionalizovana kroz akcione planove, a njena implementacija povezana je sa redovnim praćenjem učinka, izvještavanjem Vladi i dija</w:t>
      </w:r>
      <w:r w:rsidR="00ED4AC3">
        <w:rPr>
          <w:lang w:val="sr-Latn-ME"/>
        </w:rPr>
        <w:t>logom sa Evropskom komisijom</w:t>
      </w:r>
      <w:r w:rsidRPr="003F3DC0">
        <w:rPr>
          <w:lang w:val="sr-Latn-ME"/>
        </w:rPr>
        <w:t>.</w:t>
      </w:r>
    </w:p>
    <w:p w14:paraId="76A74B64" w14:textId="76402835" w:rsidR="003F3DC0" w:rsidRPr="003F3DC0" w:rsidRDefault="003F3DC0" w:rsidP="00217401">
      <w:pPr>
        <w:rPr>
          <w:lang w:val="sr-Latn-ME"/>
        </w:rPr>
      </w:pPr>
      <w:r w:rsidRPr="003F3DC0">
        <w:rPr>
          <w:lang w:val="sr-Latn-ME"/>
        </w:rPr>
        <w:t>Institucionalnu osnovu funkcionisanja državne uprave čini Zakon o državnoj upravi, kojim se uređuju poslovi državne uprave, vrste i nadležnosti organa, rukovođenje, odgovornost i odnosi između ministarstava i drugih organa uprave. Ovaj zakon predstavlja temelj organizacione arhitekture državnog sistema, jer definiše raspored upravljačkih i izvršnih funkcija, odgovornost za sprovođenje javnih politika i mjesto organa uprave u uk</w:t>
      </w:r>
      <w:r w:rsidR="00ED4AC3">
        <w:rPr>
          <w:lang w:val="sr-Latn-ME"/>
        </w:rPr>
        <w:t>upnom sistemu izvršne vlasti</w:t>
      </w:r>
      <w:r w:rsidRPr="003F3DC0">
        <w:rPr>
          <w:lang w:val="sr-Latn-ME"/>
        </w:rPr>
        <w:t>. Njegov značaj je posebno izražen u kontekstu reforme organizacije uprave, racionalnijeg rasporeda nadležnosti i jačanja upravljačke odgovornosti.</w:t>
      </w:r>
    </w:p>
    <w:p w14:paraId="3C97C04A" w14:textId="7B17E0FB" w:rsidR="003F3DC0" w:rsidRPr="003F3DC0" w:rsidRDefault="003F3DC0" w:rsidP="00217401">
      <w:pPr>
        <w:rPr>
          <w:lang w:val="sr-Latn-ME"/>
        </w:rPr>
      </w:pPr>
      <w:r w:rsidRPr="003F3DC0">
        <w:rPr>
          <w:lang w:val="sr-Latn-ME"/>
        </w:rPr>
        <w:t>Profesionalizacija i depolitizacija uprave normativno se prvenstveno oslanjaju na Zakon o državnim službenicima i namještenicima, koji uređuje zapošljavanje, prava i obaveze državnih službenika, napredovanje, ocjenjivanje i disciplinsku odgovornost. Ovaj zakon čini osnovu za uspostavljanje meritornog službeničkog sistema, primjenu kompetencijskog okvira i jačanje kadrovskog planiranja. Sa njim je neposredno povezan i Zakon o zaradama zaposlenih u javnom sektoru, jer se profesionalna javna administracija ne može graditi bez jasnog, pravičnog i transparentnog sistema vrednovanja radnih mjesta i naknada. Ujedno, pitanje zarada i nagrađivanja ima direktan uticaj na atraktivnost javne službe, stabilnost kadrovskog sistema i mogućnost da se princip zasluga dosljedno ugradi u uprav</w:t>
      </w:r>
      <w:r w:rsidR="00ED4AC3">
        <w:rPr>
          <w:lang w:val="sr-Latn-ME"/>
        </w:rPr>
        <w:t>ljanje ljudskim resursima</w:t>
      </w:r>
      <w:r w:rsidRPr="003F3DC0">
        <w:rPr>
          <w:lang w:val="sr-Latn-ME"/>
        </w:rPr>
        <w:t>.</w:t>
      </w:r>
    </w:p>
    <w:p w14:paraId="5AE22C14" w14:textId="4299CFAD" w:rsidR="003F3DC0" w:rsidRPr="003F3DC0" w:rsidRDefault="003F3DC0" w:rsidP="00217401">
      <w:pPr>
        <w:rPr>
          <w:lang w:val="sr-Latn-ME"/>
        </w:rPr>
      </w:pPr>
      <w:r w:rsidRPr="003F3DC0">
        <w:rPr>
          <w:lang w:val="sr-Latn-ME"/>
        </w:rPr>
        <w:t xml:space="preserve">Fiskalna i finansijsko-upravljačka dimenzija ovog prioritetnog područja zasniva se na Programu reforme upravljanja javnim finansijama 2022–2026, koji upravljanje javnim finansijama određuje kao sastavni dio reforme javne uprave i ekonomskog upravljanja. Program obuhvata fiskalni okvir i planiranje budžeta, budžetsko izvršenje, javne nabavke, upravljanje prihodima, računovodstvo i finansijsko izvještavanje, upravljanje državnom imovinom, statistiku, fondove EU, unutrašnju finansijsku kontrolu, eksternu reviziju, </w:t>
      </w:r>
      <w:r w:rsidR="00ED4AC3">
        <w:rPr>
          <w:lang w:val="sr-Latn-ME"/>
        </w:rPr>
        <w:t>AFCOS i budžetsku inspekciju</w:t>
      </w:r>
      <w:r w:rsidRPr="003F3DC0">
        <w:rPr>
          <w:lang w:val="sr-Latn-ME"/>
        </w:rPr>
        <w:t>. Time je javnofinansijska reforma jasno pozicionirana kao dio šire transformacije upravljačkog kapaciteta države, a ne samo kao sektorska reforma Ministarstva finansija.</w:t>
      </w:r>
    </w:p>
    <w:p w14:paraId="75AE8C3E" w14:textId="6886F4E0" w:rsidR="003F3DC0" w:rsidRPr="003F3DC0" w:rsidRDefault="003F3DC0" w:rsidP="00217401">
      <w:pPr>
        <w:rPr>
          <w:lang w:val="sr-Latn-ME"/>
        </w:rPr>
      </w:pPr>
      <w:r w:rsidRPr="003F3DC0">
        <w:rPr>
          <w:lang w:val="sr-Latn-ME"/>
        </w:rPr>
        <w:t>U tom okviru, posebno mjesto zauzima Zakon o budžetu i fiskalnoj odgovornosti, koji uređuje budžetski proces, fiskalna pravila, srednjoročni fiskalni okvir i obaveze odgovornog upravljanja javnim sredstvima. Ovaj zakon predstavlja osnov za usklađivanje godišnjeg budžeta sa srednjoročnim fiskalnim ciljevima i za postavljanje ograničenja potrošnje, ali i pravni oslonac za upravljanje fiskalnim rizicima i očuvanje odr</w:t>
      </w:r>
      <w:r w:rsidR="00ED4AC3">
        <w:rPr>
          <w:lang w:val="sr-Latn-ME"/>
        </w:rPr>
        <w:t>živosti javnih finansija</w:t>
      </w:r>
      <w:r w:rsidRPr="003F3DC0">
        <w:rPr>
          <w:lang w:val="sr-Latn-ME"/>
        </w:rPr>
        <w:t>. Njegovu stratešku dimenziju dopunjava Fiskalna strategija, kojom se određuju srednjoročni pravci fiskalne i ekonomske politike, ključne mjere za stabilizaciju javnih finansija i prioriteti u raspodjeli javnih resursa. Fiskalna strategija time povezuje budžetsko planiranje, makroekonomski okvir i reformske ciljeve Vlade, a njen značaj dodatno potvrđuje činjenica da se srednjoročne fiskalne projekcije i smjernice ekonomske politike u PER-u izr</w:t>
      </w:r>
      <w:r w:rsidR="00ED4AC3">
        <w:rPr>
          <w:lang w:val="sr-Latn-ME"/>
        </w:rPr>
        <w:t>ičito usklađuju sa njom</w:t>
      </w:r>
      <w:r w:rsidRPr="003F3DC0">
        <w:rPr>
          <w:lang w:val="sr-Latn-ME"/>
        </w:rPr>
        <w:t>.</w:t>
      </w:r>
    </w:p>
    <w:p w14:paraId="77BCA9DD" w14:textId="1A7469EF" w:rsidR="003F3DC0" w:rsidRPr="003F3DC0" w:rsidRDefault="003F3DC0" w:rsidP="00217401">
      <w:pPr>
        <w:rPr>
          <w:lang w:val="sr-Latn-ME"/>
        </w:rPr>
      </w:pPr>
      <w:r w:rsidRPr="003F3DC0">
        <w:rPr>
          <w:lang w:val="sr-Latn-ME"/>
        </w:rPr>
        <w:t xml:space="preserve">Operativni izraz fiskalnog okvira predstavlja i godišnji Zakon o budžetu, kroz koji se srednjoročne politike prevode u konkretne limite rashoda, izdatke po programima i finansiranje prioritetnih </w:t>
      </w:r>
      <w:r w:rsidRPr="003F3DC0">
        <w:rPr>
          <w:lang w:val="sr-Latn-ME"/>
        </w:rPr>
        <w:lastRenderedPageBreak/>
        <w:t>mjera. U tom smislu, godišnji budžet nije samo tehnički akt raspodjele sredstava, već ključni regulatorni instrument za sprovođenje javnih politika i provjeru usklađenosti strateških ciljeva sa realnim fiskalnim kapacitetima države.</w:t>
      </w:r>
    </w:p>
    <w:p w14:paraId="3687C0BE" w14:textId="7A5531BB" w:rsidR="003F3DC0" w:rsidRPr="003F3DC0" w:rsidRDefault="003F3DC0" w:rsidP="00217401">
      <w:pPr>
        <w:rPr>
          <w:lang w:val="sr-Latn-ME"/>
        </w:rPr>
      </w:pPr>
      <w:r w:rsidRPr="003F3DC0">
        <w:rPr>
          <w:lang w:val="sr-Latn-ME"/>
        </w:rPr>
        <w:t>Digitalna transformacija javne uprave oslanja se na Zakon o elektronskoj upravi, koji uređuje elektronsku komunikaciju između organa, pružanje elektronskih usluga, pristupačnost digitalnih servisa i standarde funkcionisanja informacionih sistema u javnoj upravi. Ovaj zakon ima centralno mjesto u normativnom okviru digitalne javne uprave, jer uspostavlja osnovu za razvoj e-usluga, elektronsku razmjenu podataka, pojednostavljenje procedura i veću dostupnost uprave građanima i privredi. Njegov značaj je utoliko veći što digitalizacija u ovoj oblasti nije pomoćni proces, već jedan od glavnih instrumenata za povećanje efikasnosti, transparentnosti i kvaliteta usluga.</w:t>
      </w:r>
    </w:p>
    <w:p w14:paraId="618ABE4C" w14:textId="21592337" w:rsidR="003F3DC0" w:rsidRPr="003F3DC0" w:rsidRDefault="003F3DC0" w:rsidP="00217401">
      <w:pPr>
        <w:rPr>
          <w:lang w:val="sr-Latn-ME"/>
        </w:rPr>
      </w:pPr>
      <w:r w:rsidRPr="003F3DC0">
        <w:rPr>
          <w:lang w:val="sr-Latn-ME"/>
        </w:rPr>
        <w:t>Sa digitalnom upravom neposredno je povezan Zakon o informacionoj bezbjednosti, koji uređuje zaštitu mreža i informacionih sistema, nadležnosti institucija i osnovne zahtjeve za očuvanje bezbjednosti digitalne infrastrukture. U uslovima sve veće zavisnosti javne uprave od registara, informacionih sistema i elektronskih usluga, informaciona bezbjednost postaje sastavni dio upravljačkog kapaciteta države. Zbog toga ovaj zakon ima posebno mjesto u okviru efikasne javne uprave, jer digitalna dostupnost usluga i elektronsko upravljanje nijesu održivi bez sigu</w:t>
      </w:r>
      <w:r w:rsidR="00ED4AC3">
        <w:rPr>
          <w:lang w:val="sr-Latn-ME"/>
        </w:rPr>
        <w:t>rnih i otpornih sistema</w:t>
      </w:r>
      <w:r w:rsidRPr="003F3DC0">
        <w:rPr>
          <w:lang w:val="sr-Latn-ME"/>
        </w:rPr>
        <w:t>.</w:t>
      </w:r>
    </w:p>
    <w:p w14:paraId="532F38F0" w14:textId="3841B955" w:rsidR="003F3DC0" w:rsidRPr="003F3DC0" w:rsidRDefault="003F3DC0" w:rsidP="00217401">
      <w:pPr>
        <w:rPr>
          <w:lang w:val="sr-Latn-ME"/>
        </w:rPr>
      </w:pPr>
      <w:r w:rsidRPr="003F3DC0">
        <w:rPr>
          <w:lang w:val="sr-Latn-ME"/>
        </w:rPr>
        <w:t>Za dio prioritetnog područja koji se odnosi na podatke, indikatore i praćenje politika, ključan je Zakon o zvaničnoj statistici i sistemu zvanične statistike, kojim se uređuju organizacija sistema zvanične statistike, proizvođači zvanične statistike, prikupljanje, obrada i objavljivanje statističkih podataka, kao i osnovna načela kvaliteta i profesionalne nezavisnosti. Njegov razvojni izraz predstavlja Program zvanične statistike 2024–2028, kojim se definišu razvojni ciljevi zvanične statistike, periodika statističkih istraživanja, stepen usklađenosti sa međunarodnim standardima i prioriteti daljeg razvoja admi</w:t>
      </w:r>
      <w:r w:rsidR="00ED4AC3">
        <w:rPr>
          <w:lang w:val="sr-Latn-ME"/>
        </w:rPr>
        <w:t>nistrativnih izvora podataka</w:t>
      </w:r>
      <w:r w:rsidRPr="003F3DC0">
        <w:rPr>
          <w:lang w:val="sr-Latn-ME"/>
        </w:rPr>
        <w:t>. Ovaj dio okvira je od posebne važnosti zato što efikasna javna uprava podrazumijeva i sposobnost države da raspolaže pouzdanim, uporedivim i pravovremenim podacima za donošenje odluka, praćenje rezultata i izvještavanje prema nacionalnim i evropskim institucijama.</w:t>
      </w:r>
    </w:p>
    <w:p w14:paraId="31B046E5" w14:textId="64029085" w:rsidR="003F3DC0" w:rsidRPr="003F3DC0" w:rsidRDefault="003F3DC0" w:rsidP="00217401">
      <w:pPr>
        <w:rPr>
          <w:lang w:val="sr-Latn-ME"/>
        </w:rPr>
      </w:pPr>
      <w:r w:rsidRPr="003F3DC0">
        <w:rPr>
          <w:lang w:val="sr-Latn-ME"/>
        </w:rPr>
        <w:t>Transparentno i konkurentno trošenje javnih sredstava uređeno je prije svega kroz Zakon o javnim nabavkama, koji predstavlja centralni propis za planiranje, sprovođenje i kontrolu postupaka javnih nabavki, uključujući elektronsko sprovođenje postupaka, pravnu zaštitu i osnovne antikorupcijske mehanizme. Njegov značaj u okviru ovog prioritetnog područja prevazilazi samu nabavnu funkciju, jer je riječ o ključnom instrumentu integriteta javne potrošnje, tržišne konkurencije i efikasne realizacij</w:t>
      </w:r>
      <w:r w:rsidR="00ED4AC3">
        <w:rPr>
          <w:lang w:val="sr-Latn-ME"/>
        </w:rPr>
        <w:t>e javnih politika i investicija</w:t>
      </w:r>
      <w:r w:rsidRPr="003F3DC0">
        <w:rPr>
          <w:lang w:val="sr-Latn-ME"/>
        </w:rPr>
        <w:t>.</w:t>
      </w:r>
    </w:p>
    <w:p w14:paraId="59911D24" w14:textId="327F03DC" w:rsidR="003F3DC0" w:rsidRPr="003F3DC0" w:rsidRDefault="003F3DC0" w:rsidP="00217401">
      <w:pPr>
        <w:rPr>
          <w:lang w:val="sr-Latn-ME"/>
        </w:rPr>
      </w:pPr>
      <w:r w:rsidRPr="003F3DC0">
        <w:rPr>
          <w:lang w:val="sr-Latn-ME"/>
        </w:rPr>
        <w:t>Na lokalnom</w:t>
      </w:r>
      <w:r w:rsidR="00ED4AC3">
        <w:rPr>
          <w:lang w:val="sr-Latn-ME"/>
        </w:rPr>
        <w:t xml:space="preserve"> nivou, sastavni dio ovog priori</w:t>
      </w:r>
      <w:r w:rsidRPr="003F3DC0">
        <w:rPr>
          <w:lang w:val="sr-Latn-ME"/>
        </w:rPr>
        <w:t>tetnog područja čini Zakon o lokalnoj samoupravi, koji uređuje položaj, nadležnosti, organe i finansijsko-funkcionalni okvir jedinica lokalne samouprave. Njegov značaj proizlazi iz činjenice da se dio upravnih poslova, javnih usluga i razvojnih funkcija ostvaruje upravo na lokalnom nivou, zbog čega se efikasna javna uprava ne može posmatrati isključivo kr</w:t>
      </w:r>
      <w:r w:rsidR="00ED4AC3">
        <w:rPr>
          <w:lang w:val="sr-Latn-ME"/>
        </w:rPr>
        <w:t>oz centralne institucije</w:t>
      </w:r>
      <w:r w:rsidRPr="003F3DC0">
        <w:rPr>
          <w:lang w:val="sr-Latn-ME"/>
        </w:rPr>
        <w:t>. Pravnom okviru lokalnog nivoa pripada i zakonodavstvo koje uređuje status lokalnih službenika i namještenika, budući da je profesionalizacija i funkcionalnost lokalne uprave sastavni dio ukupnog upravljačkog kapaciteta države.</w:t>
      </w:r>
    </w:p>
    <w:p w14:paraId="2BF24737" w14:textId="0DCAD070" w:rsidR="0021066E" w:rsidRDefault="003F3DC0" w:rsidP="00217401">
      <w:pPr>
        <w:rPr>
          <w:lang w:val="sr-Latn-ME"/>
        </w:rPr>
      </w:pPr>
      <w:r w:rsidRPr="003F3DC0">
        <w:rPr>
          <w:lang w:val="sr-Latn-ME"/>
        </w:rPr>
        <w:lastRenderedPageBreak/>
        <w:t>Cjelina ovog strateškog i pravnog okvira povezana je i usmjeravana kroz Program pristupanja Crne Gore Evropskoj uniji 2026–2027, Program ekonomskih reformi 2026–2028, Prvi prilog Izvještaju Evropske komisije o Crnoj Gori za 2026 i Reformsku agendu Crne Gore 2024–2027. Ovi dokumenti daju pregovaračku, makrofiskalnu, izvještajnu i investicionu dimenziju reformama u ovoj oblasti, povezujući nacionalne propise i strategije sa obavezama iz procesa pristupanja i sa finansijskim i razvojnim instrumentima</w:t>
      </w:r>
      <w:r w:rsidR="00ED4AC3">
        <w:rPr>
          <w:lang w:val="sr-Latn-ME"/>
        </w:rPr>
        <w:t xml:space="preserve"> Evropske unije</w:t>
      </w:r>
      <w:r w:rsidRPr="003F3DC0">
        <w:rPr>
          <w:lang w:val="sr-Latn-ME"/>
        </w:rPr>
        <w:t>. Tako oblikovan okvir potvrđuje da je „efikasna javna uprava” jedna od najširih i najsistemskijih oblasti u ukupnom strateško-planskom dokumentu, jer istovremeno obuhvata organizacioni, kadrovski, fiskalni, digitalni, statistički i lokalni nivo upravljanja.</w:t>
      </w:r>
    </w:p>
    <w:p w14:paraId="331B19F1" w14:textId="5C170D16" w:rsidR="0051623F" w:rsidRPr="00F579F5" w:rsidRDefault="0051623F" w:rsidP="00217401">
      <w:pPr>
        <w:rPr>
          <w:lang w:val="sr-Latn-ME"/>
        </w:rPr>
      </w:pPr>
      <w:r w:rsidRPr="0051623F">
        <w:rPr>
          <w:lang w:val="sr-Latn-ME"/>
        </w:rPr>
        <w:t>Iz ugla pregovaračkog procesa, oblast politike efikasna javna uprava najneposrednije se može vezati za poglavlja koja se odnose na javne nabavke, finansijski nadzor, statistiku i reformu javne uprave u okviru temeljnih poglavlja. U tom kontekstu, Crna Gora je već ostvarila značajan napredak kroz privremeno zatvaranje Poglavlja 5 – Javne nabavke u junu 2025. godine i zatvaranje Poglavlja 32 – Finansijski nadzor u januaru 2026. godine, čime su zatvoreni važni segmenti koji se odnose na transparentno trošenje javnih sredstava, kontrolne mehanizme i finansijsku odgovornost. Istovremeno, u okviru Poglavlja 18 – Statistika bilježi se dalji institucionalni i metodološki napredak, dok je u okviru Poglavlja 23 – Pravosuđe i temeljna prava, u dijelu koji se odnosi na reformu javne uprave, postavljen jasan skup operativnih zaključaka i obaveza čije ispunjenje treba da omogući dalje napredovanje ka zatvaranju, posebno u oblastima profesionalizacije službeničkog sistema, upravljanja ljudskim resursima, slobodnog pristupa informacijama, lokalne samouprave i upravljanja javnim finansijama.</w:t>
      </w:r>
    </w:p>
    <w:p w14:paraId="42164ED2" w14:textId="18B0C8DF" w:rsidR="00F579F5" w:rsidRDefault="00F579F5" w:rsidP="00F579F5">
      <w:pPr>
        <w:pStyle w:val="Naslov3"/>
        <w:rPr>
          <w:lang w:val="sr-Latn-ME"/>
        </w:rPr>
      </w:pPr>
      <w:r>
        <w:rPr>
          <w:lang w:val="sr-Latn-ME"/>
        </w:rPr>
        <w:t>Planirane i trenutne reforme</w:t>
      </w:r>
    </w:p>
    <w:p w14:paraId="4ACEFCDD" w14:textId="3F9F17AC" w:rsidR="00511E2B" w:rsidRPr="00511E2B" w:rsidRDefault="00511E2B" w:rsidP="00CA78D5">
      <w:pPr>
        <w:rPr>
          <w:lang w:val="sr-Latn-ME"/>
        </w:rPr>
      </w:pPr>
      <w:r w:rsidRPr="00511E2B">
        <w:rPr>
          <w:lang w:val="sr-Latn-ME"/>
        </w:rPr>
        <w:t xml:space="preserve">Planirane i trenutne reforme u prioritetnom području „Efikasna javna uprava” u </w:t>
      </w:r>
      <w:r w:rsidR="00CA78D5">
        <w:rPr>
          <w:lang w:val="sr-Latn-ME"/>
        </w:rPr>
        <w:t xml:space="preserve">2025. i 2026. godini, u najvećoj mjeri, </w:t>
      </w:r>
      <w:r w:rsidRPr="00511E2B">
        <w:rPr>
          <w:lang w:val="sr-Latn-ME"/>
        </w:rPr>
        <w:t>usmjerene su na tri međusobno povezana pravca: unapređenje sistema reforme javne uprave i upravljanja ljudskim resursima, jačanje upravljanja javnim finansijama i fiskalnog okvira, te ubrzanje digitalne i administrativne modernizacije u funkciji pristupanja Evropskoj uniji i efikasnijeg sprovođe</w:t>
      </w:r>
      <w:r w:rsidR="00ED4AC3">
        <w:rPr>
          <w:lang w:val="sr-Latn-ME"/>
        </w:rPr>
        <w:t>nja javnih politika</w:t>
      </w:r>
      <w:r w:rsidRPr="00511E2B">
        <w:rPr>
          <w:lang w:val="sr-Latn-ME"/>
        </w:rPr>
        <w:t>.</w:t>
      </w:r>
    </w:p>
    <w:p w14:paraId="5E5B2ED7" w14:textId="1BBC2F1B" w:rsidR="00511E2B" w:rsidRPr="00511E2B" w:rsidRDefault="00511E2B" w:rsidP="00CA78D5">
      <w:pPr>
        <w:rPr>
          <w:lang w:val="sr-Latn-ME"/>
        </w:rPr>
      </w:pPr>
      <w:r w:rsidRPr="00511E2B">
        <w:rPr>
          <w:lang w:val="sr-Latn-ME"/>
        </w:rPr>
        <w:t>Najneposredniji reformski okvir u oblasti javne uprave predstavljaju Operativni zaključci sa 13. sastanka Posebne grupe za reformu javne uprave (PAR) iz novembra 2025. godine, definisani kao konkretne obaveze do kraja III kvartala 2026. godine [1]. U strateškom dijelu reforme prioritet je sprovođenje srednjoročne evaluacije Strategije reforme javne uprave 2022–2026, sa preporukama i naučenim lekcijama koje treba da posluže kao osnova za novi reformski okvir nakon 2026. godine, redovno održavanje sjednica Savjeta za reformu javne uprave i Koordinacionog tijela, te preduzimanje mjera za e</w:t>
      </w:r>
      <w:r w:rsidR="00ED4AC3">
        <w:rPr>
          <w:lang w:val="sr-Latn-ME"/>
        </w:rPr>
        <w:t>fikasnije sprovođenje reforme</w:t>
      </w:r>
      <w:r w:rsidRPr="00511E2B">
        <w:rPr>
          <w:lang w:val="sr-Latn-ME"/>
        </w:rPr>
        <w:t>. U oblasti razvoja i koordinacije politika zaključci predviđaju dosljedniju primjenu zakonskih obaveza u vezi sa javnim raspravama i kontinuirano povećanje udjela nacrta zakona i strategija koji prolaze</w:t>
      </w:r>
      <w:r w:rsidR="00ED4AC3">
        <w:rPr>
          <w:lang w:val="sr-Latn-ME"/>
        </w:rPr>
        <w:t xml:space="preserve"> kroz portal e-Participacija</w:t>
      </w:r>
      <w:r w:rsidRPr="00511E2B">
        <w:rPr>
          <w:lang w:val="sr-Latn-ME"/>
        </w:rPr>
        <w:t>.</w:t>
      </w:r>
    </w:p>
    <w:p w14:paraId="6355DB14" w14:textId="0D63A38D" w:rsidR="00511E2B" w:rsidRPr="00511E2B" w:rsidRDefault="00511E2B" w:rsidP="00CA78D5">
      <w:pPr>
        <w:rPr>
          <w:lang w:val="sr-Latn-ME"/>
        </w:rPr>
      </w:pPr>
      <w:r w:rsidRPr="00511E2B">
        <w:rPr>
          <w:lang w:val="sr-Latn-ME"/>
        </w:rPr>
        <w:t xml:space="preserve">U sistemu javne službe i upravljanja ljudskim resursima reformski fokus je izrazito operativan. Predviđeno je usvajanje izmjena i dopuna Zakona o lokalnoj samoupravi i novog Zakona o lokalnim službenicima i namještenicima, u skladu sa preporukama Evropske komisije i OECD/SIGMA, kao i početak njihove primjene. Na centralnom nivou reformske obaveze usmjerene su na zapošljavanje i izbor kandidata zasnovan na zaslugama u skladu sa novim </w:t>
      </w:r>
      <w:r w:rsidRPr="00511E2B">
        <w:rPr>
          <w:lang w:val="sr-Latn-ME"/>
        </w:rPr>
        <w:lastRenderedPageBreak/>
        <w:t>Zakonom o državnim službenicima, smanjenje broja vršilaca dužnosti, nastavak centralnog praćenja i smanjenje broja ugovora o djelu i ugovora o privremenim i povremenim poslovima, veću transparentnost decentralizovanih zapošljavanja, završetak sistematizacije svih radnih mjesta, finalizaciju okvira kompetencija i pratećih alata za procjenu, unapređenje kvaliteta podataka kroz HRMIS i izradu mape puta za modernizaciju sistema</w:t>
      </w:r>
      <w:r w:rsidR="00ED4AC3">
        <w:rPr>
          <w:lang w:val="sr-Latn-ME"/>
        </w:rPr>
        <w:t xml:space="preserve"> zarada u državnoj upravi</w:t>
      </w:r>
      <w:r w:rsidRPr="00511E2B">
        <w:rPr>
          <w:lang w:val="sr-Latn-ME"/>
        </w:rPr>
        <w:t>. U oblasti otvorenosti i odgovornosti uprave reformske aktivnosti usmjerene su na novu fazu u primjeni Zakona o slobodnom pristupu informacijama, jačanje kapaciteta nadležnih institucija i dalje unapređenje upravljačke odgovornosti</w:t>
      </w:r>
      <w:r w:rsidR="00ED4AC3">
        <w:rPr>
          <w:lang w:val="sr-Latn-ME"/>
        </w:rPr>
        <w:t xml:space="preserve"> i delegiranja ovlašćenja</w:t>
      </w:r>
      <w:r w:rsidRPr="00511E2B">
        <w:rPr>
          <w:lang w:val="sr-Latn-ME"/>
        </w:rPr>
        <w:t>.</w:t>
      </w:r>
    </w:p>
    <w:p w14:paraId="13E67A08" w14:textId="4B8EDC1C" w:rsidR="00511E2B" w:rsidRPr="00511E2B" w:rsidRDefault="00511E2B" w:rsidP="00CA78D5">
      <w:pPr>
        <w:rPr>
          <w:lang w:val="sr-Latn-ME"/>
        </w:rPr>
      </w:pPr>
      <w:r w:rsidRPr="00511E2B">
        <w:rPr>
          <w:lang w:val="sr-Latn-ME"/>
        </w:rPr>
        <w:t>Drugi veliki reformski blok čini upravljanje javnim finansijama, čiji neposredni okvir predstavljaju operativni zaključci u dijelu reforme upravljanja javnim finansijama [6]. Njima je predviđeno sprovođenje srednjoročne evaluacije Programa reforme upravljanja javnim finansijama i usvajanje novog Programa reforme upravljanja javnim fi</w:t>
      </w:r>
      <w:r w:rsidR="00ED4AC3">
        <w:rPr>
          <w:lang w:val="sr-Latn-ME"/>
        </w:rPr>
        <w:t>nansijama za period 2027–2031</w:t>
      </w:r>
      <w:r w:rsidRPr="00511E2B">
        <w:rPr>
          <w:lang w:val="sr-Latn-ME"/>
        </w:rPr>
        <w:t xml:space="preserve">. Pored toga, reformske aktivnosti su usmjerene na unapređenje upravljanja javnim investicijama i pripreme kapitalnih projekata kroz novo metodološko uputstvo za ocjenu projekata, kontinuirane obuke na centralnom i lokalnom nivou, izradu jedinstvenog portfolija kapitalnih investicionih projekata i povećanje transparentnosti registra </w:t>
      </w:r>
      <w:r w:rsidR="00ED4AC3">
        <w:rPr>
          <w:lang w:val="sr-Latn-ME"/>
        </w:rPr>
        <w:t>aktivnih kapitalnih projekata</w:t>
      </w:r>
      <w:r w:rsidRPr="00511E2B">
        <w:rPr>
          <w:lang w:val="sr-Latn-ME"/>
        </w:rPr>
        <w:t>. U istom okviru planirane su i izmjene i dopune Zakona o budžetu i fiskalnoj odgovornosti radi daljeg jačanja srednjoročnog budžetskog okvira, unapređenja budžetskog kalendara i metodologije procjene troškova strateških dokumenata, snažnijeg povezivanja budžetskog i strateškog planiranja i povećan</w:t>
      </w:r>
      <w:r w:rsidR="00ED4AC3">
        <w:rPr>
          <w:lang w:val="sr-Latn-ME"/>
        </w:rPr>
        <w:t>ja budžetske transparentnosti</w:t>
      </w:r>
      <w:r w:rsidRPr="00511E2B">
        <w:rPr>
          <w:lang w:val="sr-Latn-ME"/>
        </w:rPr>
        <w:t>.</w:t>
      </w:r>
    </w:p>
    <w:p w14:paraId="4CBE5FFF" w14:textId="6C848F47" w:rsidR="00511E2B" w:rsidRPr="00511E2B" w:rsidRDefault="00511E2B" w:rsidP="00CA78D5">
      <w:pPr>
        <w:rPr>
          <w:lang w:val="sr-Latn-ME"/>
        </w:rPr>
      </w:pPr>
      <w:r w:rsidRPr="00511E2B">
        <w:rPr>
          <w:lang w:val="sr-Latn-ME"/>
        </w:rPr>
        <w:t>Ovaj reformski pravac neposredno je povezan sa Programom ekonomskih reformi 2026–2028, koji institucionalnu modernizaciju i fiskalno upravljanje tretira kao dio šireg ekonomskog upravljanja. PER potvrđuje da su ključni prioriteti u srednjem roku jačanje kontrole i racionalizacija javne potrošnje, unapređenje naplate prihoda kroz modernizaciju poreske administracije, intenziviranje aktivnosti usmjerenih na suzbijanje neformalne ekonomije i pažlj</w:t>
      </w:r>
      <w:r w:rsidR="00ED4AC3">
        <w:rPr>
          <w:lang w:val="sr-Latn-ME"/>
        </w:rPr>
        <w:t>ivo upravljanje javnim dugom</w:t>
      </w:r>
      <w:r w:rsidRPr="00511E2B">
        <w:rPr>
          <w:lang w:val="sr-Latn-ME"/>
        </w:rPr>
        <w:t>. U tom smislu, reforma efikasne javne uprave povezana je sa unapređenjem budžetskog planiranja, fiskalne odgovornosti, upravljanja kapitalnim investicijama, razvojem statistike javnih finansija u skladu sa ESA 2010 standardima i jačanjem administrativnih kapaciteta za sprovođenje ekonomskih i</w:t>
      </w:r>
      <w:r w:rsidR="00ED4AC3">
        <w:rPr>
          <w:lang w:val="sr-Latn-ME"/>
        </w:rPr>
        <w:t xml:space="preserve"> fiskalnih politika</w:t>
      </w:r>
      <w:r w:rsidRPr="00511E2B">
        <w:rPr>
          <w:lang w:val="sr-Latn-ME"/>
        </w:rPr>
        <w:t>. PER time daje makrofiskalni i institucionalni okvir reformama koje se sprovode kroz PAR i PFM agendu.</w:t>
      </w:r>
    </w:p>
    <w:p w14:paraId="42F49AF8" w14:textId="0ADFDBF7" w:rsidR="00511E2B" w:rsidRPr="00511E2B" w:rsidRDefault="00511E2B" w:rsidP="00CA78D5">
      <w:pPr>
        <w:rPr>
          <w:lang w:val="sr-Latn-ME"/>
        </w:rPr>
      </w:pPr>
      <w:r w:rsidRPr="00511E2B">
        <w:rPr>
          <w:lang w:val="sr-Latn-ME"/>
        </w:rPr>
        <w:t>Jasna veza postoji i sa Reformskom agendom Crne Gore 2024–2027, posebno u segmentima digitalne transformacije, regulatornog integriteta i administrativne efikasnosti. Za prioritetno područje „Efikasna javna uprava” najuže i najdirektnije su relevantne reformske mjere iz sektora digitalizacije: Reforma 2.4.1. Pokretanje sigurne širokopojasne mreže, uključujući 5G mreže, Reforma 2.4.2. Elektronski potpis i uvođenje novčanika digitalnog identiteta, Reforma 2.4.3. Isporuka digitalnih javnih usluga prilagođenih korisniku i Reforma 2.4.4. Sajber bezbednost - Postavljanje sveobuhvatnog okvira za sajber otpornost (uvođenje zahjteva NIS2 direktive i jača</w:t>
      </w:r>
      <w:r w:rsidR="00ED4AC3">
        <w:rPr>
          <w:lang w:val="sr-Latn-ME"/>
        </w:rPr>
        <w:t>nje relevantnih institucija)</w:t>
      </w:r>
      <w:r w:rsidRPr="00511E2B">
        <w:rPr>
          <w:lang w:val="sr-Latn-ME"/>
        </w:rPr>
        <w:t>. Ove reforme neposredno utiču na digitalnu upravu, elektronsku identifikaciju, dostupnost i kvalitet javnih usluga, interoperabilnost sistema, sigurnost informacionih mreža i ukupnu otpornost uprave.</w:t>
      </w:r>
    </w:p>
    <w:p w14:paraId="78E28898" w14:textId="59F6C222" w:rsidR="00511E2B" w:rsidRPr="00511E2B" w:rsidRDefault="00511E2B" w:rsidP="00CA78D5">
      <w:pPr>
        <w:rPr>
          <w:lang w:val="sr-Latn-ME"/>
        </w:rPr>
      </w:pPr>
      <w:r w:rsidRPr="00511E2B">
        <w:rPr>
          <w:lang w:val="sr-Latn-ME"/>
        </w:rPr>
        <w:t xml:space="preserve">U širem upravljačkom i regulatornom smislu, za ovu oblast su relevantne i reformske mjere iz dijela Reformske agende koji se odnosi na poslovno okruženje i institucionalni integritet: Reforma 1.1.2. Revizija procesa javnih nabavki i politika državne pomoći. Unapređenje transparentnosti, </w:t>
      </w:r>
      <w:r w:rsidRPr="00511E2B">
        <w:rPr>
          <w:lang w:val="sr-Latn-ME"/>
        </w:rPr>
        <w:lastRenderedPageBreak/>
        <w:t>efikasnosti i integriteta u procesima javnih nabavki i državne pomoći, Reforma 1.1.5. Reforma inspekcijskih službi. Unapređenje integriteta, efikasnosti i performansi inspekcijskih službi i smanjenje neformalne ekonomije, Reforma 1.1.1. Reforma upravljanja preduzećima u vlasništvu države (PVD). Poboljšanje upravljanja, efikasnosti i odgovornosti preduzeća u vlasništvu države (PVD) kako bi se poboljšao njihov doprinos privredi i Reforma 1.1.4. Poboljšanje elektronskog kata</w:t>
      </w:r>
      <w:r w:rsidR="00ED4AC3">
        <w:rPr>
          <w:lang w:val="sr-Latn-ME"/>
        </w:rPr>
        <w:t>stra i prostornog planiranja</w:t>
      </w:r>
      <w:r w:rsidRPr="00511E2B">
        <w:rPr>
          <w:lang w:val="sr-Latn-ME"/>
        </w:rPr>
        <w:t>. Ove reforme nijesu dio PAR-a u užem smislu, ali su neposredno povezane sa kvalitetom javnog upravljanja, digitalizacijom registara, transparentnošću postupaka, integritetom regulatornih i kontrolnih funkcija države i ukupnim administrativnim kapacitetom za sprovođenje javnih politika.</w:t>
      </w:r>
    </w:p>
    <w:p w14:paraId="64DFEB84" w14:textId="78DC98C7" w:rsidR="00511E2B" w:rsidRPr="00511E2B" w:rsidRDefault="00511E2B" w:rsidP="00CA78D5">
      <w:pPr>
        <w:rPr>
          <w:lang w:val="sr-Latn-ME"/>
        </w:rPr>
      </w:pPr>
      <w:r w:rsidRPr="00511E2B">
        <w:rPr>
          <w:lang w:val="sr-Latn-ME"/>
        </w:rPr>
        <w:t>Posebno je važna eksplicitna veza između PER-a i Reformske agende. Sama Reformska agenda sadrži tabelu usklađenosti sa reformskim mjerama iz Programa ekonomskih reformi i potvrđuje da je PER reformska mjera 5 – „Unapređenje digitalizacije i sajber bezbjednosti uz jačanje infrastrukture za širokopojasni pristup internetu” usklađena sa reformama</w:t>
      </w:r>
      <w:r w:rsidR="00ED4AC3">
        <w:rPr>
          <w:lang w:val="sr-Latn-ME"/>
        </w:rPr>
        <w:t xml:space="preserve"> 2.4.1, 2.4.2, 2.4.3 i 2.4.4</w:t>
      </w:r>
      <w:r w:rsidRPr="00511E2B">
        <w:rPr>
          <w:lang w:val="sr-Latn-ME"/>
        </w:rPr>
        <w:t>. Istovremeno, PER reformska mjera 1 – „Jačanje mehanizama za formalizaciju neformalne ekonomije” povezana je sa reformama 1.1.3 i 1.1.5, čime se dodatno potvrđuje značaj reforme inspekcijskih službi i regulatornog nadzor</w:t>
      </w:r>
      <w:r w:rsidR="00ED4AC3">
        <w:rPr>
          <w:lang w:val="sr-Latn-ME"/>
        </w:rPr>
        <w:t>a za ovo prioritetno područje</w:t>
      </w:r>
      <w:r w:rsidRPr="00511E2B">
        <w:rPr>
          <w:lang w:val="sr-Latn-ME"/>
        </w:rPr>
        <w:t>. Time se reformski okvir efikasne javne uprave jasno širi izvan klasične administrativne reforme i povezuje sa digitalnom tranzicijom, ekonomskim upravljanjem, formalizacijom ekonomije i institucionalnim integritetom.</w:t>
      </w:r>
    </w:p>
    <w:p w14:paraId="2B5EEDB3" w14:textId="3B037918" w:rsidR="00511E2B" w:rsidRPr="00511E2B" w:rsidRDefault="00511E2B" w:rsidP="00CA78D5">
      <w:pPr>
        <w:rPr>
          <w:lang w:val="sr-Latn-ME"/>
        </w:rPr>
      </w:pPr>
      <w:r w:rsidRPr="00511E2B">
        <w:rPr>
          <w:lang w:val="sr-Latn-ME"/>
        </w:rPr>
        <w:t>Aktuelni izvještaj o sprovođenju Akcionog plana 2025–2026 Strategije reforme javne uprave za 2025. godinu potvrđuje da je reformski ciklus u toku i da je velikim dijelom usmjeren upravo na realiz</w:t>
      </w:r>
      <w:r w:rsidR="00ED4AC3">
        <w:rPr>
          <w:lang w:val="sr-Latn-ME"/>
        </w:rPr>
        <w:t>aciju operativnih zaključaka</w:t>
      </w:r>
      <w:r w:rsidRPr="00511E2B">
        <w:rPr>
          <w:lang w:val="sr-Latn-ME"/>
        </w:rPr>
        <w:t>. U njemu se PAR SG definiše kao ključna platforma dijaloga između Crne Gore i Evropske komisije u oblasti reforme javne uprave i upravljanja javnim finansijama, dok se operativni zaključci tretiraju kao ključni kriterijumi za ocjenu napretka u kontekstu zatvaranja Poglavlja 23 do</w:t>
      </w:r>
      <w:r w:rsidR="00ED4AC3">
        <w:rPr>
          <w:lang w:val="sr-Latn-ME"/>
        </w:rPr>
        <w:t xml:space="preserve"> kraja 2026. godine</w:t>
      </w:r>
      <w:r w:rsidRPr="00511E2B">
        <w:rPr>
          <w:lang w:val="sr-Latn-ME"/>
        </w:rPr>
        <w:t>. Time se potvrđuje da se najnoviji reformski tok u ovoj oblasti oblikuje na presjeku između PAR okvira, PFM reforme, operativnih zaključaka i šireg ekonomskog i investicionog okvira definisanog PER-om i Reformskom agendom.</w:t>
      </w:r>
    </w:p>
    <w:p w14:paraId="72C66FB3" w14:textId="353FCF13" w:rsidR="00F579F5" w:rsidRDefault="00511E2B" w:rsidP="00CA78D5">
      <w:pPr>
        <w:rPr>
          <w:lang w:val="sr-Latn-ME"/>
        </w:rPr>
      </w:pPr>
      <w:r w:rsidRPr="00511E2B">
        <w:rPr>
          <w:lang w:val="sr-Latn-ME"/>
        </w:rPr>
        <w:t>Posmatrano u cjelini, planirane i trenutne reforme u ovom prioritetnom području više nijesu usmjerene samo na usvajanje strateških dokumenata i pojedinačnih propisa. Njihovo težište je pomjereno na evaluaciju postojećeg reformskog ciklusa, pripremu novog post-2026 okvira, jačanje meritornog službeničkog sistema, unapređenje upravljačke odgovornosti, digitalizaciju i sajber otpornost, modernizaciju upravljanja javnim finansijama, jačanje fiskalnog okvira, razvoj statističkih kapaciteta i kvalitetniju pripremu javnih investicija. Operativni zaključci daju neposredan reformski plan do kraja 2026. godine, Program ekonomskih reformi 2026–2028 obezbjeđuje makrofiskalni i institucionalni okvir tim promjenama, a Reformska agenda im daje dodatnu razvojnu, digitalnu i investic</w:t>
      </w:r>
      <w:r w:rsidR="00ED4AC3">
        <w:rPr>
          <w:lang w:val="sr-Latn-ME"/>
        </w:rPr>
        <w:t>ionu dimenziju.</w:t>
      </w:r>
    </w:p>
    <w:p w14:paraId="3C698635" w14:textId="5863FA6B" w:rsidR="00F579F5" w:rsidRDefault="0021066E" w:rsidP="0021066E">
      <w:pPr>
        <w:pStyle w:val="Naslov2"/>
        <w:rPr>
          <w:lang w:val="sr-Latn-ME"/>
        </w:rPr>
      </w:pPr>
      <w:r>
        <w:rPr>
          <w:lang w:val="sr-Latn-ME"/>
        </w:rPr>
        <w:t>Ključni indikatori</w:t>
      </w:r>
    </w:p>
    <w:tbl>
      <w:tblPr>
        <w:tblStyle w:val="Reetkatablice"/>
        <w:tblW w:w="9062" w:type="dxa"/>
        <w:tblLayout w:type="fixed"/>
        <w:tblLook w:val="04A0" w:firstRow="1" w:lastRow="0" w:firstColumn="1" w:lastColumn="0" w:noHBand="0" w:noVBand="1"/>
      </w:tblPr>
      <w:tblGrid>
        <w:gridCol w:w="2425"/>
        <w:gridCol w:w="1650"/>
        <w:gridCol w:w="1800"/>
        <w:gridCol w:w="3187"/>
      </w:tblGrid>
      <w:tr w:rsidR="00BB1406" w:rsidRPr="00644947" w14:paraId="5A6FFB47" w14:textId="70BA3756" w:rsidTr="47C3BDB9">
        <w:tc>
          <w:tcPr>
            <w:tcW w:w="2425" w:type="dxa"/>
          </w:tcPr>
          <w:p w14:paraId="437F1E83" w14:textId="5D18E7EA" w:rsidR="00BB1406" w:rsidRPr="00644947" w:rsidRDefault="00BB1406" w:rsidP="00644947">
            <w:pPr>
              <w:rPr>
                <w:b/>
                <w:noProof/>
                <w:sz w:val="20"/>
                <w:szCs w:val="20"/>
                <w:lang w:val="sr-Latn-ME"/>
              </w:rPr>
            </w:pPr>
            <w:r w:rsidRPr="00644947">
              <w:rPr>
                <w:b/>
                <w:noProof/>
                <w:sz w:val="20"/>
                <w:szCs w:val="20"/>
                <w:lang w:val="sr-Latn-ME"/>
              </w:rPr>
              <w:t>Indikator</w:t>
            </w:r>
          </w:p>
        </w:tc>
        <w:tc>
          <w:tcPr>
            <w:tcW w:w="1650" w:type="dxa"/>
          </w:tcPr>
          <w:p w14:paraId="7EC27295" w14:textId="4AB7A878" w:rsidR="00BB1406" w:rsidRPr="00644947" w:rsidRDefault="00BB1406" w:rsidP="0021066E">
            <w:pPr>
              <w:rPr>
                <w:b/>
                <w:noProof/>
                <w:sz w:val="20"/>
                <w:szCs w:val="20"/>
                <w:lang w:val="sr-Latn-ME"/>
              </w:rPr>
            </w:pPr>
            <w:r w:rsidRPr="00644947">
              <w:rPr>
                <w:b/>
                <w:noProof/>
                <w:sz w:val="20"/>
                <w:szCs w:val="20"/>
                <w:lang w:val="sr-Latn-ME"/>
              </w:rPr>
              <w:t>Prosjek EU27</w:t>
            </w:r>
          </w:p>
        </w:tc>
        <w:tc>
          <w:tcPr>
            <w:tcW w:w="1800" w:type="dxa"/>
          </w:tcPr>
          <w:p w14:paraId="04B2CD05" w14:textId="4797DBEF" w:rsidR="00BB1406" w:rsidRPr="00644947" w:rsidRDefault="00BB1406" w:rsidP="0021066E">
            <w:pPr>
              <w:rPr>
                <w:b/>
                <w:noProof/>
                <w:sz w:val="20"/>
                <w:szCs w:val="20"/>
                <w:lang w:val="sr-Latn-ME"/>
              </w:rPr>
            </w:pPr>
            <w:r w:rsidRPr="00644947">
              <w:rPr>
                <w:b/>
                <w:noProof/>
                <w:sz w:val="20"/>
                <w:szCs w:val="20"/>
                <w:lang w:val="sr-Latn-ME"/>
              </w:rPr>
              <w:t>Crna Gora</w:t>
            </w:r>
          </w:p>
        </w:tc>
        <w:tc>
          <w:tcPr>
            <w:tcW w:w="3187" w:type="dxa"/>
          </w:tcPr>
          <w:p w14:paraId="32E9D78D" w14:textId="62290C66" w:rsidR="00BB1406" w:rsidRPr="00644947" w:rsidRDefault="00BB1406" w:rsidP="0021066E">
            <w:pPr>
              <w:rPr>
                <w:b/>
                <w:noProof/>
                <w:sz w:val="20"/>
                <w:szCs w:val="20"/>
                <w:lang w:val="sr-Latn-ME"/>
              </w:rPr>
            </w:pPr>
            <w:r w:rsidRPr="00644947">
              <w:rPr>
                <w:b/>
                <w:noProof/>
                <w:sz w:val="20"/>
                <w:szCs w:val="20"/>
                <w:lang w:val="sr-Latn-ME"/>
              </w:rPr>
              <w:t>Izvor</w:t>
            </w:r>
          </w:p>
        </w:tc>
      </w:tr>
      <w:tr w:rsidR="00BB1406" w:rsidRPr="00D71DDF" w14:paraId="624EA6BA" w14:textId="4FFF190F" w:rsidTr="47C3BDB9">
        <w:tc>
          <w:tcPr>
            <w:tcW w:w="2425" w:type="dxa"/>
          </w:tcPr>
          <w:p w14:paraId="1507B10E" w14:textId="6B78054D" w:rsidR="00BB1406" w:rsidRPr="00644947" w:rsidRDefault="00BB1406" w:rsidP="00644947">
            <w:pPr>
              <w:rPr>
                <w:noProof/>
                <w:sz w:val="20"/>
                <w:szCs w:val="20"/>
                <w:lang w:val="sr-Latn-ME"/>
              </w:rPr>
            </w:pPr>
            <w:r w:rsidRPr="00644947">
              <w:rPr>
                <w:noProof/>
                <w:sz w:val="20"/>
                <w:szCs w:val="20"/>
                <w:lang w:val="sr-Latn-ME"/>
              </w:rPr>
              <w:t xml:space="preserve">Udio pojedinaca koji su koristili website ili aplikaciju javnih vlasti u </w:t>
            </w:r>
            <w:r w:rsidRPr="00644947">
              <w:rPr>
                <w:noProof/>
                <w:sz w:val="20"/>
                <w:szCs w:val="20"/>
                <w:lang w:val="sr-Latn-ME"/>
              </w:rPr>
              <w:lastRenderedPageBreak/>
              <w:t>prethodnih 12 mjeseci, 2025</w:t>
            </w:r>
          </w:p>
        </w:tc>
        <w:tc>
          <w:tcPr>
            <w:tcW w:w="1650" w:type="dxa"/>
          </w:tcPr>
          <w:p w14:paraId="63202CE4" w14:textId="4CC11099" w:rsidR="00BB1406" w:rsidRPr="00644947" w:rsidRDefault="00BB1406" w:rsidP="00BB1406">
            <w:pPr>
              <w:rPr>
                <w:noProof/>
                <w:sz w:val="20"/>
                <w:szCs w:val="20"/>
                <w:lang w:val="sr-Latn-ME"/>
              </w:rPr>
            </w:pPr>
            <w:r w:rsidRPr="00644947">
              <w:rPr>
                <w:noProof/>
                <w:sz w:val="20"/>
                <w:szCs w:val="20"/>
                <w:lang w:val="sr-Latn-ME"/>
              </w:rPr>
              <w:lastRenderedPageBreak/>
              <w:t>71,87%</w:t>
            </w:r>
          </w:p>
        </w:tc>
        <w:tc>
          <w:tcPr>
            <w:tcW w:w="1800" w:type="dxa"/>
          </w:tcPr>
          <w:p w14:paraId="6467199E" w14:textId="557BFDB9" w:rsidR="00BB1406" w:rsidRPr="00644947" w:rsidRDefault="00BB1406" w:rsidP="0021066E">
            <w:pPr>
              <w:rPr>
                <w:noProof/>
                <w:sz w:val="20"/>
                <w:szCs w:val="20"/>
                <w:lang w:val="sr-Latn-ME"/>
              </w:rPr>
            </w:pPr>
            <w:r w:rsidRPr="00644947">
              <w:rPr>
                <w:noProof/>
                <w:sz w:val="20"/>
                <w:szCs w:val="20"/>
                <w:lang w:val="sr-Latn-ME"/>
              </w:rPr>
              <w:t>52.39%</w:t>
            </w:r>
          </w:p>
        </w:tc>
        <w:tc>
          <w:tcPr>
            <w:tcW w:w="3187" w:type="dxa"/>
          </w:tcPr>
          <w:p w14:paraId="08713051" w14:textId="19ED194A" w:rsidR="00BB1406" w:rsidRPr="00644947" w:rsidRDefault="00BB1406" w:rsidP="0021066E">
            <w:pPr>
              <w:rPr>
                <w:noProof/>
                <w:sz w:val="20"/>
                <w:szCs w:val="20"/>
                <w:lang w:val="sr-Latn-ME"/>
              </w:rPr>
            </w:pPr>
            <w:hyperlink r:id="rId7" w:history="1">
              <w:r w:rsidRPr="00644947">
                <w:rPr>
                  <w:rStyle w:val="Hiperveza"/>
                  <w:noProof/>
                  <w:sz w:val="20"/>
                  <w:szCs w:val="20"/>
                  <w:lang w:val="sr-Latn-ME"/>
                </w:rPr>
                <w:t>https://ec.europa.eu/eurostat/statistics-explained/index.php?title=E-</w:t>
              </w:r>
              <w:r w:rsidRPr="00644947">
                <w:rPr>
                  <w:rStyle w:val="Hiperveza"/>
                  <w:noProof/>
                  <w:sz w:val="20"/>
                  <w:szCs w:val="20"/>
                  <w:lang w:val="sr-Latn-ME"/>
                </w:rPr>
                <w:lastRenderedPageBreak/>
                <w:t>government_and_electronic_identification</w:t>
              </w:r>
            </w:hyperlink>
            <w:r w:rsidRPr="00644947">
              <w:rPr>
                <w:noProof/>
                <w:sz w:val="20"/>
                <w:szCs w:val="20"/>
                <w:lang w:val="sr-Latn-ME"/>
              </w:rPr>
              <w:t xml:space="preserve"> </w:t>
            </w:r>
          </w:p>
        </w:tc>
      </w:tr>
      <w:tr w:rsidR="00BB1406" w:rsidRPr="00D71DDF" w14:paraId="01770F08" w14:textId="79573B0F" w:rsidTr="47C3BDB9">
        <w:tc>
          <w:tcPr>
            <w:tcW w:w="2425" w:type="dxa"/>
          </w:tcPr>
          <w:p w14:paraId="7E5F0FB9" w14:textId="7FBD58A4" w:rsidR="00BB1406" w:rsidRPr="00644947" w:rsidRDefault="00BB1406" w:rsidP="00644947">
            <w:pPr>
              <w:rPr>
                <w:noProof/>
                <w:sz w:val="20"/>
                <w:szCs w:val="20"/>
                <w:lang w:val="sr-Latn-ME"/>
              </w:rPr>
            </w:pPr>
            <w:r w:rsidRPr="00644947">
              <w:rPr>
                <w:noProof/>
                <w:sz w:val="20"/>
                <w:szCs w:val="20"/>
                <w:lang w:val="sr-Latn-ME"/>
              </w:rPr>
              <w:lastRenderedPageBreak/>
              <w:t>Udio domaćinstava sa pristupom internetu kod kuće, 2024</w:t>
            </w:r>
          </w:p>
        </w:tc>
        <w:tc>
          <w:tcPr>
            <w:tcW w:w="1650" w:type="dxa"/>
          </w:tcPr>
          <w:p w14:paraId="1FEB2A77" w14:textId="471D1B73" w:rsidR="00BB1406" w:rsidRPr="00644947" w:rsidRDefault="00BB1406" w:rsidP="0021066E">
            <w:pPr>
              <w:rPr>
                <w:noProof/>
                <w:sz w:val="20"/>
                <w:szCs w:val="20"/>
                <w:lang w:val="sr-Latn-ME"/>
              </w:rPr>
            </w:pPr>
            <w:r w:rsidRPr="00644947">
              <w:rPr>
                <w:noProof/>
                <w:sz w:val="20"/>
                <w:szCs w:val="20"/>
                <w:lang w:val="sr-Latn-ME"/>
              </w:rPr>
              <w:t>94,1%</w:t>
            </w:r>
          </w:p>
        </w:tc>
        <w:tc>
          <w:tcPr>
            <w:tcW w:w="1800" w:type="dxa"/>
          </w:tcPr>
          <w:p w14:paraId="1BC8CD42" w14:textId="4D0BD239" w:rsidR="00BB1406" w:rsidRPr="00644947" w:rsidRDefault="00BB1406" w:rsidP="0021066E">
            <w:pPr>
              <w:rPr>
                <w:noProof/>
                <w:sz w:val="20"/>
                <w:szCs w:val="20"/>
                <w:lang w:val="sr-Latn-ME"/>
              </w:rPr>
            </w:pPr>
            <w:r w:rsidRPr="00644947">
              <w:rPr>
                <w:noProof/>
                <w:sz w:val="20"/>
                <w:szCs w:val="20"/>
                <w:lang w:val="sr-Latn-ME"/>
              </w:rPr>
              <w:t>84,5%</w:t>
            </w:r>
          </w:p>
        </w:tc>
        <w:tc>
          <w:tcPr>
            <w:tcW w:w="3187" w:type="dxa"/>
          </w:tcPr>
          <w:p w14:paraId="2281B207" w14:textId="1AFC84D3" w:rsidR="00BB1406" w:rsidRPr="00644947" w:rsidRDefault="00BB1406" w:rsidP="0021066E">
            <w:pPr>
              <w:rPr>
                <w:noProof/>
                <w:sz w:val="20"/>
                <w:szCs w:val="20"/>
                <w:lang w:val="sr-Latn-ME"/>
              </w:rPr>
            </w:pPr>
            <w:hyperlink r:id="rId8" w:history="1">
              <w:r w:rsidRPr="00644947">
                <w:rPr>
                  <w:rStyle w:val="Hiperveza"/>
                  <w:noProof/>
                  <w:sz w:val="20"/>
                  <w:szCs w:val="20"/>
                  <w:lang w:val="sr-Latn-ME"/>
                </w:rPr>
                <w:t>https://ec.europa.eu/eurostat/statistics-explained/index.php?title=Technology_in_enlargement_countries_-_digital_transformation</w:t>
              </w:r>
            </w:hyperlink>
            <w:r w:rsidRPr="00644947">
              <w:rPr>
                <w:noProof/>
                <w:sz w:val="20"/>
                <w:szCs w:val="20"/>
                <w:lang w:val="sr-Latn-ME"/>
              </w:rPr>
              <w:t xml:space="preserve"> </w:t>
            </w:r>
          </w:p>
        </w:tc>
      </w:tr>
      <w:tr w:rsidR="00BB1406" w:rsidRPr="00D71DDF" w14:paraId="2C7172A1" w14:textId="77777777" w:rsidTr="47C3BDB9">
        <w:tc>
          <w:tcPr>
            <w:tcW w:w="2425" w:type="dxa"/>
          </w:tcPr>
          <w:p w14:paraId="67AD206A" w14:textId="4402BB86" w:rsidR="00BB1406" w:rsidRPr="00644947" w:rsidRDefault="00BB1406" w:rsidP="00644947">
            <w:pPr>
              <w:rPr>
                <w:noProof/>
                <w:sz w:val="20"/>
                <w:szCs w:val="20"/>
                <w:lang w:val="sr-Latn-ME"/>
              </w:rPr>
            </w:pPr>
            <w:r w:rsidRPr="00644947">
              <w:rPr>
                <w:noProof/>
                <w:sz w:val="20"/>
                <w:szCs w:val="20"/>
                <w:lang w:val="sr-Latn-ME"/>
              </w:rPr>
              <w:t>Udio dnevnih korisnika interneta, 2024</w:t>
            </w:r>
          </w:p>
        </w:tc>
        <w:tc>
          <w:tcPr>
            <w:tcW w:w="1650" w:type="dxa"/>
          </w:tcPr>
          <w:p w14:paraId="77C17478" w14:textId="598F3A59" w:rsidR="00BB1406" w:rsidRPr="00644947" w:rsidRDefault="00BB1406" w:rsidP="0021066E">
            <w:pPr>
              <w:rPr>
                <w:noProof/>
                <w:sz w:val="20"/>
                <w:szCs w:val="20"/>
                <w:lang w:val="sr-Latn-ME"/>
              </w:rPr>
            </w:pPr>
            <w:r w:rsidRPr="00644947">
              <w:rPr>
                <w:noProof/>
                <w:sz w:val="20"/>
                <w:szCs w:val="20"/>
                <w:lang w:val="sr-Latn-ME"/>
              </w:rPr>
              <w:t>88,3%</w:t>
            </w:r>
          </w:p>
        </w:tc>
        <w:tc>
          <w:tcPr>
            <w:tcW w:w="1800" w:type="dxa"/>
          </w:tcPr>
          <w:p w14:paraId="539E2A5C" w14:textId="4E20764C" w:rsidR="00BB1406" w:rsidRPr="00644947" w:rsidRDefault="00BB1406" w:rsidP="0021066E">
            <w:pPr>
              <w:rPr>
                <w:noProof/>
                <w:sz w:val="20"/>
                <w:szCs w:val="20"/>
                <w:lang w:val="sr-Latn-ME"/>
              </w:rPr>
            </w:pPr>
            <w:r w:rsidRPr="00644947">
              <w:rPr>
                <w:noProof/>
                <w:sz w:val="20"/>
                <w:szCs w:val="20"/>
                <w:lang w:val="sr-Latn-ME"/>
              </w:rPr>
              <w:t>87,2%</w:t>
            </w:r>
          </w:p>
        </w:tc>
        <w:tc>
          <w:tcPr>
            <w:tcW w:w="3187" w:type="dxa"/>
          </w:tcPr>
          <w:p w14:paraId="75CBF48B" w14:textId="5689D2D9" w:rsidR="00BB1406" w:rsidRPr="00644947" w:rsidRDefault="00BB1406" w:rsidP="0021066E">
            <w:pPr>
              <w:rPr>
                <w:noProof/>
                <w:sz w:val="20"/>
                <w:szCs w:val="20"/>
                <w:lang w:val="sr-Latn-ME"/>
              </w:rPr>
            </w:pPr>
            <w:hyperlink r:id="rId9" w:history="1">
              <w:r w:rsidRPr="00644947">
                <w:rPr>
                  <w:rStyle w:val="Hiperveza"/>
                  <w:noProof/>
                  <w:sz w:val="20"/>
                  <w:szCs w:val="20"/>
                  <w:lang w:val="sr-Latn-ME"/>
                </w:rPr>
                <w:t>https://ec.europa.eu/eurostat/statistics-explained/index.php?title=Technology_in_enlargement_countries_-_digital_transformation</w:t>
              </w:r>
            </w:hyperlink>
            <w:r w:rsidRPr="00644947">
              <w:rPr>
                <w:noProof/>
                <w:sz w:val="20"/>
                <w:szCs w:val="20"/>
                <w:lang w:val="sr-Latn-ME"/>
              </w:rPr>
              <w:t xml:space="preserve"> </w:t>
            </w:r>
          </w:p>
        </w:tc>
      </w:tr>
      <w:tr w:rsidR="00BB1406" w:rsidRPr="00644947" w14:paraId="1EDF3362" w14:textId="77777777" w:rsidTr="47C3BDB9">
        <w:tc>
          <w:tcPr>
            <w:tcW w:w="2425" w:type="dxa"/>
          </w:tcPr>
          <w:p w14:paraId="46CEAF84" w14:textId="335247CD" w:rsidR="00BB1406" w:rsidRPr="00644947" w:rsidRDefault="00BB1406" w:rsidP="00644947">
            <w:pPr>
              <w:rPr>
                <w:noProof/>
                <w:sz w:val="20"/>
                <w:szCs w:val="20"/>
                <w:lang w:val="sr-Latn-ME"/>
              </w:rPr>
            </w:pPr>
            <w:r w:rsidRPr="00644947">
              <w:rPr>
                <w:noProof/>
                <w:sz w:val="20"/>
                <w:szCs w:val="20"/>
                <w:lang w:val="sr-Latn-ME"/>
              </w:rPr>
              <w:t xml:space="preserve">Udio konkurentnih postupaka javnih nabavki sa samo jednom ponudom </w:t>
            </w:r>
            <w:r w:rsidR="004B00AA" w:rsidRPr="00644947">
              <w:rPr>
                <w:noProof/>
                <w:sz w:val="20"/>
                <w:szCs w:val="20"/>
                <w:lang w:val="sr-Latn-ME"/>
              </w:rPr>
              <w:t>(</w:t>
            </w:r>
            <w:r w:rsidRPr="00644947">
              <w:rPr>
                <w:noProof/>
                <w:sz w:val="20"/>
                <w:szCs w:val="20"/>
                <w:lang w:val="sr-Latn-ME"/>
              </w:rPr>
              <w:t>2023)</w:t>
            </w:r>
          </w:p>
        </w:tc>
        <w:tc>
          <w:tcPr>
            <w:tcW w:w="1650" w:type="dxa"/>
          </w:tcPr>
          <w:p w14:paraId="02303519" w14:textId="7FB7044F" w:rsidR="00BB1406" w:rsidRPr="00644947" w:rsidRDefault="00BB1406" w:rsidP="0021066E">
            <w:pPr>
              <w:rPr>
                <w:noProof/>
                <w:sz w:val="20"/>
                <w:szCs w:val="20"/>
                <w:lang w:val="sr-Latn-ME"/>
              </w:rPr>
            </w:pPr>
            <w:r w:rsidRPr="00644947">
              <w:rPr>
                <w:noProof/>
                <w:sz w:val="20"/>
                <w:szCs w:val="20"/>
                <w:lang w:val="sr-Latn-ME"/>
              </w:rPr>
              <w:t>28%</w:t>
            </w:r>
          </w:p>
        </w:tc>
        <w:tc>
          <w:tcPr>
            <w:tcW w:w="1800" w:type="dxa"/>
          </w:tcPr>
          <w:p w14:paraId="0E71A0E7" w14:textId="359C3092" w:rsidR="00BB1406" w:rsidRPr="00644947" w:rsidRDefault="00BB1406" w:rsidP="0021066E">
            <w:pPr>
              <w:rPr>
                <w:noProof/>
                <w:sz w:val="20"/>
                <w:szCs w:val="20"/>
                <w:lang w:val="sr-Latn-ME"/>
              </w:rPr>
            </w:pPr>
            <w:r w:rsidRPr="00644947">
              <w:rPr>
                <w:noProof/>
                <w:sz w:val="20"/>
                <w:szCs w:val="20"/>
                <w:lang w:val="sr-Latn-ME"/>
              </w:rPr>
              <w:t>49%</w:t>
            </w:r>
          </w:p>
        </w:tc>
        <w:tc>
          <w:tcPr>
            <w:tcW w:w="3187" w:type="dxa"/>
          </w:tcPr>
          <w:p w14:paraId="383686D4" w14:textId="07F19B95" w:rsidR="00BB1406" w:rsidRPr="00644947" w:rsidRDefault="004B00AA" w:rsidP="0021066E">
            <w:pPr>
              <w:rPr>
                <w:noProof/>
                <w:sz w:val="20"/>
                <w:szCs w:val="20"/>
                <w:lang w:val="sr-Latn-ME"/>
              </w:rPr>
            </w:pPr>
            <w:r w:rsidRPr="00644947">
              <w:rPr>
                <w:noProof/>
                <w:sz w:val="20"/>
                <w:szCs w:val="20"/>
                <w:lang w:val="sr-Latn-ME"/>
              </w:rPr>
              <w:t>Public administration in MNE 2024 (Sigma)</w:t>
            </w:r>
          </w:p>
        </w:tc>
      </w:tr>
      <w:tr w:rsidR="00BB1406" w:rsidRPr="00644947" w14:paraId="1954B2F3" w14:textId="77777777" w:rsidTr="47C3BDB9">
        <w:tc>
          <w:tcPr>
            <w:tcW w:w="2425" w:type="dxa"/>
          </w:tcPr>
          <w:p w14:paraId="20AE87C2" w14:textId="32065C96" w:rsidR="00BB1406" w:rsidRPr="00644947" w:rsidRDefault="00BB1406" w:rsidP="00644947">
            <w:pPr>
              <w:rPr>
                <w:noProof/>
                <w:sz w:val="20"/>
                <w:szCs w:val="20"/>
                <w:lang w:val="sr-Latn-ME"/>
              </w:rPr>
            </w:pPr>
            <w:r w:rsidRPr="00644947">
              <w:rPr>
                <w:noProof/>
                <w:sz w:val="20"/>
                <w:szCs w:val="20"/>
                <w:lang w:val="sr-Latn-ME"/>
              </w:rPr>
              <w:t>Prosječan broj ponuda po konkurentno</w:t>
            </w:r>
            <w:r w:rsidR="004B00AA" w:rsidRPr="00644947">
              <w:rPr>
                <w:noProof/>
                <w:sz w:val="20"/>
                <w:szCs w:val="20"/>
                <w:lang w:val="sr-Latn-ME"/>
              </w:rPr>
              <w:t>m postupku javne nabavke (2024)</w:t>
            </w:r>
            <w:r w:rsidRPr="00644947">
              <w:rPr>
                <w:noProof/>
                <w:sz w:val="20"/>
                <w:szCs w:val="20"/>
                <w:lang w:val="sr-Latn-ME"/>
              </w:rPr>
              <w:t xml:space="preserve"> </w:t>
            </w:r>
          </w:p>
        </w:tc>
        <w:tc>
          <w:tcPr>
            <w:tcW w:w="1650" w:type="dxa"/>
          </w:tcPr>
          <w:p w14:paraId="629AE987" w14:textId="1C191B15" w:rsidR="00BB1406" w:rsidRPr="00644947" w:rsidRDefault="004B00AA" w:rsidP="0021066E">
            <w:pPr>
              <w:rPr>
                <w:noProof/>
                <w:sz w:val="20"/>
                <w:szCs w:val="20"/>
                <w:lang w:val="sr-Latn-ME"/>
              </w:rPr>
            </w:pPr>
            <w:r w:rsidRPr="00644947">
              <w:rPr>
                <w:noProof/>
                <w:sz w:val="20"/>
                <w:szCs w:val="20"/>
                <w:lang w:val="sr-Latn-ME"/>
              </w:rPr>
              <w:t>4,1</w:t>
            </w:r>
          </w:p>
        </w:tc>
        <w:tc>
          <w:tcPr>
            <w:tcW w:w="1800" w:type="dxa"/>
          </w:tcPr>
          <w:p w14:paraId="6BFDC7E4" w14:textId="24BC1863" w:rsidR="00BB1406" w:rsidRPr="00644947" w:rsidRDefault="004B00AA" w:rsidP="0021066E">
            <w:pPr>
              <w:rPr>
                <w:noProof/>
                <w:sz w:val="20"/>
                <w:szCs w:val="20"/>
                <w:lang w:val="sr-Latn-ME"/>
              </w:rPr>
            </w:pPr>
            <w:r w:rsidRPr="00644947">
              <w:rPr>
                <w:noProof/>
                <w:sz w:val="20"/>
                <w:szCs w:val="20"/>
                <w:lang w:val="sr-Latn-ME"/>
              </w:rPr>
              <w:t>3,2</w:t>
            </w:r>
          </w:p>
        </w:tc>
        <w:tc>
          <w:tcPr>
            <w:tcW w:w="3187" w:type="dxa"/>
          </w:tcPr>
          <w:p w14:paraId="01EA6C98" w14:textId="77777777" w:rsidR="00BB1406" w:rsidRPr="00644947" w:rsidRDefault="00BB1406" w:rsidP="0021066E">
            <w:pPr>
              <w:rPr>
                <w:noProof/>
                <w:sz w:val="20"/>
                <w:szCs w:val="20"/>
                <w:lang w:val="sr-Latn-ME"/>
              </w:rPr>
            </w:pPr>
          </w:p>
        </w:tc>
      </w:tr>
      <w:tr w:rsidR="004B00AA" w:rsidRPr="00D71DDF" w14:paraId="14D2D2BB" w14:textId="77777777" w:rsidTr="47C3BDB9">
        <w:tc>
          <w:tcPr>
            <w:tcW w:w="2425" w:type="dxa"/>
          </w:tcPr>
          <w:p w14:paraId="4773BAC9" w14:textId="67997205" w:rsidR="004B00AA" w:rsidRPr="00644947" w:rsidRDefault="004B00AA" w:rsidP="00644947">
            <w:pPr>
              <w:rPr>
                <w:noProof/>
                <w:sz w:val="20"/>
                <w:szCs w:val="20"/>
                <w:lang w:val="sr-Latn-ME"/>
              </w:rPr>
            </w:pPr>
            <w:r w:rsidRPr="00644947">
              <w:rPr>
                <w:noProof/>
                <w:sz w:val="20"/>
                <w:szCs w:val="20"/>
                <w:lang w:val="sr-Latn-ME"/>
              </w:rPr>
              <w:t>Open data maturity – ukupni rezultat, 2023</w:t>
            </w:r>
          </w:p>
        </w:tc>
        <w:tc>
          <w:tcPr>
            <w:tcW w:w="1650" w:type="dxa"/>
          </w:tcPr>
          <w:p w14:paraId="3DD19114" w14:textId="0A8F65CA" w:rsidR="004B00AA" w:rsidRPr="00644947" w:rsidRDefault="004B00AA" w:rsidP="0021066E">
            <w:pPr>
              <w:rPr>
                <w:noProof/>
                <w:sz w:val="20"/>
                <w:szCs w:val="20"/>
                <w:lang w:val="sr-Latn-ME"/>
              </w:rPr>
            </w:pPr>
            <w:r w:rsidRPr="00644947">
              <w:rPr>
                <w:noProof/>
                <w:sz w:val="20"/>
                <w:szCs w:val="20"/>
                <w:lang w:val="sr-Latn-ME"/>
              </w:rPr>
              <w:t>83%</w:t>
            </w:r>
          </w:p>
        </w:tc>
        <w:tc>
          <w:tcPr>
            <w:tcW w:w="1800" w:type="dxa"/>
          </w:tcPr>
          <w:p w14:paraId="2BB780DC" w14:textId="35B82B90" w:rsidR="004B00AA" w:rsidRPr="00644947" w:rsidRDefault="004B00AA" w:rsidP="0021066E">
            <w:pPr>
              <w:rPr>
                <w:noProof/>
                <w:sz w:val="20"/>
                <w:szCs w:val="20"/>
                <w:lang w:val="sr-Latn-ME"/>
              </w:rPr>
            </w:pPr>
            <w:r w:rsidRPr="00644947">
              <w:rPr>
                <w:noProof/>
                <w:sz w:val="20"/>
                <w:szCs w:val="20"/>
                <w:lang w:val="sr-Latn-ME"/>
              </w:rPr>
              <w:t>62%</w:t>
            </w:r>
          </w:p>
        </w:tc>
        <w:tc>
          <w:tcPr>
            <w:tcW w:w="3187" w:type="dxa"/>
          </w:tcPr>
          <w:p w14:paraId="39D75489" w14:textId="022BEAF2" w:rsidR="004B00AA" w:rsidRPr="00644947" w:rsidRDefault="004B00AA" w:rsidP="0021066E">
            <w:pPr>
              <w:rPr>
                <w:noProof/>
                <w:sz w:val="20"/>
                <w:szCs w:val="20"/>
                <w:lang w:val="sr-Latn-ME"/>
              </w:rPr>
            </w:pPr>
            <w:hyperlink r:id="rId10" w:history="1">
              <w:r w:rsidRPr="00644947">
                <w:rPr>
                  <w:rStyle w:val="Hiperveza"/>
                  <w:noProof/>
                  <w:sz w:val="20"/>
                  <w:szCs w:val="20"/>
                  <w:lang w:val="sr-Latn-ME"/>
                </w:rPr>
                <w:t>https://data.europa.eu/sites/default/files/country-factsheet_montenegro_2023.pdf?utm_source=chatgpt.com</w:t>
              </w:r>
            </w:hyperlink>
            <w:r w:rsidRPr="00644947">
              <w:rPr>
                <w:noProof/>
                <w:sz w:val="20"/>
                <w:szCs w:val="20"/>
                <w:lang w:val="sr-Latn-ME"/>
              </w:rPr>
              <w:t xml:space="preserve"> </w:t>
            </w:r>
          </w:p>
        </w:tc>
      </w:tr>
      <w:tr w:rsidR="004B00AA" w:rsidRPr="00D71DDF" w14:paraId="24F6E9BC" w14:textId="77777777" w:rsidTr="47C3BDB9">
        <w:tc>
          <w:tcPr>
            <w:tcW w:w="2425" w:type="dxa"/>
          </w:tcPr>
          <w:p w14:paraId="1BE053AD" w14:textId="433A803A" w:rsidR="004B00AA" w:rsidRPr="00644947" w:rsidRDefault="004B00AA" w:rsidP="00644947">
            <w:pPr>
              <w:rPr>
                <w:noProof/>
                <w:sz w:val="20"/>
                <w:szCs w:val="20"/>
                <w:lang w:val="sr-Latn-ME"/>
              </w:rPr>
            </w:pPr>
            <w:r w:rsidRPr="00644947">
              <w:rPr>
                <w:noProof/>
                <w:sz w:val="20"/>
                <w:szCs w:val="20"/>
                <w:lang w:val="sr-Latn-ME"/>
              </w:rPr>
              <w:t>eGovernment Benchmark – ukupni rezultat</w:t>
            </w:r>
          </w:p>
        </w:tc>
        <w:tc>
          <w:tcPr>
            <w:tcW w:w="1650" w:type="dxa"/>
          </w:tcPr>
          <w:p w14:paraId="07F6E573" w14:textId="46D0564B" w:rsidR="004B00AA" w:rsidRPr="00644947" w:rsidRDefault="00177AC5" w:rsidP="0021066E">
            <w:pPr>
              <w:rPr>
                <w:noProof/>
                <w:sz w:val="20"/>
                <w:szCs w:val="20"/>
                <w:lang w:val="sr-Latn-ME"/>
              </w:rPr>
            </w:pPr>
            <w:r w:rsidRPr="00644947">
              <w:rPr>
                <w:noProof/>
                <w:sz w:val="20"/>
                <w:szCs w:val="20"/>
                <w:lang w:val="sr-Latn-ME"/>
              </w:rPr>
              <w:t>92,1</w:t>
            </w:r>
          </w:p>
        </w:tc>
        <w:tc>
          <w:tcPr>
            <w:tcW w:w="1800" w:type="dxa"/>
          </w:tcPr>
          <w:p w14:paraId="25CD18D6" w14:textId="00E6B687" w:rsidR="004B00AA" w:rsidRPr="00644947" w:rsidRDefault="00177AC5" w:rsidP="0021066E">
            <w:pPr>
              <w:rPr>
                <w:noProof/>
                <w:sz w:val="20"/>
                <w:szCs w:val="20"/>
                <w:lang w:val="sr-Latn-ME"/>
              </w:rPr>
            </w:pPr>
            <w:r w:rsidRPr="00644947">
              <w:rPr>
                <w:noProof/>
                <w:sz w:val="20"/>
                <w:szCs w:val="20"/>
                <w:lang w:val="sr-Latn-ME"/>
              </w:rPr>
              <w:t>64,9</w:t>
            </w:r>
          </w:p>
        </w:tc>
        <w:tc>
          <w:tcPr>
            <w:tcW w:w="3187" w:type="dxa"/>
          </w:tcPr>
          <w:p w14:paraId="483E9C17" w14:textId="7595CC15" w:rsidR="004B00AA" w:rsidRPr="00644947" w:rsidRDefault="004B00AA" w:rsidP="0021066E">
            <w:pPr>
              <w:rPr>
                <w:noProof/>
                <w:sz w:val="20"/>
                <w:szCs w:val="20"/>
                <w:lang w:val="sr-Latn-ME"/>
              </w:rPr>
            </w:pPr>
            <w:hyperlink r:id="rId11" w:history="1">
              <w:r w:rsidRPr="00644947">
                <w:rPr>
                  <w:rStyle w:val="Hiperveza"/>
                  <w:noProof/>
                  <w:sz w:val="20"/>
                  <w:szCs w:val="20"/>
                  <w:lang w:val="sr-Latn-ME"/>
                </w:rPr>
                <w:t>https://digital-strategy.ec.europa.eu/en/library/egovernment-benchmark-2023</w:t>
              </w:r>
            </w:hyperlink>
            <w:r w:rsidRPr="00644947">
              <w:rPr>
                <w:noProof/>
                <w:sz w:val="20"/>
                <w:szCs w:val="20"/>
                <w:lang w:val="sr-Latn-ME"/>
              </w:rPr>
              <w:t xml:space="preserve"> </w:t>
            </w:r>
          </w:p>
        </w:tc>
      </w:tr>
    </w:tbl>
    <w:p w14:paraId="589482A8" w14:textId="77777777" w:rsidR="00494011" w:rsidRDefault="00494011" w:rsidP="0021066E">
      <w:pPr>
        <w:rPr>
          <w:lang w:val="sr-Latn-ME"/>
        </w:rPr>
      </w:pPr>
    </w:p>
    <w:p w14:paraId="546557CC" w14:textId="77777777" w:rsidR="00494011" w:rsidRDefault="00494011" w:rsidP="0021066E">
      <w:pPr>
        <w:rPr>
          <w:lang w:val="sr-Latn-ME"/>
        </w:rPr>
      </w:pPr>
    </w:p>
    <w:p w14:paraId="55AE590B" w14:textId="77777777" w:rsidR="0021066E" w:rsidRDefault="0021066E" w:rsidP="0021066E">
      <w:pPr>
        <w:pStyle w:val="Naslov2"/>
        <w:rPr>
          <w:lang w:val="sr-Latn-ME"/>
        </w:rPr>
      </w:pPr>
      <w:r>
        <w:rPr>
          <w:lang w:val="sr-Latn-ME"/>
        </w:rPr>
        <w:t>Tematske cjeline</w:t>
      </w:r>
    </w:p>
    <w:p w14:paraId="66670FBA" w14:textId="0DECEFE8" w:rsidR="00EE32E2" w:rsidRPr="00EE32E2" w:rsidRDefault="47C3BDB9" w:rsidP="00D670FA">
      <w:pPr>
        <w:rPr>
          <w:lang w:val="sr-Latn-ME"/>
        </w:rPr>
      </w:pPr>
      <w:r w:rsidRPr="47C3BDB9">
        <w:rPr>
          <w:lang w:val="sr-Latn-ME"/>
        </w:rPr>
        <w:t xml:space="preserve">S obzirom na širinu prioritetnog područja </w:t>
      </w:r>
      <w:r w:rsidRPr="47C3BDB9">
        <w:rPr>
          <w:b/>
          <w:bCs/>
          <w:lang w:val="sr-Latn-ME"/>
        </w:rPr>
        <w:t>Efikasna javna uprava</w:t>
      </w:r>
      <w:r w:rsidRPr="47C3BDB9">
        <w:rPr>
          <w:lang w:val="sr-Latn-ME"/>
        </w:rPr>
        <w:t>, njegova razrada kroz tematske cjeline predložena je tako da istovremeno zadrži preglednost i dovoljno jasno razlikuje ključne funkcionalne podsisteme javnog upravljanja. Zbog toga je za potrebe SPD-a opravdano definisati nešto širi i sadržajniji set tematskih cjelina.</w:t>
      </w:r>
    </w:p>
    <w:tbl>
      <w:tblPr>
        <w:tblStyle w:val="Reetkatablice"/>
        <w:tblW w:w="0" w:type="auto"/>
        <w:tblLook w:val="04A0" w:firstRow="1" w:lastRow="0" w:firstColumn="1" w:lastColumn="0" w:noHBand="0" w:noVBand="1"/>
      </w:tblPr>
      <w:tblGrid>
        <w:gridCol w:w="2604"/>
        <w:gridCol w:w="6458"/>
      </w:tblGrid>
      <w:tr w:rsidR="47C3BDB9" w14:paraId="39CA0936" w14:textId="77777777" w:rsidTr="47C3BDB9">
        <w:trPr>
          <w:trHeight w:val="315"/>
        </w:trPr>
        <w:tc>
          <w:tcPr>
            <w:tcW w:w="2604" w:type="dxa"/>
          </w:tcPr>
          <w:p w14:paraId="579C8448" w14:textId="10F92579" w:rsidR="47C3BDB9" w:rsidRDefault="47C3BDB9" w:rsidP="47C3BDB9">
            <w:pPr>
              <w:rPr>
                <w:b/>
                <w:bCs/>
                <w:sz w:val="20"/>
                <w:szCs w:val="20"/>
                <w:lang w:val="sr-Latn-ME"/>
              </w:rPr>
            </w:pPr>
            <w:r w:rsidRPr="47C3BDB9">
              <w:rPr>
                <w:b/>
                <w:bCs/>
                <w:sz w:val="20"/>
                <w:szCs w:val="20"/>
                <w:lang w:val="sr-Latn-ME"/>
              </w:rPr>
              <w:t>Kod tematske cjeline</w:t>
            </w:r>
          </w:p>
        </w:tc>
        <w:tc>
          <w:tcPr>
            <w:tcW w:w="6458" w:type="dxa"/>
          </w:tcPr>
          <w:p w14:paraId="42161A2A" w14:textId="77777777" w:rsidR="47C3BDB9" w:rsidRDefault="47C3BDB9" w:rsidP="47C3BDB9">
            <w:pPr>
              <w:rPr>
                <w:b/>
                <w:bCs/>
                <w:sz w:val="20"/>
                <w:szCs w:val="20"/>
                <w:lang w:val="sr-Latn-ME"/>
              </w:rPr>
            </w:pPr>
            <w:r w:rsidRPr="47C3BDB9">
              <w:rPr>
                <w:b/>
                <w:bCs/>
                <w:sz w:val="20"/>
                <w:szCs w:val="20"/>
                <w:lang w:val="sr-Latn-ME"/>
              </w:rPr>
              <w:t>Naziv tematske cjeline</w:t>
            </w:r>
          </w:p>
        </w:tc>
      </w:tr>
      <w:tr w:rsidR="47C3BDB9" w14:paraId="060BE2B6" w14:textId="77777777" w:rsidTr="47C3BDB9">
        <w:trPr>
          <w:trHeight w:val="300"/>
        </w:trPr>
        <w:tc>
          <w:tcPr>
            <w:tcW w:w="2604" w:type="dxa"/>
          </w:tcPr>
          <w:p w14:paraId="05758CFF" w14:textId="73526365" w:rsidR="47C3BDB9" w:rsidRDefault="47C3BDB9" w:rsidP="47C3BDB9">
            <w:pPr>
              <w:rPr>
                <w:sz w:val="20"/>
                <w:szCs w:val="20"/>
                <w:lang w:val="sr-Latn-ME"/>
              </w:rPr>
            </w:pPr>
            <w:r w:rsidRPr="47C3BDB9">
              <w:rPr>
                <w:sz w:val="20"/>
                <w:szCs w:val="20"/>
                <w:lang w:val="sr-Latn-ME"/>
              </w:rPr>
              <w:t>[PA7]-1</w:t>
            </w:r>
          </w:p>
        </w:tc>
        <w:tc>
          <w:tcPr>
            <w:tcW w:w="6458" w:type="dxa"/>
          </w:tcPr>
          <w:p w14:paraId="0EBCCFF1" w14:textId="5613EF67" w:rsidR="47C3BDB9" w:rsidRDefault="47C3BDB9" w:rsidP="47C3BDB9">
            <w:pPr>
              <w:rPr>
                <w:sz w:val="20"/>
                <w:szCs w:val="20"/>
                <w:lang w:val="sr-Latn-ME"/>
              </w:rPr>
            </w:pPr>
            <w:r w:rsidRPr="47C3BDB9">
              <w:rPr>
                <w:sz w:val="20"/>
                <w:szCs w:val="20"/>
                <w:lang w:val="sr-Latn-ME"/>
              </w:rPr>
              <w:t>Strateško upravljanje reformom javne uprave, razvoj i koordinacija politika</w:t>
            </w:r>
          </w:p>
        </w:tc>
      </w:tr>
      <w:tr w:rsidR="47C3BDB9" w:rsidRPr="00D71DDF" w14:paraId="5A1B05B0" w14:textId="77777777" w:rsidTr="47C3BDB9">
        <w:trPr>
          <w:trHeight w:val="300"/>
        </w:trPr>
        <w:tc>
          <w:tcPr>
            <w:tcW w:w="2604" w:type="dxa"/>
          </w:tcPr>
          <w:p w14:paraId="1B86061B" w14:textId="736E46B7" w:rsidR="47C3BDB9" w:rsidRDefault="47C3BDB9" w:rsidP="47C3BDB9">
            <w:pPr>
              <w:rPr>
                <w:sz w:val="20"/>
                <w:szCs w:val="20"/>
                <w:lang w:val="sr-Latn-ME"/>
              </w:rPr>
            </w:pPr>
            <w:r w:rsidRPr="47C3BDB9">
              <w:rPr>
                <w:sz w:val="20"/>
                <w:szCs w:val="20"/>
                <w:lang w:val="sr-Latn-ME"/>
              </w:rPr>
              <w:t>[PA7]-2</w:t>
            </w:r>
          </w:p>
        </w:tc>
        <w:tc>
          <w:tcPr>
            <w:tcW w:w="6458" w:type="dxa"/>
          </w:tcPr>
          <w:p w14:paraId="704DC616" w14:textId="07A44472" w:rsidR="47C3BDB9" w:rsidRDefault="47C3BDB9" w:rsidP="47C3BDB9">
            <w:pPr>
              <w:rPr>
                <w:sz w:val="20"/>
                <w:szCs w:val="20"/>
                <w:lang w:val="sr-Latn-ME"/>
              </w:rPr>
            </w:pPr>
            <w:r w:rsidRPr="47C3BDB9">
              <w:rPr>
                <w:sz w:val="20"/>
                <w:szCs w:val="20"/>
                <w:lang w:val="sr-Latn-ME"/>
              </w:rPr>
              <w:t>Profesionalna javna uprava, upravljanje ljudskim resursima i sistem zarada</w:t>
            </w:r>
          </w:p>
        </w:tc>
      </w:tr>
      <w:tr w:rsidR="47C3BDB9" w14:paraId="3D4EC489" w14:textId="77777777" w:rsidTr="47C3BDB9">
        <w:trPr>
          <w:trHeight w:val="300"/>
        </w:trPr>
        <w:tc>
          <w:tcPr>
            <w:tcW w:w="2604" w:type="dxa"/>
          </w:tcPr>
          <w:p w14:paraId="4A3A0802" w14:textId="5C617E65" w:rsidR="47C3BDB9" w:rsidRDefault="47C3BDB9" w:rsidP="47C3BDB9">
            <w:pPr>
              <w:rPr>
                <w:sz w:val="20"/>
                <w:szCs w:val="20"/>
                <w:lang w:val="sr-Latn-ME"/>
              </w:rPr>
            </w:pPr>
            <w:r w:rsidRPr="47C3BDB9">
              <w:rPr>
                <w:sz w:val="20"/>
                <w:szCs w:val="20"/>
                <w:lang w:val="sr-Latn-ME"/>
              </w:rPr>
              <w:t>[PA7]-3</w:t>
            </w:r>
          </w:p>
        </w:tc>
        <w:tc>
          <w:tcPr>
            <w:tcW w:w="6458" w:type="dxa"/>
          </w:tcPr>
          <w:p w14:paraId="313B4AFC" w14:textId="1C583A5D" w:rsidR="47C3BDB9" w:rsidRDefault="47C3BDB9" w:rsidP="47C3BDB9">
            <w:pPr>
              <w:rPr>
                <w:sz w:val="20"/>
                <w:szCs w:val="20"/>
                <w:lang w:val="sr-Latn-ME"/>
              </w:rPr>
            </w:pPr>
            <w:r w:rsidRPr="47C3BDB9">
              <w:rPr>
                <w:sz w:val="20"/>
                <w:szCs w:val="20"/>
                <w:lang w:val="sr-Latn-ME"/>
              </w:rPr>
              <w:t>Organizacija uprave, odgovornost i otvorenost institucija</w:t>
            </w:r>
          </w:p>
        </w:tc>
      </w:tr>
      <w:tr w:rsidR="47C3BDB9" w14:paraId="319921D2" w14:textId="77777777" w:rsidTr="47C3BDB9">
        <w:trPr>
          <w:trHeight w:val="300"/>
        </w:trPr>
        <w:tc>
          <w:tcPr>
            <w:tcW w:w="2604" w:type="dxa"/>
          </w:tcPr>
          <w:p w14:paraId="23E70F4A" w14:textId="40F97E5C" w:rsidR="47C3BDB9" w:rsidRDefault="47C3BDB9" w:rsidP="47C3BDB9">
            <w:pPr>
              <w:rPr>
                <w:sz w:val="20"/>
                <w:szCs w:val="20"/>
                <w:lang w:val="sr-Latn-ME"/>
              </w:rPr>
            </w:pPr>
            <w:r w:rsidRPr="47C3BDB9">
              <w:rPr>
                <w:sz w:val="20"/>
                <w:szCs w:val="20"/>
                <w:lang w:val="sr-Latn-ME"/>
              </w:rPr>
              <w:t>[PA7]-4</w:t>
            </w:r>
          </w:p>
        </w:tc>
        <w:tc>
          <w:tcPr>
            <w:tcW w:w="6458" w:type="dxa"/>
          </w:tcPr>
          <w:p w14:paraId="44473916" w14:textId="1FCFCFD3" w:rsidR="47C3BDB9" w:rsidRDefault="47C3BDB9" w:rsidP="47C3BDB9">
            <w:pPr>
              <w:rPr>
                <w:sz w:val="20"/>
                <w:szCs w:val="20"/>
                <w:lang w:val="sr-Latn-ME"/>
              </w:rPr>
            </w:pPr>
            <w:r w:rsidRPr="47C3BDB9">
              <w:rPr>
                <w:sz w:val="20"/>
                <w:szCs w:val="20"/>
                <w:lang w:val="sr-Latn-ME"/>
              </w:rPr>
              <w:t>Javne usluge, digitalna uprava i informaciona bezbjednost</w:t>
            </w:r>
          </w:p>
        </w:tc>
      </w:tr>
      <w:tr w:rsidR="47C3BDB9" w14:paraId="0402BE56" w14:textId="77777777" w:rsidTr="47C3BDB9">
        <w:trPr>
          <w:trHeight w:val="300"/>
        </w:trPr>
        <w:tc>
          <w:tcPr>
            <w:tcW w:w="2604" w:type="dxa"/>
          </w:tcPr>
          <w:p w14:paraId="202EDA0E" w14:textId="603D6BDC" w:rsidR="47C3BDB9" w:rsidRDefault="47C3BDB9" w:rsidP="47C3BDB9">
            <w:pPr>
              <w:rPr>
                <w:sz w:val="20"/>
                <w:szCs w:val="20"/>
                <w:lang w:val="sr-Latn-ME"/>
              </w:rPr>
            </w:pPr>
            <w:r w:rsidRPr="47C3BDB9">
              <w:rPr>
                <w:sz w:val="20"/>
                <w:szCs w:val="20"/>
                <w:lang w:val="sr-Latn-ME"/>
              </w:rPr>
              <w:t>[PA7]-5</w:t>
            </w:r>
          </w:p>
        </w:tc>
        <w:tc>
          <w:tcPr>
            <w:tcW w:w="6458" w:type="dxa"/>
          </w:tcPr>
          <w:p w14:paraId="549341E3" w14:textId="21A5824A" w:rsidR="47C3BDB9" w:rsidRDefault="47C3BDB9" w:rsidP="47C3BDB9">
            <w:pPr>
              <w:rPr>
                <w:sz w:val="20"/>
                <w:szCs w:val="20"/>
                <w:lang w:val="sr-Latn-ME"/>
              </w:rPr>
            </w:pPr>
            <w:r w:rsidRPr="47C3BDB9">
              <w:rPr>
                <w:sz w:val="20"/>
                <w:szCs w:val="20"/>
                <w:lang w:val="sr-Latn-ME"/>
              </w:rPr>
              <w:t>Zvanična statistika, administrativni podaci i analitička osnova za donošenje odluka</w:t>
            </w:r>
          </w:p>
        </w:tc>
      </w:tr>
      <w:tr w:rsidR="47C3BDB9" w:rsidRPr="00D71DDF" w14:paraId="204E9E60" w14:textId="77777777" w:rsidTr="47C3BDB9">
        <w:trPr>
          <w:trHeight w:val="300"/>
        </w:trPr>
        <w:tc>
          <w:tcPr>
            <w:tcW w:w="2604" w:type="dxa"/>
          </w:tcPr>
          <w:p w14:paraId="008212A7" w14:textId="731D53E5" w:rsidR="47C3BDB9" w:rsidRDefault="47C3BDB9" w:rsidP="47C3BDB9">
            <w:pPr>
              <w:rPr>
                <w:sz w:val="20"/>
                <w:szCs w:val="20"/>
                <w:lang w:val="sr-Latn-ME"/>
              </w:rPr>
            </w:pPr>
            <w:r w:rsidRPr="47C3BDB9">
              <w:rPr>
                <w:sz w:val="20"/>
                <w:szCs w:val="20"/>
                <w:lang w:val="sr-Latn-ME"/>
              </w:rPr>
              <w:t>[PA7]-6</w:t>
            </w:r>
          </w:p>
        </w:tc>
        <w:tc>
          <w:tcPr>
            <w:tcW w:w="6458" w:type="dxa"/>
          </w:tcPr>
          <w:p w14:paraId="783FB928" w14:textId="6799B639" w:rsidR="47C3BDB9" w:rsidRDefault="47C3BDB9" w:rsidP="47C3BDB9">
            <w:pPr>
              <w:rPr>
                <w:sz w:val="20"/>
                <w:szCs w:val="20"/>
                <w:lang w:val="sr-Latn-ME"/>
              </w:rPr>
            </w:pPr>
            <w:r w:rsidRPr="47C3BDB9">
              <w:rPr>
                <w:sz w:val="20"/>
                <w:szCs w:val="20"/>
                <w:lang w:val="sr-Latn-ME"/>
              </w:rPr>
              <w:t>Upravljanje javnim finansijama, budžetski okvir i javne nabavke</w:t>
            </w:r>
          </w:p>
        </w:tc>
      </w:tr>
      <w:tr w:rsidR="47C3BDB9" w14:paraId="2FC5701A" w14:textId="77777777" w:rsidTr="47C3BDB9">
        <w:trPr>
          <w:trHeight w:val="300"/>
        </w:trPr>
        <w:tc>
          <w:tcPr>
            <w:tcW w:w="2604" w:type="dxa"/>
          </w:tcPr>
          <w:p w14:paraId="69835732" w14:textId="60931263" w:rsidR="47C3BDB9" w:rsidRDefault="47C3BDB9" w:rsidP="47C3BDB9">
            <w:pPr>
              <w:rPr>
                <w:sz w:val="20"/>
                <w:szCs w:val="20"/>
                <w:lang w:val="sr-Latn-ME"/>
              </w:rPr>
            </w:pPr>
            <w:r w:rsidRPr="47C3BDB9">
              <w:rPr>
                <w:sz w:val="20"/>
                <w:szCs w:val="20"/>
                <w:lang w:val="sr-Latn-ME"/>
              </w:rPr>
              <w:t>[PA7]-7</w:t>
            </w:r>
          </w:p>
        </w:tc>
        <w:tc>
          <w:tcPr>
            <w:tcW w:w="6458" w:type="dxa"/>
          </w:tcPr>
          <w:p w14:paraId="093404F4" w14:textId="61A1E8ED" w:rsidR="47C3BDB9" w:rsidRDefault="47C3BDB9" w:rsidP="47C3BDB9">
            <w:pPr>
              <w:rPr>
                <w:sz w:val="20"/>
                <w:szCs w:val="20"/>
                <w:lang w:val="sr-Latn-ME"/>
              </w:rPr>
            </w:pPr>
            <w:r w:rsidRPr="47C3BDB9">
              <w:rPr>
                <w:sz w:val="20"/>
                <w:szCs w:val="20"/>
                <w:lang w:val="sr-Latn-ME"/>
              </w:rPr>
              <w:t>Lokalna samouprava i lokalne javne usluge</w:t>
            </w:r>
          </w:p>
        </w:tc>
      </w:tr>
    </w:tbl>
    <w:p w14:paraId="58880190" w14:textId="77343E11" w:rsidR="47C3BDB9" w:rsidRDefault="47C3BDB9" w:rsidP="47C3BDB9">
      <w:pPr>
        <w:rPr>
          <w:lang w:val="sr-Latn-ME"/>
        </w:rPr>
      </w:pPr>
    </w:p>
    <w:p w14:paraId="1E10FE42" w14:textId="5504E86F" w:rsidR="00EE32E2" w:rsidRPr="00EE32E2" w:rsidRDefault="47C3BDB9" w:rsidP="00D670FA">
      <w:pPr>
        <w:rPr>
          <w:lang w:val="sr-Latn-ME"/>
        </w:rPr>
      </w:pPr>
      <w:r w:rsidRPr="47C3BDB9">
        <w:rPr>
          <w:lang w:val="sr-Latn-ME"/>
        </w:rPr>
        <w:t xml:space="preserve">Tematska cjelina [PA7]-1 </w:t>
      </w:r>
      <w:r w:rsidRPr="47C3BDB9">
        <w:rPr>
          <w:b/>
          <w:bCs/>
          <w:lang w:val="sr-Latn-ME"/>
        </w:rPr>
        <w:t>strateško upravljanje reformom javne uprave, razvoj i koordinaciju politika</w:t>
      </w:r>
      <w:r w:rsidRPr="47C3BDB9">
        <w:rPr>
          <w:lang w:val="sr-Latn-ME"/>
        </w:rPr>
        <w:t xml:space="preserve">. Njeno izdvajanje je opravdano zato što kvalitet uprave ne zavisi samo od pojedinačnih institucija i procedura, već i od sposobnosti sistema da planira reforme, koordinira resore, </w:t>
      </w:r>
      <w:r w:rsidRPr="47C3BDB9">
        <w:rPr>
          <w:lang w:val="sr-Latn-ME"/>
        </w:rPr>
        <w:lastRenderedPageBreak/>
        <w:t>procjenjuje učinke i povezuje strateško i operativno odlučivanje. Upravo su strateški okvir reforme, kvalitet razvoja politika i koordinacija među osnovnim elementima evropskog pristupa javnoj upravi, a domaći reformski okvir ih tretira kao poseban stub reforme. Ova cjelina obuhvata vođenje PAR procesa, međuresornu koordinaciju, kvalitet pripreme strategija i propisa, javne konsultacije i vezu između domaćih politika i evropskih obaveza.</w:t>
      </w:r>
    </w:p>
    <w:p w14:paraId="0CF6F44F" w14:textId="1E8DD6F1" w:rsidR="00EE32E2" w:rsidRPr="00EE32E2" w:rsidRDefault="47C3BDB9" w:rsidP="47C3BDB9">
      <w:pPr>
        <w:rPr>
          <w:lang w:val="sr-Latn-ME"/>
        </w:rPr>
      </w:pPr>
      <w:r w:rsidRPr="47C3BDB9">
        <w:rPr>
          <w:lang w:val="sr-Latn-ME"/>
        </w:rPr>
        <w:t xml:space="preserve">Druga tematska cjelina obuhvata [PA7]-2 </w:t>
      </w:r>
      <w:r w:rsidRPr="47C3BDB9">
        <w:rPr>
          <w:b/>
          <w:bCs/>
          <w:lang w:val="sr-Latn-ME"/>
        </w:rPr>
        <w:t>profesionalnu javnu upravu, upravljanje ljudskim resursima i sistem zarada</w:t>
      </w:r>
      <w:r w:rsidRPr="47C3BDB9">
        <w:rPr>
          <w:lang w:val="sr-Latn-ME"/>
        </w:rPr>
        <w:t>. Njeno izdvajanje proizlazi iz činjenice da administrativni kapacitet u praksi najvećim dijelom zavisi od kvaliteta državnih službenika i ukupnog sistema u kojem se proces njihovog angažovanja ostvaruje: od načina zapošljavanja, stabilnosti i profesionalnosti menadžmenta, sistema napredovanja, kompetencijskog okvira, kvaliteta kadrovskih evidencija i pravičnosti sistema zarada. SIGMA ovu oblast prepoznaje kao zasebnu cjelinu javne uprave, a domaći reformski dokumenti i operativni zaključci joj posvećuju poseban reformski fokus, upravo zbog toga što bez profesionalne administracije ostale reforme nemaju dovoljno stabilan oslonac.</w:t>
      </w:r>
    </w:p>
    <w:p w14:paraId="2497399B" w14:textId="32235F8F" w:rsidR="00EE32E2" w:rsidRPr="00EE32E2" w:rsidRDefault="47C3BDB9" w:rsidP="47C3BDB9">
      <w:pPr>
        <w:rPr>
          <w:lang w:val="sr-Latn-ME"/>
        </w:rPr>
      </w:pPr>
      <w:r w:rsidRPr="47C3BDB9">
        <w:rPr>
          <w:lang w:val="sr-Latn-ME"/>
        </w:rPr>
        <w:t xml:space="preserve">Treća tematska cjelina odnosi se na [PA7]-3 </w:t>
      </w:r>
      <w:r w:rsidRPr="47C3BDB9">
        <w:rPr>
          <w:b/>
          <w:bCs/>
          <w:lang w:val="sr-Latn-ME"/>
        </w:rPr>
        <w:t>organizaciju uprave, odgovornost i otvorenost institucija</w:t>
      </w:r>
      <w:r w:rsidRPr="47C3BDB9">
        <w:rPr>
          <w:lang w:val="sr-Latn-ME"/>
        </w:rPr>
        <w:t>. Ona obuhvata unutrašnju organizacionu racionalnost, raspodjelu nadležnosti, delegiranje odgovornosti, upravljačku odgovornost, slobodan pristup informacijama, transparentnost i osnovne mehanizme administrativne odgovornosti. Njeno izdvajanje je opravdano jer efikasna uprava nije samo profesionalna i digitalna uprava, već i uprava sa jasno raspoređenim nadležnostima, funkcionalnim unutrašnjim upravljanjem i predvidivim odnosom prema građanima i javnosti. Upravo u ovoj oblasti SIGMA identifikuje pitanja odgovornosti, organizacije, transparentnosti i nadzora kao posebnu tematsku cjelinu javne uprave.</w:t>
      </w:r>
    </w:p>
    <w:p w14:paraId="371F1DB0" w14:textId="109BB7A1" w:rsidR="00EE32E2" w:rsidRPr="00EE32E2" w:rsidRDefault="47C3BDB9" w:rsidP="47C3BDB9">
      <w:pPr>
        <w:rPr>
          <w:lang w:val="sr-Latn-ME"/>
        </w:rPr>
      </w:pPr>
      <w:r w:rsidRPr="47C3BDB9">
        <w:rPr>
          <w:lang w:val="sr-Latn-ME"/>
        </w:rPr>
        <w:t xml:space="preserve">Četvrta tematska cjelina obuhvata [PA7]-4 </w:t>
      </w:r>
      <w:r w:rsidRPr="47C3BDB9">
        <w:rPr>
          <w:b/>
          <w:bCs/>
          <w:lang w:val="sr-Latn-ME"/>
        </w:rPr>
        <w:t>javne usluge, digitalnu upravu i informacionu bezbjednost</w:t>
      </w:r>
      <w:r w:rsidRPr="47C3BDB9">
        <w:rPr>
          <w:lang w:val="sr-Latn-ME"/>
        </w:rPr>
        <w:t>. Ova cjelina je nužna zato što digitalizacija u savremenom upravnom okviru jedan od glavnih mehanizama za povećanje efikasnosti, pristupačnosti i pouzdanosti usluga. U nju ulaze razvoj elektronskih usluga, interoperabilnost registara, elektronski identitet, korisnička orijentacija, digitalna infrastruktura i sajber otpornost. Reformska agenda ovu oblast tretira kroz poseban reformski paket, dok je i u domaćem strateškom okviru digitalna transformacija prepoznata kao jedna od ključnih komponenti modernizacije uprave.</w:t>
      </w:r>
    </w:p>
    <w:p w14:paraId="2B727817" w14:textId="5508C8DE" w:rsidR="00EE32E2" w:rsidRPr="00EE32E2" w:rsidRDefault="47C3BDB9" w:rsidP="47C3BDB9">
      <w:pPr>
        <w:rPr>
          <w:lang w:val="sr-Latn-ME"/>
        </w:rPr>
      </w:pPr>
      <w:r w:rsidRPr="47C3BDB9">
        <w:rPr>
          <w:lang w:val="sr-Latn-ME"/>
        </w:rPr>
        <w:t xml:space="preserve">Peta tematska cjelina odnosi se na [PA7]-5 </w:t>
      </w:r>
      <w:r w:rsidRPr="47C3BDB9">
        <w:rPr>
          <w:b/>
          <w:bCs/>
          <w:lang w:val="sr-Latn-ME"/>
        </w:rPr>
        <w:t>zvaničnu statistiku, administrativne podatke i analitičku osnovu za donošenje odluka</w:t>
      </w:r>
      <w:r w:rsidRPr="47C3BDB9">
        <w:rPr>
          <w:lang w:val="sr-Latn-ME"/>
        </w:rPr>
        <w:t>. Efikasna javna uprava nije moguća bez kvalitetnih podataka za planiranje, praćenje, evaluaciju i izvještavanje, naročito u oblastima javnih finansija, socijalnih politika, regionalnog razvoja i upravljanja učinkom. Zbog toga statistika i administrativni izvori podataka zaslužuju zasebnu tematsku cjelinu.</w:t>
      </w:r>
    </w:p>
    <w:p w14:paraId="00F43888" w14:textId="3668A7E6" w:rsidR="00EE32E2" w:rsidRPr="00EE32E2" w:rsidRDefault="47C3BDB9" w:rsidP="47C3BDB9">
      <w:pPr>
        <w:rPr>
          <w:lang w:val="sr-Latn-ME"/>
        </w:rPr>
      </w:pPr>
      <w:r w:rsidRPr="47C3BDB9">
        <w:rPr>
          <w:lang w:val="sr-Latn-ME"/>
        </w:rPr>
        <w:t xml:space="preserve">Šesta tematska cjelina obuhvata [PA7]-6 </w:t>
      </w:r>
      <w:r w:rsidRPr="47C3BDB9">
        <w:rPr>
          <w:b/>
          <w:bCs/>
          <w:lang w:val="sr-Latn-ME"/>
        </w:rPr>
        <w:t>upravljanje javnim finansijama, budžetski okvir i javne nabavke</w:t>
      </w:r>
      <w:r w:rsidRPr="47C3BDB9">
        <w:rPr>
          <w:lang w:val="sr-Latn-ME"/>
        </w:rPr>
        <w:t xml:space="preserve">. Njeno izdvajanje proizlazi iz činjenice da je reforma upravljanja javnim finansijama u Crnoj Gori postavljena kao poseban, razrađen i horizontalno važan reformski program. Program reforme upravljanja javnim finansijama izričito navodi da je unapređenje upravljanja javnim finansijama jedna od ključnih oblasti procesa reforme javne uprave i važan element ekonomskog upravljanja, te da treba da obezbijedi bolju koordinaciju, jačanje fiskalne discipline, optimizaciju alokacije resursa i veću transparentnost sistema upravljanja javnim finansijama [2]. U tom smislu, ova cjelina obuhvata fiskalni okvir i planiranje budžeta, izvršenje budžeta, javne investicije, upravljanje prihodima, javne nabavke, finansijsko izvještavanje, PIFC, </w:t>
      </w:r>
      <w:r w:rsidRPr="47C3BDB9">
        <w:rPr>
          <w:lang w:val="sr-Latn-ME"/>
        </w:rPr>
        <w:lastRenderedPageBreak/>
        <w:t>eksternu reviziju i zaštitu finansijskih interesa EU. Njeno uključivanje je važno i zato što se u praksi veliki dio institucionalne efektivnosti države mjeri upravo kroz kvalitet javnofinansijskog upravljanja.</w:t>
      </w:r>
    </w:p>
    <w:p w14:paraId="3545A023" w14:textId="54794311" w:rsidR="00EE32E2" w:rsidRPr="00EE32E2" w:rsidRDefault="47C3BDB9" w:rsidP="47C3BDB9">
      <w:pPr>
        <w:rPr>
          <w:lang w:val="sr-Latn-ME"/>
        </w:rPr>
      </w:pPr>
      <w:r w:rsidRPr="47C3BDB9">
        <w:rPr>
          <w:lang w:val="sr-Latn-ME"/>
        </w:rPr>
        <w:t xml:space="preserve">Sedma tematska cjelina odnosi se </w:t>
      </w:r>
      <w:r w:rsidRPr="47C3BDB9">
        <w:rPr>
          <w:b/>
          <w:bCs/>
          <w:lang w:val="sr-Latn-ME"/>
        </w:rPr>
        <w:t xml:space="preserve">na </w:t>
      </w:r>
      <w:r w:rsidRPr="47C3BDB9">
        <w:rPr>
          <w:lang w:val="sr-Latn-ME"/>
        </w:rPr>
        <w:t>[PA7]-7</w:t>
      </w:r>
      <w:r w:rsidRPr="47C3BDB9">
        <w:rPr>
          <w:b/>
          <w:bCs/>
          <w:lang w:val="sr-Latn-ME"/>
        </w:rPr>
        <w:t xml:space="preserve"> lokalnu samoupravu i lokalne javne usluge</w:t>
      </w:r>
      <w:r w:rsidRPr="47C3BDB9">
        <w:rPr>
          <w:lang w:val="sr-Latn-ME"/>
        </w:rPr>
        <w:t>. Naime, veliki dio javnih usluga, razvojnih funkcija i koordinacije politika ostvaruje se na lokalnom nivou, dok pitanja raspodjele nadležnosti, lokalne autonomije, nadzora i međuopštinske saradnje imaju neposredan uticaj na kvalitet upravljanja u cjelini. U evropskom okviru javne uprave odgovornosti između nivoa vlasti i efektivna međuinstitucionalna koordinacija posebno su izdvojeni kao zaseban princip, što dodatno opravdava ovu cjelinu.</w:t>
      </w:r>
    </w:p>
    <w:p w14:paraId="3CB8CDA5" w14:textId="5E2265B6" w:rsidR="00F579F5" w:rsidRPr="00F579F5" w:rsidRDefault="00F579F5" w:rsidP="47C3BDB9">
      <w:pPr>
        <w:rPr>
          <w:lang w:val="sr-Latn-ME"/>
        </w:rPr>
      </w:pPr>
    </w:p>
    <w:p w14:paraId="3777CC6E" w14:textId="12880EAA" w:rsidR="00F579F5" w:rsidRPr="00F579F5" w:rsidRDefault="0021066E" w:rsidP="0021066E">
      <w:pPr>
        <w:pStyle w:val="Naslov2"/>
        <w:rPr>
          <w:lang w:val="sr-Latn-ME"/>
        </w:rPr>
      </w:pPr>
      <w:r>
        <w:rPr>
          <w:lang w:val="sr-Latn-ME"/>
        </w:rPr>
        <w:t>Indikativna lista razvojnih izazova</w:t>
      </w:r>
    </w:p>
    <w:p w14:paraId="44BBD0D9" w14:textId="77777777" w:rsidR="00F579F5" w:rsidRDefault="00F579F5" w:rsidP="00F579F5">
      <w:pPr>
        <w:rPr>
          <w:lang w:val="sr-Latn-ME"/>
        </w:rPr>
      </w:pPr>
    </w:p>
    <w:tbl>
      <w:tblPr>
        <w:tblStyle w:val="Reetkatablice"/>
        <w:tblW w:w="9062" w:type="dxa"/>
        <w:tblLook w:val="04A0" w:firstRow="1" w:lastRow="0" w:firstColumn="1" w:lastColumn="0" w:noHBand="0" w:noVBand="1"/>
      </w:tblPr>
      <w:tblGrid>
        <w:gridCol w:w="2115"/>
        <w:gridCol w:w="2445"/>
        <w:gridCol w:w="4502"/>
      </w:tblGrid>
      <w:tr w:rsidR="008A7A7A" w:rsidRPr="008A7A7A" w14:paraId="068C80FE" w14:textId="77777777" w:rsidTr="47C3BDB9">
        <w:tc>
          <w:tcPr>
            <w:tcW w:w="2115" w:type="dxa"/>
          </w:tcPr>
          <w:p w14:paraId="3C77336A" w14:textId="77777777" w:rsidR="008A7A7A" w:rsidRPr="008A7A7A" w:rsidRDefault="47C3BDB9" w:rsidP="47C3BDB9">
            <w:pPr>
              <w:rPr>
                <w:b/>
                <w:bCs/>
                <w:sz w:val="18"/>
                <w:szCs w:val="18"/>
                <w:lang w:val="sr-Latn-ME"/>
              </w:rPr>
            </w:pPr>
            <w:r w:rsidRPr="47C3BDB9">
              <w:rPr>
                <w:b/>
                <w:bCs/>
                <w:sz w:val="18"/>
                <w:szCs w:val="18"/>
                <w:lang w:val="sr-Latn-ME"/>
              </w:rPr>
              <w:t>Kod razvojnog izazova</w:t>
            </w:r>
          </w:p>
        </w:tc>
        <w:tc>
          <w:tcPr>
            <w:tcW w:w="2445" w:type="dxa"/>
          </w:tcPr>
          <w:p w14:paraId="43FC48AB" w14:textId="77777777" w:rsidR="008A7A7A" w:rsidRPr="008A7A7A" w:rsidRDefault="47C3BDB9" w:rsidP="47C3BDB9">
            <w:pPr>
              <w:rPr>
                <w:b/>
                <w:bCs/>
                <w:sz w:val="18"/>
                <w:szCs w:val="18"/>
                <w:lang w:val="sr-Latn-ME"/>
              </w:rPr>
            </w:pPr>
            <w:r w:rsidRPr="47C3BDB9">
              <w:rPr>
                <w:b/>
                <w:bCs/>
                <w:sz w:val="18"/>
                <w:szCs w:val="18"/>
                <w:lang w:val="sr-Latn-ME"/>
              </w:rPr>
              <w:t>Naziv razvojnog izazova</w:t>
            </w:r>
          </w:p>
        </w:tc>
        <w:tc>
          <w:tcPr>
            <w:tcW w:w="4502" w:type="dxa"/>
          </w:tcPr>
          <w:p w14:paraId="407C95D2" w14:textId="77777777" w:rsidR="008A7A7A" w:rsidRPr="008A7A7A" w:rsidRDefault="47C3BDB9" w:rsidP="47C3BDB9">
            <w:pPr>
              <w:rPr>
                <w:b/>
                <w:bCs/>
                <w:sz w:val="18"/>
                <w:szCs w:val="18"/>
                <w:lang w:val="sr-Latn-ME"/>
              </w:rPr>
            </w:pPr>
            <w:r w:rsidRPr="47C3BDB9">
              <w:rPr>
                <w:b/>
                <w:bCs/>
                <w:sz w:val="18"/>
                <w:szCs w:val="18"/>
                <w:lang w:val="sr-Latn-ME"/>
              </w:rPr>
              <w:t>Obrazloženje</w:t>
            </w:r>
          </w:p>
        </w:tc>
      </w:tr>
      <w:tr w:rsidR="008A7A7A" w:rsidRPr="006D5DDA" w14:paraId="522C36E7" w14:textId="77777777" w:rsidTr="47C3BDB9">
        <w:tc>
          <w:tcPr>
            <w:tcW w:w="2115" w:type="dxa"/>
          </w:tcPr>
          <w:p w14:paraId="573D52BC" w14:textId="77777777" w:rsidR="008A7A7A" w:rsidRPr="008A7A7A" w:rsidRDefault="47C3BDB9" w:rsidP="47C3BDB9">
            <w:pPr>
              <w:rPr>
                <w:sz w:val="18"/>
                <w:szCs w:val="18"/>
                <w:lang w:val="sr-Latn-ME"/>
              </w:rPr>
            </w:pPr>
            <w:r w:rsidRPr="47C3BDB9">
              <w:rPr>
                <w:sz w:val="18"/>
                <w:szCs w:val="18"/>
                <w:lang w:val="sr-Latn-ME"/>
              </w:rPr>
              <w:t>[PA7]-1.1</w:t>
            </w:r>
          </w:p>
        </w:tc>
        <w:tc>
          <w:tcPr>
            <w:tcW w:w="2445" w:type="dxa"/>
          </w:tcPr>
          <w:p w14:paraId="669BD48E" w14:textId="77777777" w:rsidR="008A7A7A" w:rsidRPr="008A7A7A" w:rsidRDefault="47C3BDB9" w:rsidP="47C3BDB9">
            <w:pPr>
              <w:rPr>
                <w:sz w:val="18"/>
                <w:szCs w:val="18"/>
                <w:lang w:val="sr-Latn-ME"/>
              </w:rPr>
            </w:pPr>
            <w:r w:rsidRPr="47C3BDB9">
              <w:rPr>
                <w:sz w:val="18"/>
                <w:szCs w:val="18"/>
                <w:lang w:val="sr-Latn-ME"/>
              </w:rPr>
              <w:t>Spora i neujednačena implementacija reforme javne uprave</w:t>
            </w:r>
          </w:p>
        </w:tc>
        <w:tc>
          <w:tcPr>
            <w:tcW w:w="4502" w:type="dxa"/>
          </w:tcPr>
          <w:p w14:paraId="033638C3" w14:textId="77777777" w:rsidR="008A7A7A" w:rsidRPr="008A7A7A" w:rsidRDefault="47C3BDB9" w:rsidP="47C3BDB9">
            <w:pPr>
              <w:rPr>
                <w:sz w:val="18"/>
                <w:szCs w:val="18"/>
                <w:lang w:val="sr-Latn-ME"/>
              </w:rPr>
            </w:pPr>
            <w:r w:rsidRPr="47C3BDB9">
              <w:rPr>
                <w:sz w:val="18"/>
                <w:szCs w:val="18"/>
                <w:lang w:val="sr-Latn-ME"/>
              </w:rPr>
              <w:t>Sprovođenje reforme ostaje glavni sistemski problem. SIGMA navodi da je implementacija PAR strategije niska i da planovi nijesu dovoljno usklađeni sa Programom rada Vlade i Programom pristupanja EU, što proizvodi konkurentske prioritete i usporava rezultate. Izvor: SIGMA Public administration in Montenegro 2024.</w:t>
            </w:r>
          </w:p>
        </w:tc>
      </w:tr>
      <w:tr w:rsidR="008A7A7A" w:rsidRPr="006D5DDA" w14:paraId="6C8F1135" w14:textId="77777777" w:rsidTr="47C3BDB9">
        <w:tc>
          <w:tcPr>
            <w:tcW w:w="2115" w:type="dxa"/>
          </w:tcPr>
          <w:p w14:paraId="05432041" w14:textId="77777777" w:rsidR="008A7A7A" w:rsidRPr="008A7A7A" w:rsidRDefault="47C3BDB9" w:rsidP="47C3BDB9">
            <w:pPr>
              <w:rPr>
                <w:sz w:val="18"/>
                <w:szCs w:val="18"/>
                <w:lang w:val="sr-Latn-ME"/>
              </w:rPr>
            </w:pPr>
            <w:r w:rsidRPr="47C3BDB9">
              <w:rPr>
                <w:sz w:val="18"/>
                <w:szCs w:val="18"/>
                <w:lang w:val="sr-Latn-ME"/>
              </w:rPr>
              <w:t>[PA7]-1.2</w:t>
            </w:r>
          </w:p>
        </w:tc>
        <w:tc>
          <w:tcPr>
            <w:tcW w:w="2445" w:type="dxa"/>
          </w:tcPr>
          <w:p w14:paraId="7B390A0B" w14:textId="77777777" w:rsidR="008A7A7A" w:rsidRPr="008A7A7A" w:rsidRDefault="47C3BDB9" w:rsidP="47C3BDB9">
            <w:pPr>
              <w:rPr>
                <w:sz w:val="18"/>
                <w:szCs w:val="18"/>
                <w:lang w:val="sr-Latn-ME"/>
              </w:rPr>
            </w:pPr>
            <w:r w:rsidRPr="47C3BDB9">
              <w:rPr>
                <w:sz w:val="18"/>
                <w:szCs w:val="18"/>
                <w:lang w:val="sr-Latn-ME"/>
              </w:rPr>
              <w:t>Nedovoljno funkcionalan sistem strateškog upravljanja reformom</w:t>
            </w:r>
          </w:p>
        </w:tc>
        <w:tc>
          <w:tcPr>
            <w:tcW w:w="4502" w:type="dxa"/>
          </w:tcPr>
          <w:p w14:paraId="56433D2F" w14:textId="77777777" w:rsidR="008A7A7A" w:rsidRPr="008A7A7A" w:rsidRDefault="47C3BDB9" w:rsidP="47C3BDB9">
            <w:pPr>
              <w:rPr>
                <w:sz w:val="18"/>
                <w:szCs w:val="18"/>
                <w:lang w:val="sr-Latn-ME"/>
              </w:rPr>
            </w:pPr>
            <w:r w:rsidRPr="47C3BDB9">
              <w:rPr>
                <w:sz w:val="18"/>
                <w:szCs w:val="18"/>
                <w:lang w:val="sr-Latn-ME"/>
              </w:rPr>
              <w:t>Iako su strateški i institucionalni okviri uspostavljeni, operativni zaključci PAR SG pokazuju da je i dalje potrebno osigurati redovne sastanke Savjeta za RJU i Koordinacionog tijela, srednjoročnu evaluaciju PAR i PFM dokumenata i mjere za efikasnije sprovođenje. Izvor: Operativni zaključci PAR SG 2025; SIGMA Montenegro 2024.</w:t>
            </w:r>
          </w:p>
        </w:tc>
      </w:tr>
      <w:tr w:rsidR="008A7A7A" w:rsidRPr="006D5DDA" w14:paraId="7229A8C0" w14:textId="77777777" w:rsidTr="47C3BDB9">
        <w:tc>
          <w:tcPr>
            <w:tcW w:w="2115" w:type="dxa"/>
          </w:tcPr>
          <w:p w14:paraId="479415FD" w14:textId="77777777" w:rsidR="008A7A7A" w:rsidRPr="008A7A7A" w:rsidRDefault="47C3BDB9" w:rsidP="47C3BDB9">
            <w:pPr>
              <w:rPr>
                <w:sz w:val="18"/>
                <w:szCs w:val="18"/>
                <w:lang w:val="sr-Latn-ME"/>
              </w:rPr>
            </w:pPr>
            <w:r w:rsidRPr="47C3BDB9">
              <w:rPr>
                <w:sz w:val="18"/>
                <w:szCs w:val="18"/>
                <w:lang w:val="sr-Latn-ME"/>
              </w:rPr>
              <w:t>[PA7]-2.1</w:t>
            </w:r>
          </w:p>
        </w:tc>
        <w:tc>
          <w:tcPr>
            <w:tcW w:w="2445" w:type="dxa"/>
          </w:tcPr>
          <w:p w14:paraId="171C6EF1" w14:textId="77777777" w:rsidR="008A7A7A" w:rsidRPr="008A7A7A" w:rsidRDefault="47C3BDB9" w:rsidP="47C3BDB9">
            <w:pPr>
              <w:rPr>
                <w:sz w:val="18"/>
                <w:szCs w:val="18"/>
                <w:lang w:val="sr-Latn-ME"/>
              </w:rPr>
            </w:pPr>
            <w:r w:rsidRPr="47C3BDB9">
              <w:rPr>
                <w:sz w:val="18"/>
                <w:szCs w:val="18"/>
                <w:lang w:val="sr-Latn-ME"/>
              </w:rPr>
              <w:t>Ograničen kvalitet koordinacije politika i praćenja rezultata</w:t>
            </w:r>
          </w:p>
        </w:tc>
        <w:tc>
          <w:tcPr>
            <w:tcW w:w="4502" w:type="dxa"/>
          </w:tcPr>
          <w:p w14:paraId="38D8D9D6" w14:textId="77777777" w:rsidR="008A7A7A" w:rsidRPr="008A7A7A" w:rsidRDefault="47C3BDB9" w:rsidP="47C3BDB9">
            <w:pPr>
              <w:rPr>
                <w:sz w:val="18"/>
                <w:szCs w:val="18"/>
                <w:lang w:val="sr-Latn-ME"/>
              </w:rPr>
            </w:pPr>
            <w:r w:rsidRPr="47C3BDB9">
              <w:rPr>
                <w:sz w:val="18"/>
                <w:szCs w:val="18"/>
                <w:lang w:val="sr-Latn-ME"/>
              </w:rPr>
              <w:t>SIGMA konstatuje da sistem planiranja i koordinacije postoji, ali ministarstva teže ostvaruju postavljene ciljeve politika, slabo integrišu evaluacije u ciklus politika i često kasne sa podzakonskim aktima, što umanjuje efekat usvojenih reformi. Izvor: SIGMA Public administration in Montenegro 2024.</w:t>
            </w:r>
          </w:p>
        </w:tc>
      </w:tr>
      <w:tr w:rsidR="008A7A7A" w:rsidRPr="006D5DDA" w14:paraId="3A3AF401" w14:textId="77777777" w:rsidTr="47C3BDB9">
        <w:tc>
          <w:tcPr>
            <w:tcW w:w="2115" w:type="dxa"/>
          </w:tcPr>
          <w:p w14:paraId="433BCEED" w14:textId="77777777" w:rsidR="008A7A7A" w:rsidRPr="008A7A7A" w:rsidRDefault="47C3BDB9" w:rsidP="47C3BDB9">
            <w:pPr>
              <w:rPr>
                <w:sz w:val="18"/>
                <w:szCs w:val="18"/>
                <w:lang w:val="sr-Latn-ME"/>
              </w:rPr>
            </w:pPr>
            <w:r w:rsidRPr="47C3BDB9">
              <w:rPr>
                <w:sz w:val="18"/>
                <w:szCs w:val="18"/>
                <w:lang w:val="sr-Latn-ME"/>
              </w:rPr>
              <w:t>[PA7]-2.2</w:t>
            </w:r>
          </w:p>
        </w:tc>
        <w:tc>
          <w:tcPr>
            <w:tcW w:w="2445" w:type="dxa"/>
          </w:tcPr>
          <w:p w14:paraId="687E39A1" w14:textId="77777777" w:rsidR="008A7A7A" w:rsidRPr="008A7A7A" w:rsidRDefault="47C3BDB9" w:rsidP="47C3BDB9">
            <w:pPr>
              <w:rPr>
                <w:sz w:val="18"/>
                <w:szCs w:val="18"/>
                <w:lang w:val="sr-Latn-ME"/>
              </w:rPr>
            </w:pPr>
            <w:r w:rsidRPr="47C3BDB9">
              <w:rPr>
                <w:sz w:val="18"/>
                <w:szCs w:val="18"/>
                <w:lang w:val="sr-Latn-ME"/>
              </w:rPr>
              <w:t>Nedovoljno kvalitetne i dosljedne javne konsultacije</w:t>
            </w:r>
          </w:p>
        </w:tc>
        <w:tc>
          <w:tcPr>
            <w:tcW w:w="4502" w:type="dxa"/>
          </w:tcPr>
          <w:p w14:paraId="4D75C608" w14:textId="77777777" w:rsidR="008A7A7A" w:rsidRPr="008A7A7A" w:rsidRDefault="47C3BDB9" w:rsidP="47C3BDB9">
            <w:pPr>
              <w:rPr>
                <w:sz w:val="18"/>
                <w:szCs w:val="18"/>
                <w:lang w:val="sr-Latn-ME"/>
              </w:rPr>
            </w:pPr>
            <w:r w:rsidRPr="47C3BDB9">
              <w:rPr>
                <w:sz w:val="18"/>
                <w:szCs w:val="18"/>
                <w:lang w:val="sr-Latn-ME"/>
              </w:rPr>
              <w:t>Postoji značajan prostor za unapređenje konzistentnosti i kvaliteta konsultacija sa javnošću i zainteresovanim stranama. Operativni zaključci PAR SG dodatno traže kontinuirano povećanje udjela nacrta zakona i strategija koji prolaze javne rasprave putem portala e-Participacija. Izvor: SIGMA Montenegro 2024; Operativni zaključci PAR SG 2025.</w:t>
            </w:r>
          </w:p>
        </w:tc>
      </w:tr>
      <w:tr w:rsidR="008A7A7A" w:rsidRPr="006D5DDA" w14:paraId="30323D6D" w14:textId="77777777" w:rsidTr="47C3BDB9">
        <w:tc>
          <w:tcPr>
            <w:tcW w:w="2115" w:type="dxa"/>
          </w:tcPr>
          <w:p w14:paraId="02AF8EB4" w14:textId="77777777" w:rsidR="008A7A7A" w:rsidRPr="008A7A7A" w:rsidRDefault="47C3BDB9" w:rsidP="47C3BDB9">
            <w:pPr>
              <w:rPr>
                <w:sz w:val="18"/>
                <w:szCs w:val="18"/>
                <w:lang w:val="sr-Latn-ME"/>
              </w:rPr>
            </w:pPr>
            <w:r w:rsidRPr="47C3BDB9">
              <w:rPr>
                <w:sz w:val="18"/>
                <w:szCs w:val="18"/>
                <w:lang w:val="sr-Latn-ME"/>
              </w:rPr>
              <w:t>[PA7]-3.1</w:t>
            </w:r>
          </w:p>
        </w:tc>
        <w:tc>
          <w:tcPr>
            <w:tcW w:w="2445" w:type="dxa"/>
          </w:tcPr>
          <w:p w14:paraId="240235AE" w14:textId="77777777" w:rsidR="008A7A7A" w:rsidRPr="008A7A7A" w:rsidRDefault="47C3BDB9" w:rsidP="47C3BDB9">
            <w:pPr>
              <w:rPr>
                <w:sz w:val="18"/>
                <w:szCs w:val="18"/>
                <w:lang w:val="sr-Latn-ME"/>
              </w:rPr>
            </w:pPr>
            <w:r w:rsidRPr="47C3BDB9">
              <w:rPr>
                <w:sz w:val="18"/>
                <w:szCs w:val="18"/>
                <w:lang w:val="sr-Latn-ME"/>
              </w:rPr>
              <w:t>Nestabilnost rukovodećeg kadra i ograničena profesionalizacija</w:t>
            </w:r>
          </w:p>
        </w:tc>
        <w:tc>
          <w:tcPr>
            <w:tcW w:w="4502" w:type="dxa"/>
          </w:tcPr>
          <w:p w14:paraId="03D22717" w14:textId="77777777" w:rsidR="008A7A7A" w:rsidRPr="008A7A7A" w:rsidRDefault="47C3BDB9" w:rsidP="47C3BDB9">
            <w:pPr>
              <w:rPr>
                <w:sz w:val="18"/>
                <w:szCs w:val="18"/>
                <w:lang w:val="sr-Latn-ME"/>
              </w:rPr>
            </w:pPr>
            <w:r w:rsidRPr="47C3BDB9">
              <w:rPr>
                <w:sz w:val="18"/>
                <w:szCs w:val="18"/>
                <w:lang w:val="sr-Latn-ME"/>
              </w:rPr>
              <w:t>SIGMA navodi da je fluktuacija top menadžmenta dostigla 74% u 2021. i ostala 61% u 2023, dok su vršioci dužnosti i dalje važan kanal popunjavanja funkcija. Regionalni SIGMA pregled bilježi da je u Crnoj Gori 32% TPM pozicija bilo popunjeno vršiocima dužnosti krajem 2023. Izvor: SIGMA Public administration in Montenegro 2024; SIGMA Regional Overview 2024.</w:t>
            </w:r>
          </w:p>
        </w:tc>
      </w:tr>
      <w:tr w:rsidR="008A7A7A" w:rsidRPr="006D5DDA" w14:paraId="00541B07" w14:textId="77777777" w:rsidTr="47C3BDB9">
        <w:tc>
          <w:tcPr>
            <w:tcW w:w="2115" w:type="dxa"/>
          </w:tcPr>
          <w:p w14:paraId="126B4E8D" w14:textId="77777777" w:rsidR="008A7A7A" w:rsidRPr="008A7A7A" w:rsidRDefault="47C3BDB9" w:rsidP="47C3BDB9">
            <w:pPr>
              <w:rPr>
                <w:sz w:val="18"/>
                <w:szCs w:val="18"/>
                <w:lang w:val="sr-Latn-ME"/>
              </w:rPr>
            </w:pPr>
            <w:r w:rsidRPr="47C3BDB9">
              <w:rPr>
                <w:sz w:val="18"/>
                <w:szCs w:val="18"/>
                <w:lang w:val="sr-Latn-ME"/>
              </w:rPr>
              <w:t>[PA7]-3.2</w:t>
            </w:r>
          </w:p>
        </w:tc>
        <w:tc>
          <w:tcPr>
            <w:tcW w:w="2445" w:type="dxa"/>
          </w:tcPr>
          <w:p w14:paraId="39B1236E" w14:textId="77777777" w:rsidR="008A7A7A" w:rsidRPr="008A7A7A" w:rsidRDefault="47C3BDB9" w:rsidP="47C3BDB9">
            <w:pPr>
              <w:rPr>
                <w:sz w:val="18"/>
                <w:szCs w:val="18"/>
                <w:lang w:val="sr-Latn-ME"/>
              </w:rPr>
            </w:pPr>
            <w:r w:rsidRPr="47C3BDB9">
              <w:rPr>
                <w:sz w:val="18"/>
                <w:szCs w:val="18"/>
                <w:lang w:val="sr-Latn-ME"/>
              </w:rPr>
              <w:t>Slabi kapaciteti za upravljanje ljudskim resursima</w:t>
            </w:r>
          </w:p>
        </w:tc>
        <w:tc>
          <w:tcPr>
            <w:tcW w:w="4502" w:type="dxa"/>
          </w:tcPr>
          <w:p w14:paraId="5BA9133E" w14:textId="77777777" w:rsidR="008A7A7A" w:rsidRPr="008A7A7A" w:rsidRDefault="47C3BDB9" w:rsidP="47C3BDB9">
            <w:pPr>
              <w:rPr>
                <w:sz w:val="18"/>
                <w:szCs w:val="18"/>
                <w:lang w:val="sr-Latn-ME"/>
              </w:rPr>
            </w:pPr>
            <w:r w:rsidRPr="47C3BDB9">
              <w:rPr>
                <w:sz w:val="18"/>
                <w:szCs w:val="18"/>
                <w:lang w:val="sr-Latn-ME"/>
              </w:rPr>
              <w:t>SIGMA konstatuje da su HRM kapaciteti ograničeni, HRMIS nedovoljno razvijen, a merit sistem i dalje nije dovoljno zaštićen od političkog uticaja. Operativni zaključci PAR SG zato insistiraju na redovnom popunjavanju upražnjenih mjesta, sistematizaciji radnih mjesta i boljem unosu podataka u HRMIS. Izvor: SIGMA Montenegro 2024; Operativni zaključci PAR SG 2025.</w:t>
            </w:r>
          </w:p>
        </w:tc>
      </w:tr>
      <w:tr w:rsidR="008A7A7A" w:rsidRPr="006D5DDA" w14:paraId="731BBBFC" w14:textId="77777777" w:rsidTr="47C3BDB9">
        <w:tc>
          <w:tcPr>
            <w:tcW w:w="2115" w:type="dxa"/>
          </w:tcPr>
          <w:p w14:paraId="359D856E" w14:textId="77777777" w:rsidR="008A7A7A" w:rsidRPr="008A7A7A" w:rsidRDefault="47C3BDB9" w:rsidP="47C3BDB9">
            <w:pPr>
              <w:rPr>
                <w:sz w:val="18"/>
                <w:szCs w:val="18"/>
                <w:lang w:val="sr-Latn-ME"/>
              </w:rPr>
            </w:pPr>
            <w:r w:rsidRPr="47C3BDB9">
              <w:rPr>
                <w:sz w:val="18"/>
                <w:szCs w:val="18"/>
                <w:lang w:val="sr-Latn-ME"/>
              </w:rPr>
              <w:lastRenderedPageBreak/>
              <w:t>[PA7]-3.3</w:t>
            </w:r>
          </w:p>
        </w:tc>
        <w:tc>
          <w:tcPr>
            <w:tcW w:w="2445" w:type="dxa"/>
          </w:tcPr>
          <w:p w14:paraId="7714950A" w14:textId="77777777" w:rsidR="008A7A7A" w:rsidRPr="008A7A7A" w:rsidRDefault="47C3BDB9" w:rsidP="47C3BDB9">
            <w:pPr>
              <w:rPr>
                <w:sz w:val="18"/>
                <w:szCs w:val="18"/>
                <w:lang w:val="sr-Latn-ME"/>
              </w:rPr>
            </w:pPr>
            <w:r w:rsidRPr="47C3BDB9">
              <w:rPr>
                <w:sz w:val="18"/>
                <w:szCs w:val="18"/>
                <w:lang w:val="sr-Latn-ME"/>
              </w:rPr>
              <w:t>Nedovoljno uređen i konkurentan sistem zarada javne uprave</w:t>
            </w:r>
          </w:p>
        </w:tc>
        <w:tc>
          <w:tcPr>
            <w:tcW w:w="4502" w:type="dxa"/>
          </w:tcPr>
          <w:p w14:paraId="6BA6A52E" w14:textId="77777777" w:rsidR="008A7A7A" w:rsidRPr="008A7A7A" w:rsidRDefault="47C3BDB9" w:rsidP="47C3BDB9">
            <w:pPr>
              <w:rPr>
                <w:sz w:val="18"/>
                <w:szCs w:val="18"/>
                <w:lang w:val="sr-Latn-ME"/>
              </w:rPr>
            </w:pPr>
            <w:r w:rsidRPr="47C3BDB9">
              <w:rPr>
                <w:sz w:val="18"/>
                <w:szCs w:val="18"/>
                <w:lang w:val="sr-Latn-ME"/>
              </w:rPr>
              <w:t>SIGMA navodi da interna i eksterna pravičnost zarada nije obezbijeđena i da službenici iskazuju visoko nezadovoljstvo politikom zarada, dok PAR SG traži izradu evidence-based mape puta za modernizaciju sistema zarada u državnoj upravi. Izvor: SIGMA Public administration in Montenegro 2024; Operativni zaključci PAR SG 2025.</w:t>
            </w:r>
          </w:p>
        </w:tc>
      </w:tr>
      <w:tr w:rsidR="008A7A7A" w:rsidRPr="006D5DDA" w14:paraId="6B8EBD28" w14:textId="77777777" w:rsidTr="47C3BDB9">
        <w:tc>
          <w:tcPr>
            <w:tcW w:w="2115" w:type="dxa"/>
          </w:tcPr>
          <w:p w14:paraId="0A07B081" w14:textId="77777777" w:rsidR="008A7A7A" w:rsidRPr="008A7A7A" w:rsidRDefault="47C3BDB9" w:rsidP="47C3BDB9">
            <w:pPr>
              <w:rPr>
                <w:sz w:val="18"/>
                <w:szCs w:val="18"/>
                <w:lang w:val="sr-Latn-ME"/>
              </w:rPr>
            </w:pPr>
            <w:r w:rsidRPr="47C3BDB9">
              <w:rPr>
                <w:sz w:val="18"/>
                <w:szCs w:val="18"/>
                <w:lang w:val="sr-Latn-ME"/>
              </w:rPr>
              <w:t>[PA7]-4.1</w:t>
            </w:r>
          </w:p>
        </w:tc>
        <w:tc>
          <w:tcPr>
            <w:tcW w:w="2445" w:type="dxa"/>
          </w:tcPr>
          <w:p w14:paraId="640B0560" w14:textId="77777777" w:rsidR="008A7A7A" w:rsidRPr="008A7A7A" w:rsidRDefault="47C3BDB9" w:rsidP="47C3BDB9">
            <w:pPr>
              <w:rPr>
                <w:sz w:val="18"/>
                <w:szCs w:val="18"/>
                <w:lang w:val="sr-Latn-ME"/>
              </w:rPr>
            </w:pPr>
            <w:r w:rsidRPr="47C3BDB9">
              <w:rPr>
                <w:sz w:val="18"/>
                <w:szCs w:val="18"/>
                <w:lang w:val="sr-Latn-ME"/>
              </w:rPr>
              <w:t>Slaba upravljačka odgovornost i fokus na formalnu usklađenost umjesto rezultata</w:t>
            </w:r>
          </w:p>
        </w:tc>
        <w:tc>
          <w:tcPr>
            <w:tcW w:w="4502" w:type="dxa"/>
          </w:tcPr>
          <w:p w14:paraId="15DA1CC7" w14:textId="77777777" w:rsidR="008A7A7A" w:rsidRPr="008A7A7A" w:rsidRDefault="47C3BDB9" w:rsidP="47C3BDB9">
            <w:pPr>
              <w:rPr>
                <w:sz w:val="18"/>
                <w:szCs w:val="18"/>
                <w:lang w:val="sr-Latn-ME"/>
              </w:rPr>
            </w:pPr>
            <w:r w:rsidRPr="47C3BDB9">
              <w:rPr>
                <w:sz w:val="18"/>
                <w:szCs w:val="18"/>
                <w:lang w:val="sr-Latn-ME"/>
              </w:rPr>
              <w:t>SIGMA naglašava da upravljanje u javnoj upravi i dalje nije dovoljno fokusirano na rezultate, već dominantno na formalnu usklađenost. Više institucija nema jasnu odgovornost prema resornim ministarstvima, što slabi sposobnost vođenja politika i kontrole učinka. Izvor: SIGMA Public administration in Montenegro 2024.</w:t>
            </w:r>
          </w:p>
        </w:tc>
      </w:tr>
      <w:tr w:rsidR="008A7A7A" w:rsidRPr="006D5DDA" w14:paraId="38866766" w14:textId="77777777" w:rsidTr="47C3BDB9">
        <w:tc>
          <w:tcPr>
            <w:tcW w:w="2115" w:type="dxa"/>
          </w:tcPr>
          <w:p w14:paraId="5DFB9094" w14:textId="77777777" w:rsidR="008A7A7A" w:rsidRPr="008A7A7A" w:rsidRDefault="47C3BDB9" w:rsidP="47C3BDB9">
            <w:pPr>
              <w:rPr>
                <w:sz w:val="18"/>
                <w:szCs w:val="18"/>
                <w:lang w:val="sr-Latn-ME"/>
              </w:rPr>
            </w:pPr>
            <w:r w:rsidRPr="47C3BDB9">
              <w:rPr>
                <w:sz w:val="18"/>
                <w:szCs w:val="18"/>
                <w:lang w:val="sr-Latn-ME"/>
              </w:rPr>
              <w:t>[PA7]-4.2</w:t>
            </w:r>
          </w:p>
        </w:tc>
        <w:tc>
          <w:tcPr>
            <w:tcW w:w="2445" w:type="dxa"/>
          </w:tcPr>
          <w:p w14:paraId="16E67115" w14:textId="77777777" w:rsidR="008A7A7A" w:rsidRPr="008A7A7A" w:rsidRDefault="47C3BDB9" w:rsidP="47C3BDB9">
            <w:pPr>
              <w:rPr>
                <w:sz w:val="18"/>
                <w:szCs w:val="18"/>
                <w:lang w:val="sr-Latn-ME"/>
              </w:rPr>
            </w:pPr>
            <w:r w:rsidRPr="47C3BDB9">
              <w:rPr>
                <w:sz w:val="18"/>
                <w:szCs w:val="18"/>
                <w:lang w:val="sr-Latn-ME"/>
              </w:rPr>
              <w:t>Neefikasna transparentnost i opterećen sistem slobodnog pristupa informacijama</w:t>
            </w:r>
          </w:p>
        </w:tc>
        <w:tc>
          <w:tcPr>
            <w:tcW w:w="4502" w:type="dxa"/>
          </w:tcPr>
          <w:p w14:paraId="218CFB03" w14:textId="77777777" w:rsidR="008A7A7A" w:rsidRPr="008A7A7A" w:rsidRDefault="47C3BDB9" w:rsidP="47C3BDB9">
            <w:pPr>
              <w:rPr>
                <w:sz w:val="18"/>
                <w:szCs w:val="18"/>
                <w:lang w:val="sr-Latn-ME"/>
              </w:rPr>
            </w:pPr>
            <w:r w:rsidRPr="47C3BDB9">
              <w:rPr>
                <w:sz w:val="18"/>
                <w:szCs w:val="18"/>
                <w:lang w:val="sr-Latn-ME"/>
              </w:rPr>
              <w:t>SIGMA ukazuje da zloupotrebe prava na pristup informacijama remete žalbeni sistem i da su zaostaci pred Upravnim sudom naglo porasli, uz prosječno čekanje gotovo četiri godine na prvostepenu odluku. Zato su i EK i PAR SG naglasili potrebu usvajanja novog ZoSPI i jačanja kapaciteta nadležnih institucija. Izvor: SIGMA Montenegro 2024; Izvještaj EK 2025; Operativni zaključci PAR SG 2025.</w:t>
            </w:r>
          </w:p>
        </w:tc>
      </w:tr>
      <w:tr w:rsidR="008A7A7A" w:rsidRPr="006D5DDA" w14:paraId="0E95BAE7" w14:textId="77777777" w:rsidTr="47C3BDB9">
        <w:tc>
          <w:tcPr>
            <w:tcW w:w="2115" w:type="dxa"/>
          </w:tcPr>
          <w:p w14:paraId="17398E92" w14:textId="77777777" w:rsidR="008A7A7A" w:rsidRPr="008A7A7A" w:rsidRDefault="47C3BDB9" w:rsidP="47C3BDB9">
            <w:pPr>
              <w:rPr>
                <w:sz w:val="18"/>
                <w:szCs w:val="18"/>
                <w:lang w:val="sr-Latn-ME"/>
              </w:rPr>
            </w:pPr>
            <w:r w:rsidRPr="47C3BDB9">
              <w:rPr>
                <w:sz w:val="18"/>
                <w:szCs w:val="18"/>
                <w:lang w:val="sr-Latn-ME"/>
              </w:rPr>
              <w:t>[PA7]-4.3</w:t>
            </w:r>
          </w:p>
        </w:tc>
        <w:tc>
          <w:tcPr>
            <w:tcW w:w="2445" w:type="dxa"/>
          </w:tcPr>
          <w:p w14:paraId="161F3AB4" w14:textId="77777777" w:rsidR="008A7A7A" w:rsidRPr="008A7A7A" w:rsidRDefault="47C3BDB9" w:rsidP="47C3BDB9">
            <w:pPr>
              <w:rPr>
                <w:sz w:val="18"/>
                <w:szCs w:val="18"/>
                <w:lang w:val="sr-Latn-ME"/>
              </w:rPr>
            </w:pPr>
            <w:r w:rsidRPr="47C3BDB9">
              <w:rPr>
                <w:sz w:val="18"/>
                <w:szCs w:val="18"/>
                <w:lang w:val="sr-Latn-ME"/>
              </w:rPr>
              <w:t>Nedovoljna implementacija preporuka nadzornih institucija</w:t>
            </w:r>
          </w:p>
        </w:tc>
        <w:tc>
          <w:tcPr>
            <w:tcW w:w="4502" w:type="dxa"/>
          </w:tcPr>
          <w:p w14:paraId="471BBFB1" w14:textId="77777777" w:rsidR="008A7A7A" w:rsidRPr="008A7A7A" w:rsidRDefault="47C3BDB9" w:rsidP="47C3BDB9">
            <w:pPr>
              <w:rPr>
                <w:sz w:val="18"/>
                <w:szCs w:val="18"/>
                <w:lang w:val="sr-Latn-ME"/>
              </w:rPr>
            </w:pPr>
            <w:r w:rsidRPr="47C3BDB9">
              <w:rPr>
                <w:sz w:val="18"/>
                <w:szCs w:val="18"/>
                <w:lang w:val="sr-Latn-ME"/>
              </w:rPr>
              <w:t>SIGMA eksplicitno navodi relativno nizak nivo sprovođenja preporuka nadzornih institucija i nedovoljnu podršku Parlamenta Ombudsmanu i DRI, što slabi sistem odgovornosti, korektivnog djelovanja i učenja iz nadzora i revizije. Izvor: SIGMA Public administration in Montenegro 2024.</w:t>
            </w:r>
          </w:p>
        </w:tc>
      </w:tr>
      <w:tr w:rsidR="008A7A7A" w:rsidRPr="006D5DDA" w14:paraId="477F9080" w14:textId="77777777" w:rsidTr="47C3BDB9">
        <w:tc>
          <w:tcPr>
            <w:tcW w:w="2115" w:type="dxa"/>
          </w:tcPr>
          <w:p w14:paraId="212FDBFA" w14:textId="77777777" w:rsidR="008A7A7A" w:rsidRPr="008A7A7A" w:rsidRDefault="47C3BDB9" w:rsidP="47C3BDB9">
            <w:pPr>
              <w:rPr>
                <w:sz w:val="18"/>
                <w:szCs w:val="18"/>
                <w:lang w:val="sr-Latn-ME"/>
              </w:rPr>
            </w:pPr>
            <w:r w:rsidRPr="47C3BDB9">
              <w:rPr>
                <w:sz w:val="18"/>
                <w:szCs w:val="18"/>
                <w:lang w:val="sr-Latn-ME"/>
              </w:rPr>
              <w:t>[PA7]-5.1</w:t>
            </w:r>
          </w:p>
        </w:tc>
        <w:tc>
          <w:tcPr>
            <w:tcW w:w="2445" w:type="dxa"/>
          </w:tcPr>
          <w:p w14:paraId="4416D82B" w14:textId="77777777" w:rsidR="008A7A7A" w:rsidRPr="008A7A7A" w:rsidRDefault="47C3BDB9" w:rsidP="47C3BDB9">
            <w:pPr>
              <w:rPr>
                <w:sz w:val="18"/>
                <w:szCs w:val="18"/>
                <w:lang w:val="sr-Latn-ME"/>
              </w:rPr>
            </w:pPr>
            <w:r w:rsidRPr="47C3BDB9">
              <w:rPr>
                <w:sz w:val="18"/>
                <w:szCs w:val="18"/>
                <w:lang w:val="sr-Latn-ME"/>
              </w:rPr>
              <w:t>Nizak kvalitet i korisnička orijentacija javnih usluga</w:t>
            </w:r>
          </w:p>
        </w:tc>
        <w:tc>
          <w:tcPr>
            <w:tcW w:w="4502" w:type="dxa"/>
          </w:tcPr>
          <w:p w14:paraId="3B6FB500" w14:textId="77777777" w:rsidR="008A7A7A" w:rsidRPr="008A7A7A" w:rsidRDefault="47C3BDB9" w:rsidP="47C3BDB9">
            <w:pPr>
              <w:rPr>
                <w:sz w:val="18"/>
                <w:szCs w:val="18"/>
                <w:lang w:val="sr-Latn-ME"/>
              </w:rPr>
            </w:pPr>
            <w:r w:rsidRPr="47C3BDB9">
              <w:rPr>
                <w:sz w:val="18"/>
                <w:szCs w:val="18"/>
                <w:lang w:val="sr-Latn-ME"/>
              </w:rPr>
              <w:t>SIGMA zaključuje da se ukupni kvalitet pružanja javnih usluga nije poboljšao, da su građani i privreda ispod regionalnog prosjeka po zadovoljstvu, te da ostaju problemi ograničenog digitalnog pristupa, slabog korišćenja povratnih informacija korisnika i birokratske prirode usluga. Izvor: SIGMA Public administration in Montenegro 2024.</w:t>
            </w:r>
          </w:p>
        </w:tc>
      </w:tr>
      <w:tr w:rsidR="008A7A7A" w:rsidRPr="006D5DDA" w14:paraId="327A2074" w14:textId="77777777" w:rsidTr="47C3BDB9">
        <w:tc>
          <w:tcPr>
            <w:tcW w:w="2115" w:type="dxa"/>
          </w:tcPr>
          <w:p w14:paraId="03D74DA1" w14:textId="77777777" w:rsidR="008A7A7A" w:rsidRPr="008A7A7A" w:rsidRDefault="47C3BDB9" w:rsidP="47C3BDB9">
            <w:pPr>
              <w:rPr>
                <w:sz w:val="18"/>
                <w:szCs w:val="18"/>
                <w:lang w:val="sr-Latn-ME"/>
              </w:rPr>
            </w:pPr>
            <w:r w:rsidRPr="47C3BDB9">
              <w:rPr>
                <w:sz w:val="18"/>
                <w:szCs w:val="18"/>
                <w:lang w:val="sr-Latn-ME"/>
              </w:rPr>
              <w:t>[PA7]-5.2</w:t>
            </w:r>
          </w:p>
        </w:tc>
        <w:tc>
          <w:tcPr>
            <w:tcW w:w="2445" w:type="dxa"/>
          </w:tcPr>
          <w:p w14:paraId="75C9C5C5" w14:textId="77777777" w:rsidR="008A7A7A" w:rsidRPr="008A7A7A" w:rsidRDefault="47C3BDB9" w:rsidP="47C3BDB9">
            <w:pPr>
              <w:rPr>
                <w:sz w:val="18"/>
                <w:szCs w:val="18"/>
                <w:lang w:val="sr-Latn-ME"/>
              </w:rPr>
            </w:pPr>
            <w:r w:rsidRPr="47C3BDB9">
              <w:rPr>
                <w:sz w:val="18"/>
                <w:szCs w:val="18"/>
                <w:lang w:val="sr-Latn-ME"/>
              </w:rPr>
              <w:t>Zaostajanje u digitalizaciji i interoperabilnosti uprave</w:t>
            </w:r>
          </w:p>
        </w:tc>
        <w:tc>
          <w:tcPr>
            <w:tcW w:w="4502" w:type="dxa"/>
          </w:tcPr>
          <w:p w14:paraId="58B4FDD1" w14:textId="77777777" w:rsidR="008A7A7A" w:rsidRPr="008A7A7A" w:rsidRDefault="47C3BDB9" w:rsidP="47C3BDB9">
            <w:pPr>
              <w:rPr>
                <w:sz w:val="18"/>
                <w:szCs w:val="18"/>
                <w:lang w:val="sr-Latn-ME"/>
              </w:rPr>
            </w:pPr>
            <w:r w:rsidRPr="47C3BDB9">
              <w:rPr>
                <w:sz w:val="18"/>
                <w:szCs w:val="18"/>
                <w:lang w:val="sr-Latn-ME"/>
              </w:rPr>
              <w:t>Indikator 22.1 “Digital government readiness and maturity” za Crnu Goru iznosi svega 24/100, dok SIGMA ističe da su ključni izazovi objedinjavanje e-usluga na jednom portalu i jačanje interoperabilnosti između institucija. Izvor: SIGMA Public administration in Montenegro 2024.</w:t>
            </w:r>
          </w:p>
        </w:tc>
      </w:tr>
      <w:tr w:rsidR="008A7A7A" w:rsidRPr="006D5DDA" w14:paraId="58DD5C47" w14:textId="77777777" w:rsidTr="47C3BDB9">
        <w:tc>
          <w:tcPr>
            <w:tcW w:w="2115" w:type="dxa"/>
          </w:tcPr>
          <w:p w14:paraId="123BE0B4" w14:textId="77777777" w:rsidR="008A7A7A" w:rsidRPr="008A7A7A" w:rsidRDefault="47C3BDB9" w:rsidP="47C3BDB9">
            <w:pPr>
              <w:rPr>
                <w:sz w:val="18"/>
                <w:szCs w:val="18"/>
                <w:lang w:val="sr-Latn-ME"/>
              </w:rPr>
            </w:pPr>
            <w:r w:rsidRPr="47C3BDB9">
              <w:rPr>
                <w:sz w:val="18"/>
                <w:szCs w:val="18"/>
                <w:lang w:val="sr-Latn-ME"/>
              </w:rPr>
              <w:t>[PA7]-5.3</w:t>
            </w:r>
          </w:p>
        </w:tc>
        <w:tc>
          <w:tcPr>
            <w:tcW w:w="2445" w:type="dxa"/>
          </w:tcPr>
          <w:p w14:paraId="1E2815B6" w14:textId="77777777" w:rsidR="008A7A7A" w:rsidRPr="008A7A7A" w:rsidRDefault="47C3BDB9" w:rsidP="47C3BDB9">
            <w:pPr>
              <w:rPr>
                <w:sz w:val="18"/>
                <w:szCs w:val="18"/>
                <w:lang w:val="sr-Latn-ME"/>
              </w:rPr>
            </w:pPr>
            <w:r w:rsidRPr="47C3BDB9">
              <w:rPr>
                <w:sz w:val="18"/>
                <w:szCs w:val="18"/>
                <w:lang w:val="sr-Latn-ME"/>
              </w:rPr>
              <w:t>Nedovoljna pristupačnost usluga različitim grupama korisnika</w:t>
            </w:r>
          </w:p>
        </w:tc>
        <w:tc>
          <w:tcPr>
            <w:tcW w:w="4502" w:type="dxa"/>
          </w:tcPr>
          <w:p w14:paraId="02D5A310" w14:textId="77777777" w:rsidR="008A7A7A" w:rsidRPr="008A7A7A" w:rsidRDefault="47C3BDB9" w:rsidP="47C3BDB9">
            <w:pPr>
              <w:rPr>
                <w:sz w:val="18"/>
                <w:szCs w:val="18"/>
                <w:lang w:val="sr-Latn-ME"/>
              </w:rPr>
            </w:pPr>
            <w:r w:rsidRPr="47C3BDB9">
              <w:rPr>
                <w:sz w:val="18"/>
                <w:szCs w:val="18"/>
                <w:lang w:val="sr-Latn-ME"/>
              </w:rPr>
              <w:t>Regionalni SIGMA pregled navodi da je zadovoljstvo dostupnošću fizičkih usluga u Crnoj Gori među najnižima u regionu, a da ne postoji centralni mehanizam za praćenje pristupačnosti usluga za ranjive grupe. Time se ograničava inkluzivnost i jednak pristup javnim uslugama. Izvor: SIGMA Public administration in the Western Balkans 2024.</w:t>
            </w:r>
          </w:p>
        </w:tc>
      </w:tr>
      <w:tr w:rsidR="008A7A7A" w:rsidRPr="006D5DDA" w14:paraId="39883896" w14:textId="77777777" w:rsidTr="47C3BDB9">
        <w:tc>
          <w:tcPr>
            <w:tcW w:w="2115" w:type="dxa"/>
          </w:tcPr>
          <w:p w14:paraId="3F29E3DD" w14:textId="77777777" w:rsidR="008A7A7A" w:rsidRPr="008A7A7A" w:rsidRDefault="47C3BDB9" w:rsidP="47C3BDB9">
            <w:pPr>
              <w:rPr>
                <w:sz w:val="18"/>
                <w:szCs w:val="18"/>
                <w:lang w:val="sr-Latn-ME"/>
              </w:rPr>
            </w:pPr>
            <w:r w:rsidRPr="47C3BDB9">
              <w:rPr>
                <w:sz w:val="18"/>
                <w:szCs w:val="18"/>
                <w:lang w:val="sr-Latn-ME"/>
              </w:rPr>
              <w:t>[PA7]-6.1</w:t>
            </w:r>
          </w:p>
        </w:tc>
        <w:tc>
          <w:tcPr>
            <w:tcW w:w="2445" w:type="dxa"/>
          </w:tcPr>
          <w:p w14:paraId="45177E7C" w14:textId="77777777" w:rsidR="008A7A7A" w:rsidRPr="008A7A7A" w:rsidRDefault="47C3BDB9" w:rsidP="47C3BDB9">
            <w:pPr>
              <w:rPr>
                <w:sz w:val="18"/>
                <w:szCs w:val="18"/>
                <w:lang w:val="sr-Latn-ME"/>
              </w:rPr>
            </w:pPr>
            <w:r w:rsidRPr="47C3BDB9">
              <w:rPr>
                <w:sz w:val="18"/>
                <w:szCs w:val="18"/>
                <w:lang w:val="sr-Latn-ME"/>
              </w:rPr>
              <w:t>Ograničeni administrativni kapaciteti sistema zvanične statistike</w:t>
            </w:r>
          </w:p>
        </w:tc>
        <w:tc>
          <w:tcPr>
            <w:tcW w:w="4502" w:type="dxa"/>
          </w:tcPr>
          <w:p w14:paraId="315C35C9" w14:textId="77777777" w:rsidR="008A7A7A" w:rsidRPr="008A7A7A" w:rsidRDefault="47C3BDB9" w:rsidP="47C3BDB9">
            <w:pPr>
              <w:rPr>
                <w:sz w:val="18"/>
                <w:szCs w:val="18"/>
                <w:lang w:val="sr-Latn-ME"/>
              </w:rPr>
            </w:pPr>
            <w:r w:rsidRPr="47C3BDB9">
              <w:rPr>
                <w:sz w:val="18"/>
                <w:szCs w:val="18"/>
                <w:lang w:val="sr-Latn-ME"/>
              </w:rPr>
              <w:t>Program zvanične statistike na više mjesta kao očekivani problem navodi “nedovoljno razvijene administrativne izvore podataka i ograničene administrativne kapacitete”, uključujući i domene nacionalnih računa i statistike državnih finansija, što utiče na pravovremenost i kvalitet statističkih proizvoda. Izvor: Program zvanične statistike 2024–2028.</w:t>
            </w:r>
          </w:p>
        </w:tc>
      </w:tr>
      <w:tr w:rsidR="008A7A7A" w:rsidRPr="006D5DDA" w14:paraId="40A4C209" w14:textId="77777777" w:rsidTr="47C3BDB9">
        <w:tc>
          <w:tcPr>
            <w:tcW w:w="2115" w:type="dxa"/>
          </w:tcPr>
          <w:p w14:paraId="39EFA0CB" w14:textId="77777777" w:rsidR="008A7A7A" w:rsidRPr="008A7A7A" w:rsidRDefault="47C3BDB9" w:rsidP="47C3BDB9">
            <w:pPr>
              <w:rPr>
                <w:sz w:val="18"/>
                <w:szCs w:val="18"/>
                <w:lang w:val="sr-Latn-ME"/>
              </w:rPr>
            </w:pPr>
            <w:r w:rsidRPr="47C3BDB9">
              <w:rPr>
                <w:sz w:val="18"/>
                <w:szCs w:val="18"/>
                <w:lang w:val="sr-Latn-ME"/>
              </w:rPr>
              <w:t>[PA7]-6.2</w:t>
            </w:r>
          </w:p>
        </w:tc>
        <w:tc>
          <w:tcPr>
            <w:tcW w:w="2445" w:type="dxa"/>
          </w:tcPr>
          <w:p w14:paraId="38F85E78" w14:textId="77777777" w:rsidR="008A7A7A" w:rsidRPr="008A7A7A" w:rsidRDefault="47C3BDB9" w:rsidP="47C3BDB9">
            <w:pPr>
              <w:rPr>
                <w:sz w:val="18"/>
                <w:szCs w:val="18"/>
                <w:lang w:val="sr-Latn-ME"/>
              </w:rPr>
            </w:pPr>
            <w:r w:rsidRPr="47C3BDB9">
              <w:rPr>
                <w:sz w:val="18"/>
                <w:szCs w:val="18"/>
                <w:lang w:val="sr-Latn-ME"/>
              </w:rPr>
              <w:t>Nedovoljna razvijenost administrativnih izvora za statistiku</w:t>
            </w:r>
          </w:p>
        </w:tc>
        <w:tc>
          <w:tcPr>
            <w:tcW w:w="4502" w:type="dxa"/>
          </w:tcPr>
          <w:p w14:paraId="2B4CE974" w14:textId="77777777" w:rsidR="008A7A7A" w:rsidRPr="008A7A7A" w:rsidRDefault="47C3BDB9" w:rsidP="47C3BDB9">
            <w:pPr>
              <w:rPr>
                <w:sz w:val="18"/>
                <w:szCs w:val="18"/>
                <w:lang w:val="sr-Latn-ME"/>
              </w:rPr>
            </w:pPr>
            <w:r w:rsidRPr="47C3BDB9">
              <w:rPr>
                <w:sz w:val="18"/>
                <w:szCs w:val="18"/>
                <w:lang w:val="sr-Latn-ME"/>
              </w:rPr>
              <w:t>Program zvanične statistike konstatuje da je za više statističkih oblasti stepen usaglašenosti sa međunarodnim standardima samo djelimičan, upravo zbog nedovoljno razvijenih administrativnih izvora i ograničenih kapaciteta institucija koje dostavljaju podatke. Izvor: Program zvanične statistike 2024–2028.</w:t>
            </w:r>
          </w:p>
        </w:tc>
      </w:tr>
      <w:tr w:rsidR="008A7A7A" w:rsidRPr="006D5DDA" w14:paraId="30D98539" w14:textId="77777777" w:rsidTr="47C3BDB9">
        <w:tc>
          <w:tcPr>
            <w:tcW w:w="2115" w:type="dxa"/>
          </w:tcPr>
          <w:p w14:paraId="0BB4A445" w14:textId="77777777" w:rsidR="008A7A7A" w:rsidRPr="008A7A7A" w:rsidRDefault="47C3BDB9" w:rsidP="47C3BDB9">
            <w:pPr>
              <w:rPr>
                <w:sz w:val="18"/>
                <w:szCs w:val="18"/>
                <w:lang w:val="sr-Latn-ME"/>
              </w:rPr>
            </w:pPr>
            <w:r w:rsidRPr="47C3BDB9">
              <w:rPr>
                <w:sz w:val="18"/>
                <w:szCs w:val="18"/>
                <w:lang w:val="sr-Latn-ME"/>
              </w:rPr>
              <w:t>[PA7]-6.3</w:t>
            </w:r>
          </w:p>
        </w:tc>
        <w:tc>
          <w:tcPr>
            <w:tcW w:w="2445" w:type="dxa"/>
          </w:tcPr>
          <w:p w14:paraId="2C0EAC1B" w14:textId="77777777" w:rsidR="008A7A7A" w:rsidRPr="008A7A7A" w:rsidRDefault="47C3BDB9" w:rsidP="47C3BDB9">
            <w:pPr>
              <w:rPr>
                <w:sz w:val="18"/>
                <w:szCs w:val="18"/>
                <w:lang w:val="sr-Latn-ME"/>
              </w:rPr>
            </w:pPr>
            <w:r w:rsidRPr="47C3BDB9">
              <w:rPr>
                <w:sz w:val="18"/>
                <w:szCs w:val="18"/>
                <w:lang w:val="sr-Latn-ME"/>
              </w:rPr>
              <w:t xml:space="preserve">Potreba za modernizacijom IT infrastrukture i </w:t>
            </w:r>
            <w:r w:rsidRPr="47C3BDB9">
              <w:rPr>
                <w:sz w:val="18"/>
                <w:szCs w:val="18"/>
                <w:lang w:val="sr-Latn-ME"/>
              </w:rPr>
              <w:lastRenderedPageBreak/>
              <w:t>diseminacije statističkih podataka</w:t>
            </w:r>
          </w:p>
        </w:tc>
        <w:tc>
          <w:tcPr>
            <w:tcW w:w="4502" w:type="dxa"/>
          </w:tcPr>
          <w:p w14:paraId="49ED54C2" w14:textId="77777777" w:rsidR="008A7A7A" w:rsidRPr="008A7A7A" w:rsidRDefault="47C3BDB9" w:rsidP="47C3BDB9">
            <w:pPr>
              <w:rPr>
                <w:sz w:val="18"/>
                <w:szCs w:val="18"/>
                <w:lang w:val="sr-Latn-ME"/>
              </w:rPr>
            </w:pPr>
            <w:r w:rsidRPr="47C3BDB9">
              <w:rPr>
                <w:sz w:val="18"/>
                <w:szCs w:val="18"/>
                <w:lang w:val="sr-Latn-ME"/>
              </w:rPr>
              <w:lastRenderedPageBreak/>
              <w:t xml:space="preserve">Program zvanične statistike predviđa digitalnu transformaciju statistike kroz savremene baze </w:t>
            </w:r>
            <w:r w:rsidRPr="47C3BDB9">
              <w:rPr>
                <w:sz w:val="18"/>
                <w:szCs w:val="18"/>
                <w:lang w:val="sr-Latn-ME"/>
              </w:rPr>
              <w:lastRenderedPageBreak/>
              <w:t>podataka, nove metode prikupljanja podataka, automatizaciju korišćenjem administrativnih izvora i novi web sajt MONSTAT-a, što pokazuje da postojeći IT i diseminacioni kapaciteti nijesu dovoljni za potrebe savremene statistike. Izvor: Program zvanične statistike 2024–2028.</w:t>
            </w:r>
          </w:p>
        </w:tc>
      </w:tr>
      <w:tr w:rsidR="008A7A7A" w:rsidRPr="006D5DDA" w14:paraId="01F44FC8" w14:textId="77777777" w:rsidTr="47C3BDB9">
        <w:tc>
          <w:tcPr>
            <w:tcW w:w="2115" w:type="dxa"/>
          </w:tcPr>
          <w:p w14:paraId="23D8A105" w14:textId="77777777" w:rsidR="008A7A7A" w:rsidRPr="008A7A7A" w:rsidRDefault="47C3BDB9" w:rsidP="47C3BDB9">
            <w:pPr>
              <w:rPr>
                <w:sz w:val="18"/>
                <w:szCs w:val="18"/>
                <w:lang w:val="sr-Latn-ME"/>
              </w:rPr>
            </w:pPr>
            <w:r w:rsidRPr="47C3BDB9">
              <w:rPr>
                <w:sz w:val="18"/>
                <w:szCs w:val="18"/>
                <w:lang w:val="sr-Latn-ME"/>
              </w:rPr>
              <w:lastRenderedPageBreak/>
              <w:t>[PA7]-7.1</w:t>
            </w:r>
          </w:p>
        </w:tc>
        <w:tc>
          <w:tcPr>
            <w:tcW w:w="2445" w:type="dxa"/>
          </w:tcPr>
          <w:p w14:paraId="48A5F0F7" w14:textId="77777777" w:rsidR="008A7A7A" w:rsidRPr="008A7A7A" w:rsidRDefault="47C3BDB9" w:rsidP="47C3BDB9">
            <w:pPr>
              <w:rPr>
                <w:sz w:val="18"/>
                <w:szCs w:val="18"/>
                <w:lang w:val="sr-Latn-ME"/>
              </w:rPr>
            </w:pPr>
            <w:r w:rsidRPr="47C3BDB9">
              <w:rPr>
                <w:sz w:val="18"/>
                <w:szCs w:val="18"/>
                <w:lang w:val="sr-Latn-ME"/>
              </w:rPr>
              <w:t>Nedovoljno kredibilan srednjoročni budžetski okvir</w:t>
            </w:r>
          </w:p>
        </w:tc>
        <w:tc>
          <w:tcPr>
            <w:tcW w:w="4502" w:type="dxa"/>
          </w:tcPr>
          <w:p w14:paraId="211A1DC2" w14:textId="77777777" w:rsidR="008A7A7A" w:rsidRPr="008A7A7A" w:rsidRDefault="47C3BDB9" w:rsidP="47C3BDB9">
            <w:pPr>
              <w:rPr>
                <w:sz w:val="18"/>
                <w:szCs w:val="18"/>
                <w:lang w:val="sr-Latn-ME"/>
              </w:rPr>
            </w:pPr>
            <w:r w:rsidRPr="47C3BDB9">
              <w:rPr>
                <w:sz w:val="18"/>
                <w:szCs w:val="18"/>
                <w:lang w:val="sr-Latn-ME"/>
              </w:rPr>
              <w:t>SIGMA navodi da srednjoročni budžetski okvir još ne usmjerava godišnji budžet u praksi, dok Fiskalni savjet, iako predviđen zakonskim okvirom, još nije bio uspostavljen u trenutku procjene. EK je to posebno istakla kao prioritet za naredni period. Izvor: SIGMA Public administration in Montenegro 2024; Izvještaj EK 2025.</w:t>
            </w:r>
          </w:p>
        </w:tc>
      </w:tr>
      <w:tr w:rsidR="008A7A7A" w:rsidRPr="006D5DDA" w14:paraId="0968A943" w14:textId="77777777" w:rsidTr="47C3BDB9">
        <w:tc>
          <w:tcPr>
            <w:tcW w:w="2115" w:type="dxa"/>
          </w:tcPr>
          <w:p w14:paraId="14A556E5" w14:textId="77777777" w:rsidR="008A7A7A" w:rsidRPr="008A7A7A" w:rsidRDefault="47C3BDB9" w:rsidP="47C3BDB9">
            <w:pPr>
              <w:rPr>
                <w:sz w:val="18"/>
                <w:szCs w:val="18"/>
                <w:lang w:val="sr-Latn-ME"/>
              </w:rPr>
            </w:pPr>
            <w:r w:rsidRPr="47C3BDB9">
              <w:rPr>
                <w:sz w:val="18"/>
                <w:szCs w:val="18"/>
                <w:lang w:val="sr-Latn-ME"/>
              </w:rPr>
              <w:t>[PA7]-7.2</w:t>
            </w:r>
          </w:p>
        </w:tc>
        <w:tc>
          <w:tcPr>
            <w:tcW w:w="2445" w:type="dxa"/>
          </w:tcPr>
          <w:p w14:paraId="26033B41" w14:textId="77777777" w:rsidR="008A7A7A" w:rsidRPr="008A7A7A" w:rsidRDefault="47C3BDB9" w:rsidP="47C3BDB9">
            <w:pPr>
              <w:rPr>
                <w:sz w:val="18"/>
                <w:szCs w:val="18"/>
                <w:lang w:val="sr-Latn-ME"/>
              </w:rPr>
            </w:pPr>
            <w:r w:rsidRPr="47C3BDB9">
              <w:rPr>
                <w:sz w:val="18"/>
                <w:szCs w:val="18"/>
                <w:lang w:val="sr-Latn-ME"/>
              </w:rPr>
              <w:t>Slabosti u praktičnoj primjeni interne kontrole i interne revizije</w:t>
            </w:r>
          </w:p>
        </w:tc>
        <w:tc>
          <w:tcPr>
            <w:tcW w:w="4502" w:type="dxa"/>
          </w:tcPr>
          <w:p w14:paraId="6504EF99" w14:textId="77777777" w:rsidR="008A7A7A" w:rsidRPr="008A7A7A" w:rsidRDefault="47C3BDB9" w:rsidP="47C3BDB9">
            <w:pPr>
              <w:rPr>
                <w:sz w:val="18"/>
                <w:szCs w:val="18"/>
                <w:lang w:val="sr-Latn-ME"/>
              </w:rPr>
            </w:pPr>
            <w:r w:rsidRPr="47C3BDB9">
              <w:rPr>
                <w:sz w:val="18"/>
                <w:szCs w:val="18"/>
                <w:lang w:val="sr-Latn-ME"/>
              </w:rPr>
              <w:t>SIGMA ocjenjuje da je operativni okvir za internu kontrolu uglavnom adekvatan, ali da je funkcionisanje sistema u praksi i dalje slabo, posebno u dijelu upravljanja rizicima, institucionalne odgovornosti, nepravilnosti i prevara, kao i niske implementacije preporuka interne revizije. Izvor: SIGMA Public administration in Montenegro 2024.</w:t>
            </w:r>
          </w:p>
        </w:tc>
      </w:tr>
      <w:tr w:rsidR="008A7A7A" w:rsidRPr="006D5DDA" w14:paraId="28C267EF" w14:textId="77777777" w:rsidTr="47C3BDB9">
        <w:tc>
          <w:tcPr>
            <w:tcW w:w="2115" w:type="dxa"/>
          </w:tcPr>
          <w:p w14:paraId="0F32194E" w14:textId="77777777" w:rsidR="008A7A7A" w:rsidRPr="008A7A7A" w:rsidRDefault="47C3BDB9" w:rsidP="47C3BDB9">
            <w:pPr>
              <w:rPr>
                <w:sz w:val="18"/>
                <w:szCs w:val="18"/>
                <w:lang w:val="sr-Latn-ME"/>
              </w:rPr>
            </w:pPr>
            <w:r w:rsidRPr="47C3BDB9">
              <w:rPr>
                <w:sz w:val="18"/>
                <w:szCs w:val="18"/>
                <w:lang w:val="sr-Latn-ME"/>
              </w:rPr>
              <w:t>[PA7]-7.3</w:t>
            </w:r>
          </w:p>
        </w:tc>
        <w:tc>
          <w:tcPr>
            <w:tcW w:w="2445" w:type="dxa"/>
          </w:tcPr>
          <w:p w14:paraId="10016E06" w14:textId="77777777" w:rsidR="008A7A7A" w:rsidRPr="008A7A7A" w:rsidRDefault="47C3BDB9" w:rsidP="47C3BDB9">
            <w:pPr>
              <w:rPr>
                <w:sz w:val="18"/>
                <w:szCs w:val="18"/>
                <w:lang w:val="sr-Latn-ME"/>
              </w:rPr>
            </w:pPr>
            <w:r w:rsidRPr="47C3BDB9">
              <w:rPr>
                <w:sz w:val="18"/>
                <w:szCs w:val="18"/>
                <w:lang w:val="sr-Latn-ME"/>
              </w:rPr>
              <w:t>Fiskalni i funkcionalni izazovi na lokalnom nivou</w:t>
            </w:r>
          </w:p>
        </w:tc>
        <w:tc>
          <w:tcPr>
            <w:tcW w:w="4502" w:type="dxa"/>
          </w:tcPr>
          <w:p w14:paraId="21E6A7DC" w14:textId="77777777" w:rsidR="008A7A7A" w:rsidRPr="008A7A7A" w:rsidRDefault="47C3BDB9" w:rsidP="47C3BDB9">
            <w:pPr>
              <w:rPr>
                <w:sz w:val="18"/>
                <w:szCs w:val="18"/>
                <w:lang w:val="sr-Latn-ME"/>
              </w:rPr>
            </w:pPr>
            <w:r w:rsidRPr="47C3BDB9">
              <w:rPr>
                <w:sz w:val="18"/>
                <w:szCs w:val="18"/>
                <w:lang w:val="sr-Latn-ME"/>
              </w:rPr>
              <w:t>SIGMA navodi da nadležnosti opština nijesu u potpunosti pokrivene prihodima, da je sistem izravnanja neefikasan, a nejednakosti među opštinama visoke. Uz slabu naplatu prihoda i nedovoljnu finansijsku disciplinu, to doprinosi zaduženosti i ograničenom kvalitetu lokalnih usluga. Izvor: SIGMA Public administration in Montenegro 2024.</w:t>
            </w:r>
          </w:p>
        </w:tc>
      </w:tr>
    </w:tbl>
    <w:p w14:paraId="1EB1F69E" w14:textId="77777777" w:rsidR="008A7A7A" w:rsidRPr="00F579F5" w:rsidRDefault="008A7A7A" w:rsidP="00F579F5">
      <w:pPr>
        <w:rPr>
          <w:lang w:val="sr-Latn-ME"/>
        </w:rPr>
      </w:pPr>
    </w:p>
    <w:p w14:paraId="3C6BDC4D" w14:textId="7D35A087" w:rsidR="009A09C1" w:rsidRPr="00511E2B" w:rsidRDefault="009A09C1" w:rsidP="00511E2B">
      <w:pPr>
        <w:rPr>
          <w:lang w:val="sr-Latn-ME"/>
        </w:rPr>
      </w:pPr>
      <w:r w:rsidRPr="009A09C1">
        <w:rPr>
          <w:b/>
          <w:lang w:val="sr-Latn-ME"/>
        </w:rPr>
        <w:t>Lista referenci</w:t>
      </w:r>
    </w:p>
    <w:p w14:paraId="6A304DC8" w14:textId="46397542" w:rsidR="009A09C1" w:rsidRPr="009A09C1" w:rsidRDefault="47C3BDB9" w:rsidP="47C3BDB9">
      <w:pPr>
        <w:pStyle w:val="Odlomakpopisa"/>
        <w:numPr>
          <w:ilvl w:val="0"/>
          <w:numId w:val="1"/>
        </w:numPr>
        <w:rPr>
          <w:sz w:val="20"/>
          <w:szCs w:val="20"/>
          <w:lang w:val="sr-Latn-ME"/>
        </w:rPr>
      </w:pPr>
      <w:r w:rsidRPr="47C3BDB9">
        <w:rPr>
          <w:sz w:val="20"/>
          <w:szCs w:val="20"/>
          <w:lang w:val="sr-Latn-ME"/>
        </w:rPr>
        <w:t>European Commission. Better Regulation Guidelines. Brussels, 2021.</w:t>
      </w:r>
    </w:p>
    <w:p w14:paraId="5622F94F" w14:textId="25544B55" w:rsidR="009A09C1" w:rsidRPr="009A09C1" w:rsidRDefault="47C3BDB9" w:rsidP="47C3BDB9">
      <w:pPr>
        <w:pStyle w:val="Odlomakpopisa"/>
        <w:numPr>
          <w:ilvl w:val="0"/>
          <w:numId w:val="1"/>
        </w:numPr>
        <w:rPr>
          <w:sz w:val="20"/>
          <w:szCs w:val="20"/>
          <w:lang w:val="sr-Latn-ME"/>
        </w:rPr>
      </w:pPr>
      <w:r w:rsidRPr="47C3BDB9">
        <w:rPr>
          <w:sz w:val="20"/>
          <w:szCs w:val="20"/>
          <w:lang w:val="sr-Latn-ME"/>
        </w:rPr>
        <w:t>European Commission. Better Regulation Toolbox. Brussels, 2025.</w:t>
      </w:r>
    </w:p>
    <w:p w14:paraId="16C32EE8" w14:textId="2DDAB400" w:rsidR="009A09C1" w:rsidRPr="009A09C1" w:rsidRDefault="47C3BDB9" w:rsidP="47C3BDB9">
      <w:pPr>
        <w:pStyle w:val="Odlomakpopisa"/>
        <w:numPr>
          <w:ilvl w:val="0"/>
          <w:numId w:val="1"/>
        </w:numPr>
        <w:rPr>
          <w:sz w:val="20"/>
          <w:szCs w:val="20"/>
          <w:lang w:val="sr-Latn-ME"/>
        </w:rPr>
      </w:pPr>
      <w:r w:rsidRPr="47C3BDB9">
        <w:rPr>
          <w:sz w:val="20"/>
          <w:szCs w:val="20"/>
          <w:lang w:val="sr-Latn-ME"/>
        </w:rPr>
        <w:t>European Commission. Growth Plan for the Western Balkans / Reform and Growth Facility for the Western Balkans – official materials. Brussels, 2024.</w:t>
      </w:r>
    </w:p>
    <w:p w14:paraId="2751B912" w14:textId="1AF10F8C" w:rsidR="009A09C1" w:rsidRPr="009A09C1" w:rsidRDefault="47C3BDB9" w:rsidP="47C3BDB9">
      <w:pPr>
        <w:pStyle w:val="Odlomakpopisa"/>
        <w:numPr>
          <w:ilvl w:val="0"/>
          <w:numId w:val="1"/>
        </w:numPr>
        <w:rPr>
          <w:sz w:val="20"/>
          <w:szCs w:val="20"/>
          <w:lang w:val="sr-Latn-ME"/>
        </w:rPr>
      </w:pPr>
      <w:r w:rsidRPr="47C3BDB9">
        <w:rPr>
          <w:sz w:val="20"/>
          <w:szCs w:val="20"/>
          <w:lang w:val="sr-Latn-ME"/>
        </w:rPr>
        <w:t>European Commission. Montenegro Report 2025. Brussels, 2025.</w:t>
      </w:r>
    </w:p>
    <w:p w14:paraId="762F471C" w14:textId="4F0FB2F3" w:rsidR="009A09C1" w:rsidRPr="009A09C1" w:rsidRDefault="47C3BDB9" w:rsidP="47C3BDB9">
      <w:pPr>
        <w:pStyle w:val="Odlomakpopisa"/>
        <w:numPr>
          <w:ilvl w:val="0"/>
          <w:numId w:val="1"/>
        </w:numPr>
        <w:rPr>
          <w:sz w:val="20"/>
          <w:szCs w:val="20"/>
          <w:lang w:val="sr-Latn-ME"/>
        </w:rPr>
      </w:pPr>
      <w:r w:rsidRPr="47C3BDB9">
        <w:rPr>
          <w:sz w:val="20"/>
          <w:szCs w:val="20"/>
          <w:lang w:val="sr-Latn-ME"/>
        </w:rPr>
        <w:t>European Commission / OLAF. Materials on Anti-Fraud Coordination Services (AFCOS). Brussels.</w:t>
      </w:r>
    </w:p>
    <w:p w14:paraId="0EC804F2" w14:textId="77777777" w:rsidR="009A09C1" w:rsidRPr="009A09C1" w:rsidRDefault="47C3BDB9" w:rsidP="47C3BDB9">
      <w:pPr>
        <w:pStyle w:val="Odlomakpopisa"/>
        <w:numPr>
          <w:ilvl w:val="0"/>
          <w:numId w:val="1"/>
        </w:numPr>
        <w:rPr>
          <w:sz w:val="20"/>
          <w:szCs w:val="20"/>
          <w:lang w:val="sr-Latn-ME"/>
        </w:rPr>
      </w:pPr>
      <w:r w:rsidRPr="47C3BDB9">
        <w:rPr>
          <w:sz w:val="20"/>
          <w:szCs w:val="20"/>
          <w:lang w:val="sr-Latn-ME"/>
        </w:rPr>
        <w:t>European Parliament and Council of the European Union. Decision (EU) 2022/2481 of 14 December 2022 establishing the Digital Decade Policy Programme 2030. Official Journal of the European Union, 2022.</w:t>
      </w:r>
    </w:p>
    <w:p w14:paraId="0143D2F5" w14:textId="2850EAE5" w:rsidR="009A09C1" w:rsidRPr="009A09C1" w:rsidRDefault="47C3BDB9" w:rsidP="47C3BDB9">
      <w:pPr>
        <w:pStyle w:val="Odlomakpopisa"/>
        <w:numPr>
          <w:ilvl w:val="0"/>
          <w:numId w:val="1"/>
        </w:numPr>
        <w:rPr>
          <w:sz w:val="20"/>
          <w:szCs w:val="20"/>
          <w:lang w:val="sr-Latn-ME"/>
        </w:rPr>
      </w:pPr>
      <w:r w:rsidRPr="47C3BDB9">
        <w:rPr>
          <w:sz w:val="20"/>
          <w:szCs w:val="20"/>
          <w:lang w:val="sr-Latn-ME"/>
        </w:rPr>
        <w:t>European Parliament and Council of the European Union. Regulation (EC) No 223/2009 on European statistics. Official Journal of the European Union, 2009.</w:t>
      </w:r>
    </w:p>
    <w:p w14:paraId="122C836E" w14:textId="43502C22" w:rsidR="009A09C1" w:rsidRPr="009A09C1" w:rsidRDefault="47C3BDB9" w:rsidP="47C3BDB9">
      <w:pPr>
        <w:pStyle w:val="Odlomakpopisa"/>
        <w:numPr>
          <w:ilvl w:val="0"/>
          <w:numId w:val="1"/>
        </w:numPr>
        <w:rPr>
          <w:sz w:val="20"/>
          <w:szCs w:val="20"/>
          <w:lang w:val="sr-Latn-ME"/>
        </w:rPr>
      </w:pPr>
      <w:r w:rsidRPr="47C3BDB9">
        <w:rPr>
          <w:sz w:val="20"/>
          <w:szCs w:val="20"/>
          <w:lang w:val="sr-Latn-ME"/>
        </w:rPr>
        <w:t>European Parliament and Council of the European Union. Regulation (EU) No 910/2014 on electronic identification and trust services for electronic transactions in the internal market (eIDAS), consolidated version in force.</w:t>
      </w:r>
    </w:p>
    <w:p w14:paraId="2A8A9F35" w14:textId="75B9DF21" w:rsidR="009A09C1" w:rsidRPr="009A09C1" w:rsidRDefault="47C3BDB9" w:rsidP="47C3BDB9">
      <w:pPr>
        <w:pStyle w:val="Odlomakpopisa"/>
        <w:numPr>
          <w:ilvl w:val="0"/>
          <w:numId w:val="1"/>
        </w:numPr>
        <w:rPr>
          <w:sz w:val="20"/>
          <w:szCs w:val="20"/>
          <w:lang w:val="sr-Latn-ME"/>
        </w:rPr>
      </w:pPr>
      <w:r w:rsidRPr="47C3BDB9">
        <w:rPr>
          <w:sz w:val="20"/>
          <w:szCs w:val="20"/>
          <w:lang w:val="sr-Latn-ME"/>
        </w:rPr>
        <w:t>European Parliament and Council of the European Union. Regulation (EU) 2024/903 laying down measures for a high level of public sector interoperability across the Union (Interoperable Europe Act). Official Journal of the European Union, 2024.</w:t>
      </w:r>
    </w:p>
    <w:p w14:paraId="64A6FB29" w14:textId="76B1D977" w:rsidR="009A09C1" w:rsidRPr="009A09C1" w:rsidRDefault="47C3BDB9" w:rsidP="47C3BDB9">
      <w:pPr>
        <w:pStyle w:val="Odlomakpopisa"/>
        <w:numPr>
          <w:ilvl w:val="0"/>
          <w:numId w:val="1"/>
        </w:numPr>
        <w:rPr>
          <w:sz w:val="20"/>
          <w:szCs w:val="20"/>
          <w:lang w:val="sr-Latn-ME"/>
        </w:rPr>
      </w:pPr>
      <w:r w:rsidRPr="47C3BDB9">
        <w:rPr>
          <w:sz w:val="20"/>
          <w:szCs w:val="20"/>
          <w:lang w:val="sr-Latn-ME"/>
        </w:rPr>
        <w:t>European Parliament and Council of the European Union. Regulation (EU) 2024/1263 on the effective coordination of economic policies and on multilateral budgetary surveillance. Official Journal of the European Union, 2024.</w:t>
      </w:r>
    </w:p>
    <w:p w14:paraId="5777E818" w14:textId="1FF09A67" w:rsidR="009A09C1" w:rsidRPr="009A09C1" w:rsidRDefault="47C3BDB9" w:rsidP="47C3BDB9">
      <w:pPr>
        <w:pStyle w:val="Odlomakpopisa"/>
        <w:numPr>
          <w:ilvl w:val="0"/>
          <w:numId w:val="1"/>
        </w:numPr>
        <w:rPr>
          <w:sz w:val="20"/>
          <w:szCs w:val="20"/>
          <w:lang w:val="sr-Latn-ME"/>
        </w:rPr>
      </w:pPr>
      <w:r w:rsidRPr="47C3BDB9">
        <w:rPr>
          <w:sz w:val="20"/>
          <w:szCs w:val="20"/>
          <w:lang w:val="sr-Latn-ME"/>
        </w:rPr>
        <w:t>European Parliament and Council of the European Union. Regulation (EU) 2024/1449 establishing the Reform and Growth Facility for the Western Balkans. Official Journal of the European Union, 2024.</w:t>
      </w:r>
    </w:p>
    <w:p w14:paraId="301DE776" w14:textId="01C48BA5" w:rsidR="009A09C1" w:rsidRPr="009A09C1" w:rsidRDefault="47C3BDB9" w:rsidP="47C3BDB9">
      <w:pPr>
        <w:pStyle w:val="Odlomakpopisa"/>
        <w:numPr>
          <w:ilvl w:val="0"/>
          <w:numId w:val="1"/>
        </w:numPr>
        <w:rPr>
          <w:sz w:val="20"/>
          <w:szCs w:val="20"/>
          <w:lang w:val="sr-Latn-ME"/>
        </w:rPr>
      </w:pPr>
      <w:r w:rsidRPr="47C3BDB9">
        <w:rPr>
          <w:sz w:val="20"/>
          <w:szCs w:val="20"/>
          <w:lang w:val="sr-Latn-ME"/>
        </w:rPr>
        <w:lastRenderedPageBreak/>
        <w:t>Eurostat / European Commission. Materials on enlargement policy and statistical cooperation. Luxembourg/Brussels.</w:t>
      </w:r>
    </w:p>
    <w:p w14:paraId="3146BA7F" w14:textId="6C2DDF9A" w:rsidR="009A09C1" w:rsidRPr="009A09C1" w:rsidRDefault="47C3BDB9" w:rsidP="47C3BDB9">
      <w:pPr>
        <w:pStyle w:val="Odlomakpopisa"/>
        <w:numPr>
          <w:ilvl w:val="0"/>
          <w:numId w:val="1"/>
        </w:numPr>
        <w:rPr>
          <w:sz w:val="20"/>
          <w:szCs w:val="20"/>
          <w:lang w:val="sr-Latn-ME"/>
        </w:rPr>
      </w:pPr>
      <w:r w:rsidRPr="47C3BDB9">
        <w:rPr>
          <w:sz w:val="20"/>
          <w:szCs w:val="20"/>
          <w:lang w:val="sr-Latn-ME"/>
        </w:rPr>
        <w:t>Eurostat / European Statistical System Committee. European Statistics Code of Practice: Revised edition 2017. Luxembourg, 2018.</w:t>
      </w:r>
    </w:p>
    <w:p w14:paraId="0FA82291" w14:textId="77777777" w:rsidR="009A09C1" w:rsidRPr="009A09C1" w:rsidRDefault="47C3BDB9" w:rsidP="47C3BDB9">
      <w:pPr>
        <w:pStyle w:val="Odlomakpopisa"/>
        <w:numPr>
          <w:ilvl w:val="0"/>
          <w:numId w:val="1"/>
        </w:numPr>
        <w:rPr>
          <w:sz w:val="20"/>
          <w:szCs w:val="20"/>
          <w:lang w:val="sr-Latn-ME"/>
        </w:rPr>
      </w:pPr>
      <w:r w:rsidRPr="47C3BDB9">
        <w:rPr>
          <w:sz w:val="20"/>
          <w:szCs w:val="20"/>
          <w:lang w:val="sr-Latn-ME"/>
        </w:rPr>
        <w:t>Ministarstvo finansija Crne Gore. Program reforme upravljanja javnim finansijama 2022–2026 (ažuriran 2025). Podgorica, 2025.</w:t>
      </w:r>
    </w:p>
    <w:p w14:paraId="60132EA9" w14:textId="77777777" w:rsidR="009A09C1" w:rsidRPr="009A09C1" w:rsidRDefault="47C3BDB9" w:rsidP="47C3BDB9">
      <w:pPr>
        <w:pStyle w:val="Odlomakpopisa"/>
        <w:numPr>
          <w:ilvl w:val="0"/>
          <w:numId w:val="1"/>
        </w:numPr>
        <w:rPr>
          <w:sz w:val="20"/>
          <w:szCs w:val="20"/>
          <w:lang w:val="sr-Latn-ME"/>
        </w:rPr>
      </w:pPr>
      <w:r w:rsidRPr="47C3BDB9">
        <w:rPr>
          <w:sz w:val="20"/>
          <w:szCs w:val="20"/>
          <w:lang w:val="sr-Latn-ME"/>
        </w:rPr>
        <w:t>Ministarstvo javne uprave Crne Gore. Informacija i kratak pregled o aktivnostima koje se sprovode u procesu reforme javne uprave. Podgorica, 2025.</w:t>
      </w:r>
    </w:p>
    <w:p w14:paraId="5AF200C1" w14:textId="77777777" w:rsidR="009A09C1" w:rsidRPr="009A09C1" w:rsidRDefault="009A09C1" w:rsidP="47C3BDB9">
      <w:pPr>
        <w:rPr>
          <w:sz w:val="20"/>
          <w:szCs w:val="20"/>
          <w:lang w:val="sr-Latn-ME"/>
        </w:rPr>
      </w:pPr>
    </w:p>
    <w:p w14:paraId="1113D384" w14:textId="77777777" w:rsidR="009A09C1" w:rsidRPr="009A09C1" w:rsidRDefault="47C3BDB9" w:rsidP="47C3BDB9">
      <w:pPr>
        <w:pStyle w:val="Odlomakpopisa"/>
        <w:numPr>
          <w:ilvl w:val="0"/>
          <w:numId w:val="1"/>
        </w:numPr>
        <w:rPr>
          <w:sz w:val="20"/>
          <w:szCs w:val="20"/>
          <w:lang w:val="sr-Latn-ME"/>
        </w:rPr>
      </w:pPr>
      <w:r w:rsidRPr="47C3BDB9">
        <w:rPr>
          <w:sz w:val="20"/>
          <w:szCs w:val="20"/>
          <w:lang w:val="sr-Latn-ME"/>
        </w:rPr>
        <w:t>Ministarstvo javne uprave Crne Gore. Izvještaj o sprovođenju Akcionog plana 2025–2026 Strategije reforme javne uprave 2022–2026 za 2025. godinu. Podgorica, 2026.</w:t>
      </w:r>
    </w:p>
    <w:p w14:paraId="4E565CB0" w14:textId="77777777" w:rsidR="009A09C1" w:rsidRPr="009A09C1" w:rsidRDefault="47C3BDB9" w:rsidP="47C3BDB9">
      <w:pPr>
        <w:pStyle w:val="Odlomakpopisa"/>
        <w:numPr>
          <w:ilvl w:val="0"/>
          <w:numId w:val="1"/>
        </w:numPr>
        <w:rPr>
          <w:sz w:val="20"/>
          <w:szCs w:val="20"/>
          <w:lang w:val="sr-Latn-ME"/>
        </w:rPr>
      </w:pPr>
      <w:r w:rsidRPr="47C3BDB9">
        <w:rPr>
          <w:sz w:val="20"/>
          <w:szCs w:val="20"/>
          <w:lang w:val="sr-Latn-ME"/>
        </w:rPr>
        <w:t>MONSTAT – Uprava za statistiku Crne Gore. Program zvanične statistike 2024–2028. Podgorica, 2023.</w:t>
      </w:r>
    </w:p>
    <w:p w14:paraId="7ABAF980" w14:textId="3477518F" w:rsidR="009A09C1" w:rsidRPr="009A09C1" w:rsidRDefault="47C3BDB9" w:rsidP="47C3BDB9">
      <w:pPr>
        <w:pStyle w:val="Odlomakpopisa"/>
        <w:numPr>
          <w:ilvl w:val="0"/>
          <w:numId w:val="1"/>
        </w:numPr>
        <w:rPr>
          <w:sz w:val="20"/>
          <w:szCs w:val="20"/>
          <w:lang w:val="sr-Latn-ME"/>
        </w:rPr>
      </w:pPr>
      <w:r w:rsidRPr="47C3BDB9">
        <w:rPr>
          <w:sz w:val="20"/>
          <w:szCs w:val="20"/>
          <w:lang w:val="sr-Latn-ME"/>
        </w:rPr>
        <w:t>NALAS – Network of Associations of Local Authorities of South-East Europe. Institutional materials. Skopje.</w:t>
      </w:r>
    </w:p>
    <w:p w14:paraId="69326EDD" w14:textId="6080AB02" w:rsidR="009A09C1" w:rsidRPr="009A09C1" w:rsidRDefault="47C3BDB9" w:rsidP="47C3BDB9">
      <w:pPr>
        <w:pStyle w:val="Odlomakpopisa"/>
        <w:numPr>
          <w:ilvl w:val="0"/>
          <w:numId w:val="1"/>
        </w:numPr>
        <w:rPr>
          <w:sz w:val="20"/>
          <w:szCs w:val="20"/>
          <w:lang w:val="sr-Latn-ME"/>
        </w:rPr>
      </w:pPr>
      <w:r w:rsidRPr="47C3BDB9">
        <w:rPr>
          <w:sz w:val="20"/>
          <w:szCs w:val="20"/>
          <w:lang w:val="sr-Latn-ME"/>
        </w:rPr>
        <w:t>OECD/SIGMA. Assessment Methodology of the Principles of Public Administration. Paris, 2024.</w:t>
      </w:r>
    </w:p>
    <w:p w14:paraId="36FAE9EA" w14:textId="432D5BEF" w:rsidR="009A09C1" w:rsidRPr="009A09C1" w:rsidRDefault="47C3BDB9" w:rsidP="47C3BDB9">
      <w:pPr>
        <w:pStyle w:val="Odlomakpopisa"/>
        <w:numPr>
          <w:ilvl w:val="0"/>
          <w:numId w:val="1"/>
        </w:numPr>
        <w:rPr>
          <w:sz w:val="20"/>
          <w:szCs w:val="20"/>
          <w:lang w:val="sr-Latn-ME"/>
        </w:rPr>
      </w:pPr>
      <w:r w:rsidRPr="47C3BDB9">
        <w:rPr>
          <w:sz w:val="20"/>
          <w:szCs w:val="20"/>
          <w:lang w:val="sr-Latn-ME"/>
        </w:rPr>
        <w:t>OECD/SIGMA. Implementation and Challenges of Multi-Level Governance in the Western Balkans. Paris, 2025.</w:t>
      </w:r>
    </w:p>
    <w:p w14:paraId="561E231C" w14:textId="3E2CA6B5" w:rsidR="009A09C1" w:rsidRPr="009A09C1" w:rsidRDefault="47C3BDB9" w:rsidP="47C3BDB9">
      <w:pPr>
        <w:pStyle w:val="Odlomakpopisa"/>
        <w:numPr>
          <w:ilvl w:val="0"/>
          <w:numId w:val="1"/>
        </w:numPr>
        <w:rPr>
          <w:sz w:val="20"/>
          <w:szCs w:val="20"/>
          <w:lang w:val="sr-Latn-ME"/>
        </w:rPr>
      </w:pPr>
      <w:r w:rsidRPr="47C3BDB9">
        <w:rPr>
          <w:sz w:val="20"/>
          <w:szCs w:val="20"/>
          <w:lang w:val="sr-Latn-ME"/>
        </w:rPr>
        <w:t>OECD/SIGMA. Overview of Public Procurement Systems in the Western Balkans. Paris, 2025.</w:t>
      </w:r>
    </w:p>
    <w:p w14:paraId="74028AB0" w14:textId="52044126" w:rsidR="009A09C1" w:rsidRPr="009A09C1" w:rsidRDefault="47C3BDB9" w:rsidP="47C3BDB9">
      <w:pPr>
        <w:pStyle w:val="Odlomakpopisa"/>
        <w:numPr>
          <w:ilvl w:val="0"/>
          <w:numId w:val="1"/>
        </w:numPr>
        <w:rPr>
          <w:sz w:val="20"/>
          <w:szCs w:val="20"/>
          <w:lang w:val="sr-Latn-ME"/>
        </w:rPr>
      </w:pPr>
      <w:r w:rsidRPr="47C3BDB9">
        <w:rPr>
          <w:sz w:val="20"/>
          <w:szCs w:val="20"/>
          <w:lang w:val="sr-Latn-ME"/>
        </w:rPr>
        <w:t>OECD/SIGMA. Public Administration in Montenegro 2024. Paris, 2025.</w:t>
      </w:r>
    </w:p>
    <w:p w14:paraId="3B66BD80" w14:textId="08442F04" w:rsidR="009A09C1" w:rsidRPr="009A09C1" w:rsidRDefault="47C3BDB9" w:rsidP="47C3BDB9">
      <w:pPr>
        <w:pStyle w:val="Odlomakpopisa"/>
        <w:numPr>
          <w:ilvl w:val="0"/>
          <w:numId w:val="1"/>
        </w:numPr>
        <w:rPr>
          <w:sz w:val="20"/>
          <w:szCs w:val="20"/>
          <w:lang w:val="sr-Latn-ME"/>
        </w:rPr>
      </w:pPr>
      <w:r w:rsidRPr="47C3BDB9">
        <w:rPr>
          <w:sz w:val="20"/>
          <w:szCs w:val="20"/>
          <w:lang w:val="sr-Latn-ME"/>
        </w:rPr>
        <w:t>OECD/SIGMA. Public Administration in the Western Balkans 2024: Regional Overview of Assessments against the Principles of Public Administration. Paris, 2025.</w:t>
      </w:r>
    </w:p>
    <w:p w14:paraId="35629C53" w14:textId="3ACC689F" w:rsidR="009A09C1" w:rsidRPr="009A09C1" w:rsidRDefault="47C3BDB9" w:rsidP="47C3BDB9">
      <w:pPr>
        <w:pStyle w:val="Odlomakpopisa"/>
        <w:numPr>
          <w:ilvl w:val="0"/>
          <w:numId w:val="1"/>
        </w:numPr>
        <w:rPr>
          <w:sz w:val="20"/>
          <w:szCs w:val="20"/>
          <w:lang w:val="sr-Latn-ME"/>
        </w:rPr>
      </w:pPr>
      <w:r w:rsidRPr="47C3BDB9">
        <w:rPr>
          <w:sz w:val="20"/>
          <w:szCs w:val="20"/>
          <w:lang w:val="sr-Latn-ME"/>
        </w:rPr>
        <w:t>OECD/SIGMA. The Principles of Public Administration. Paris, 2023.</w:t>
      </w:r>
    </w:p>
    <w:p w14:paraId="4DBFFABE" w14:textId="4BE4BC56" w:rsidR="009A09C1" w:rsidRPr="009A09C1" w:rsidRDefault="47C3BDB9" w:rsidP="47C3BDB9">
      <w:pPr>
        <w:pStyle w:val="Odlomakpopisa"/>
        <w:numPr>
          <w:ilvl w:val="0"/>
          <w:numId w:val="1"/>
        </w:numPr>
        <w:rPr>
          <w:sz w:val="20"/>
          <w:szCs w:val="20"/>
          <w:lang w:val="sr-Latn-ME"/>
        </w:rPr>
      </w:pPr>
      <w:r w:rsidRPr="47C3BDB9">
        <w:rPr>
          <w:sz w:val="20"/>
          <w:szCs w:val="20"/>
          <w:lang w:val="sr-Latn-ME"/>
        </w:rPr>
        <w:t>Regional Cooperation Council. Common Regional Market for the Western Balkans – institutional materials. Sarajevo.</w:t>
      </w:r>
    </w:p>
    <w:p w14:paraId="673FD440" w14:textId="211A1B11" w:rsidR="009A09C1" w:rsidRPr="009A09C1" w:rsidRDefault="47C3BDB9" w:rsidP="47C3BDB9">
      <w:pPr>
        <w:pStyle w:val="Odlomakpopisa"/>
        <w:numPr>
          <w:ilvl w:val="0"/>
          <w:numId w:val="1"/>
        </w:numPr>
        <w:rPr>
          <w:sz w:val="20"/>
          <w:szCs w:val="20"/>
          <w:lang w:val="sr-Latn-ME"/>
        </w:rPr>
      </w:pPr>
      <w:r w:rsidRPr="47C3BDB9">
        <w:rPr>
          <w:sz w:val="20"/>
          <w:szCs w:val="20"/>
          <w:lang w:val="sr-Latn-ME"/>
        </w:rPr>
        <w:t>Regional Cooperation Council. Common Regional Market Action Plan 2025–2028. Sarajevo, 2024.</w:t>
      </w:r>
    </w:p>
    <w:p w14:paraId="26A1225F" w14:textId="02EF5EBA" w:rsidR="009A09C1" w:rsidRPr="009A09C1" w:rsidRDefault="47C3BDB9" w:rsidP="47C3BDB9">
      <w:pPr>
        <w:pStyle w:val="Odlomakpopisa"/>
        <w:numPr>
          <w:ilvl w:val="0"/>
          <w:numId w:val="1"/>
        </w:numPr>
        <w:rPr>
          <w:sz w:val="20"/>
          <w:szCs w:val="20"/>
          <w:lang w:val="sr-Latn-ME"/>
        </w:rPr>
      </w:pPr>
      <w:r w:rsidRPr="47C3BDB9">
        <w:rPr>
          <w:sz w:val="20"/>
          <w:szCs w:val="20"/>
          <w:lang w:val="sr-Latn-ME"/>
        </w:rPr>
        <w:t>Regional School of Public Administration (ReSPA). Institutional materials. Danilovgrad.</w:t>
      </w:r>
    </w:p>
    <w:p w14:paraId="015B4A3A" w14:textId="3411AF02" w:rsidR="009A09C1" w:rsidRPr="009A09C1" w:rsidRDefault="47C3BDB9" w:rsidP="47C3BDB9">
      <w:pPr>
        <w:pStyle w:val="Odlomakpopisa"/>
        <w:numPr>
          <w:ilvl w:val="0"/>
          <w:numId w:val="1"/>
        </w:numPr>
        <w:rPr>
          <w:sz w:val="20"/>
          <w:szCs w:val="20"/>
          <w:lang w:val="sr-Latn-ME"/>
        </w:rPr>
      </w:pPr>
      <w:r w:rsidRPr="47C3BDB9">
        <w:rPr>
          <w:sz w:val="20"/>
          <w:szCs w:val="20"/>
          <w:lang w:val="sr-Latn-ME"/>
        </w:rPr>
        <w:t>Vlada Crne Gore / Ministarstvo evropskih poslova. Program pristupanja Crne Gore Evropskoj uniji 2026–2027. Podgorica, 2026.</w:t>
      </w:r>
    </w:p>
    <w:p w14:paraId="4C9AE8AF" w14:textId="2573A45D" w:rsidR="009A09C1" w:rsidRPr="009A09C1" w:rsidRDefault="47C3BDB9" w:rsidP="47C3BDB9">
      <w:pPr>
        <w:pStyle w:val="Odlomakpopisa"/>
        <w:numPr>
          <w:ilvl w:val="0"/>
          <w:numId w:val="1"/>
        </w:numPr>
        <w:rPr>
          <w:sz w:val="20"/>
          <w:szCs w:val="20"/>
          <w:lang w:val="sr-Latn-ME"/>
        </w:rPr>
      </w:pPr>
      <w:r w:rsidRPr="47C3BDB9">
        <w:rPr>
          <w:sz w:val="20"/>
          <w:szCs w:val="20"/>
          <w:lang w:val="sr-Latn-ME"/>
        </w:rPr>
        <w:t>Vlada Crne Gore / Ministarstvo evropskih poslova. Reformska agenda Crne Gore 2024–2027. Podgorica, 2024.</w:t>
      </w:r>
    </w:p>
    <w:p w14:paraId="19894239" w14:textId="77777777" w:rsidR="009A09C1" w:rsidRPr="009A09C1" w:rsidRDefault="47C3BDB9" w:rsidP="47C3BDB9">
      <w:pPr>
        <w:pStyle w:val="Odlomakpopisa"/>
        <w:numPr>
          <w:ilvl w:val="0"/>
          <w:numId w:val="1"/>
        </w:numPr>
        <w:rPr>
          <w:sz w:val="20"/>
          <w:szCs w:val="20"/>
          <w:lang w:val="sr-Latn-ME"/>
        </w:rPr>
      </w:pPr>
      <w:r w:rsidRPr="47C3BDB9">
        <w:rPr>
          <w:sz w:val="20"/>
          <w:szCs w:val="20"/>
          <w:lang w:val="sr-Latn-ME"/>
        </w:rPr>
        <w:t>Vlada Crne Gore / Ministarstvo finansija. Program ekonomskih reformi Crne Gore 2026–2028. Podgorica, 2025.</w:t>
      </w:r>
    </w:p>
    <w:p w14:paraId="17FE2A7A" w14:textId="77777777" w:rsidR="009A09C1" w:rsidRPr="009A09C1" w:rsidRDefault="47C3BDB9" w:rsidP="47C3BDB9">
      <w:pPr>
        <w:pStyle w:val="Odlomakpopisa"/>
        <w:numPr>
          <w:ilvl w:val="0"/>
          <w:numId w:val="1"/>
        </w:numPr>
        <w:rPr>
          <w:sz w:val="20"/>
          <w:szCs w:val="20"/>
          <w:lang w:val="sr-Latn-ME"/>
        </w:rPr>
      </w:pPr>
      <w:r w:rsidRPr="47C3BDB9">
        <w:rPr>
          <w:sz w:val="20"/>
          <w:szCs w:val="20"/>
          <w:lang w:val="sr-Latn-ME"/>
        </w:rPr>
        <w:t>Vlada Crne Gore. Strategija reforme javne uprave u Crnoj Gori 2022–2026. Podgorica, 2022.</w:t>
      </w:r>
    </w:p>
    <w:p w14:paraId="7F40E716" w14:textId="630C5112" w:rsidR="009A09C1" w:rsidRPr="009A09C1" w:rsidRDefault="47C3BDB9" w:rsidP="47C3BDB9">
      <w:pPr>
        <w:pStyle w:val="Odlomakpopisa"/>
        <w:numPr>
          <w:ilvl w:val="0"/>
          <w:numId w:val="1"/>
        </w:numPr>
        <w:rPr>
          <w:sz w:val="20"/>
          <w:szCs w:val="20"/>
          <w:lang w:val="sr-Latn-ME"/>
        </w:rPr>
      </w:pPr>
      <w:r w:rsidRPr="47C3BDB9">
        <w:rPr>
          <w:sz w:val="20"/>
          <w:szCs w:val="20"/>
          <w:lang w:val="sr-Latn-ME"/>
        </w:rPr>
        <w:t>Western Balkans Investment Framework (WBIF). Institutional materials. Brussels.</w:t>
      </w:r>
    </w:p>
    <w:p w14:paraId="5D91381F" w14:textId="77EE2C1A" w:rsidR="00BC26B6" w:rsidRPr="00F579F5" w:rsidRDefault="47C3BDB9" w:rsidP="47C3BDB9">
      <w:pPr>
        <w:pStyle w:val="Odlomakpopisa"/>
        <w:numPr>
          <w:ilvl w:val="0"/>
          <w:numId w:val="1"/>
        </w:numPr>
        <w:rPr>
          <w:sz w:val="20"/>
          <w:szCs w:val="20"/>
          <w:lang w:val="sr-Latn-ME"/>
        </w:rPr>
      </w:pPr>
      <w:r w:rsidRPr="47C3BDB9">
        <w:rPr>
          <w:sz w:val="20"/>
          <w:szCs w:val="20"/>
          <w:lang w:val="sr-Latn-ME"/>
        </w:rPr>
        <w:t>European Union – Montenegro, Special Group on Public Administration Reform. Operational Conclusions of the 13th PAR Special Group Meeting. Podgorica, 2025.</w:t>
      </w:r>
    </w:p>
    <w:sectPr w:rsidR="00BC26B6" w:rsidRPr="00F579F5" w:rsidSect="0093136E">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9E96C" w14:textId="77777777" w:rsidR="00AC61D2" w:rsidRDefault="00AC61D2" w:rsidP="000E56DF">
      <w:pPr>
        <w:spacing w:after="0" w:line="240" w:lineRule="auto"/>
      </w:pPr>
      <w:r>
        <w:separator/>
      </w:r>
    </w:p>
  </w:endnote>
  <w:endnote w:type="continuationSeparator" w:id="0">
    <w:p w14:paraId="425754AD" w14:textId="77777777" w:rsidR="00AC61D2" w:rsidRDefault="00AC61D2" w:rsidP="000E5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462839"/>
      <w:docPartObj>
        <w:docPartGallery w:val="Page Numbers (Bottom of Page)"/>
        <w:docPartUnique/>
      </w:docPartObj>
    </w:sdtPr>
    <w:sdtEndPr>
      <w:rPr>
        <w:noProof/>
      </w:rPr>
    </w:sdtEndPr>
    <w:sdtContent>
      <w:p w14:paraId="643E1671" w14:textId="58ECA520" w:rsidR="000E56DF" w:rsidRDefault="000E56DF">
        <w:pPr>
          <w:pStyle w:val="Podnoje"/>
          <w:jc w:val="right"/>
        </w:pPr>
        <w:r>
          <w:fldChar w:fldCharType="begin"/>
        </w:r>
        <w:r>
          <w:instrText xml:space="preserve"> PAGE   \* MERGEFORMAT </w:instrText>
        </w:r>
        <w:r>
          <w:fldChar w:fldCharType="separate"/>
        </w:r>
        <w:r w:rsidR="00ED4AC3">
          <w:rPr>
            <w:noProof/>
          </w:rPr>
          <w:t>16</w:t>
        </w:r>
        <w:r>
          <w:rPr>
            <w:noProof/>
          </w:rPr>
          <w:fldChar w:fldCharType="end"/>
        </w:r>
      </w:p>
    </w:sdtContent>
  </w:sdt>
  <w:p w14:paraId="5B29A3F2" w14:textId="77777777" w:rsidR="000E56DF" w:rsidRDefault="000E56D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1AE68" w14:textId="77777777" w:rsidR="00AC61D2" w:rsidRDefault="00AC61D2" w:rsidP="000E56DF">
      <w:pPr>
        <w:spacing w:after="0" w:line="240" w:lineRule="auto"/>
      </w:pPr>
      <w:r>
        <w:separator/>
      </w:r>
    </w:p>
  </w:footnote>
  <w:footnote w:type="continuationSeparator" w:id="0">
    <w:p w14:paraId="70A7DBEB" w14:textId="77777777" w:rsidR="00AC61D2" w:rsidRDefault="00AC61D2" w:rsidP="000E56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5440B"/>
    <w:multiLevelType w:val="multilevel"/>
    <w:tmpl w:val="041A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 w15:restartNumberingAfterBreak="0">
    <w:nsid w:val="44577F0C"/>
    <w:multiLevelType w:val="hybridMultilevel"/>
    <w:tmpl w:val="A606D05C"/>
    <w:lvl w:ilvl="0" w:tplc="F90621DE">
      <w:start w:val="1"/>
      <w:numFmt w:val="bullet"/>
      <w:lvlText w:val=""/>
      <w:lvlJc w:val="left"/>
      <w:pPr>
        <w:ind w:left="720" w:hanging="360"/>
      </w:pPr>
      <w:rPr>
        <w:rFonts w:ascii="Symbol" w:hAnsi="Symbol" w:hint="default"/>
      </w:rPr>
    </w:lvl>
    <w:lvl w:ilvl="1" w:tplc="A9325338">
      <w:start w:val="1"/>
      <w:numFmt w:val="bullet"/>
      <w:lvlText w:val="o"/>
      <w:lvlJc w:val="left"/>
      <w:pPr>
        <w:ind w:left="1440" w:hanging="360"/>
      </w:pPr>
      <w:rPr>
        <w:rFonts w:ascii="Courier New" w:hAnsi="Courier New" w:hint="default"/>
      </w:rPr>
    </w:lvl>
    <w:lvl w:ilvl="2" w:tplc="202C8E96">
      <w:start w:val="1"/>
      <w:numFmt w:val="bullet"/>
      <w:lvlText w:val=""/>
      <w:lvlJc w:val="left"/>
      <w:pPr>
        <w:ind w:left="2160" w:hanging="360"/>
      </w:pPr>
      <w:rPr>
        <w:rFonts w:ascii="Wingdings" w:hAnsi="Wingdings" w:hint="default"/>
      </w:rPr>
    </w:lvl>
    <w:lvl w:ilvl="3" w:tplc="7B68E6FC">
      <w:start w:val="1"/>
      <w:numFmt w:val="bullet"/>
      <w:lvlText w:val=""/>
      <w:lvlJc w:val="left"/>
      <w:pPr>
        <w:ind w:left="2880" w:hanging="360"/>
      </w:pPr>
      <w:rPr>
        <w:rFonts w:ascii="Symbol" w:hAnsi="Symbol" w:hint="default"/>
      </w:rPr>
    </w:lvl>
    <w:lvl w:ilvl="4" w:tplc="0A4451DC">
      <w:start w:val="1"/>
      <w:numFmt w:val="bullet"/>
      <w:lvlText w:val="o"/>
      <w:lvlJc w:val="left"/>
      <w:pPr>
        <w:ind w:left="3600" w:hanging="360"/>
      </w:pPr>
      <w:rPr>
        <w:rFonts w:ascii="Courier New" w:hAnsi="Courier New" w:hint="default"/>
      </w:rPr>
    </w:lvl>
    <w:lvl w:ilvl="5" w:tplc="EBE09A74">
      <w:start w:val="1"/>
      <w:numFmt w:val="bullet"/>
      <w:lvlText w:val=""/>
      <w:lvlJc w:val="left"/>
      <w:pPr>
        <w:ind w:left="4320" w:hanging="360"/>
      </w:pPr>
      <w:rPr>
        <w:rFonts w:ascii="Wingdings" w:hAnsi="Wingdings" w:hint="default"/>
      </w:rPr>
    </w:lvl>
    <w:lvl w:ilvl="6" w:tplc="C7DE1852">
      <w:start w:val="1"/>
      <w:numFmt w:val="bullet"/>
      <w:lvlText w:val=""/>
      <w:lvlJc w:val="left"/>
      <w:pPr>
        <w:ind w:left="5040" w:hanging="360"/>
      </w:pPr>
      <w:rPr>
        <w:rFonts w:ascii="Symbol" w:hAnsi="Symbol" w:hint="default"/>
      </w:rPr>
    </w:lvl>
    <w:lvl w:ilvl="7" w:tplc="796CCB0A">
      <w:start w:val="1"/>
      <w:numFmt w:val="bullet"/>
      <w:lvlText w:val="o"/>
      <w:lvlJc w:val="left"/>
      <w:pPr>
        <w:ind w:left="5760" w:hanging="360"/>
      </w:pPr>
      <w:rPr>
        <w:rFonts w:ascii="Courier New" w:hAnsi="Courier New" w:hint="default"/>
      </w:rPr>
    </w:lvl>
    <w:lvl w:ilvl="8" w:tplc="BBFC2FBC">
      <w:start w:val="1"/>
      <w:numFmt w:val="bullet"/>
      <w:lvlText w:val=""/>
      <w:lvlJc w:val="left"/>
      <w:pPr>
        <w:ind w:left="6480" w:hanging="360"/>
      </w:pPr>
      <w:rPr>
        <w:rFonts w:ascii="Wingdings" w:hAnsi="Wingdings" w:hint="default"/>
      </w:rPr>
    </w:lvl>
  </w:abstractNum>
  <w:num w:numId="1" w16cid:durableId="1048914736">
    <w:abstractNumId w:val="1"/>
  </w:num>
  <w:num w:numId="2" w16cid:durableId="1541091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9F5"/>
    <w:rsid w:val="000E56DF"/>
    <w:rsid w:val="00112D31"/>
    <w:rsid w:val="0013764B"/>
    <w:rsid w:val="00177AC5"/>
    <w:rsid w:val="0021066E"/>
    <w:rsid w:val="00217401"/>
    <w:rsid w:val="0025723B"/>
    <w:rsid w:val="002A663A"/>
    <w:rsid w:val="002D6FE8"/>
    <w:rsid w:val="0030206E"/>
    <w:rsid w:val="0030605C"/>
    <w:rsid w:val="003630F9"/>
    <w:rsid w:val="003F3DC0"/>
    <w:rsid w:val="00494011"/>
    <w:rsid w:val="004B00AA"/>
    <w:rsid w:val="00511E2B"/>
    <w:rsid w:val="0051623F"/>
    <w:rsid w:val="00587CE2"/>
    <w:rsid w:val="00644947"/>
    <w:rsid w:val="00662755"/>
    <w:rsid w:val="00672BA3"/>
    <w:rsid w:val="006A1BFC"/>
    <w:rsid w:val="006A6DBF"/>
    <w:rsid w:val="006C59E8"/>
    <w:rsid w:val="00811E78"/>
    <w:rsid w:val="0087152E"/>
    <w:rsid w:val="008A7A7A"/>
    <w:rsid w:val="0093136E"/>
    <w:rsid w:val="00966187"/>
    <w:rsid w:val="009A0264"/>
    <w:rsid w:val="009A09C1"/>
    <w:rsid w:val="00A1491C"/>
    <w:rsid w:val="00AC61D2"/>
    <w:rsid w:val="00B17B5B"/>
    <w:rsid w:val="00B31ED8"/>
    <w:rsid w:val="00B722BD"/>
    <w:rsid w:val="00B96841"/>
    <w:rsid w:val="00BB1406"/>
    <w:rsid w:val="00BC26B6"/>
    <w:rsid w:val="00BD1487"/>
    <w:rsid w:val="00C94037"/>
    <w:rsid w:val="00CA78D5"/>
    <w:rsid w:val="00D670FA"/>
    <w:rsid w:val="00D71DDF"/>
    <w:rsid w:val="00E92DFE"/>
    <w:rsid w:val="00ED4AC3"/>
    <w:rsid w:val="00EE1C72"/>
    <w:rsid w:val="00EE32E2"/>
    <w:rsid w:val="00F4622C"/>
    <w:rsid w:val="00F579F5"/>
    <w:rsid w:val="47C3BDB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72E6B"/>
  <w15:chartTrackingRefBased/>
  <w15:docId w15:val="{95921294-6A19-4CD1-9D16-38096EAC6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DDF"/>
    <w:pPr>
      <w:jc w:val="both"/>
    </w:pPr>
    <w:rPr>
      <w:sz w:val="22"/>
    </w:rPr>
  </w:style>
  <w:style w:type="paragraph" w:styleId="Naslov1">
    <w:name w:val="heading 1"/>
    <w:basedOn w:val="Normal"/>
    <w:next w:val="Normal"/>
    <w:link w:val="Naslov1Char"/>
    <w:uiPriority w:val="9"/>
    <w:qFormat/>
    <w:rsid w:val="00F579F5"/>
    <w:pPr>
      <w:keepNext/>
      <w:keepLines/>
      <w:numPr>
        <w:numId w:val="2"/>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unhideWhenUsed/>
    <w:qFormat/>
    <w:rsid w:val="00F579F5"/>
    <w:pPr>
      <w:keepNext/>
      <w:keepLines/>
      <w:numPr>
        <w:ilvl w:val="1"/>
        <w:numId w:val="2"/>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unhideWhenUsed/>
    <w:qFormat/>
    <w:rsid w:val="00F579F5"/>
    <w:pPr>
      <w:keepNext/>
      <w:keepLines/>
      <w:numPr>
        <w:ilvl w:val="2"/>
        <w:numId w:val="2"/>
      </w:numPr>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F579F5"/>
    <w:pPr>
      <w:keepNext/>
      <w:keepLines/>
      <w:numPr>
        <w:ilvl w:val="3"/>
        <w:numId w:val="2"/>
      </w:numPr>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F579F5"/>
    <w:pPr>
      <w:keepNext/>
      <w:keepLines/>
      <w:numPr>
        <w:ilvl w:val="4"/>
        <w:numId w:val="2"/>
      </w:numPr>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F579F5"/>
    <w:pPr>
      <w:keepNext/>
      <w:keepLines/>
      <w:numPr>
        <w:ilvl w:val="5"/>
        <w:numId w:val="2"/>
      </w:numPr>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F579F5"/>
    <w:pPr>
      <w:keepNext/>
      <w:keepLines/>
      <w:numPr>
        <w:ilvl w:val="6"/>
        <w:numId w:val="2"/>
      </w:numPr>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F579F5"/>
    <w:pPr>
      <w:keepNext/>
      <w:keepLines/>
      <w:numPr>
        <w:ilvl w:val="7"/>
        <w:numId w:val="2"/>
      </w:numPr>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F579F5"/>
    <w:pPr>
      <w:keepNext/>
      <w:keepLines/>
      <w:numPr>
        <w:ilvl w:val="8"/>
        <w:numId w:val="2"/>
      </w:numPr>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579F5"/>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rsid w:val="00F579F5"/>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rsid w:val="00F579F5"/>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F579F5"/>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F579F5"/>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F579F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579F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579F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579F5"/>
    <w:rPr>
      <w:rFonts w:eastAsiaTheme="majorEastAsia" w:cstheme="majorBidi"/>
      <w:color w:val="272727" w:themeColor="text1" w:themeTint="D8"/>
    </w:rPr>
  </w:style>
  <w:style w:type="paragraph" w:styleId="Naslov">
    <w:name w:val="Title"/>
    <w:basedOn w:val="Normal"/>
    <w:next w:val="Normal"/>
    <w:link w:val="NaslovChar"/>
    <w:uiPriority w:val="10"/>
    <w:qFormat/>
    <w:rsid w:val="00F579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F579F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579F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F579F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579F5"/>
    <w:pPr>
      <w:spacing w:before="160"/>
      <w:jc w:val="center"/>
    </w:pPr>
    <w:rPr>
      <w:i/>
      <w:iCs/>
      <w:color w:val="404040" w:themeColor="text1" w:themeTint="BF"/>
    </w:rPr>
  </w:style>
  <w:style w:type="character" w:customStyle="1" w:styleId="CitatChar">
    <w:name w:val="Citat Char"/>
    <w:basedOn w:val="Zadanifontodlomka"/>
    <w:link w:val="Citat"/>
    <w:uiPriority w:val="29"/>
    <w:rsid w:val="00F579F5"/>
    <w:rPr>
      <w:i/>
      <w:iCs/>
      <w:color w:val="404040" w:themeColor="text1" w:themeTint="BF"/>
    </w:rPr>
  </w:style>
  <w:style w:type="paragraph" w:styleId="Odlomakpopisa">
    <w:name w:val="List Paragraph"/>
    <w:basedOn w:val="Normal"/>
    <w:uiPriority w:val="34"/>
    <w:qFormat/>
    <w:rsid w:val="00F579F5"/>
    <w:pPr>
      <w:ind w:left="720"/>
      <w:contextualSpacing/>
    </w:pPr>
  </w:style>
  <w:style w:type="character" w:styleId="Jakoisticanje">
    <w:name w:val="Intense Emphasis"/>
    <w:basedOn w:val="Zadanifontodlomka"/>
    <w:uiPriority w:val="21"/>
    <w:qFormat/>
    <w:rsid w:val="00F579F5"/>
    <w:rPr>
      <w:i/>
      <w:iCs/>
      <w:color w:val="0F4761" w:themeColor="accent1" w:themeShade="BF"/>
    </w:rPr>
  </w:style>
  <w:style w:type="paragraph" w:styleId="Naglaencitat">
    <w:name w:val="Intense Quote"/>
    <w:basedOn w:val="Normal"/>
    <w:next w:val="Normal"/>
    <w:link w:val="NaglaencitatChar"/>
    <w:uiPriority w:val="30"/>
    <w:qFormat/>
    <w:rsid w:val="00F579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F579F5"/>
    <w:rPr>
      <w:i/>
      <w:iCs/>
      <w:color w:val="0F4761" w:themeColor="accent1" w:themeShade="BF"/>
    </w:rPr>
  </w:style>
  <w:style w:type="character" w:styleId="Istaknutareferenca">
    <w:name w:val="Intense Reference"/>
    <w:basedOn w:val="Zadanifontodlomka"/>
    <w:uiPriority w:val="32"/>
    <w:qFormat/>
    <w:rsid w:val="00F579F5"/>
    <w:rPr>
      <w:b/>
      <w:bCs/>
      <w:smallCaps/>
      <w:color w:val="0F4761" w:themeColor="accent1" w:themeShade="BF"/>
      <w:spacing w:val="5"/>
    </w:rPr>
  </w:style>
  <w:style w:type="table" w:styleId="Reetkatablice">
    <w:name w:val="Table Grid"/>
    <w:basedOn w:val="Obinatablica"/>
    <w:uiPriority w:val="39"/>
    <w:rsid w:val="00F5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BC26B6"/>
    <w:pPr>
      <w:spacing w:before="100" w:beforeAutospacing="1" w:after="100" w:afterAutospacing="1" w:line="240" w:lineRule="auto"/>
    </w:pPr>
    <w:rPr>
      <w:rFonts w:ascii="Times New Roman" w:eastAsia="Times New Roman" w:hAnsi="Times New Roman" w:cs="Times New Roman"/>
      <w:lang w:val="en-US"/>
      <w14:ligatures w14:val="none"/>
    </w:rPr>
  </w:style>
  <w:style w:type="character" w:styleId="Istaknuto">
    <w:name w:val="Emphasis"/>
    <w:basedOn w:val="Zadanifontodlomka"/>
    <w:uiPriority w:val="20"/>
    <w:qFormat/>
    <w:rsid w:val="00BC26B6"/>
    <w:rPr>
      <w:i/>
      <w:iCs/>
    </w:rPr>
  </w:style>
  <w:style w:type="character" w:styleId="Hiperveza">
    <w:name w:val="Hyperlink"/>
    <w:basedOn w:val="Zadanifontodlomka"/>
    <w:uiPriority w:val="99"/>
    <w:unhideWhenUsed/>
    <w:rsid w:val="00BB1406"/>
    <w:rPr>
      <w:color w:val="467886" w:themeColor="hyperlink"/>
      <w:u w:val="single"/>
    </w:rPr>
  </w:style>
  <w:style w:type="character" w:styleId="SlijeenaHiperveza">
    <w:name w:val="FollowedHyperlink"/>
    <w:basedOn w:val="Zadanifontodlomka"/>
    <w:uiPriority w:val="99"/>
    <w:semiHidden/>
    <w:unhideWhenUsed/>
    <w:rsid w:val="00BB1406"/>
    <w:rPr>
      <w:color w:val="96607D" w:themeColor="followedHyperlink"/>
      <w:u w:val="single"/>
    </w:rPr>
  </w:style>
  <w:style w:type="paragraph" w:styleId="Zaglavlje">
    <w:name w:val="header"/>
    <w:basedOn w:val="Normal"/>
    <w:link w:val="ZaglavljeChar"/>
    <w:uiPriority w:val="99"/>
    <w:unhideWhenUsed/>
    <w:rsid w:val="000E56DF"/>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0E56DF"/>
  </w:style>
  <w:style w:type="paragraph" w:styleId="Podnoje">
    <w:name w:val="footer"/>
    <w:basedOn w:val="Normal"/>
    <w:link w:val="PodnojeChar"/>
    <w:uiPriority w:val="99"/>
    <w:unhideWhenUsed/>
    <w:rsid w:val="000E56DF"/>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0E5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472">
      <w:bodyDiv w:val="1"/>
      <w:marLeft w:val="0"/>
      <w:marRight w:val="0"/>
      <w:marTop w:val="0"/>
      <w:marBottom w:val="0"/>
      <w:divBdr>
        <w:top w:val="none" w:sz="0" w:space="0" w:color="auto"/>
        <w:left w:val="none" w:sz="0" w:space="0" w:color="auto"/>
        <w:bottom w:val="none" w:sz="0" w:space="0" w:color="auto"/>
        <w:right w:val="none" w:sz="0" w:space="0" w:color="auto"/>
      </w:divBdr>
    </w:div>
    <w:div w:id="405342568">
      <w:bodyDiv w:val="1"/>
      <w:marLeft w:val="0"/>
      <w:marRight w:val="0"/>
      <w:marTop w:val="0"/>
      <w:marBottom w:val="0"/>
      <w:divBdr>
        <w:top w:val="none" w:sz="0" w:space="0" w:color="auto"/>
        <w:left w:val="none" w:sz="0" w:space="0" w:color="auto"/>
        <w:bottom w:val="none" w:sz="0" w:space="0" w:color="auto"/>
        <w:right w:val="none" w:sz="0" w:space="0" w:color="auto"/>
      </w:divBdr>
      <w:divsChild>
        <w:div w:id="609819450">
          <w:marLeft w:val="0"/>
          <w:marRight w:val="0"/>
          <w:marTop w:val="0"/>
          <w:marBottom w:val="0"/>
          <w:divBdr>
            <w:top w:val="none" w:sz="0" w:space="0" w:color="auto"/>
            <w:left w:val="none" w:sz="0" w:space="0" w:color="auto"/>
            <w:bottom w:val="none" w:sz="0" w:space="0" w:color="auto"/>
            <w:right w:val="none" w:sz="0" w:space="0" w:color="auto"/>
          </w:divBdr>
          <w:divsChild>
            <w:div w:id="402264053">
              <w:marLeft w:val="0"/>
              <w:marRight w:val="0"/>
              <w:marTop w:val="0"/>
              <w:marBottom w:val="0"/>
              <w:divBdr>
                <w:top w:val="none" w:sz="0" w:space="0" w:color="auto"/>
                <w:left w:val="none" w:sz="0" w:space="0" w:color="auto"/>
                <w:bottom w:val="none" w:sz="0" w:space="0" w:color="auto"/>
                <w:right w:val="none" w:sz="0" w:space="0" w:color="auto"/>
              </w:divBdr>
              <w:divsChild>
                <w:div w:id="901333841">
                  <w:marLeft w:val="0"/>
                  <w:marRight w:val="0"/>
                  <w:marTop w:val="0"/>
                  <w:marBottom w:val="0"/>
                  <w:divBdr>
                    <w:top w:val="none" w:sz="0" w:space="0" w:color="auto"/>
                    <w:left w:val="none" w:sz="0" w:space="0" w:color="auto"/>
                    <w:bottom w:val="none" w:sz="0" w:space="0" w:color="auto"/>
                    <w:right w:val="none" w:sz="0" w:space="0" w:color="auto"/>
                  </w:divBdr>
                  <w:divsChild>
                    <w:div w:id="491265297">
                      <w:marLeft w:val="0"/>
                      <w:marRight w:val="0"/>
                      <w:marTop w:val="0"/>
                      <w:marBottom w:val="0"/>
                      <w:divBdr>
                        <w:top w:val="none" w:sz="0" w:space="0" w:color="auto"/>
                        <w:left w:val="none" w:sz="0" w:space="0" w:color="auto"/>
                        <w:bottom w:val="none" w:sz="0" w:space="0" w:color="auto"/>
                        <w:right w:val="none" w:sz="0" w:space="0" w:color="auto"/>
                      </w:divBdr>
                      <w:divsChild>
                        <w:div w:id="243682947">
                          <w:marLeft w:val="0"/>
                          <w:marRight w:val="0"/>
                          <w:marTop w:val="0"/>
                          <w:marBottom w:val="0"/>
                          <w:divBdr>
                            <w:top w:val="none" w:sz="0" w:space="0" w:color="auto"/>
                            <w:left w:val="none" w:sz="0" w:space="0" w:color="auto"/>
                            <w:bottom w:val="none" w:sz="0" w:space="0" w:color="auto"/>
                            <w:right w:val="none" w:sz="0" w:space="0" w:color="auto"/>
                          </w:divBdr>
                          <w:divsChild>
                            <w:div w:id="824125887">
                              <w:marLeft w:val="0"/>
                              <w:marRight w:val="0"/>
                              <w:marTop w:val="0"/>
                              <w:marBottom w:val="0"/>
                              <w:divBdr>
                                <w:top w:val="none" w:sz="0" w:space="0" w:color="auto"/>
                                <w:left w:val="none" w:sz="0" w:space="0" w:color="auto"/>
                                <w:bottom w:val="none" w:sz="0" w:space="0" w:color="auto"/>
                                <w:right w:val="none" w:sz="0" w:space="0" w:color="auto"/>
                              </w:divBdr>
                              <w:divsChild>
                                <w:div w:id="136727548">
                                  <w:marLeft w:val="0"/>
                                  <w:marRight w:val="0"/>
                                  <w:marTop w:val="0"/>
                                  <w:marBottom w:val="0"/>
                                  <w:divBdr>
                                    <w:top w:val="none" w:sz="0" w:space="0" w:color="auto"/>
                                    <w:left w:val="none" w:sz="0" w:space="0" w:color="auto"/>
                                    <w:bottom w:val="none" w:sz="0" w:space="0" w:color="auto"/>
                                    <w:right w:val="none" w:sz="0" w:space="0" w:color="auto"/>
                                  </w:divBdr>
                                  <w:divsChild>
                                    <w:div w:id="150478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3651543">
          <w:marLeft w:val="0"/>
          <w:marRight w:val="0"/>
          <w:marTop w:val="0"/>
          <w:marBottom w:val="0"/>
          <w:divBdr>
            <w:top w:val="none" w:sz="0" w:space="0" w:color="auto"/>
            <w:left w:val="none" w:sz="0" w:space="0" w:color="auto"/>
            <w:bottom w:val="none" w:sz="0" w:space="0" w:color="auto"/>
            <w:right w:val="none" w:sz="0" w:space="0" w:color="auto"/>
          </w:divBdr>
          <w:divsChild>
            <w:div w:id="1870413480">
              <w:marLeft w:val="0"/>
              <w:marRight w:val="0"/>
              <w:marTop w:val="0"/>
              <w:marBottom w:val="0"/>
              <w:divBdr>
                <w:top w:val="none" w:sz="0" w:space="0" w:color="auto"/>
                <w:left w:val="none" w:sz="0" w:space="0" w:color="auto"/>
                <w:bottom w:val="none" w:sz="0" w:space="0" w:color="auto"/>
                <w:right w:val="none" w:sz="0" w:space="0" w:color="auto"/>
              </w:divBdr>
              <w:divsChild>
                <w:div w:id="1226725989">
                  <w:marLeft w:val="0"/>
                  <w:marRight w:val="0"/>
                  <w:marTop w:val="0"/>
                  <w:marBottom w:val="0"/>
                  <w:divBdr>
                    <w:top w:val="none" w:sz="0" w:space="0" w:color="auto"/>
                    <w:left w:val="none" w:sz="0" w:space="0" w:color="auto"/>
                    <w:bottom w:val="none" w:sz="0" w:space="0" w:color="auto"/>
                    <w:right w:val="none" w:sz="0" w:space="0" w:color="auto"/>
                  </w:divBdr>
                  <w:divsChild>
                    <w:div w:id="2040545943">
                      <w:marLeft w:val="0"/>
                      <w:marRight w:val="0"/>
                      <w:marTop w:val="0"/>
                      <w:marBottom w:val="0"/>
                      <w:divBdr>
                        <w:top w:val="none" w:sz="0" w:space="0" w:color="auto"/>
                        <w:left w:val="none" w:sz="0" w:space="0" w:color="auto"/>
                        <w:bottom w:val="none" w:sz="0" w:space="0" w:color="auto"/>
                        <w:right w:val="none" w:sz="0" w:space="0" w:color="auto"/>
                      </w:divBdr>
                      <w:divsChild>
                        <w:div w:id="408773288">
                          <w:marLeft w:val="0"/>
                          <w:marRight w:val="0"/>
                          <w:marTop w:val="0"/>
                          <w:marBottom w:val="0"/>
                          <w:divBdr>
                            <w:top w:val="none" w:sz="0" w:space="0" w:color="auto"/>
                            <w:left w:val="none" w:sz="0" w:space="0" w:color="auto"/>
                            <w:bottom w:val="none" w:sz="0" w:space="0" w:color="auto"/>
                            <w:right w:val="none" w:sz="0" w:space="0" w:color="auto"/>
                          </w:divBdr>
                          <w:divsChild>
                            <w:div w:id="254284391">
                              <w:marLeft w:val="0"/>
                              <w:marRight w:val="0"/>
                              <w:marTop w:val="0"/>
                              <w:marBottom w:val="0"/>
                              <w:divBdr>
                                <w:top w:val="none" w:sz="0" w:space="0" w:color="auto"/>
                                <w:left w:val="none" w:sz="0" w:space="0" w:color="auto"/>
                                <w:bottom w:val="none" w:sz="0" w:space="0" w:color="auto"/>
                                <w:right w:val="none" w:sz="0" w:space="0" w:color="auto"/>
                              </w:divBdr>
                              <w:divsChild>
                                <w:div w:id="1747994990">
                                  <w:marLeft w:val="0"/>
                                  <w:marRight w:val="0"/>
                                  <w:marTop w:val="0"/>
                                  <w:marBottom w:val="0"/>
                                  <w:divBdr>
                                    <w:top w:val="none" w:sz="0" w:space="0" w:color="auto"/>
                                    <w:left w:val="none" w:sz="0" w:space="0" w:color="auto"/>
                                    <w:bottom w:val="none" w:sz="0" w:space="0" w:color="auto"/>
                                    <w:right w:val="none" w:sz="0" w:space="0" w:color="auto"/>
                                  </w:divBdr>
                                  <w:divsChild>
                                    <w:div w:id="1279334988">
                                      <w:marLeft w:val="0"/>
                                      <w:marRight w:val="0"/>
                                      <w:marTop w:val="0"/>
                                      <w:marBottom w:val="0"/>
                                      <w:divBdr>
                                        <w:top w:val="none" w:sz="0" w:space="0" w:color="auto"/>
                                        <w:left w:val="none" w:sz="0" w:space="0" w:color="auto"/>
                                        <w:bottom w:val="none" w:sz="0" w:space="0" w:color="auto"/>
                                        <w:right w:val="none" w:sz="0" w:space="0" w:color="auto"/>
                                      </w:divBdr>
                                      <w:divsChild>
                                        <w:div w:id="38345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0495920">
      <w:bodyDiv w:val="1"/>
      <w:marLeft w:val="0"/>
      <w:marRight w:val="0"/>
      <w:marTop w:val="0"/>
      <w:marBottom w:val="0"/>
      <w:divBdr>
        <w:top w:val="none" w:sz="0" w:space="0" w:color="auto"/>
        <w:left w:val="none" w:sz="0" w:space="0" w:color="auto"/>
        <w:bottom w:val="none" w:sz="0" w:space="0" w:color="auto"/>
        <w:right w:val="none" w:sz="0" w:space="0" w:color="auto"/>
      </w:divBdr>
    </w:div>
    <w:div w:id="942955707">
      <w:bodyDiv w:val="1"/>
      <w:marLeft w:val="0"/>
      <w:marRight w:val="0"/>
      <w:marTop w:val="0"/>
      <w:marBottom w:val="0"/>
      <w:divBdr>
        <w:top w:val="none" w:sz="0" w:space="0" w:color="auto"/>
        <w:left w:val="none" w:sz="0" w:space="0" w:color="auto"/>
        <w:bottom w:val="none" w:sz="0" w:space="0" w:color="auto"/>
        <w:right w:val="none" w:sz="0" w:space="0" w:color="auto"/>
      </w:divBdr>
    </w:div>
    <w:div w:id="981690848">
      <w:bodyDiv w:val="1"/>
      <w:marLeft w:val="0"/>
      <w:marRight w:val="0"/>
      <w:marTop w:val="0"/>
      <w:marBottom w:val="0"/>
      <w:divBdr>
        <w:top w:val="none" w:sz="0" w:space="0" w:color="auto"/>
        <w:left w:val="none" w:sz="0" w:space="0" w:color="auto"/>
        <w:bottom w:val="none" w:sz="0" w:space="0" w:color="auto"/>
        <w:right w:val="none" w:sz="0" w:space="0" w:color="auto"/>
      </w:divBdr>
    </w:div>
    <w:div w:id="125069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eurostat/statistics-explained/index.php?title=Technology_in_enlargement_countries_-_digital_transforma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c.europa.eu/eurostat/statistics-explained/index.php?title=E-government_and_electronic_identificatio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strategy.ec.europa.eu/en/library/egovernment-benchmark-2023" TargetMode="External"/><Relationship Id="rId5" Type="http://schemas.openxmlformats.org/officeDocument/2006/relationships/footnotes" Target="footnotes.xml"/><Relationship Id="rId10" Type="http://schemas.openxmlformats.org/officeDocument/2006/relationships/hyperlink" Target="https://data.europa.eu/sites/default/files/country-factsheet_montenegro_2023.pdf?utm_source=chatgpt.com" TargetMode="External"/><Relationship Id="rId4" Type="http://schemas.openxmlformats.org/officeDocument/2006/relationships/webSettings" Target="webSettings.xml"/><Relationship Id="rId9" Type="http://schemas.openxmlformats.org/officeDocument/2006/relationships/hyperlink" Target="https://ec.europa.eu/eurostat/statistics-explained/index.php?title=Technology_in_enlargement_countries_-_digital_transforma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7449</Words>
  <Characters>42462</Characters>
  <Application>Microsoft Office Word</Application>
  <DocSecurity>0</DocSecurity>
  <Lines>353</Lines>
  <Paragraphs>99</Paragraphs>
  <ScaleCrop>false</ScaleCrop>
  <Company/>
  <LinksUpToDate>false</LinksUpToDate>
  <CharactersWithSpaces>49812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Kresimir Ivancic</dc:creator>
  <cp:keywords/>
  <dc:description/>
  <cp:lastModifiedBy>Krešimir Ivančić</cp:lastModifiedBy>
  <cp:revision>16</cp:revision>
  <dcterms:created xsi:type="dcterms:W3CDTF">2026-04-14T16:38:00Z</dcterms:created>
  <dcterms:modified xsi:type="dcterms:W3CDTF">2026-04-29T04:35:00Z</dcterms:modified>
</cp:coreProperties>
</file>