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E49B1" w14:textId="17193FAE" w:rsidR="00654F3E" w:rsidRDefault="00654F3E" w:rsidP="00654F3E">
      <w:pPr>
        <w:pStyle w:val="Title"/>
        <w:rPr>
          <w:lang w:val="sr-Latn-ME"/>
        </w:rPr>
      </w:pPr>
      <w:r>
        <w:rPr>
          <w:lang w:val="sr-Latn-ME"/>
        </w:rPr>
        <w:t>Prioritetna oblast 0</w:t>
      </w:r>
      <w:r>
        <w:rPr>
          <w:lang w:val="sr-Latn-ME"/>
        </w:rPr>
        <w:t>2</w:t>
      </w:r>
      <w:r>
        <w:rPr>
          <w:lang w:val="sr-Latn-ME"/>
        </w:rPr>
        <w:t xml:space="preserve"> – </w:t>
      </w:r>
      <w:r>
        <w:rPr>
          <w:lang w:val="sr-Latn-ME"/>
        </w:rPr>
        <w:t>Životna sredina i klimatske promjene</w:t>
      </w:r>
    </w:p>
    <w:p w14:paraId="11CDDBB4" w14:textId="77777777" w:rsidR="00654F3E" w:rsidRDefault="00654F3E" w:rsidP="00654F3E">
      <w:pPr>
        <w:pStyle w:val="Subtitle"/>
        <w:rPr>
          <w:lang w:val="sr-Latn-ME"/>
        </w:rPr>
      </w:pPr>
      <w:r w:rsidRPr="00F579F5">
        <w:rPr>
          <w:lang w:val="sr-Latn-ME"/>
        </w:rPr>
        <w:t>Priprema Strateškog planskog dokumenta Crne Gore za potrebe korišćenja EU fondova</w:t>
      </w:r>
    </w:p>
    <w:p w14:paraId="2172380C" w14:textId="77777777" w:rsidR="00654F3E" w:rsidRPr="00F579F5" w:rsidRDefault="00654F3E" w:rsidP="00654F3E">
      <w:pPr>
        <w:pStyle w:val="Heading1"/>
        <w:rPr>
          <w:lang w:val="sr-Latn-ME"/>
        </w:rPr>
      </w:pPr>
      <w:r w:rsidRPr="0BB45BEF">
        <w:rPr>
          <w:lang w:val="sr-Latn-ME"/>
        </w:rPr>
        <w:t>Uvod i važnost</w:t>
      </w:r>
    </w:p>
    <w:p w14:paraId="35DCEBEB" w14:textId="77777777" w:rsidR="00654F3E" w:rsidRDefault="00654F3E" w:rsidP="00654F3E">
      <w:pPr>
        <w:rPr>
          <w:lang w:val="sr-Latn-ME"/>
        </w:rPr>
      </w:pPr>
      <w:r w:rsidRPr="0BB45BEF">
        <w:rPr>
          <w:lang w:val="sr-Latn-ME"/>
        </w:rPr>
        <w:t>Situaciona analiza predstavlja analitičku osnovu za pripremu Strateškog planskog dokumenta Crne Gore za potrebe korišćenja fondova Evropske unije u okviru budućeg Nacionalnog i regionalnog partnerskog plana. Njena svrha je da, na sistematičan i na dokazima zasnovan način, identifikuje glavne razvojne izazove, potrebe, ciljne grupe, razvojne nejednakosti i investiciona uska grla u okviru predmetne oblasti politike, uzimajući u obzir ekonomske, socijalne, teritorijalne i, gdje je relevantno, ekološke dimenzije razvoja.</w:t>
      </w:r>
    </w:p>
    <w:p w14:paraId="77535BC0" w14:textId="77777777" w:rsidR="00654F3E" w:rsidRDefault="00654F3E" w:rsidP="00654F3E">
      <w:pPr>
        <w:rPr>
          <w:rFonts w:ascii="Aptos" w:eastAsia="Aptos" w:hAnsi="Aptos" w:cs="Aptos"/>
          <w:color w:val="000000" w:themeColor="text1"/>
          <w:lang w:val="sr-Latn-ME"/>
        </w:rPr>
      </w:pPr>
      <w:r w:rsidRPr="0BB45BEF">
        <w:rPr>
          <w:rFonts w:ascii="Aptos" w:eastAsia="Aptos" w:hAnsi="Aptos" w:cs="Aptos"/>
          <w:color w:val="000000" w:themeColor="text1"/>
          <w:lang w:val="sr-Latn-ME"/>
        </w:rPr>
        <w:t>Značaj situacione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finansijske perspektive 2021–2027 odgovara logici „</w:t>
      </w:r>
      <w:proofErr w:type="spellStart"/>
      <w:r w:rsidRPr="0BB45BEF">
        <w:rPr>
          <w:rFonts w:ascii="Aptos" w:eastAsia="Aptos" w:hAnsi="Aptos" w:cs="Aptos"/>
          <w:color w:val="000000" w:themeColor="text1"/>
          <w:lang w:val="sr-Latn-ME"/>
        </w:rPr>
        <w:t>Partnership</w:t>
      </w:r>
      <w:proofErr w:type="spellEnd"/>
      <w:r w:rsidRPr="0BB45BEF">
        <w:rPr>
          <w:rFonts w:ascii="Aptos" w:eastAsia="Aptos" w:hAnsi="Aptos" w:cs="Aptos"/>
          <w:color w:val="000000" w:themeColor="text1"/>
          <w:lang w:val="sr-Latn-ME"/>
        </w:rPr>
        <w:t xml:space="preserve"> </w:t>
      </w:r>
      <w:proofErr w:type="spellStart"/>
      <w:r w:rsidRPr="0BB45BEF">
        <w:rPr>
          <w:rFonts w:ascii="Aptos" w:eastAsia="Aptos" w:hAnsi="Aptos" w:cs="Aptos"/>
          <w:color w:val="000000" w:themeColor="text1"/>
          <w:lang w:val="sr-Latn-ME"/>
        </w:rPr>
        <w:t>Agreement</w:t>
      </w:r>
      <w:proofErr w:type="spellEnd"/>
      <w:r w:rsidRPr="0BB45BEF">
        <w:rPr>
          <w:rFonts w:ascii="Aptos" w:eastAsia="Aptos" w:hAnsi="Aptos" w:cs="Aptos"/>
          <w:color w:val="000000" w:themeColor="text1"/>
          <w:lang w:val="sr-Latn-ME"/>
        </w:rPr>
        <w:t xml:space="preserve">“, a koji treba da obuhvati stratešku analizu, uključujući izazove, potrebe i ciljne grupe, odabrane prioritete i ciljeve, glavne očekivane rezultate, planirane tematske cjeline i izvore finansiranja, mehanizme za </w:t>
      </w:r>
      <w:proofErr w:type="spellStart"/>
      <w:r w:rsidRPr="0BB45BEF">
        <w:rPr>
          <w:rFonts w:ascii="Aptos" w:eastAsia="Aptos" w:hAnsi="Aptos" w:cs="Aptos"/>
          <w:color w:val="000000" w:themeColor="text1"/>
          <w:lang w:val="sr-Latn-ME"/>
        </w:rPr>
        <w:t>obezbjeđivanje</w:t>
      </w:r>
      <w:proofErr w:type="spellEnd"/>
      <w:r w:rsidRPr="0BB45BEF">
        <w:rPr>
          <w:rFonts w:ascii="Aptos" w:eastAsia="Aptos" w:hAnsi="Aptos" w:cs="Aptos"/>
          <w:color w:val="000000" w:themeColor="text1"/>
          <w:lang w:val="sr-Latn-ME"/>
        </w:rPr>
        <w:t xml:space="preserve"> usklađenosti sa relevantnim prioritetima i strategijama Evropske unije, kao i okvir upravljanja u skladu sa Evropskim kodeksom ponašanja o partnerstvu.</w:t>
      </w:r>
    </w:p>
    <w:p w14:paraId="53F3DC98" w14:textId="77777777" w:rsidR="00654F3E" w:rsidRDefault="00654F3E" w:rsidP="00654F3E">
      <w:pPr>
        <w:rPr>
          <w:rFonts w:ascii="Aptos" w:eastAsia="Aptos" w:hAnsi="Aptos" w:cs="Aptos"/>
          <w:color w:val="000000" w:themeColor="text1"/>
          <w:lang w:val="sr-Latn-ME"/>
        </w:rPr>
      </w:pPr>
      <w:r w:rsidRPr="0BB45BEF">
        <w:rPr>
          <w:rFonts w:ascii="Aptos" w:eastAsia="Aptos" w:hAnsi="Aptos" w:cs="Aptos"/>
          <w:color w:val="000000" w:themeColor="text1"/>
          <w:lang w:val="sr-Latn-ME"/>
        </w:rPr>
        <w:t xml:space="preserve">U tom smislu, situaciona analiza ne služi samo kao opis postojećeg stanja, već kao polazna tačka za definisanje prioritetnih pravaca djelovanja, očekivanih rezultata i budućih reformskih i investicionih intervencija. U skladu sa metodološkim pristupom za izradu Strateškog planskog dokumenta, razvojni izazovi se posmatraju kao problemi koji zahtijevaju </w:t>
      </w:r>
      <w:proofErr w:type="spellStart"/>
      <w:r w:rsidRPr="0BB45BEF">
        <w:rPr>
          <w:rFonts w:ascii="Aptos" w:eastAsia="Aptos" w:hAnsi="Aptos" w:cs="Aptos"/>
          <w:color w:val="000000" w:themeColor="text1"/>
          <w:lang w:val="sr-Latn-ME"/>
        </w:rPr>
        <w:t>javnopolitički</w:t>
      </w:r>
      <w:proofErr w:type="spellEnd"/>
      <w:r w:rsidRPr="0BB45BEF">
        <w:rPr>
          <w:rFonts w:ascii="Aptos" w:eastAsia="Aptos" w:hAnsi="Aptos" w:cs="Aptos"/>
          <w:color w:val="000000" w:themeColor="text1"/>
          <w:lang w:val="sr-Latn-ME"/>
        </w:rPr>
        <w:t xml:space="preserve"> odgovor, a ne kao unaprijed definisane mjere ili rješenja. Zbog toga analiza mora da poveže raspoložive statističke i administrativne podatke, nalaze nacionalnih strateških dokumenata, relevantne međunarodne i EU izvore, kao i uvide ključnih institucija i partnera.</w:t>
      </w:r>
    </w:p>
    <w:p w14:paraId="4D629932" w14:textId="77777777" w:rsidR="00654F3E" w:rsidRDefault="00654F3E" w:rsidP="00654F3E">
      <w:pPr>
        <w:rPr>
          <w:rFonts w:ascii="Aptos" w:eastAsia="Aptos" w:hAnsi="Aptos" w:cs="Aptos"/>
          <w:color w:val="000000" w:themeColor="text1"/>
          <w:lang w:val="sr-Latn-ME"/>
        </w:rPr>
      </w:pPr>
      <w:r w:rsidRPr="0BB45BEF">
        <w:rPr>
          <w:rFonts w:ascii="Aptos" w:eastAsia="Aptos" w:hAnsi="Aptos" w:cs="Aptos"/>
          <w:color w:val="000000" w:themeColor="text1"/>
          <w:lang w:val="sr-Latn-ME"/>
        </w:rPr>
        <w:t xml:space="preserve">Situaciona analiza istovremeno ima i važnu funkciju u </w:t>
      </w:r>
      <w:proofErr w:type="spellStart"/>
      <w:r w:rsidRPr="0BB45BEF">
        <w:rPr>
          <w:rFonts w:ascii="Aptos" w:eastAsia="Aptos" w:hAnsi="Aptos" w:cs="Aptos"/>
          <w:color w:val="000000" w:themeColor="text1"/>
          <w:lang w:val="sr-Latn-ME"/>
        </w:rPr>
        <w:t>obezbjeđivanju</w:t>
      </w:r>
      <w:proofErr w:type="spellEnd"/>
      <w:r w:rsidRPr="0BB45BEF">
        <w:rPr>
          <w:rFonts w:ascii="Aptos" w:eastAsia="Aptos" w:hAnsi="Aptos" w:cs="Aptos"/>
          <w:color w:val="000000" w:themeColor="text1"/>
          <w:lang w:val="sr-Latn-ME"/>
        </w:rPr>
        <w:t xml:space="preserve"> usklađenosti budućeg strateškog dokumenta sa prioritetima Evropske unije, pravnom tekovinom EU i programskim okvirom za period nakon 2027. godine. Kroz </w:t>
      </w:r>
      <w:proofErr w:type="spellStart"/>
      <w:r w:rsidRPr="0BB45BEF">
        <w:rPr>
          <w:rFonts w:ascii="Aptos" w:eastAsia="Aptos" w:hAnsi="Aptos" w:cs="Aptos"/>
          <w:color w:val="000000" w:themeColor="text1"/>
          <w:lang w:val="sr-Latn-ME"/>
        </w:rPr>
        <w:t>pregled</w:t>
      </w:r>
      <w:proofErr w:type="spellEnd"/>
      <w:r w:rsidRPr="0BB45BEF">
        <w:rPr>
          <w:rFonts w:ascii="Aptos" w:eastAsia="Aptos" w:hAnsi="Aptos" w:cs="Aptos"/>
          <w:color w:val="000000" w:themeColor="text1"/>
          <w:lang w:val="sr-Latn-ME"/>
        </w:rPr>
        <w:t xml:space="preserve"> međunarodnog i nacionalnog strateškog i pravnog okvira, planiranih reformi i ključnih pokazatelja, analiza omogućava da se predmetna oblast politike sagleda u širem razvojnom i pristupnom kontekstu, uključujući doprinos pametnom, održivom i </w:t>
      </w:r>
      <w:proofErr w:type="spellStart"/>
      <w:r w:rsidRPr="0BB45BEF">
        <w:rPr>
          <w:rFonts w:ascii="Aptos" w:eastAsia="Aptos" w:hAnsi="Aptos" w:cs="Aptos"/>
          <w:color w:val="000000" w:themeColor="text1"/>
          <w:lang w:val="sr-Latn-ME"/>
        </w:rPr>
        <w:t>inkluzivnom</w:t>
      </w:r>
      <w:proofErr w:type="spellEnd"/>
      <w:r w:rsidRPr="0BB45BEF">
        <w:rPr>
          <w:rFonts w:ascii="Aptos" w:eastAsia="Aptos" w:hAnsi="Aptos" w:cs="Aptos"/>
          <w:color w:val="000000" w:themeColor="text1"/>
          <w:lang w:val="sr-Latn-ME"/>
        </w:rPr>
        <w:t xml:space="preserve"> rastu, ekonomskoj, socijalnoj i teritorijalnoj koheziji, kao i smanjenju razvojnih dispariteta.</w:t>
      </w:r>
    </w:p>
    <w:p w14:paraId="5A9BF52B" w14:textId="77777777" w:rsidR="00654F3E" w:rsidRDefault="00654F3E" w:rsidP="00654F3E">
      <w:pPr>
        <w:rPr>
          <w:rFonts w:ascii="Aptos" w:eastAsia="Aptos" w:hAnsi="Aptos" w:cs="Aptos"/>
          <w:color w:val="000000" w:themeColor="text1"/>
          <w:lang w:val="sr-Latn-ME"/>
        </w:rPr>
      </w:pPr>
      <w:r w:rsidRPr="0BB45BEF">
        <w:rPr>
          <w:rFonts w:ascii="Aptos" w:eastAsia="Aptos" w:hAnsi="Aptos" w:cs="Aptos"/>
          <w:color w:val="000000" w:themeColor="text1"/>
          <w:lang w:val="sr-Latn-ME"/>
        </w:rPr>
        <w:t xml:space="preserve">Pored toga, situaciona analiza je važan alat za strukturiranje dijaloga unutar radnih grupa i sa širim krugom partnera. Njome se obezbjeđuje zajednička analitička osnova za SWOT razmatranje, </w:t>
      </w:r>
      <w:proofErr w:type="spellStart"/>
      <w:r w:rsidRPr="0BB45BEF">
        <w:rPr>
          <w:rFonts w:ascii="Aptos" w:eastAsia="Aptos" w:hAnsi="Aptos" w:cs="Aptos"/>
          <w:color w:val="000000" w:themeColor="text1"/>
          <w:lang w:val="sr-Latn-ME"/>
        </w:rPr>
        <w:t>validaciju</w:t>
      </w:r>
      <w:proofErr w:type="spellEnd"/>
      <w:r w:rsidRPr="0BB45BEF">
        <w:rPr>
          <w:rFonts w:ascii="Aptos" w:eastAsia="Aptos" w:hAnsi="Aptos" w:cs="Aptos"/>
          <w:color w:val="000000" w:themeColor="text1"/>
          <w:lang w:val="sr-Latn-ME"/>
        </w:rPr>
        <w:t xml:space="preserve"> nalaza i identifikaciju dugog spiska razvojnih izazova, koji će u narednim koracima biti </w:t>
      </w:r>
      <w:proofErr w:type="spellStart"/>
      <w:r w:rsidRPr="0BB45BEF">
        <w:rPr>
          <w:rFonts w:ascii="Aptos" w:eastAsia="Aptos" w:hAnsi="Aptos" w:cs="Aptos"/>
          <w:color w:val="000000" w:themeColor="text1"/>
          <w:lang w:val="sr-Latn-ME"/>
        </w:rPr>
        <w:t>prioritizovani</w:t>
      </w:r>
      <w:proofErr w:type="spellEnd"/>
      <w:r w:rsidRPr="0BB45BEF">
        <w:rPr>
          <w:rFonts w:ascii="Aptos" w:eastAsia="Aptos" w:hAnsi="Aptos" w:cs="Aptos"/>
          <w:color w:val="000000" w:themeColor="text1"/>
          <w:lang w:val="sr-Latn-ME"/>
        </w:rPr>
        <w:t xml:space="preserve">. Na taj način, situaciona analiza doprinosi transparentnom, </w:t>
      </w:r>
      <w:proofErr w:type="spellStart"/>
      <w:r w:rsidRPr="0BB45BEF">
        <w:rPr>
          <w:rFonts w:ascii="Aptos" w:eastAsia="Aptos" w:hAnsi="Aptos" w:cs="Aptos"/>
          <w:color w:val="000000" w:themeColor="text1"/>
          <w:lang w:val="sr-Latn-ME"/>
        </w:rPr>
        <w:t>participativnom</w:t>
      </w:r>
      <w:proofErr w:type="spellEnd"/>
      <w:r w:rsidRPr="0BB45BEF">
        <w:rPr>
          <w:rFonts w:ascii="Aptos" w:eastAsia="Aptos" w:hAnsi="Aptos" w:cs="Aptos"/>
          <w:color w:val="000000" w:themeColor="text1"/>
          <w:lang w:val="sr-Latn-ME"/>
        </w:rPr>
        <w:t xml:space="preserve"> i </w:t>
      </w:r>
      <w:r w:rsidRPr="0BB45BEF">
        <w:rPr>
          <w:rFonts w:ascii="Aptos" w:eastAsia="Aptos" w:hAnsi="Aptos" w:cs="Aptos"/>
          <w:color w:val="000000" w:themeColor="text1"/>
          <w:lang w:val="sr-Latn-ME"/>
        </w:rPr>
        <w:lastRenderedPageBreak/>
        <w:t xml:space="preserve">metodološki utemeljenom procesu planiranja, u skladu sa principom partnerstva i </w:t>
      </w:r>
      <w:proofErr w:type="spellStart"/>
      <w:r w:rsidRPr="0BB45BEF">
        <w:rPr>
          <w:rFonts w:ascii="Aptos" w:eastAsia="Aptos" w:hAnsi="Aptos" w:cs="Aptos"/>
          <w:color w:val="000000" w:themeColor="text1"/>
          <w:lang w:val="sr-Latn-ME"/>
        </w:rPr>
        <w:t>višerazinskog</w:t>
      </w:r>
      <w:proofErr w:type="spellEnd"/>
      <w:r w:rsidRPr="0BB45BEF">
        <w:rPr>
          <w:rFonts w:ascii="Aptos" w:eastAsia="Aptos" w:hAnsi="Aptos" w:cs="Aptos"/>
          <w:color w:val="000000" w:themeColor="text1"/>
          <w:lang w:val="sr-Latn-ME"/>
        </w:rPr>
        <w:t xml:space="preserve"> upravljanja.</w:t>
      </w:r>
    </w:p>
    <w:p w14:paraId="7C8ECF58" w14:textId="7DC7890A" w:rsidR="00654F3E" w:rsidRPr="0011433A" w:rsidRDefault="00654F3E" w:rsidP="00654F3E">
      <w:pPr>
        <w:pStyle w:val="Heading1"/>
        <w:rPr>
          <w:lang w:val="sr-Latn-ME"/>
        </w:rPr>
      </w:pPr>
      <w:r w:rsidRPr="0011433A">
        <w:rPr>
          <w:lang w:val="sr-Latn-ME"/>
        </w:rPr>
        <w:t>Opis prioritetnih oblasti u okviru radne grupe</w:t>
      </w:r>
    </w:p>
    <w:p w14:paraId="0DB55DB4" w14:textId="77777777" w:rsidR="00654F3E" w:rsidRPr="0011433A" w:rsidRDefault="00654F3E" w:rsidP="00654F3E">
      <w:pPr>
        <w:rPr>
          <w:lang w:val="sr-Latn-ME"/>
        </w:rPr>
      </w:pPr>
    </w:p>
    <w:tbl>
      <w:tblPr>
        <w:tblStyle w:val="TableGrid"/>
        <w:tblW w:w="5000" w:type="pct"/>
        <w:tblLook w:val="04A0" w:firstRow="1" w:lastRow="0" w:firstColumn="1" w:lastColumn="0" w:noHBand="0" w:noVBand="1"/>
      </w:tblPr>
      <w:tblGrid>
        <w:gridCol w:w="1412"/>
        <w:gridCol w:w="2119"/>
        <w:gridCol w:w="1148"/>
        <w:gridCol w:w="4671"/>
      </w:tblGrid>
      <w:tr w:rsidR="00654F3E" w:rsidRPr="00654F3E" w14:paraId="4C249A54" w14:textId="77777777" w:rsidTr="00654F3E">
        <w:trPr>
          <w:trHeight w:val="20"/>
        </w:trPr>
        <w:tc>
          <w:tcPr>
            <w:tcW w:w="755" w:type="pct"/>
            <w:shd w:val="clear" w:color="auto" w:fill="83CAEB" w:themeFill="accent1" w:themeFillTint="66"/>
            <w:vAlign w:val="center"/>
          </w:tcPr>
          <w:p w14:paraId="01D88A40" w14:textId="77777777" w:rsidR="00654F3E" w:rsidRPr="00654F3E" w:rsidRDefault="00654F3E" w:rsidP="0028553F">
            <w:pPr>
              <w:spacing w:line="216" w:lineRule="auto"/>
              <w:rPr>
                <w:b/>
                <w:sz w:val="16"/>
                <w:szCs w:val="16"/>
                <w:lang w:val="sr-Latn-ME"/>
              </w:rPr>
            </w:pPr>
            <w:r w:rsidRPr="00654F3E">
              <w:rPr>
                <w:b/>
                <w:sz w:val="16"/>
                <w:szCs w:val="16"/>
                <w:lang w:val="sr-Latn-ME"/>
              </w:rPr>
              <w:t>Kod</w:t>
            </w:r>
          </w:p>
          <w:p w14:paraId="6B3C7424" w14:textId="77777777" w:rsidR="00654F3E" w:rsidRPr="00654F3E" w:rsidRDefault="00654F3E" w:rsidP="0028553F">
            <w:pPr>
              <w:spacing w:line="216" w:lineRule="auto"/>
              <w:rPr>
                <w:b/>
                <w:sz w:val="16"/>
                <w:szCs w:val="16"/>
                <w:lang w:val="sr-Latn-ME"/>
              </w:rPr>
            </w:pPr>
            <w:r w:rsidRPr="00654F3E">
              <w:rPr>
                <w:b/>
                <w:sz w:val="16"/>
                <w:szCs w:val="16"/>
                <w:lang w:val="sr-Latn-ME"/>
              </w:rPr>
              <w:t>Prioritetna oblast (PO)</w:t>
            </w:r>
          </w:p>
          <w:p w14:paraId="09408072" w14:textId="77777777" w:rsidR="00654F3E" w:rsidRPr="00654F3E" w:rsidRDefault="00654F3E" w:rsidP="0028553F">
            <w:pPr>
              <w:spacing w:line="216" w:lineRule="auto"/>
              <w:rPr>
                <w:b/>
                <w:sz w:val="16"/>
                <w:szCs w:val="16"/>
                <w:lang w:val="sr-Latn-ME"/>
              </w:rPr>
            </w:pPr>
          </w:p>
        </w:tc>
        <w:tc>
          <w:tcPr>
            <w:tcW w:w="1133" w:type="pct"/>
            <w:shd w:val="clear" w:color="auto" w:fill="83CAEB" w:themeFill="accent1" w:themeFillTint="66"/>
            <w:vAlign w:val="center"/>
          </w:tcPr>
          <w:p w14:paraId="0A8C4718" w14:textId="77777777" w:rsidR="00654F3E" w:rsidRPr="00654F3E" w:rsidRDefault="00654F3E" w:rsidP="0028553F">
            <w:pPr>
              <w:spacing w:line="216" w:lineRule="auto"/>
              <w:rPr>
                <w:b/>
                <w:sz w:val="16"/>
                <w:szCs w:val="16"/>
                <w:lang w:val="sr-Latn-ME"/>
              </w:rPr>
            </w:pPr>
            <w:r w:rsidRPr="00654F3E">
              <w:rPr>
                <w:b/>
                <w:sz w:val="16"/>
                <w:szCs w:val="16"/>
                <w:lang w:val="sr-Latn-ME"/>
              </w:rPr>
              <w:t>Nivo 1 - Naziv</w:t>
            </w:r>
          </w:p>
          <w:p w14:paraId="4290279B" w14:textId="77777777" w:rsidR="00654F3E" w:rsidRPr="00654F3E" w:rsidRDefault="00654F3E" w:rsidP="0028553F">
            <w:pPr>
              <w:spacing w:line="216" w:lineRule="auto"/>
              <w:rPr>
                <w:b/>
                <w:sz w:val="16"/>
                <w:szCs w:val="16"/>
                <w:lang w:val="sr-Latn-ME"/>
              </w:rPr>
            </w:pPr>
          </w:p>
        </w:tc>
        <w:tc>
          <w:tcPr>
            <w:tcW w:w="614" w:type="pct"/>
            <w:shd w:val="clear" w:color="auto" w:fill="83CAEB" w:themeFill="accent1" w:themeFillTint="66"/>
            <w:vAlign w:val="center"/>
          </w:tcPr>
          <w:p w14:paraId="2F4C2E84" w14:textId="77777777" w:rsidR="00654F3E" w:rsidRPr="00654F3E" w:rsidRDefault="00654F3E" w:rsidP="0028553F">
            <w:pPr>
              <w:spacing w:line="216" w:lineRule="auto"/>
              <w:rPr>
                <w:b/>
                <w:sz w:val="16"/>
                <w:szCs w:val="16"/>
                <w:lang w:val="sr-Latn-ME"/>
              </w:rPr>
            </w:pPr>
            <w:r w:rsidRPr="00654F3E">
              <w:rPr>
                <w:b/>
                <w:sz w:val="16"/>
                <w:szCs w:val="16"/>
                <w:lang w:val="sr-Latn-ME"/>
              </w:rPr>
              <w:t>Kod</w:t>
            </w:r>
          </w:p>
          <w:p w14:paraId="18A14331" w14:textId="77777777" w:rsidR="00654F3E" w:rsidRPr="00654F3E" w:rsidRDefault="00654F3E" w:rsidP="0028553F">
            <w:pPr>
              <w:spacing w:line="216" w:lineRule="auto"/>
              <w:rPr>
                <w:b/>
                <w:sz w:val="16"/>
                <w:szCs w:val="16"/>
                <w:lang w:val="sr-Latn-ME"/>
              </w:rPr>
            </w:pPr>
            <w:r w:rsidRPr="00654F3E">
              <w:rPr>
                <w:b/>
                <w:sz w:val="16"/>
                <w:szCs w:val="16"/>
                <w:lang w:val="sr-Latn-ME"/>
              </w:rPr>
              <w:t xml:space="preserve">PO Nivo 2 </w:t>
            </w:r>
          </w:p>
        </w:tc>
        <w:tc>
          <w:tcPr>
            <w:tcW w:w="2499" w:type="pct"/>
            <w:shd w:val="clear" w:color="auto" w:fill="83CAEB" w:themeFill="accent1" w:themeFillTint="66"/>
            <w:vAlign w:val="center"/>
          </w:tcPr>
          <w:p w14:paraId="7D9B5BFB" w14:textId="77777777" w:rsidR="00654F3E" w:rsidRPr="00654F3E" w:rsidRDefault="00654F3E" w:rsidP="0028553F">
            <w:pPr>
              <w:spacing w:line="216" w:lineRule="auto"/>
              <w:rPr>
                <w:b/>
                <w:sz w:val="16"/>
                <w:szCs w:val="16"/>
                <w:lang w:val="sr-Latn-ME"/>
              </w:rPr>
            </w:pPr>
            <w:r w:rsidRPr="00654F3E">
              <w:rPr>
                <w:b/>
                <w:sz w:val="16"/>
                <w:szCs w:val="16"/>
                <w:lang w:val="sr-Latn-ME"/>
              </w:rPr>
              <w:t>Naziv</w:t>
            </w:r>
          </w:p>
        </w:tc>
      </w:tr>
      <w:tr w:rsidR="00654F3E" w:rsidRPr="00654F3E" w14:paraId="7D31D2E3" w14:textId="77777777" w:rsidTr="00654F3E">
        <w:trPr>
          <w:trHeight w:val="20"/>
        </w:trPr>
        <w:tc>
          <w:tcPr>
            <w:tcW w:w="755" w:type="pct"/>
            <w:vMerge w:val="restart"/>
            <w:vAlign w:val="center"/>
          </w:tcPr>
          <w:p w14:paraId="334162F5" w14:textId="77777777" w:rsidR="00654F3E" w:rsidRPr="00654F3E" w:rsidRDefault="00654F3E" w:rsidP="0028553F">
            <w:pPr>
              <w:spacing w:line="216" w:lineRule="auto"/>
              <w:jc w:val="center"/>
              <w:rPr>
                <w:sz w:val="16"/>
                <w:szCs w:val="16"/>
                <w:lang w:val="sr-Latn-ME"/>
              </w:rPr>
            </w:pPr>
            <w:r w:rsidRPr="00654F3E">
              <w:rPr>
                <w:sz w:val="16"/>
                <w:szCs w:val="16"/>
                <w:lang w:val="sr-Latn-ME"/>
              </w:rPr>
              <w:t>2</w:t>
            </w:r>
          </w:p>
        </w:tc>
        <w:tc>
          <w:tcPr>
            <w:tcW w:w="1133" w:type="pct"/>
            <w:vMerge w:val="restart"/>
            <w:vAlign w:val="center"/>
          </w:tcPr>
          <w:p w14:paraId="6E7E0DB1" w14:textId="77777777" w:rsidR="00654F3E" w:rsidRPr="00654F3E" w:rsidRDefault="00654F3E" w:rsidP="0028553F">
            <w:pPr>
              <w:spacing w:line="216" w:lineRule="auto"/>
              <w:jc w:val="left"/>
              <w:rPr>
                <w:sz w:val="16"/>
                <w:szCs w:val="16"/>
                <w:lang w:val="sr-Latn-ME"/>
              </w:rPr>
            </w:pPr>
            <w:r w:rsidRPr="00654F3E">
              <w:rPr>
                <w:sz w:val="16"/>
                <w:szCs w:val="16"/>
                <w:lang w:val="sr-Latn-ME"/>
              </w:rPr>
              <w:t>Životna sredina i klimatske promjene</w:t>
            </w:r>
          </w:p>
        </w:tc>
        <w:tc>
          <w:tcPr>
            <w:tcW w:w="614" w:type="pct"/>
          </w:tcPr>
          <w:p w14:paraId="74E04472" w14:textId="77777777" w:rsidR="00654F3E" w:rsidRPr="00654F3E" w:rsidRDefault="00654F3E" w:rsidP="0028553F">
            <w:pPr>
              <w:spacing w:line="216" w:lineRule="auto"/>
              <w:jc w:val="center"/>
              <w:rPr>
                <w:sz w:val="16"/>
                <w:szCs w:val="16"/>
                <w:lang w:val="sr-Latn-ME"/>
              </w:rPr>
            </w:pPr>
            <w:r w:rsidRPr="00654F3E">
              <w:rPr>
                <w:sz w:val="16"/>
                <w:szCs w:val="16"/>
                <w:lang w:val="sr-Latn-ME"/>
              </w:rPr>
              <w:t>2.02</w:t>
            </w:r>
          </w:p>
        </w:tc>
        <w:tc>
          <w:tcPr>
            <w:tcW w:w="2499" w:type="pct"/>
          </w:tcPr>
          <w:p w14:paraId="5AAEC113" w14:textId="77777777" w:rsidR="00654F3E" w:rsidRPr="00654F3E" w:rsidRDefault="00654F3E" w:rsidP="0028553F">
            <w:pPr>
              <w:rPr>
                <w:sz w:val="16"/>
                <w:szCs w:val="16"/>
                <w:lang w:val="sr-Latn-ME"/>
              </w:rPr>
            </w:pPr>
            <w:r w:rsidRPr="00654F3E">
              <w:rPr>
                <w:sz w:val="16"/>
                <w:szCs w:val="16"/>
                <w:lang w:val="sr-Latn-ME"/>
              </w:rPr>
              <w:t>Poljoprivreda i šumarstvo</w:t>
            </w:r>
          </w:p>
        </w:tc>
      </w:tr>
      <w:tr w:rsidR="00654F3E" w:rsidRPr="00654F3E" w14:paraId="193A33DE" w14:textId="77777777" w:rsidTr="00654F3E">
        <w:trPr>
          <w:trHeight w:val="20"/>
        </w:trPr>
        <w:tc>
          <w:tcPr>
            <w:tcW w:w="755" w:type="pct"/>
            <w:vMerge/>
          </w:tcPr>
          <w:p w14:paraId="7B743843" w14:textId="77777777" w:rsidR="00654F3E" w:rsidRPr="00654F3E" w:rsidRDefault="00654F3E" w:rsidP="0028553F">
            <w:pPr>
              <w:spacing w:line="216" w:lineRule="auto"/>
              <w:rPr>
                <w:sz w:val="16"/>
                <w:szCs w:val="16"/>
                <w:lang w:val="sr-Latn-ME"/>
              </w:rPr>
            </w:pPr>
          </w:p>
        </w:tc>
        <w:tc>
          <w:tcPr>
            <w:tcW w:w="1133" w:type="pct"/>
            <w:vMerge/>
          </w:tcPr>
          <w:p w14:paraId="349F4E76" w14:textId="77777777" w:rsidR="00654F3E" w:rsidRPr="00654F3E" w:rsidRDefault="00654F3E" w:rsidP="0028553F">
            <w:pPr>
              <w:spacing w:line="216" w:lineRule="auto"/>
              <w:rPr>
                <w:sz w:val="16"/>
                <w:szCs w:val="16"/>
                <w:lang w:val="sr-Latn-ME"/>
              </w:rPr>
            </w:pPr>
          </w:p>
        </w:tc>
        <w:tc>
          <w:tcPr>
            <w:tcW w:w="614" w:type="pct"/>
          </w:tcPr>
          <w:p w14:paraId="5E91E2E7" w14:textId="77777777" w:rsidR="00654F3E" w:rsidRPr="00654F3E" w:rsidRDefault="00654F3E" w:rsidP="0028553F">
            <w:pPr>
              <w:spacing w:line="216" w:lineRule="auto"/>
              <w:jc w:val="center"/>
              <w:rPr>
                <w:sz w:val="16"/>
                <w:szCs w:val="16"/>
                <w:lang w:val="sr-Latn-ME"/>
              </w:rPr>
            </w:pPr>
            <w:r w:rsidRPr="00654F3E">
              <w:rPr>
                <w:sz w:val="16"/>
                <w:szCs w:val="16"/>
                <w:lang w:val="sr-Latn-ME"/>
              </w:rPr>
              <w:t>2.35</w:t>
            </w:r>
          </w:p>
        </w:tc>
        <w:tc>
          <w:tcPr>
            <w:tcW w:w="2499" w:type="pct"/>
          </w:tcPr>
          <w:p w14:paraId="1DBA9030" w14:textId="77777777" w:rsidR="00654F3E" w:rsidRPr="00654F3E" w:rsidRDefault="00654F3E" w:rsidP="0028553F">
            <w:pPr>
              <w:rPr>
                <w:sz w:val="16"/>
                <w:szCs w:val="16"/>
                <w:lang w:val="sr-Latn-ME"/>
              </w:rPr>
            </w:pPr>
            <w:r w:rsidRPr="00654F3E">
              <w:rPr>
                <w:sz w:val="16"/>
                <w:szCs w:val="16"/>
                <w:lang w:val="sr-Latn-ME"/>
              </w:rPr>
              <w:t>Cirkularna ekonomija</w:t>
            </w:r>
          </w:p>
        </w:tc>
      </w:tr>
      <w:tr w:rsidR="00654F3E" w:rsidRPr="00654F3E" w14:paraId="628F20F2" w14:textId="77777777" w:rsidTr="00654F3E">
        <w:trPr>
          <w:trHeight w:val="20"/>
        </w:trPr>
        <w:tc>
          <w:tcPr>
            <w:tcW w:w="755" w:type="pct"/>
            <w:vMerge/>
          </w:tcPr>
          <w:p w14:paraId="68E4887D" w14:textId="77777777" w:rsidR="00654F3E" w:rsidRPr="00654F3E" w:rsidRDefault="00654F3E" w:rsidP="0028553F">
            <w:pPr>
              <w:spacing w:line="216" w:lineRule="auto"/>
              <w:rPr>
                <w:sz w:val="16"/>
                <w:szCs w:val="16"/>
                <w:lang w:val="sr-Latn-ME"/>
              </w:rPr>
            </w:pPr>
          </w:p>
        </w:tc>
        <w:tc>
          <w:tcPr>
            <w:tcW w:w="1133" w:type="pct"/>
            <w:vMerge/>
          </w:tcPr>
          <w:p w14:paraId="22551022" w14:textId="77777777" w:rsidR="00654F3E" w:rsidRPr="00654F3E" w:rsidRDefault="00654F3E" w:rsidP="0028553F">
            <w:pPr>
              <w:spacing w:line="216" w:lineRule="auto"/>
              <w:rPr>
                <w:sz w:val="16"/>
                <w:szCs w:val="16"/>
                <w:lang w:val="sr-Latn-ME"/>
              </w:rPr>
            </w:pPr>
          </w:p>
        </w:tc>
        <w:tc>
          <w:tcPr>
            <w:tcW w:w="614" w:type="pct"/>
          </w:tcPr>
          <w:p w14:paraId="3458B155" w14:textId="77777777" w:rsidR="00654F3E" w:rsidRPr="00654F3E" w:rsidRDefault="00654F3E" w:rsidP="0028553F">
            <w:pPr>
              <w:spacing w:line="216" w:lineRule="auto"/>
              <w:jc w:val="center"/>
              <w:rPr>
                <w:sz w:val="16"/>
                <w:szCs w:val="16"/>
                <w:lang w:val="sr-Latn-ME"/>
              </w:rPr>
            </w:pPr>
            <w:r w:rsidRPr="00654F3E">
              <w:rPr>
                <w:sz w:val="16"/>
                <w:szCs w:val="16"/>
                <w:lang w:val="sr-Latn-ME"/>
              </w:rPr>
              <w:t>2.36</w:t>
            </w:r>
          </w:p>
        </w:tc>
        <w:tc>
          <w:tcPr>
            <w:tcW w:w="2499" w:type="pct"/>
          </w:tcPr>
          <w:p w14:paraId="4997E092" w14:textId="77777777" w:rsidR="00654F3E" w:rsidRPr="00654F3E" w:rsidRDefault="00654F3E" w:rsidP="0028553F">
            <w:pPr>
              <w:rPr>
                <w:sz w:val="16"/>
                <w:szCs w:val="16"/>
                <w:lang w:val="sr-Latn-ME"/>
              </w:rPr>
            </w:pPr>
            <w:r w:rsidRPr="00654F3E">
              <w:rPr>
                <w:sz w:val="16"/>
                <w:szCs w:val="16"/>
                <w:lang w:val="sr-Latn-ME"/>
              </w:rPr>
              <w:t>Adaptacija na klimatske promjene</w:t>
            </w:r>
          </w:p>
        </w:tc>
      </w:tr>
      <w:tr w:rsidR="00654F3E" w:rsidRPr="00654F3E" w14:paraId="01DE3EBB" w14:textId="77777777" w:rsidTr="00654F3E">
        <w:trPr>
          <w:trHeight w:val="20"/>
        </w:trPr>
        <w:tc>
          <w:tcPr>
            <w:tcW w:w="755" w:type="pct"/>
            <w:vMerge/>
          </w:tcPr>
          <w:p w14:paraId="27EFD0F0" w14:textId="77777777" w:rsidR="00654F3E" w:rsidRPr="00654F3E" w:rsidRDefault="00654F3E" w:rsidP="0028553F">
            <w:pPr>
              <w:spacing w:line="216" w:lineRule="auto"/>
              <w:rPr>
                <w:sz w:val="16"/>
                <w:szCs w:val="16"/>
                <w:lang w:val="sr-Latn-ME"/>
              </w:rPr>
            </w:pPr>
          </w:p>
        </w:tc>
        <w:tc>
          <w:tcPr>
            <w:tcW w:w="1133" w:type="pct"/>
            <w:vMerge/>
          </w:tcPr>
          <w:p w14:paraId="362F45AE" w14:textId="77777777" w:rsidR="00654F3E" w:rsidRPr="00654F3E" w:rsidRDefault="00654F3E" w:rsidP="0028553F">
            <w:pPr>
              <w:spacing w:line="216" w:lineRule="auto"/>
              <w:rPr>
                <w:sz w:val="16"/>
                <w:szCs w:val="16"/>
                <w:lang w:val="sr-Latn-ME"/>
              </w:rPr>
            </w:pPr>
          </w:p>
        </w:tc>
        <w:tc>
          <w:tcPr>
            <w:tcW w:w="614" w:type="pct"/>
          </w:tcPr>
          <w:p w14:paraId="4E90EA6B" w14:textId="77777777" w:rsidR="00654F3E" w:rsidRPr="00654F3E" w:rsidRDefault="00654F3E" w:rsidP="0028553F">
            <w:pPr>
              <w:spacing w:line="216" w:lineRule="auto"/>
              <w:jc w:val="center"/>
              <w:rPr>
                <w:sz w:val="16"/>
                <w:szCs w:val="16"/>
                <w:lang w:val="sr-Latn-ME"/>
              </w:rPr>
            </w:pPr>
            <w:r w:rsidRPr="00654F3E">
              <w:rPr>
                <w:sz w:val="16"/>
                <w:szCs w:val="16"/>
                <w:lang w:val="sr-Latn-ME"/>
              </w:rPr>
              <w:t>2.37</w:t>
            </w:r>
          </w:p>
        </w:tc>
        <w:tc>
          <w:tcPr>
            <w:tcW w:w="2499" w:type="pct"/>
          </w:tcPr>
          <w:p w14:paraId="287DEC48" w14:textId="77777777" w:rsidR="00654F3E" w:rsidRPr="00654F3E" w:rsidRDefault="00654F3E" w:rsidP="0028553F">
            <w:pPr>
              <w:rPr>
                <w:sz w:val="16"/>
                <w:szCs w:val="16"/>
                <w:lang w:val="sr-Latn-ME"/>
              </w:rPr>
            </w:pPr>
            <w:r w:rsidRPr="00654F3E">
              <w:rPr>
                <w:sz w:val="16"/>
                <w:szCs w:val="16"/>
                <w:lang w:val="sr-Latn-ME"/>
              </w:rPr>
              <w:t>Digitalizacija u oblasti klime</w:t>
            </w:r>
          </w:p>
        </w:tc>
      </w:tr>
      <w:tr w:rsidR="00654F3E" w:rsidRPr="00654F3E" w14:paraId="12210A35" w14:textId="77777777" w:rsidTr="00654F3E">
        <w:trPr>
          <w:trHeight w:val="20"/>
        </w:trPr>
        <w:tc>
          <w:tcPr>
            <w:tcW w:w="755" w:type="pct"/>
            <w:vMerge/>
          </w:tcPr>
          <w:p w14:paraId="461944BB" w14:textId="77777777" w:rsidR="00654F3E" w:rsidRPr="00654F3E" w:rsidRDefault="00654F3E" w:rsidP="0028553F">
            <w:pPr>
              <w:spacing w:line="216" w:lineRule="auto"/>
              <w:rPr>
                <w:sz w:val="16"/>
                <w:szCs w:val="16"/>
                <w:lang w:val="sr-Latn-ME"/>
              </w:rPr>
            </w:pPr>
          </w:p>
        </w:tc>
        <w:tc>
          <w:tcPr>
            <w:tcW w:w="1133" w:type="pct"/>
            <w:vMerge/>
          </w:tcPr>
          <w:p w14:paraId="526E87A3" w14:textId="77777777" w:rsidR="00654F3E" w:rsidRPr="00654F3E" w:rsidRDefault="00654F3E" w:rsidP="0028553F">
            <w:pPr>
              <w:spacing w:line="216" w:lineRule="auto"/>
              <w:rPr>
                <w:sz w:val="16"/>
                <w:szCs w:val="16"/>
                <w:lang w:val="sr-Latn-ME"/>
              </w:rPr>
            </w:pPr>
          </w:p>
        </w:tc>
        <w:tc>
          <w:tcPr>
            <w:tcW w:w="614" w:type="pct"/>
          </w:tcPr>
          <w:p w14:paraId="7556508D" w14:textId="77777777" w:rsidR="00654F3E" w:rsidRPr="00654F3E" w:rsidRDefault="00654F3E" w:rsidP="0028553F">
            <w:pPr>
              <w:spacing w:line="216" w:lineRule="auto"/>
              <w:jc w:val="center"/>
              <w:rPr>
                <w:sz w:val="16"/>
                <w:szCs w:val="16"/>
                <w:lang w:val="sr-Latn-ME"/>
              </w:rPr>
            </w:pPr>
            <w:r w:rsidRPr="00654F3E">
              <w:rPr>
                <w:sz w:val="16"/>
                <w:szCs w:val="16"/>
                <w:lang w:val="sr-Latn-ME"/>
              </w:rPr>
              <w:t>2.38</w:t>
            </w:r>
          </w:p>
        </w:tc>
        <w:tc>
          <w:tcPr>
            <w:tcW w:w="2499" w:type="pct"/>
          </w:tcPr>
          <w:p w14:paraId="0B5D3759" w14:textId="77777777" w:rsidR="00654F3E" w:rsidRPr="00654F3E" w:rsidRDefault="00654F3E" w:rsidP="0028553F">
            <w:pPr>
              <w:rPr>
                <w:sz w:val="16"/>
                <w:szCs w:val="16"/>
                <w:lang w:val="sr-Latn-ME"/>
              </w:rPr>
            </w:pPr>
            <w:r w:rsidRPr="00654F3E">
              <w:rPr>
                <w:sz w:val="16"/>
                <w:szCs w:val="16"/>
                <w:lang w:val="sr-Latn-ME"/>
              </w:rPr>
              <w:t>Zaštita i obnova prirode</w:t>
            </w:r>
          </w:p>
        </w:tc>
      </w:tr>
      <w:tr w:rsidR="00654F3E" w:rsidRPr="00654F3E" w14:paraId="15EA3DE8" w14:textId="77777777" w:rsidTr="00654F3E">
        <w:trPr>
          <w:trHeight w:val="20"/>
        </w:trPr>
        <w:tc>
          <w:tcPr>
            <w:tcW w:w="755" w:type="pct"/>
            <w:vMerge/>
          </w:tcPr>
          <w:p w14:paraId="18914190" w14:textId="77777777" w:rsidR="00654F3E" w:rsidRPr="00654F3E" w:rsidRDefault="00654F3E" w:rsidP="0028553F">
            <w:pPr>
              <w:spacing w:line="216" w:lineRule="auto"/>
              <w:rPr>
                <w:sz w:val="16"/>
                <w:szCs w:val="16"/>
                <w:lang w:val="sr-Latn-ME"/>
              </w:rPr>
            </w:pPr>
          </w:p>
        </w:tc>
        <w:tc>
          <w:tcPr>
            <w:tcW w:w="1133" w:type="pct"/>
            <w:vMerge/>
          </w:tcPr>
          <w:p w14:paraId="178CEE88" w14:textId="77777777" w:rsidR="00654F3E" w:rsidRPr="00654F3E" w:rsidRDefault="00654F3E" w:rsidP="0028553F">
            <w:pPr>
              <w:spacing w:line="216" w:lineRule="auto"/>
              <w:rPr>
                <w:sz w:val="16"/>
                <w:szCs w:val="16"/>
                <w:lang w:val="sr-Latn-ME"/>
              </w:rPr>
            </w:pPr>
          </w:p>
        </w:tc>
        <w:tc>
          <w:tcPr>
            <w:tcW w:w="614" w:type="pct"/>
          </w:tcPr>
          <w:p w14:paraId="14A79A3F" w14:textId="77777777" w:rsidR="00654F3E" w:rsidRPr="00654F3E" w:rsidRDefault="00654F3E" w:rsidP="0028553F">
            <w:pPr>
              <w:spacing w:line="216" w:lineRule="auto"/>
              <w:jc w:val="center"/>
              <w:rPr>
                <w:sz w:val="16"/>
                <w:szCs w:val="16"/>
                <w:lang w:val="sr-Latn-ME"/>
              </w:rPr>
            </w:pPr>
            <w:r w:rsidRPr="00654F3E">
              <w:rPr>
                <w:sz w:val="16"/>
                <w:szCs w:val="16"/>
                <w:lang w:val="sr-Latn-ME"/>
              </w:rPr>
              <w:t>2.39</w:t>
            </w:r>
          </w:p>
        </w:tc>
        <w:tc>
          <w:tcPr>
            <w:tcW w:w="2499" w:type="pct"/>
          </w:tcPr>
          <w:p w14:paraId="7CD51742" w14:textId="77777777" w:rsidR="00654F3E" w:rsidRPr="00654F3E" w:rsidRDefault="00654F3E" w:rsidP="0028553F">
            <w:pPr>
              <w:rPr>
                <w:sz w:val="16"/>
                <w:szCs w:val="16"/>
                <w:lang w:val="sr-Latn-ME"/>
              </w:rPr>
            </w:pPr>
            <w:r w:rsidRPr="00654F3E">
              <w:rPr>
                <w:sz w:val="16"/>
                <w:szCs w:val="16"/>
                <w:lang w:val="sr-Latn-ME"/>
              </w:rPr>
              <w:t>Šumarstvo</w:t>
            </w:r>
          </w:p>
        </w:tc>
      </w:tr>
      <w:tr w:rsidR="00654F3E" w:rsidRPr="00654F3E" w14:paraId="0B5977EC" w14:textId="77777777" w:rsidTr="00654F3E">
        <w:trPr>
          <w:trHeight w:val="20"/>
        </w:trPr>
        <w:tc>
          <w:tcPr>
            <w:tcW w:w="755" w:type="pct"/>
            <w:vMerge/>
          </w:tcPr>
          <w:p w14:paraId="5655BBBB" w14:textId="77777777" w:rsidR="00654F3E" w:rsidRPr="00654F3E" w:rsidRDefault="00654F3E" w:rsidP="0028553F">
            <w:pPr>
              <w:spacing w:line="216" w:lineRule="auto"/>
              <w:rPr>
                <w:sz w:val="16"/>
                <w:szCs w:val="16"/>
                <w:lang w:val="sr-Latn-ME"/>
              </w:rPr>
            </w:pPr>
          </w:p>
        </w:tc>
        <w:tc>
          <w:tcPr>
            <w:tcW w:w="1133" w:type="pct"/>
            <w:vMerge/>
          </w:tcPr>
          <w:p w14:paraId="320FD598" w14:textId="77777777" w:rsidR="00654F3E" w:rsidRPr="00654F3E" w:rsidRDefault="00654F3E" w:rsidP="0028553F">
            <w:pPr>
              <w:spacing w:line="216" w:lineRule="auto"/>
              <w:rPr>
                <w:sz w:val="16"/>
                <w:szCs w:val="16"/>
                <w:lang w:val="sr-Latn-ME"/>
              </w:rPr>
            </w:pPr>
          </w:p>
        </w:tc>
        <w:tc>
          <w:tcPr>
            <w:tcW w:w="614" w:type="pct"/>
          </w:tcPr>
          <w:p w14:paraId="2481E7D6" w14:textId="77777777" w:rsidR="00654F3E" w:rsidRPr="00654F3E" w:rsidRDefault="00654F3E" w:rsidP="0028553F">
            <w:pPr>
              <w:spacing w:line="216" w:lineRule="auto"/>
              <w:jc w:val="center"/>
              <w:rPr>
                <w:sz w:val="16"/>
                <w:szCs w:val="16"/>
                <w:lang w:val="sr-Latn-ME"/>
              </w:rPr>
            </w:pPr>
            <w:r w:rsidRPr="00654F3E">
              <w:rPr>
                <w:sz w:val="16"/>
                <w:szCs w:val="16"/>
                <w:lang w:val="sr-Latn-ME"/>
              </w:rPr>
              <w:t>2.40</w:t>
            </w:r>
          </w:p>
        </w:tc>
        <w:tc>
          <w:tcPr>
            <w:tcW w:w="2499" w:type="pct"/>
          </w:tcPr>
          <w:p w14:paraId="26A7B863" w14:textId="77777777" w:rsidR="00654F3E" w:rsidRPr="00654F3E" w:rsidRDefault="00654F3E" w:rsidP="0028553F">
            <w:pPr>
              <w:rPr>
                <w:sz w:val="16"/>
                <w:szCs w:val="16"/>
                <w:lang w:val="sr-Latn-ME"/>
              </w:rPr>
            </w:pPr>
            <w:r w:rsidRPr="00654F3E">
              <w:rPr>
                <w:sz w:val="16"/>
                <w:szCs w:val="16"/>
                <w:lang w:val="sr-Latn-ME"/>
              </w:rPr>
              <w:t>Zagađenje</w:t>
            </w:r>
          </w:p>
        </w:tc>
      </w:tr>
      <w:tr w:rsidR="00654F3E" w:rsidRPr="00654F3E" w14:paraId="49C106D9" w14:textId="77777777" w:rsidTr="00654F3E">
        <w:trPr>
          <w:trHeight w:val="20"/>
        </w:trPr>
        <w:tc>
          <w:tcPr>
            <w:tcW w:w="755" w:type="pct"/>
            <w:vMerge/>
          </w:tcPr>
          <w:p w14:paraId="025A56EE" w14:textId="77777777" w:rsidR="00654F3E" w:rsidRPr="00654F3E" w:rsidRDefault="00654F3E" w:rsidP="0028553F">
            <w:pPr>
              <w:spacing w:line="216" w:lineRule="auto"/>
              <w:rPr>
                <w:sz w:val="16"/>
                <w:szCs w:val="16"/>
                <w:lang w:val="sr-Latn-ME"/>
              </w:rPr>
            </w:pPr>
          </w:p>
        </w:tc>
        <w:tc>
          <w:tcPr>
            <w:tcW w:w="1133" w:type="pct"/>
            <w:vMerge/>
          </w:tcPr>
          <w:p w14:paraId="5EC592CB" w14:textId="77777777" w:rsidR="00654F3E" w:rsidRPr="00654F3E" w:rsidRDefault="00654F3E" w:rsidP="0028553F">
            <w:pPr>
              <w:spacing w:line="216" w:lineRule="auto"/>
              <w:rPr>
                <w:sz w:val="16"/>
                <w:szCs w:val="16"/>
                <w:lang w:val="sr-Latn-ME"/>
              </w:rPr>
            </w:pPr>
          </w:p>
        </w:tc>
        <w:tc>
          <w:tcPr>
            <w:tcW w:w="614" w:type="pct"/>
          </w:tcPr>
          <w:p w14:paraId="5C9D67A3" w14:textId="77777777" w:rsidR="00654F3E" w:rsidRPr="00654F3E" w:rsidRDefault="00654F3E" w:rsidP="0028553F">
            <w:pPr>
              <w:spacing w:line="216" w:lineRule="auto"/>
              <w:jc w:val="center"/>
              <w:rPr>
                <w:sz w:val="16"/>
                <w:szCs w:val="16"/>
                <w:lang w:val="sr-Latn-ME"/>
              </w:rPr>
            </w:pPr>
            <w:r w:rsidRPr="00654F3E">
              <w:rPr>
                <w:sz w:val="16"/>
                <w:szCs w:val="16"/>
                <w:lang w:val="sr-Latn-ME"/>
              </w:rPr>
              <w:t>2.05</w:t>
            </w:r>
          </w:p>
        </w:tc>
        <w:tc>
          <w:tcPr>
            <w:tcW w:w="2499" w:type="pct"/>
          </w:tcPr>
          <w:p w14:paraId="1D9DCCA8" w14:textId="77777777" w:rsidR="00654F3E" w:rsidRPr="00654F3E" w:rsidRDefault="00654F3E" w:rsidP="0028553F">
            <w:pPr>
              <w:rPr>
                <w:sz w:val="16"/>
                <w:szCs w:val="16"/>
                <w:lang w:val="sr-Latn-ME"/>
              </w:rPr>
            </w:pPr>
            <w:r w:rsidRPr="00654F3E">
              <w:rPr>
                <w:sz w:val="16"/>
                <w:szCs w:val="16"/>
                <w:lang w:val="sr-Latn-ME"/>
              </w:rPr>
              <w:t>Reforme</w:t>
            </w:r>
          </w:p>
        </w:tc>
      </w:tr>
      <w:tr w:rsidR="00654F3E" w:rsidRPr="00654F3E" w14:paraId="07F14273" w14:textId="77777777" w:rsidTr="00654F3E">
        <w:trPr>
          <w:trHeight w:val="20"/>
        </w:trPr>
        <w:tc>
          <w:tcPr>
            <w:tcW w:w="755" w:type="pct"/>
            <w:vMerge/>
          </w:tcPr>
          <w:p w14:paraId="0D30870E" w14:textId="77777777" w:rsidR="00654F3E" w:rsidRPr="00654F3E" w:rsidRDefault="00654F3E" w:rsidP="0028553F">
            <w:pPr>
              <w:spacing w:line="216" w:lineRule="auto"/>
              <w:rPr>
                <w:sz w:val="16"/>
                <w:szCs w:val="16"/>
                <w:lang w:val="sr-Latn-ME"/>
              </w:rPr>
            </w:pPr>
          </w:p>
        </w:tc>
        <w:tc>
          <w:tcPr>
            <w:tcW w:w="1133" w:type="pct"/>
            <w:vMerge/>
          </w:tcPr>
          <w:p w14:paraId="19B9DDDC" w14:textId="77777777" w:rsidR="00654F3E" w:rsidRPr="00654F3E" w:rsidRDefault="00654F3E" w:rsidP="0028553F">
            <w:pPr>
              <w:spacing w:line="216" w:lineRule="auto"/>
              <w:rPr>
                <w:sz w:val="16"/>
                <w:szCs w:val="16"/>
                <w:lang w:val="sr-Latn-ME"/>
              </w:rPr>
            </w:pPr>
          </w:p>
        </w:tc>
        <w:tc>
          <w:tcPr>
            <w:tcW w:w="614" w:type="pct"/>
          </w:tcPr>
          <w:p w14:paraId="0A80F620" w14:textId="77777777" w:rsidR="00654F3E" w:rsidRPr="00654F3E" w:rsidRDefault="00654F3E" w:rsidP="0028553F">
            <w:pPr>
              <w:spacing w:line="216" w:lineRule="auto"/>
              <w:jc w:val="center"/>
              <w:rPr>
                <w:sz w:val="16"/>
                <w:szCs w:val="16"/>
                <w:lang w:val="sr-Latn-ME"/>
              </w:rPr>
            </w:pPr>
            <w:r w:rsidRPr="00654F3E">
              <w:rPr>
                <w:sz w:val="16"/>
                <w:szCs w:val="16"/>
                <w:lang w:val="sr-Latn-ME"/>
              </w:rPr>
              <w:t>2.41</w:t>
            </w:r>
          </w:p>
        </w:tc>
        <w:tc>
          <w:tcPr>
            <w:tcW w:w="2499" w:type="pct"/>
          </w:tcPr>
          <w:p w14:paraId="106EDBC1" w14:textId="77777777" w:rsidR="00654F3E" w:rsidRPr="00654F3E" w:rsidRDefault="00654F3E" w:rsidP="0028553F">
            <w:pPr>
              <w:rPr>
                <w:sz w:val="16"/>
                <w:szCs w:val="16"/>
                <w:lang w:val="sr-Latn-ME"/>
              </w:rPr>
            </w:pPr>
            <w:r w:rsidRPr="00654F3E">
              <w:rPr>
                <w:sz w:val="16"/>
                <w:szCs w:val="16"/>
                <w:lang w:val="sr-Latn-ME"/>
              </w:rPr>
              <w:t>Vode</w:t>
            </w:r>
          </w:p>
        </w:tc>
      </w:tr>
    </w:tbl>
    <w:p w14:paraId="4D8EE641" w14:textId="4881ED5D" w:rsidR="00654F3E" w:rsidRPr="0011433A" w:rsidRDefault="00654F3E" w:rsidP="00654F3E">
      <w:pPr>
        <w:pStyle w:val="Heading1"/>
        <w:rPr>
          <w:rFonts w:eastAsia="Times New Roman"/>
          <w:lang w:val="sr-Latn-ME"/>
        </w:rPr>
      </w:pPr>
      <w:r w:rsidRPr="0011433A">
        <w:rPr>
          <w:rFonts w:eastAsia="Times New Roman"/>
          <w:lang w:val="sr-Latn-ME"/>
        </w:rPr>
        <w:t>Situaciona analiza</w:t>
      </w:r>
    </w:p>
    <w:p w14:paraId="7E243974" w14:textId="12263714" w:rsidR="00654F3E" w:rsidRDefault="00654F3E" w:rsidP="00654F3E">
      <w:pPr>
        <w:pStyle w:val="Heading2"/>
        <w:rPr>
          <w:rFonts w:eastAsia="Times New Roman"/>
          <w:lang w:val="sr-Latn-ME"/>
        </w:rPr>
      </w:pPr>
      <w:r w:rsidRPr="0011433A">
        <w:rPr>
          <w:rFonts w:eastAsia="Times New Roman"/>
          <w:lang w:val="sr-Latn-ME"/>
        </w:rPr>
        <w:t xml:space="preserve">Životna sredina i klimatske promjene </w:t>
      </w:r>
    </w:p>
    <w:p w14:paraId="4EBD2248" w14:textId="77777777" w:rsidR="00654F3E" w:rsidRPr="0011433A" w:rsidRDefault="00654F3E" w:rsidP="00654F3E">
      <w:pPr>
        <w:rPr>
          <w:lang w:val="sr-Latn-ME"/>
        </w:rPr>
      </w:pPr>
      <w:r w:rsidRPr="0011433A">
        <w:rPr>
          <w:lang w:val="sr-Latn-ME"/>
        </w:rPr>
        <w:t xml:space="preserve">Oblast životne sredine i klimatskih promjena predstavlja najkompleksniju i investiciono </w:t>
      </w:r>
      <w:proofErr w:type="spellStart"/>
      <w:r w:rsidRPr="0011433A">
        <w:rPr>
          <w:lang w:val="sr-Latn-ME"/>
        </w:rPr>
        <w:t>najzahtjevniju</w:t>
      </w:r>
      <w:proofErr w:type="spellEnd"/>
      <w:r w:rsidRPr="0011433A">
        <w:rPr>
          <w:lang w:val="sr-Latn-ME"/>
        </w:rPr>
        <w:t xml:space="preserve"> politiku u procesu pristupanja Crne Gore Evropskoj uniji. Obuhvata kvalitet vazduha, upravljanje vodama, otpad i cirkularnu ekonomiju, zaštitu prirode, ublažavanje klimatskih promjena i adaptaciju, kao i horizontalno zakonodavstvo koje uređuje upravljanje u oblasti životne sredine.</w:t>
      </w:r>
      <w:r>
        <w:rPr>
          <w:lang w:val="sr-Latn-ME"/>
        </w:rPr>
        <w:t xml:space="preserve"> </w:t>
      </w:r>
      <w:r w:rsidRPr="0011433A">
        <w:rPr>
          <w:lang w:val="sr-Latn-ME"/>
        </w:rPr>
        <w:t>U okviru Poglavlja 27 pregovora o pristupanju</w:t>
      </w:r>
      <w:r>
        <w:rPr>
          <w:lang w:val="sr-Latn-ME"/>
        </w:rPr>
        <w:t>,</w:t>
      </w:r>
      <w:r w:rsidRPr="0011433A">
        <w:rPr>
          <w:lang w:val="sr-Latn-ME"/>
        </w:rPr>
        <w:t xml:space="preserve"> jedinog poglavlja sa osam završnih mjerila</w:t>
      </w:r>
      <w:r>
        <w:rPr>
          <w:lang w:val="sr-Latn-ME"/>
        </w:rPr>
        <w:t>,</w:t>
      </w:r>
      <w:r w:rsidRPr="0011433A">
        <w:rPr>
          <w:lang w:val="sr-Latn-ME"/>
        </w:rPr>
        <w:t xml:space="preserve"> Crna Gora je dostigla samo „određeni nivo pripremljenosti“, što je tek jedan nivo iznad najniže ocjene. Ovo ukazuje na trajne nedostatke u </w:t>
      </w:r>
      <w:proofErr w:type="spellStart"/>
      <w:r w:rsidRPr="0011433A">
        <w:rPr>
          <w:lang w:val="sr-Latn-ME"/>
        </w:rPr>
        <w:t>implementacionim</w:t>
      </w:r>
      <w:proofErr w:type="spellEnd"/>
      <w:r w:rsidRPr="0011433A">
        <w:rPr>
          <w:lang w:val="sr-Latn-ME"/>
        </w:rPr>
        <w:t xml:space="preserve"> kapacitetima, infrastrukturi i sprovođenju propisa, uprkos napretku u usklađivanju zakonodavstva.</w:t>
      </w:r>
      <w:r>
        <w:rPr>
          <w:lang w:val="sr-Latn-ME"/>
        </w:rPr>
        <w:t xml:space="preserve"> </w:t>
      </w:r>
      <w:r w:rsidRPr="0011433A">
        <w:rPr>
          <w:lang w:val="sr-Latn-ME"/>
        </w:rPr>
        <w:t>Istovremeno, ovo je oblast u kojoj su razvojni izazovi Crne Gore najizraženije udaljeni od prosjeka EU, naročito u pogledu reciklaže komunalnog otpada (ispod 5% u odnosu na oko 50% u EU</w:t>
      </w:r>
      <w:r>
        <w:rPr>
          <w:rStyle w:val="FootnoteReference"/>
          <w:lang w:val="sr-Latn-ME"/>
        </w:rPr>
        <w:footnoteReference w:id="1"/>
      </w:r>
      <w:r w:rsidRPr="0011433A">
        <w:rPr>
          <w:lang w:val="sr-Latn-ME"/>
        </w:rPr>
        <w:t>), pokrivenosti tretmanom otpadnih voda i kvaliteta vazduha.</w:t>
      </w:r>
    </w:p>
    <w:p w14:paraId="48D909D5" w14:textId="77777777" w:rsidR="00654F3E" w:rsidRPr="0011433A" w:rsidRDefault="00654F3E" w:rsidP="00654F3E">
      <w:pPr>
        <w:rPr>
          <w:lang w:val="sr-Latn-ME"/>
        </w:rPr>
      </w:pPr>
      <w:r w:rsidRPr="0011433A">
        <w:rPr>
          <w:lang w:val="sr-Latn-ME"/>
        </w:rPr>
        <w:t xml:space="preserve">Prema nacrtu </w:t>
      </w:r>
      <w:r>
        <w:rPr>
          <w:lang w:val="sr-Latn-ME"/>
        </w:rPr>
        <w:t>Regulative</w:t>
      </w:r>
      <w:r w:rsidRPr="0011433A">
        <w:rPr>
          <w:lang w:val="sr-Latn-ME"/>
        </w:rPr>
        <w:t xml:space="preserve"> o učinku u okviru MFF 2028</w:t>
      </w:r>
      <w:r>
        <w:rPr>
          <w:lang w:val="sr-Latn-ME"/>
        </w:rPr>
        <w:t>-</w:t>
      </w:r>
      <w:r w:rsidRPr="0011433A">
        <w:rPr>
          <w:lang w:val="sr-Latn-ME"/>
        </w:rPr>
        <w:t>2034 (Aneks I)</w:t>
      </w:r>
      <w:r w:rsidRPr="0011433A">
        <w:rPr>
          <w:rStyle w:val="FootnoteReference"/>
          <w:lang w:val="sr-Latn-ME"/>
        </w:rPr>
        <w:footnoteReference w:id="2"/>
      </w:r>
      <w:r w:rsidRPr="0011433A">
        <w:rPr>
          <w:lang w:val="sr-Latn-ME"/>
        </w:rPr>
        <w:t xml:space="preserve">, politika 2 „Životna sredina i klimatske promjene“ obuhvata devet </w:t>
      </w:r>
      <w:proofErr w:type="spellStart"/>
      <w:r w:rsidRPr="0011433A">
        <w:rPr>
          <w:lang w:val="sr-Latn-ME"/>
        </w:rPr>
        <w:t>podoblasti</w:t>
      </w:r>
      <w:proofErr w:type="spellEnd"/>
      <w:r w:rsidRPr="0011433A">
        <w:rPr>
          <w:lang w:val="sr-Latn-ME"/>
        </w:rPr>
        <w:t xml:space="preserve"> na nivou 2:</w:t>
      </w:r>
      <w:r>
        <w:rPr>
          <w:lang w:val="sr-Latn-ME"/>
        </w:rPr>
        <w:t xml:space="preserve"> </w:t>
      </w:r>
      <w:r w:rsidRPr="0011433A">
        <w:rPr>
          <w:lang w:val="sr-Latn-ME"/>
        </w:rPr>
        <w:t>Poljoprivreda i šumarstvo (2.02, 1 tematska jedinica),</w:t>
      </w:r>
      <w:r>
        <w:rPr>
          <w:lang w:val="sr-Latn-ME"/>
        </w:rPr>
        <w:t xml:space="preserve"> </w:t>
      </w:r>
      <w:r w:rsidRPr="0011433A">
        <w:rPr>
          <w:lang w:val="sr-Latn-ME"/>
        </w:rPr>
        <w:t>Cirkularna ekonomija (2.35, 15 tematskih jedinica),</w:t>
      </w:r>
      <w:r>
        <w:rPr>
          <w:lang w:val="sr-Latn-ME"/>
        </w:rPr>
        <w:t xml:space="preserve"> </w:t>
      </w:r>
      <w:r w:rsidRPr="0011433A">
        <w:rPr>
          <w:lang w:val="sr-Latn-ME"/>
        </w:rPr>
        <w:t>Adaptacija na klimatske promjene (2.36),</w:t>
      </w:r>
      <w:r>
        <w:rPr>
          <w:lang w:val="sr-Latn-ME"/>
        </w:rPr>
        <w:t xml:space="preserve"> </w:t>
      </w:r>
      <w:r w:rsidRPr="0011433A">
        <w:rPr>
          <w:lang w:val="sr-Latn-ME"/>
        </w:rPr>
        <w:t>Digitalizacija u oblasti klime (2.37, 2 tematske jedinice),</w:t>
      </w:r>
      <w:r>
        <w:rPr>
          <w:lang w:val="sr-Latn-ME"/>
        </w:rPr>
        <w:t xml:space="preserve"> </w:t>
      </w:r>
      <w:r w:rsidRPr="0011433A">
        <w:rPr>
          <w:lang w:val="sr-Latn-ME"/>
        </w:rPr>
        <w:t xml:space="preserve">Zaštita i obnova prirode </w:t>
      </w:r>
      <w:r w:rsidRPr="0011433A">
        <w:rPr>
          <w:lang w:val="sr-Latn-ME"/>
        </w:rPr>
        <w:lastRenderedPageBreak/>
        <w:t>(2.38, 5 tematskih jedinica),</w:t>
      </w:r>
      <w:r>
        <w:rPr>
          <w:lang w:val="sr-Latn-ME"/>
        </w:rPr>
        <w:t xml:space="preserve"> </w:t>
      </w:r>
      <w:r w:rsidRPr="0011433A">
        <w:rPr>
          <w:lang w:val="sr-Latn-ME"/>
        </w:rPr>
        <w:t>Šumarstvo (2.39),</w:t>
      </w:r>
      <w:r>
        <w:rPr>
          <w:lang w:val="sr-Latn-ME"/>
        </w:rPr>
        <w:t xml:space="preserve"> </w:t>
      </w:r>
      <w:r w:rsidRPr="0011433A">
        <w:rPr>
          <w:lang w:val="sr-Latn-ME"/>
        </w:rPr>
        <w:t>Zagađenje (2.40, 5 tematskih jedinica),</w:t>
      </w:r>
      <w:r>
        <w:rPr>
          <w:lang w:val="sr-Latn-ME"/>
        </w:rPr>
        <w:t xml:space="preserve"> </w:t>
      </w:r>
      <w:r w:rsidRPr="0011433A">
        <w:rPr>
          <w:lang w:val="sr-Latn-ME"/>
        </w:rPr>
        <w:t>Vode (2.41, 8 tematskih jedinica)</w:t>
      </w:r>
      <w:r>
        <w:rPr>
          <w:lang w:val="sr-Latn-ME"/>
        </w:rPr>
        <w:t xml:space="preserve"> </w:t>
      </w:r>
      <w:r w:rsidRPr="0011433A">
        <w:rPr>
          <w:lang w:val="sr-Latn-ME"/>
        </w:rPr>
        <w:t>i Reforme (2.05, 2 tematske jedinice),</w:t>
      </w:r>
      <w:r>
        <w:rPr>
          <w:lang w:val="sr-Latn-ME"/>
        </w:rPr>
        <w:t xml:space="preserve"> </w:t>
      </w:r>
      <w:r w:rsidRPr="0011433A">
        <w:rPr>
          <w:lang w:val="sr-Latn-ME"/>
        </w:rPr>
        <w:t>što ukupno čini 46 intervencionih oblasti.</w:t>
      </w:r>
    </w:p>
    <w:p w14:paraId="495B1CE0" w14:textId="72AC3572" w:rsidR="00654F3E" w:rsidRPr="0011433A" w:rsidRDefault="00654F3E" w:rsidP="00654F3E">
      <w:pPr>
        <w:pStyle w:val="Heading3"/>
        <w:rPr>
          <w:rFonts w:eastAsia="Times New Roman"/>
          <w:lang w:val="sr-Latn-ME"/>
        </w:rPr>
      </w:pPr>
      <w:r w:rsidRPr="0091418C">
        <w:rPr>
          <w:rFonts w:eastAsia="Times New Roman"/>
          <w:lang w:val="sr-Latn-ME"/>
        </w:rPr>
        <w:t>Međunarodni i EU strateški i pravni okvir</w:t>
      </w:r>
    </w:p>
    <w:p w14:paraId="476F97D0" w14:textId="77777777" w:rsidR="00654F3E" w:rsidRPr="0091418C" w:rsidRDefault="00654F3E" w:rsidP="00654F3E">
      <w:pPr>
        <w:rPr>
          <w:lang w:val="sr-Latn-ME"/>
        </w:rPr>
      </w:pPr>
      <w:r w:rsidRPr="0091418C">
        <w:rPr>
          <w:lang w:val="sr-Latn-ME"/>
        </w:rPr>
        <w:t>Pravni okvir Evropske unije u oblasti životne sredine (</w:t>
      </w:r>
      <w:proofErr w:type="spellStart"/>
      <w:r w:rsidRPr="0091418C">
        <w:rPr>
          <w:lang w:val="sr-Latn-ME"/>
        </w:rPr>
        <w:t>environmental</w:t>
      </w:r>
      <w:proofErr w:type="spellEnd"/>
      <w:r w:rsidRPr="0091418C">
        <w:rPr>
          <w:lang w:val="sr-Latn-ME"/>
        </w:rPr>
        <w:t xml:space="preserve"> </w:t>
      </w:r>
      <w:proofErr w:type="spellStart"/>
      <w:r w:rsidRPr="0091418C">
        <w:rPr>
          <w:lang w:val="sr-Latn-ME"/>
        </w:rPr>
        <w:t>acquis</w:t>
      </w:r>
      <w:proofErr w:type="spellEnd"/>
      <w:r w:rsidRPr="0091418C">
        <w:rPr>
          <w:lang w:val="sr-Latn-ME"/>
        </w:rPr>
        <w:t>) predstavlja jednu od najobimnijih i najsloženijih oblasti prava EU. Obuhvata horizontalno zakonodavstvo (procjena uticaja na životnu sredinu, strateška procjena uticaja, pristup javnosti informacijama o životnoj sredini), kvalitet vazduha, kvalitet voda, upravljanje otpadom, zaštitu prirode, kontrolu industrijskog zagađenja, hemikalije, buku, civiln</w:t>
      </w:r>
      <w:r>
        <w:rPr>
          <w:lang w:val="sr-Latn-ME"/>
        </w:rPr>
        <w:t>u zaštitu i klimatske promjene.</w:t>
      </w:r>
    </w:p>
    <w:p w14:paraId="1F1FE99F" w14:textId="77777777" w:rsidR="00654F3E" w:rsidRPr="0091418C" w:rsidRDefault="00654F3E" w:rsidP="00654F3E">
      <w:pPr>
        <w:rPr>
          <w:lang w:val="sr-Latn-ME"/>
        </w:rPr>
      </w:pPr>
      <w:r w:rsidRPr="0091418C">
        <w:rPr>
          <w:lang w:val="sr-Latn-ME"/>
        </w:rPr>
        <w:t>Evropski zeleni dogovor (2019)</w:t>
      </w:r>
      <w:r>
        <w:rPr>
          <w:rStyle w:val="FootnoteReference"/>
          <w:rFonts w:eastAsia="Times New Roman" w:cstheme="minorHAnsi"/>
          <w:lang w:val="sr-Latn-ME"/>
        </w:rPr>
        <w:footnoteReference w:id="3"/>
      </w:r>
      <w:r w:rsidRPr="0091418C">
        <w:rPr>
          <w:lang w:val="sr-Latn-ME"/>
        </w:rPr>
        <w:t xml:space="preserve"> predstavlja krovni politički okvir, sa ciljem da Evropa postane prvi klimatski neutralan kontinent do 2050. godine. Ključni propisi uključuju Direktivu o sistemu trgovine emisijama EU (2003/87/EC</w:t>
      </w:r>
      <w:r>
        <w:rPr>
          <w:rStyle w:val="FootnoteReference"/>
          <w:rFonts w:eastAsia="Times New Roman" w:cstheme="minorHAnsi"/>
          <w:lang w:val="sr-Latn-ME"/>
        </w:rPr>
        <w:footnoteReference w:id="4"/>
      </w:r>
      <w:r w:rsidRPr="0091418C">
        <w:rPr>
          <w:lang w:val="sr-Latn-ME"/>
        </w:rPr>
        <w:t xml:space="preserve">, sa izmjenama), </w:t>
      </w:r>
      <w:r>
        <w:rPr>
          <w:lang w:val="sr-Latn-ME"/>
        </w:rPr>
        <w:t>Regulativu</w:t>
      </w:r>
      <w:r w:rsidRPr="0091418C">
        <w:rPr>
          <w:lang w:val="sr-Latn-ME"/>
        </w:rPr>
        <w:t xml:space="preserve"> o raspodjeli napora za sektore van ETS-a, Strategiju EU za biodiverzitet do 2030. godine (sa ciljem zaštite 30% kopna i mora, od čega jedna trećina pod strogom zaštitom), Akcioni plan za cirkularnu ekonomiju i prateće zakonodavstvo </w:t>
      </w:r>
      <w:r>
        <w:rPr>
          <w:lang w:val="sr-Latn-ME"/>
        </w:rPr>
        <w:t>-</w:t>
      </w:r>
      <w:r w:rsidRPr="0091418C">
        <w:rPr>
          <w:lang w:val="sr-Latn-ME"/>
        </w:rPr>
        <w:t xml:space="preserve"> uključujući revidiranu Okvirnu direktivu o otpadu (EU) 2018/851</w:t>
      </w:r>
      <w:r>
        <w:rPr>
          <w:rStyle w:val="FootnoteReference"/>
          <w:rFonts w:eastAsia="Times New Roman" w:cstheme="minorHAnsi"/>
          <w:lang w:val="sr-Latn-ME"/>
        </w:rPr>
        <w:footnoteReference w:id="5"/>
      </w:r>
      <w:r w:rsidRPr="0091418C">
        <w:rPr>
          <w:lang w:val="sr-Latn-ME"/>
        </w:rPr>
        <w:t xml:space="preserve"> (koja postavlja ciljeve reciklaže od 55% do 2025, 60% do 2030. i 65% do 2035. godine), revidiranu Direktivu o ambalaži i ambalažnom otpadu</w:t>
      </w:r>
      <w:r>
        <w:rPr>
          <w:rStyle w:val="FootnoteReference"/>
          <w:rFonts w:eastAsia="Times New Roman" w:cstheme="minorHAnsi"/>
          <w:lang w:val="sr-Latn-ME"/>
        </w:rPr>
        <w:footnoteReference w:id="6"/>
      </w:r>
      <w:r w:rsidRPr="0091418C">
        <w:rPr>
          <w:lang w:val="sr-Latn-ME"/>
        </w:rPr>
        <w:t xml:space="preserve">, kao i Akcioni plan za </w:t>
      </w:r>
      <w:r>
        <w:rPr>
          <w:lang w:val="sr-Latn-ME"/>
        </w:rPr>
        <w:t>nulto zagađenje</w:t>
      </w:r>
      <w:r>
        <w:rPr>
          <w:rStyle w:val="FootnoteReference"/>
          <w:rFonts w:eastAsia="Times New Roman" w:cstheme="minorHAnsi"/>
          <w:lang w:val="sr-Latn-ME"/>
        </w:rPr>
        <w:footnoteReference w:id="7"/>
      </w:r>
      <w:r>
        <w:rPr>
          <w:lang w:val="sr-Latn-ME"/>
        </w:rPr>
        <w:t>.</w:t>
      </w:r>
    </w:p>
    <w:p w14:paraId="2652312F" w14:textId="77777777" w:rsidR="00654F3E" w:rsidRPr="0091418C" w:rsidRDefault="00654F3E" w:rsidP="00654F3E">
      <w:pPr>
        <w:rPr>
          <w:lang w:val="sr-Latn-ME"/>
        </w:rPr>
      </w:pPr>
      <w:r>
        <w:rPr>
          <w:lang w:val="sr-Latn-ME"/>
        </w:rPr>
        <w:t>Regulativa</w:t>
      </w:r>
      <w:r w:rsidRPr="0091418C">
        <w:rPr>
          <w:lang w:val="sr-Latn-ME"/>
        </w:rPr>
        <w:t xml:space="preserve"> o obnovi prirode (EU) 2024/1991 uvodi pravno obavezujuće ciljeve za obnovu degradiranih ekosistema. Direktiva o pticama (2009/147/EC) i Direktiva o staništima (92/43/EEC) čine osnovu mreže Natura 2000. Okvirna direktiva o vodama (2000/60/EC) zahtijeva izradu planova upravljanja riječnim slivovima i postizanje dobrog ekološkog statusa svih voda, dok Okvirna direktiva o morskoj strategiji (2008/56/EC) cilja postizanje dobrog stanja morskog okruženja. Direktiva o industrijskim emisijama (2010/75/EU, revidirana 2024) uređuje integrisano spr</w:t>
      </w:r>
      <w:r>
        <w:rPr>
          <w:lang w:val="sr-Latn-ME"/>
        </w:rPr>
        <w:t>ječavanje i kontrolu zagađenja.</w:t>
      </w:r>
    </w:p>
    <w:p w14:paraId="3A35A94C" w14:textId="77777777" w:rsidR="00654F3E" w:rsidRPr="0091418C" w:rsidRDefault="00654F3E" w:rsidP="00654F3E">
      <w:pPr>
        <w:rPr>
          <w:lang w:val="sr-Latn-ME"/>
        </w:rPr>
      </w:pPr>
      <w:r w:rsidRPr="0091418C">
        <w:rPr>
          <w:lang w:val="sr-Latn-ME"/>
        </w:rPr>
        <w:t>Za zemlje kandidate, pravna tekovina EU u oblasti životne sredine prenosi se prvenstveno kroz pregovore o pristupanju (Poglavlje 27), dok se klimatska i energetska komponenta dodatno usklađuje kroz Ugovor o Energetskoj zajednici. Zelena agenda za Zapadni Balkan (Sofijska deklaracija, novembar 2020) obavezuje region na klimatsku neutralnost do 2050. godine i usklađivanje sa Evropskim zelenim dogovorom kroz pet stubova: klimatska akcija, cirkularna ekonomija, smanjenje zagađenja, održivi prehrambeni sistemi i</w:t>
      </w:r>
      <w:r>
        <w:rPr>
          <w:lang w:val="sr-Latn-ME"/>
        </w:rPr>
        <w:t xml:space="preserve"> biodiverzitet.</w:t>
      </w:r>
    </w:p>
    <w:p w14:paraId="37AC9E8E" w14:textId="77777777" w:rsidR="00654F3E" w:rsidRDefault="00654F3E" w:rsidP="00654F3E">
      <w:pPr>
        <w:rPr>
          <w:lang w:val="sr-Latn-ME"/>
        </w:rPr>
      </w:pPr>
      <w:r w:rsidRPr="0091418C">
        <w:rPr>
          <w:lang w:val="sr-Latn-ME"/>
        </w:rPr>
        <w:t xml:space="preserve">U okviru MFF 2028–2034, politika „Životna sredina i klimatske promjene“ iz Aneksa I nacrta </w:t>
      </w:r>
      <w:r>
        <w:rPr>
          <w:lang w:val="sr-Latn-ME"/>
        </w:rPr>
        <w:t>Regulative</w:t>
      </w:r>
      <w:r w:rsidRPr="0091418C">
        <w:rPr>
          <w:lang w:val="sr-Latn-ME"/>
        </w:rPr>
        <w:t xml:space="preserve"> o učinku obuhvata </w:t>
      </w:r>
      <w:proofErr w:type="spellStart"/>
      <w:r w:rsidRPr="0091418C">
        <w:rPr>
          <w:lang w:val="sr-Latn-ME"/>
        </w:rPr>
        <w:t>podoblasti</w:t>
      </w:r>
      <w:proofErr w:type="spellEnd"/>
      <w:r w:rsidRPr="0091418C">
        <w:rPr>
          <w:lang w:val="sr-Latn-ME"/>
        </w:rPr>
        <w:t xml:space="preserve"> kao što su: vazduh i buka, </w:t>
      </w:r>
      <w:proofErr w:type="spellStart"/>
      <w:r w:rsidRPr="0091418C">
        <w:rPr>
          <w:lang w:val="sr-Latn-ME"/>
        </w:rPr>
        <w:t>vodosnabdijevanje</w:t>
      </w:r>
      <w:proofErr w:type="spellEnd"/>
      <w:r w:rsidRPr="0091418C">
        <w:rPr>
          <w:lang w:val="sr-Latn-ME"/>
        </w:rPr>
        <w:t xml:space="preserve"> i sanitarna infrastruktura, priroda i biodiverzitet, cirkularna ekonomija i otpad, adaptacija na klimatske promjene, ublažavanje klimatskih promjena (djelimično preklapanje sa energetikom), upravljanje rizicima od katastrofa i reforme. Više ovih </w:t>
      </w:r>
      <w:proofErr w:type="spellStart"/>
      <w:r w:rsidRPr="0091418C">
        <w:rPr>
          <w:lang w:val="sr-Latn-ME"/>
        </w:rPr>
        <w:t>podoblasti</w:t>
      </w:r>
      <w:proofErr w:type="spellEnd"/>
      <w:r w:rsidRPr="0091418C">
        <w:rPr>
          <w:lang w:val="sr-Latn-ME"/>
        </w:rPr>
        <w:t xml:space="preserve"> nosi visoke stope </w:t>
      </w:r>
      <w:proofErr w:type="spellStart"/>
      <w:r w:rsidRPr="0091418C">
        <w:rPr>
          <w:lang w:val="sr-Latn-ME"/>
        </w:rPr>
        <w:t>kofinansiranja</w:t>
      </w:r>
      <w:proofErr w:type="spellEnd"/>
      <w:r w:rsidRPr="0091418C">
        <w:rPr>
          <w:lang w:val="sr-Latn-ME"/>
        </w:rPr>
        <w:t xml:space="preserve"> za klimatske (40–100%) i ekološke (40–100%) ciljeve.</w:t>
      </w:r>
    </w:p>
    <w:p w14:paraId="744B6E2C" w14:textId="538B5737" w:rsidR="00654F3E" w:rsidRPr="0011433A" w:rsidRDefault="00654F3E" w:rsidP="00654F3E">
      <w:pPr>
        <w:pStyle w:val="Heading3"/>
        <w:rPr>
          <w:rFonts w:eastAsia="Times New Roman"/>
          <w:lang w:val="sr-Latn-ME"/>
        </w:rPr>
      </w:pPr>
      <w:r w:rsidRPr="0091418C">
        <w:rPr>
          <w:rFonts w:eastAsia="Times New Roman"/>
          <w:lang w:val="sr-Latn-ME"/>
        </w:rPr>
        <w:lastRenderedPageBreak/>
        <w:t>Nacionalni strateški i pravni okvir Crne Gore</w:t>
      </w:r>
    </w:p>
    <w:p w14:paraId="0CCE7DDB" w14:textId="77777777" w:rsidR="00654F3E" w:rsidRPr="0091418C" w:rsidRDefault="00654F3E" w:rsidP="00654F3E">
      <w:pPr>
        <w:rPr>
          <w:lang w:val="sr-Latn-ME"/>
        </w:rPr>
      </w:pPr>
      <w:r w:rsidRPr="0091418C">
        <w:rPr>
          <w:lang w:val="sr-Latn-ME"/>
        </w:rPr>
        <w:t xml:space="preserve">Crna Gora je dostigla </w:t>
      </w:r>
      <w:r w:rsidRPr="0091418C">
        <w:rPr>
          <w:b/>
          <w:lang w:val="sr-Latn-ME"/>
        </w:rPr>
        <w:t>određeni nivo pripremljenosti</w:t>
      </w:r>
      <w:r w:rsidRPr="0091418C">
        <w:rPr>
          <w:lang w:val="sr-Latn-ME"/>
        </w:rPr>
        <w:t xml:space="preserve"> u oblasti životne sredine i klimatskih promjena (Poglavlje 27), što predstavlja drugu najnižu ocjenu na petostepenoj skali procjene EU. Izvještaj Evropske komisije za Crnu Goru za 2025. godinu navodi da je ostvaren određeni napredak u izvještajnom periodu, ali da su i dalje potrebni značajni napori, posebno u oblastima upravljanja otpadom, kvaliteta voda, kvaliteta vazduha, zaštite prirode i klimatskih promjena. Poglavlje 27 otvoreno je 10. decembra 2018. godine, uz definisanih 8 završnih mje</w:t>
      </w:r>
      <w:r>
        <w:rPr>
          <w:lang w:val="sr-Latn-ME"/>
        </w:rPr>
        <w:t>rila u Zajedničkoj poziciji EU.</w:t>
      </w:r>
    </w:p>
    <w:p w14:paraId="68BEF560" w14:textId="77777777" w:rsidR="00654F3E" w:rsidRDefault="00654F3E" w:rsidP="00654F3E">
      <w:pPr>
        <w:rPr>
          <w:lang w:val="sr-Latn-ME"/>
        </w:rPr>
      </w:pPr>
      <w:r w:rsidRPr="0091418C">
        <w:rPr>
          <w:lang w:val="sr-Latn-ME"/>
        </w:rPr>
        <w:t>Ključni zakoni i</w:t>
      </w:r>
      <w:r>
        <w:rPr>
          <w:lang w:val="sr-Latn-ME"/>
        </w:rPr>
        <w:t xml:space="preserve"> strateški dokumenti uključuju:</w:t>
      </w:r>
    </w:p>
    <w:p w14:paraId="00D85446" w14:textId="77777777" w:rsidR="00654F3E" w:rsidRPr="00A8012D" w:rsidRDefault="00654F3E" w:rsidP="00654F3E">
      <w:pPr>
        <w:pStyle w:val="ListParagraph"/>
        <w:numPr>
          <w:ilvl w:val="0"/>
          <w:numId w:val="2"/>
        </w:numPr>
        <w:spacing w:after="240"/>
        <w:rPr>
          <w:lang w:val="sr-Latn-ME"/>
        </w:rPr>
      </w:pPr>
      <w:r w:rsidRPr="0091418C">
        <w:rPr>
          <w:b/>
          <w:lang w:val="sr-Latn-ME"/>
        </w:rPr>
        <w:t>Zakon o zaštiti životne sredine</w:t>
      </w:r>
      <w:r w:rsidRPr="0091418C">
        <w:rPr>
          <w:lang w:val="sr-Latn-ME"/>
        </w:rPr>
        <w:t xml:space="preserve"> (Sl. list CG br. 52/16, 73/19, 84/24) – krovni zakon, usklađen sa horizontalnim direktivama EU (EIA, SEA, pristup informacijama);</w:t>
      </w:r>
    </w:p>
    <w:p w14:paraId="0625A03B" w14:textId="77777777" w:rsidR="00654F3E" w:rsidRPr="0091418C" w:rsidRDefault="00654F3E" w:rsidP="00654F3E">
      <w:pPr>
        <w:pStyle w:val="ListParagraph"/>
        <w:numPr>
          <w:ilvl w:val="0"/>
          <w:numId w:val="2"/>
        </w:numPr>
        <w:spacing w:after="240"/>
        <w:rPr>
          <w:lang w:val="sr-Latn-ME"/>
        </w:rPr>
      </w:pPr>
      <w:r w:rsidRPr="0091418C">
        <w:rPr>
          <w:b/>
          <w:lang w:val="sr-Latn-ME"/>
        </w:rPr>
        <w:t>Zakon o upravljanju otpadom</w:t>
      </w:r>
      <w:r w:rsidRPr="0091418C">
        <w:rPr>
          <w:lang w:val="sr-Latn-ME"/>
        </w:rPr>
        <w:t xml:space="preserve"> (Sl. list CG br. 39/24, 92/24) – transponuje Okvirnu direktivu o otpadu, uvodi proširenu odgovornost proizvođača (EPR), zabranjuje lagane plastične kese za jednokratnu upotrebu i uspostavlja principe za odvojeno sakupljanje i reciklažu;</w:t>
      </w:r>
    </w:p>
    <w:p w14:paraId="6C809DA5" w14:textId="77777777" w:rsidR="00654F3E" w:rsidRPr="0091418C" w:rsidRDefault="00654F3E" w:rsidP="00654F3E">
      <w:pPr>
        <w:pStyle w:val="ListParagraph"/>
        <w:numPr>
          <w:ilvl w:val="0"/>
          <w:numId w:val="2"/>
        </w:numPr>
        <w:spacing w:after="240"/>
        <w:rPr>
          <w:lang w:val="sr-Latn-ME"/>
        </w:rPr>
      </w:pPr>
      <w:r w:rsidRPr="0091418C">
        <w:rPr>
          <w:b/>
          <w:lang w:val="sr-Latn-ME"/>
        </w:rPr>
        <w:t>Državni plan upravljanja otpadom 2025–2029</w:t>
      </w:r>
      <w:r w:rsidRPr="0091418C">
        <w:rPr>
          <w:lang w:val="sr-Latn-ME"/>
        </w:rPr>
        <w:t xml:space="preserve"> (oktobar 2025, Sl. list CG br. 25/26) – zamjenjuje plan za period 2015–2020 i postavlja operativne ciljeve za razvoj infrastrukture za upravljanje otpadom. Plan postavlja temelje za prelazak sa linearnog ekonomskog modela na cirkularnu ekonomiju, u kojoj se otpad tretira kao resurs koji se ponovo koristi, reciklira i vraća u proizvodne cikluse. Njegov osnovni cilj je </w:t>
      </w:r>
      <w:proofErr w:type="spellStart"/>
      <w:r w:rsidRPr="0091418C">
        <w:rPr>
          <w:lang w:val="sr-Latn-ME"/>
        </w:rPr>
        <w:t>postepeno</w:t>
      </w:r>
      <w:proofErr w:type="spellEnd"/>
      <w:r w:rsidRPr="0091418C">
        <w:rPr>
          <w:lang w:val="sr-Latn-ME"/>
        </w:rPr>
        <w:t xml:space="preserve"> smanjenje odlaganja otpada na deponijama, uz značajno povećanje stope reciklaže, </w:t>
      </w:r>
      <w:proofErr w:type="spellStart"/>
      <w:r w:rsidRPr="0091418C">
        <w:rPr>
          <w:lang w:val="sr-Latn-ME"/>
        </w:rPr>
        <w:t>unapređenje</w:t>
      </w:r>
      <w:proofErr w:type="spellEnd"/>
      <w:r w:rsidRPr="0091418C">
        <w:rPr>
          <w:lang w:val="sr-Latn-ME"/>
        </w:rPr>
        <w:t xml:space="preserve"> zaštite javnog zdravlja i očuvanje životne sredine. Plan definiše jasne i mjerljive ciljeve, potpuno usklađene sa Okvirnom direktivom EU o otpadu i relevantnim zakonodavstvom EU. Predviđa povećanje stope reciklaže komunalnog otpada na 65% do 2035. godine, smanjenje količine </w:t>
      </w:r>
      <w:proofErr w:type="spellStart"/>
      <w:r w:rsidRPr="0091418C">
        <w:rPr>
          <w:lang w:val="sr-Latn-ME"/>
        </w:rPr>
        <w:t>biorazgradivog</w:t>
      </w:r>
      <w:proofErr w:type="spellEnd"/>
      <w:r w:rsidRPr="0091418C">
        <w:rPr>
          <w:lang w:val="sr-Latn-ME"/>
        </w:rPr>
        <w:t xml:space="preserve"> otpada koji se odlaže na deponijama, kao i zatvaranje i sanaciju svih </w:t>
      </w:r>
      <w:proofErr w:type="spellStart"/>
      <w:r w:rsidRPr="0091418C">
        <w:rPr>
          <w:lang w:val="sr-Latn-ME"/>
        </w:rPr>
        <w:t>nesanitarnih</w:t>
      </w:r>
      <w:proofErr w:type="spellEnd"/>
      <w:r w:rsidRPr="0091418C">
        <w:rPr>
          <w:lang w:val="sr-Latn-ME"/>
        </w:rPr>
        <w:t xml:space="preserve"> deponija do 2030. godine. Kao strukturnu osnovu novog sistema, plan predviđa uspostavljanje četiri regionalna centra za upravljanje otpadom u Podgorici, Nikšiću, Bijelom Polju i Baru, uz modernizaciju i proširenje infrastrukture za reciklažu i tretman otpada;</w:t>
      </w:r>
    </w:p>
    <w:p w14:paraId="1D2CC0B5" w14:textId="77777777" w:rsidR="00654F3E" w:rsidRPr="0091418C" w:rsidRDefault="00654F3E" w:rsidP="00654F3E">
      <w:pPr>
        <w:pStyle w:val="ListParagraph"/>
        <w:numPr>
          <w:ilvl w:val="0"/>
          <w:numId w:val="2"/>
        </w:numPr>
        <w:spacing w:after="240"/>
        <w:rPr>
          <w:lang w:val="sr-Latn-ME"/>
        </w:rPr>
      </w:pPr>
      <w:r w:rsidRPr="0091418C">
        <w:rPr>
          <w:b/>
          <w:lang w:val="sr-Latn-ME"/>
        </w:rPr>
        <w:t>Zakon o zaštiti prirode</w:t>
      </w:r>
      <w:r w:rsidRPr="0091418C">
        <w:rPr>
          <w:lang w:val="sr-Latn-ME"/>
        </w:rPr>
        <w:t xml:space="preserve"> (Sl. list CG br. 52/16, 18/19, 84/24) – uspostavlja pravni osnov za zaštićena područja i pripremu mreže Natura 2000;</w:t>
      </w:r>
    </w:p>
    <w:p w14:paraId="58E99A6C" w14:textId="77777777" w:rsidR="00654F3E" w:rsidRPr="0091418C" w:rsidRDefault="00654F3E" w:rsidP="00654F3E">
      <w:pPr>
        <w:pStyle w:val="ListParagraph"/>
        <w:numPr>
          <w:ilvl w:val="0"/>
          <w:numId w:val="2"/>
        </w:numPr>
        <w:spacing w:after="240"/>
        <w:rPr>
          <w:lang w:val="sr-Latn-ME"/>
        </w:rPr>
      </w:pPr>
      <w:r w:rsidRPr="0091418C">
        <w:rPr>
          <w:b/>
          <w:lang w:val="sr-Latn-ME"/>
        </w:rPr>
        <w:t xml:space="preserve">Zakon o vodama </w:t>
      </w:r>
      <w:r w:rsidRPr="0091418C">
        <w:rPr>
          <w:lang w:val="sr-Latn-ME"/>
        </w:rPr>
        <w:t>(Sl. list RCG br. 27/07; Sl. list CG br. 73/10, 32/11, 47/11, 48/15, 52/16, 55/16, 2/17, 80/17, 84/18, 84/24) – uređuje upravljanje vodnim resursima, kvalitet voda, rizike od poplava i usklađivanje sa Okvirnom direktivom o vodama;</w:t>
      </w:r>
    </w:p>
    <w:p w14:paraId="14D603B1" w14:textId="77777777" w:rsidR="00654F3E" w:rsidRPr="0091418C" w:rsidRDefault="00654F3E" w:rsidP="00654F3E">
      <w:pPr>
        <w:pStyle w:val="ListParagraph"/>
        <w:numPr>
          <w:ilvl w:val="0"/>
          <w:numId w:val="2"/>
        </w:numPr>
        <w:spacing w:after="240"/>
        <w:rPr>
          <w:lang w:val="sr-Latn-ME"/>
        </w:rPr>
      </w:pPr>
      <w:r w:rsidRPr="0091418C">
        <w:rPr>
          <w:b/>
          <w:lang w:val="sr-Latn-ME"/>
        </w:rPr>
        <w:t>Zakon o finansiranju upravljanja vodama</w:t>
      </w:r>
      <w:r w:rsidRPr="0091418C">
        <w:rPr>
          <w:lang w:val="sr-Latn-ME"/>
        </w:rPr>
        <w:t xml:space="preserve"> (Sl. list CG br. 65/08, 74/10, 40/11, 82/20) – definiše izvore finansiranja, način obračuna i plaćanja naknada za zaštitu i korišćenje voda i </w:t>
      </w:r>
      <w:proofErr w:type="spellStart"/>
      <w:r w:rsidRPr="0091418C">
        <w:rPr>
          <w:lang w:val="sr-Latn-ME"/>
        </w:rPr>
        <w:t>vodnih</w:t>
      </w:r>
      <w:proofErr w:type="spellEnd"/>
      <w:r w:rsidRPr="0091418C">
        <w:rPr>
          <w:lang w:val="sr-Latn-ME"/>
        </w:rPr>
        <w:t xml:space="preserve"> resursa, kao i druga pitanja od značaja za korišćenje tih sredstava;</w:t>
      </w:r>
    </w:p>
    <w:p w14:paraId="71586AB3" w14:textId="77777777" w:rsidR="00654F3E" w:rsidRPr="0091418C" w:rsidRDefault="00654F3E" w:rsidP="00654F3E">
      <w:pPr>
        <w:pStyle w:val="ListParagraph"/>
        <w:numPr>
          <w:ilvl w:val="0"/>
          <w:numId w:val="2"/>
        </w:numPr>
        <w:spacing w:after="240"/>
        <w:rPr>
          <w:lang w:val="sr-Latn-ME"/>
        </w:rPr>
      </w:pPr>
      <w:r w:rsidRPr="0091418C">
        <w:rPr>
          <w:b/>
          <w:lang w:val="sr-Latn-ME"/>
        </w:rPr>
        <w:t>Zakon o upravljanju komunalnim otpadnim vodama</w:t>
      </w:r>
      <w:r w:rsidRPr="0091418C">
        <w:rPr>
          <w:lang w:val="sr-Latn-ME"/>
        </w:rPr>
        <w:t xml:space="preserve"> (Sl. list CG br. 2/17, 84/24) – uređuje upravljanje komunalnim otpadnim vodama, uslove koje moraju ispunjavati sistemi za sakupljanje i postrojenja za prečišćavanje, kao i način sakupljanja, tretmana i ispuštanja;</w:t>
      </w:r>
    </w:p>
    <w:p w14:paraId="68024737" w14:textId="77777777" w:rsidR="00654F3E" w:rsidRPr="0091418C" w:rsidRDefault="00654F3E" w:rsidP="00654F3E">
      <w:pPr>
        <w:pStyle w:val="ListParagraph"/>
        <w:numPr>
          <w:ilvl w:val="0"/>
          <w:numId w:val="2"/>
        </w:numPr>
        <w:spacing w:after="240"/>
        <w:rPr>
          <w:lang w:val="sr-Latn-ME"/>
        </w:rPr>
      </w:pPr>
      <w:r w:rsidRPr="0091418C">
        <w:rPr>
          <w:b/>
          <w:lang w:val="sr-Latn-ME"/>
        </w:rPr>
        <w:t>Zakon o zaštiti vazduha</w:t>
      </w:r>
      <w:r w:rsidRPr="0091418C">
        <w:rPr>
          <w:lang w:val="sr-Latn-ME"/>
        </w:rPr>
        <w:t xml:space="preserve"> (Sl. list CG br. 25/10, 40/11, 43/15, 73/19, 84/24) – predstavlja pravni osnov za upravljanje kvalitetom vazduha, iako Nacionalna strategija upravljanja kvalitetom vazduha (u izradi od 2019) još nije usvojena. Zakon reguliše monitoring kvaliteta vazduha, mjere zaštite, procjenu i </w:t>
      </w:r>
      <w:proofErr w:type="spellStart"/>
      <w:r w:rsidRPr="0091418C">
        <w:rPr>
          <w:lang w:val="sr-Latn-ME"/>
        </w:rPr>
        <w:t>unapređenje</w:t>
      </w:r>
      <w:proofErr w:type="spellEnd"/>
      <w:r w:rsidRPr="0091418C">
        <w:rPr>
          <w:lang w:val="sr-Latn-ME"/>
        </w:rPr>
        <w:t xml:space="preserve"> kvaliteta vazduha, kao i planiranje i upravljanje. Vazduh, kao prirodno dobro od opšteg interesa, uživa posebnu zaštitu u Crnoj Gori;</w:t>
      </w:r>
    </w:p>
    <w:p w14:paraId="3A73024A" w14:textId="77777777" w:rsidR="00654F3E" w:rsidRPr="0091418C" w:rsidRDefault="00654F3E" w:rsidP="00654F3E">
      <w:pPr>
        <w:pStyle w:val="ListParagraph"/>
        <w:numPr>
          <w:ilvl w:val="0"/>
          <w:numId w:val="2"/>
        </w:numPr>
        <w:spacing w:after="240"/>
        <w:rPr>
          <w:lang w:val="sr-Latn-ME"/>
        </w:rPr>
      </w:pPr>
      <w:r w:rsidRPr="0091418C">
        <w:rPr>
          <w:b/>
          <w:lang w:val="sr-Latn-ME"/>
        </w:rPr>
        <w:t>Zakon o klimatskim promjenama</w:t>
      </w:r>
      <w:r w:rsidRPr="0091418C">
        <w:rPr>
          <w:lang w:val="sr-Latn-ME"/>
        </w:rPr>
        <w:t xml:space="preserve"> (Sl. list CG br. 149/25) – uvodi obavezu izrade Strategije </w:t>
      </w:r>
      <w:proofErr w:type="spellStart"/>
      <w:r w:rsidRPr="0091418C">
        <w:rPr>
          <w:lang w:val="sr-Latn-ME"/>
        </w:rPr>
        <w:t>niskougljeničnog</w:t>
      </w:r>
      <w:proofErr w:type="spellEnd"/>
      <w:r w:rsidRPr="0091418C">
        <w:rPr>
          <w:lang w:val="sr-Latn-ME"/>
        </w:rPr>
        <w:t xml:space="preserve"> razvoja i uspostavlja pravni osnov za nacionalni sistem trgovine emisijama (ETS);</w:t>
      </w:r>
    </w:p>
    <w:p w14:paraId="692BADA4" w14:textId="77777777" w:rsidR="00654F3E" w:rsidRPr="0091418C" w:rsidRDefault="00654F3E" w:rsidP="00654F3E">
      <w:pPr>
        <w:pStyle w:val="ListParagraph"/>
        <w:numPr>
          <w:ilvl w:val="0"/>
          <w:numId w:val="2"/>
        </w:numPr>
        <w:spacing w:after="240"/>
        <w:rPr>
          <w:lang w:val="sr-Latn-ME"/>
        </w:rPr>
      </w:pPr>
      <w:r w:rsidRPr="0091418C">
        <w:rPr>
          <w:b/>
          <w:lang w:val="sr-Latn-ME"/>
        </w:rPr>
        <w:lastRenderedPageBreak/>
        <w:t>Plan adaptacije na klimatske promjene 2025–2035</w:t>
      </w:r>
      <w:r w:rsidRPr="0091418C">
        <w:rPr>
          <w:lang w:val="sr-Latn-ME"/>
        </w:rPr>
        <w:t xml:space="preserve"> (jul 2025);</w:t>
      </w:r>
    </w:p>
    <w:p w14:paraId="4BB167D6" w14:textId="77777777" w:rsidR="00654F3E" w:rsidRPr="0091418C" w:rsidRDefault="00654F3E" w:rsidP="00654F3E">
      <w:pPr>
        <w:pStyle w:val="ListParagraph"/>
        <w:numPr>
          <w:ilvl w:val="0"/>
          <w:numId w:val="2"/>
        </w:numPr>
        <w:spacing w:after="240"/>
        <w:rPr>
          <w:lang w:val="sr-Latn-ME"/>
        </w:rPr>
      </w:pPr>
      <w:r w:rsidRPr="0091418C">
        <w:rPr>
          <w:b/>
          <w:lang w:val="sr-Latn-ME"/>
        </w:rPr>
        <w:t>Nacionalna strategija održivog razvoja do 2030. godine</w:t>
      </w:r>
      <w:r w:rsidRPr="0091418C">
        <w:rPr>
          <w:lang w:val="sr-Latn-ME"/>
        </w:rPr>
        <w:t xml:space="preserve"> (usvojena 2016);</w:t>
      </w:r>
    </w:p>
    <w:p w14:paraId="6FE94EDC" w14:textId="77777777" w:rsidR="00654F3E" w:rsidRPr="0091418C" w:rsidRDefault="00654F3E" w:rsidP="00654F3E">
      <w:pPr>
        <w:pStyle w:val="ListParagraph"/>
        <w:numPr>
          <w:ilvl w:val="0"/>
          <w:numId w:val="2"/>
        </w:numPr>
        <w:spacing w:after="240"/>
        <w:rPr>
          <w:lang w:val="sr-Latn-ME"/>
        </w:rPr>
      </w:pPr>
      <w:r w:rsidRPr="0091418C">
        <w:rPr>
          <w:b/>
          <w:lang w:val="sr-Latn-ME"/>
        </w:rPr>
        <w:t>Mapa puta ka cirkularnoj ekonomiji u Crnoj Gori</w:t>
      </w:r>
      <w:r w:rsidRPr="0091418C">
        <w:rPr>
          <w:lang w:val="sr-Latn-ME"/>
        </w:rPr>
        <w:t xml:space="preserve"> (UNDP, 2022);</w:t>
      </w:r>
    </w:p>
    <w:p w14:paraId="6483511F" w14:textId="77777777" w:rsidR="00654F3E" w:rsidRPr="0091418C" w:rsidRDefault="00654F3E" w:rsidP="00654F3E">
      <w:pPr>
        <w:pStyle w:val="ListParagraph"/>
        <w:numPr>
          <w:ilvl w:val="0"/>
          <w:numId w:val="2"/>
        </w:numPr>
        <w:spacing w:after="240"/>
        <w:rPr>
          <w:lang w:val="sr-Latn-ME"/>
        </w:rPr>
      </w:pPr>
      <w:r w:rsidRPr="0091418C">
        <w:rPr>
          <w:b/>
          <w:lang w:val="sr-Latn-ME"/>
        </w:rPr>
        <w:t>Nacrt nacionalne strategije za cirkularnu tranziciju do 2030. godine</w:t>
      </w:r>
      <w:r w:rsidRPr="0091418C">
        <w:rPr>
          <w:lang w:val="sr-Latn-ME"/>
        </w:rPr>
        <w:t xml:space="preserve"> (2022).</w:t>
      </w:r>
    </w:p>
    <w:p w14:paraId="1CCBEE34" w14:textId="77777777" w:rsidR="00654F3E" w:rsidRPr="0091418C" w:rsidRDefault="00654F3E" w:rsidP="00654F3E">
      <w:pPr>
        <w:rPr>
          <w:lang w:val="sr-Latn-ME"/>
        </w:rPr>
      </w:pPr>
      <w:r w:rsidRPr="0091418C">
        <w:rPr>
          <w:lang w:val="sr-Latn-ME"/>
        </w:rPr>
        <w:t xml:space="preserve">Zaštićena područja u Crnoj Gori obuhvataju 13,41% kopnene teritorije (185.270 ha), uključujući pet nacionalnih parkova (Durmitor, Skadarsko jezero, Lovćen, Biogradska gora i Prokletije), kao i više parkova prirode. Pokrivenost zaštićenih morskih područja ostaje vrlo niska, oko 1,79%. Proces uspostavljanja mreže Natura 2000 </w:t>
      </w:r>
      <w:r>
        <w:rPr>
          <w:lang w:val="sr-Latn-ME"/>
        </w:rPr>
        <w:t>je u toku, ali još nije završen,</w:t>
      </w:r>
      <w:r w:rsidRPr="0091418C">
        <w:rPr>
          <w:lang w:val="sr-Latn-ME"/>
        </w:rPr>
        <w:t xml:space="preserve"> dostavljanje dovoljno sveobuhvatne liste predloženih lokaliteta Evropskoj komisiji predstavlja jedno od završnih mjeri</w:t>
      </w:r>
      <w:r>
        <w:rPr>
          <w:lang w:val="sr-Latn-ME"/>
        </w:rPr>
        <w:t>la. Situacija sa Solanom Ulcinj,</w:t>
      </w:r>
      <w:r w:rsidRPr="0091418C">
        <w:rPr>
          <w:lang w:val="sr-Latn-ME"/>
        </w:rPr>
        <w:t xml:space="preserve"> ključnim staništem za </w:t>
      </w:r>
      <w:proofErr w:type="spellStart"/>
      <w:r w:rsidRPr="0091418C">
        <w:rPr>
          <w:lang w:val="sr-Latn-ME"/>
        </w:rPr>
        <w:t>migratorne</w:t>
      </w:r>
      <w:proofErr w:type="spellEnd"/>
      <w:r w:rsidRPr="0091418C">
        <w:rPr>
          <w:lang w:val="sr-Latn-ME"/>
        </w:rPr>
        <w:t xml:space="preserve"> ptice koje je formalno zaštićeno, ali već više od četiri godine nema funkcionalnu upravljačku strukturu</w:t>
      </w:r>
      <w:r>
        <w:rPr>
          <w:lang w:val="sr-Latn-ME"/>
        </w:rPr>
        <w:t xml:space="preserve">, </w:t>
      </w:r>
      <w:r w:rsidRPr="0091418C">
        <w:rPr>
          <w:lang w:val="sr-Latn-ME"/>
        </w:rPr>
        <w:t>i dalje predstavlja značajan problem koji Evropska komisija i civilno društvo kontinuirano ističu.</w:t>
      </w:r>
    </w:p>
    <w:p w14:paraId="567DEF7F" w14:textId="77777777" w:rsidR="00654F3E" w:rsidRPr="0091418C" w:rsidRDefault="00654F3E" w:rsidP="00654F3E">
      <w:pPr>
        <w:rPr>
          <w:lang w:val="sr-Latn-ME"/>
        </w:rPr>
      </w:pPr>
      <w:r w:rsidRPr="0091418C">
        <w:rPr>
          <w:lang w:val="sr-Latn-ME"/>
        </w:rPr>
        <w:t xml:space="preserve">U 2022. godini Crna Gora je </w:t>
      </w:r>
      <w:proofErr w:type="spellStart"/>
      <w:r w:rsidRPr="0091418C">
        <w:rPr>
          <w:lang w:val="sr-Latn-ME"/>
        </w:rPr>
        <w:t>proizvela</w:t>
      </w:r>
      <w:proofErr w:type="spellEnd"/>
      <w:r w:rsidRPr="0091418C">
        <w:rPr>
          <w:lang w:val="sr-Latn-ME"/>
        </w:rPr>
        <w:t xml:space="preserve"> približno 1,41 milion tona ukupnog otpada, od čega oko 336.000 tona komunalnog otpada (544 kg po stanovniku, što je uporedivo sa prosjekom EU od oko 530 kg). Međutim, stopa reciklaže komunalnog otpada je među najnižima u Evropi</w:t>
      </w:r>
      <w:r>
        <w:rPr>
          <w:lang w:val="sr-Latn-ME"/>
        </w:rPr>
        <w:t xml:space="preserve">, </w:t>
      </w:r>
      <w:r w:rsidRPr="0091418C">
        <w:rPr>
          <w:lang w:val="sr-Latn-ME"/>
        </w:rPr>
        <w:t>ispod 5% (uz procjene koje za pojedine godine idu i do svega 0,5%). U zemlji postoji više od 300 nekontrolisanih deponija. Infrastruktura za odvojeno prikupljanje i reciklažu praktično ne postoji izvan nekoliko pilot opština. Na nacionalnom nivou postoj</w:t>
      </w:r>
      <w:r>
        <w:rPr>
          <w:lang w:val="sr-Latn-ME"/>
        </w:rPr>
        <w:t xml:space="preserve">i svega 13 </w:t>
      </w:r>
      <w:proofErr w:type="spellStart"/>
      <w:r>
        <w:rPr>
          <w:lang w:val="sr-Latn-ME"/>
        </w:rPr>
        <w:t>reciklažnih</w:t>
      </w:r>
      <w:proofErr w:type="spellEnd"/>
      <w:r>
        <w:rPr>
          <w:lang w:val="sr-Latn-ME"/>
        </w:rPr>
        <w:t xml:space="preserve"> centara.</w:t>
      </w:r>
    </w:p>
    <w:p w14:paraId="3859B43A" w14:textId="77777777" w:rsidR="00654F3E" w:rsidRPr="0091418C" w:rsidRDefault="00654F3E" w:rsidP="00654F3E">
      <w:pPr>
        <w:rPr>
          <w:lang w:val="sr-Latn-ME"/>
        </w:rPr>
      </w:pPr>
      <w:r w:rsidRPr="0091418C">
        <w:rPr>
          <w:lang w:val="sr-Latn-ME"/>
        </w:rPr>
        <w:t xml:space="preserve">Gubici vode u javnom </w:t>
      </w:r>
      <w:proofErr w:type="spellStart"/>
      <w:r w:rsidRPr="0091418C">
        <w:rPr>
          <w:lang w:val="sr-Latn-ME"/>
        </w:rPr>
        <w:t>vodosnabdijevanju</w:t>
      </w:r>
      <w:proofErr w:type="spellEnd"/>
      <w:r w:rsidRPr="0091418C">
        <w:rPr>
          <w:lang w:val="sr-Latn-ME"/>
        </w:rPr>
        <w:t xml:space="preserve"> su izuzetno visoki. Pokrivenost tretmanom otpadnih voda je i dalje niska, pri čemu se većina otpadnih voda ispušta bez tretmana ili uz djelimičan tretman. Planovi upravljanja riječnim slivovima su u izradi, ali još nijesu završeni za sve oblasti. Morski ekosistem je pod pritiskom </w:t>
      </w:r>
      <w:proofErr w:type="spellStart"/>
      <w:r w:rsidRPr="0091418C">
        <w:rPr>
          <w:lang w:val="sr-Latn-ME"/>
        </w:rPr>
        <w:t>usljed</w:t>
      </w:r>
      <w:proofErr w:type="spellEnd"/>
      <w:r w:rsidRPr="0091418C">
        <w:rPr>
          <w:lang w:val="sr-Latn-ME"/>
        </w:rPr>
        <w:t xml:space="preserve"> turizma, izgradnje na obali i neade</w:t>
      </w:r>
      <w:r>
        <w:rPr>
          <w:lang w:val="sr-Latn-ME"/>
        </w:rPr>
        <w:t>kvatnog tretmana otpadnih voda.</w:t>
      </w:r>
    </w:p>
    <w:p w14:paraId="6463EDC9" w14:textId="77777777" w:rsidR="00654F3E" w:rsidRPr="0091418C" w:rsidRDefault="00654F3E" w:rsidP="00654F3E">
      <w:pPr>
        <w:rPr>
          <w:lang w:val="sr-Latn-ME"/>
        </w:rPr>
      </w:pPr>
      <w:r w:rsidRPr="0091418C">
        <w:rPr>
          <w:lang w:val="sr-Latn-ME"/>
        </w:rPr>
        <w:t xml:space="preserve">Kvalitet vazduha predstavlja ozbiljan problem javnog zdravlja, posebno u </w:t>
      </w:r>
      <w:proofErr w:type="spellStart"/>
      <w:r w:rsidRPr="0091418C">
        <w:rPr>
          <w:lang w:val="sr-Latn-ME"/>
        </w:rPr>
        <w:t>Pljevljima</w:t>
      </w:r>
      <w:proofErr w:type="spellEnd"/>
      <w:r w:rsidRPr="0091418C">
        <w:rPr>
          <w:lang w:val="sr-Latn-ME"/>
        </w:rPr>
        <w:t xml:space="preserve"> (zbog termoelektrane na ugalj i individualnog loženja čvrstih goriva), kao i u Nikšiću i Podgorici. Nacionalna mreža za monitoring kvaliteta vazduha je unaprijeđena u skladu sa međunarodnim standardima, ali nepostojanje usvojene Strategije upravljanja kvalitetom vazduha ostaje značajan nedostatak. Crna Gora još uvijek nema uspostavljen registar emisija i </w:t>
      </w:r>
      <w:proofErr w:type="spellStart"/>
      <w:r w:rsidRPr="0091418C">
        <w:rPr>
          <w:lang w:val="sr-Latn-ME"/>
        </w:rPr>
        <w:t>preno</w:t>
      </w:r>
      <w:r>
        <w:rPr>
          <w:lang w:val="sr-Latn-ME"/>
        </w:rPr>
        <w:t>sa</w:t>
      </w:r>
      <w:proofErr w:type="spellEnd"/>
      <w:r>
        <w:rPr>
          <w:lang w:val="sr-Latn-ME"/>
        </w:rPr>
        <w:t xml:space="preserve"> zagađujućih materija (PRTR).</w:t>
      </w:r>
    </w:p>
    <w:p w14:paraId="68A61441" w14:textId="77777777" w:rsidR="00654F3E" w:rsidRDefault="00654F3E" w:rsidP="00654F3E">
      <w:pPr>
        <w:rPr>
          <w:lang w:val="sr-Latn-ME"/>
        </w:rPr>
      </w:pPr>
      <w:r w:rsidRPr="0091418C">
        <w:rPr>
          <w:lang w:val="sr-Latn-ME"/>
        </w:rPr>
        <w:t>U oblasti klimatskih promjena, inventar emisija GHG za period 1990</w:t>
      </w:r>
      <w:r>
        <w:rPr>
          <w:lang w:val="sr-Latn-ME"/>
        </w:rPr>
        <w:t>-</w:t>
      </w:r>
      <w:r w:rsidRPr="0091418C">
        <w:rPr>
          <w:lang w:val="sr-Latn-ME"/>
        </w:rPr>
        <w:t xml:space="preserve">2022 pokazuje smanjenje od 27,6% (bez LULUCF) u odnosu na 1990. godinu, što je u velikoj mjeri rezultat gašenja Kombinata aluminijuma Podgorica (KAP), a ne sistemskih politika ublažavanja. Kada se uključi LULUCF sektor, smanjenje iznosi 71,3%, što odražava značaj šumskog pokrivača kao ponora ugljenika. Nacionalni ETS funkcioniše od 2022. godine i obuhvata elektroenergetski sektor (TE Pljevlja), ali su cijene ugljenika i dalje preniske da bi podstakle </w:t>
      </w:r>
      <w:proofErr w:type="spellStart"/>
      <w:r w:rsidRPr="0091418C">
        <w:rPr>
          <w:lang w:val="sr-Latn-ME"/>
        </w:rPr>
        <w:t>dekarbonizaciju</w:t>
      </w:r>
      <w:proofErr w:type="spellEnd"/>
      <w:r w:rsidRPr="0091418C">
        <w:rPr>
          <w:lang w:val="sr-Latn-ME"/>
        </w:rPr>
        <w:t xml:space="preserve"> ili generisale značajne prihode za energetsku tranziciju. Potpuno usklađivanje sa EU ETS sistemom</w:t>
      </w:r>
      <w:r>
        <w:rPr>
          <w:lang w:val="sr-Latn-ME"/>
        </w:rPr>
        <w:t>,</w:t>
      </w:r>
      <w:r w:rsidRPr="0091418C">
        <w:rPr>
          <w:lang w:val="sr-Latn-ME"/>
        </w:rPr>
        <w:t xml:space="preserve"> uključujući monitoring, izvještavanje, verifikaciju, regist</w:t>
      </w:r>
      <w:r>
        <w:rPr>
          <w:lang w:val="sr-Latn-ME"/>
        </w:rPr>
        <w:t>re, besplatnu dodjelu i aukcije,</w:t>
      </w:r>
      <w:r w:rsidRPr="0091418C">
        <w:rPr>
          <w:lang w:val="sr-Latn-ME"/>
        </w:rPr>
        <w:t xml:space="preserve"> još uvijek nije završeno.</w:t>
      </w:r>
    </w:p>
    <w:p w14:paraId="4663F275" w14:textId="239DBC1D" w:rsidR="00654F3E" w:rsidRPr="0091418C" w:rsidRDefault="00654F3E" w:rsidP="00654F3E">
      <w:pPr>
        <w:pStyle w:val="Heading3"/>
        <w:rPr>
          <w:rFonts w:eastAsia="Times New Roman"/>
          <w:lang w:val="sr-Latn-ME"/>
        </w:rPr>
      </w:pPr>
      <w:r>
        <w:rPr>
          <w:rFonts w:eastAsia="Times New Roman"/>
          <w:lang w:val="sr-Latn-ME"/>
        </w:rPr>
        <w:t>Planirane i tekuće reforme</w:t>
      </w:r>
    </w:p>
    <w:p w14:paraId="03593B1D" w14:textId="77777777" w:rsidR="00654F3E" w:rsidRPr="0091418C" w:rsidRDefault="00654F3E" w:rsidP="00654F3E">
      <w:pPr>
        <w:rPr>
          <w:lang w:val="sr-Latn-ME"/>
        </w:rPr>
      </w:pPr>
      <w:r w:rsidRPr="0091418C">
        <w:rPr>
          <w:lang w:val="sr-Latn-ME"/>
        </w:rPr>
        <w:t xml:space="preserve">Akcioni plan za ispunjavanje završnih mjerila u Poglavlju 27, usvojen u februaru 2021. godine (uz naknadna ažuriranja), obuhvata 281 obavezu raspoređenu na 25 institucija. Međutim, implementaciju karakterišu spor napredak, česta produženja rokova i visok </w:t>
      </w:r>
      <w:proofErr w:type="spellStart"/>
      <w:r w:rsidRPr="0091418C">
        <w:rPr>
          <w:lang w:val="sr-Latn-ME"/>
        </w:rPr>
        <w:t>udio</w:t>
      </w:r>
      <w:proofErr w:type="spellEnd"/>
      <w:r w:rsidRPr="0091418C">
        <w:rPr>
          <w:lang w:val="sr-Latn-ME"/>
        </w:rPr>
        <w:t xml:space="preserve"> djelimično realizovani</w:t>
      </w:r>
      <w:r>
        <w:rPr>
          <w:lang w:val="sr-Latn-ME"/>
        </w:rPr>
        <w:t>h mjera,</w:t>
      </w:r>
      <w:r w:rsidRPr="0091418C">
        <w:rPr>
          <w:lang w:val="sr-Latn-ME"/>
        </w:rPr>
        <w:t xml:space="preserve"> zbog čega je Koalicija 27 (neformalna mreža od 18 ekoloških NVO) situaciju opisala kao „Poglavlje 27 u vremenskoj zamci“.</w:t>
      </w:r>
    </w:p>
    <w:p w14:paraId="113D7B64" w14:textId="77777777" w:rsidR="00654F3E" w:rsidRPr="0091418C" w:rsidRDefault="00654F3E" w:rsidP="00654F3E">
      <w:pPr>
        <w:rPr>
          <w:lang w:val="sr-Latn-ME"/>
        </w:rPr>
      </w:pPr>
      <w:r w:rsidRPr="0091418C">
        <w:rPr>
          <w:lang w:val="sr-Latn-ME"/>
        </w:rPr>
        <w:t>Ključni prioriteti reformi uključuju:</w:t>
      </w:r>
    </w:p>
    <w:p w14:paraId="7EB3531D" w14:textId="77777777" w:rsidR="00654F3E" w:rsidRPr="00513077" w:rsidRDefault="00654F3E" w:rsidP="00654F3E">
      <w:pPr>
        <w:pStyle w:val="ListParagraph"/>
        <w:numPr>
          <w:ilvl w:val="0"/>
          <w:numId w:val="3"/>
        </w:numPr>
        <w:spacing w:after="240"/>
        <w:rPr>
          <w:rFonts w:eastAsia="Times New Roman" w:cstheme="minorHAnsi"/>
          <w:b/>
          <w:bCs/>
          <w:lang w:val="sr-Latn-ME"/>
        </w:rPr>
      </w:pPr>
      <w:r w:rsidRPr="00513077">
        <w:rPr>
          <w:rFonts w:eastAsia="Times New Roman" w:cstheme="minorHAnsi"/>
          <w:b/>
          <w:bCs/>
          <w:lang w:val="sr-Latn-ME"/>
        </w:rPr>
        <w:lastRenderedPageBreak/>
        <w:t xml:space="preserve">Upravljanje otpadom: </w:t>
      </w:r>
      <w:r w:rsidRPr="00513077">
        <w:rPr>
          <w:rFonts w:eastAsia="Times New Roman" w:cstheme="minorHAnsi"/>
          <w:bCs/>
          <w:lang w:val="sr-Latn-ME"/>
        </w:rPr>
        <w:t xml:space="preserve">sprovođenje novog Zakona o upravljanju otpadom i Državnog plana upravljanja otpadom; uspostavljanje regionalnih centara za upravljanje otpadom (projekat </w:t>
      </w:r>
      <w:proofErr w:type="spellStart"/>
      <w:r w:rsidRPr="00513077">
        <w:rPr>
          <w:rFonts w:eastAsia="Times New Roman" w:cstheme="minorHAnsi"/>
          <w:bCs/>
          <w:lang w:val="sr-Latn-ME"/>
        </w:rPr>
        <w:t>unapređenja</w:t>
      </w:r>
      <w:proofErr w:type="spellEnd"/>
      <w:r w:rsidRPr="00513077">
        <w:rPr>
          <w:rFonts w:eastAsia="Times New Roman" w:cstheme="minorHAnsi"/>
          <w:bCs/>
          <w:lang w:val="sr-Latn-ME"/>
        </w:rPr>
        <w:t xml:space="preserve"> sektora otpada uz podršku Svjetske banke je u pripremi); razvoj infrastrukture za odvojeno prikupljanje otpada i sistema proširene odgovornosti proizvođača (EPR); sanaciju preostalih lokacija opasnog industrijskog otpada (jalovište Gradac, pepeo iz TE </w:t>
      </w:r>
      <w:proofErr w:type="spellStart"/>
      <w:r w:rsidRPr="00513077">
        <w:rPr>
          <w:rFonts w:eastAsia="Times New Roman" w:cstheme="minorHAnsi"/>
          <w:bCs/>
          <w:lang w:val="sr-Latn-ME"/>
        </w:rPr>
        <w:t>Maljevac</w:t>
      </w:r>
      <w:proofErr w:type="spellEnd"/>
      <w:r w:rsidRPr="00513077">
        <w:rPr>
          <w:rFonts w:eastAsia="Times New Roman" w:cstheme="minorHAnsi"/>
          <w:bCs/>
          <w:lang w:val="sr-Latn-ME"/>
        </w:rPr>
        <w:t xml:space="preserve"> </w:t>
      </w:r>
      <w:r>
        <w:rPr>
          <w:rFonts w:eastAsia="Times New Roman" w:cstheme="minorHAnsi"/>
          <w:bCs/>
          <w:lang w:val="sr-Latn-ME"/>
        </w:rPr>
        <w:t>-</w:t>
      </w:r>
      <w:r w:rsidRPr="00513077">
        <w:rPr>
          <w:rFonts w:eastAsia="Times New Roman" w:cstheme="minorHAnsi"/>
          <w:bCs/>
          <w:lang w:val="sr-Latn-ME"/>
        </w:rPr>
        <w:t xml:space="preserve"> djelimično realizovano);</w:t>
      </w:r>
    </w:p>
    <w:p w14:paraId="40886AAF" w14:textId="77777777" w:rsidR="00654F3E" w:rsidRPr="00513077" w:rsidRDefault="00654F3E" w:rsidP="00654F3E">
      <w:pPr>
        <w:pStyle w:val="ListParagraph"/>
        <w:numPr>
          <w:ilvl w:val="0"/>
          <w:numId w:val="3"/>
        </w:numPr>
        <w:spacing w:after="240"/>
        <w:rPr>
          <w:rFonts w:eastAsia="Times New Roman" w:cstheme="minorHAnsi"/>
          <w:b/>
          <w:bCs/>
          <w:lang w:val="sr-Latn-ME"/>
        </w:rPr>
      </w:pPr>
      <w:r w:rsidRPr="00513077">
        <w:rPr>
          <w:rFonts w:eastAsia="Times New Roman" w:cstheme="minorHAnsi"/>
          <w:b/>
          <w:bCs/>
          <w:lang w:val="sr-Latn-ME"/>
        </w:rPr>
        <w:t xml:space="preserve">Kvalitet voda: </w:t>
      </w:r>
      <w:r w:rsidRPr="00513077">
        <w:rPr>
          <w:rFonts w:eastAsia="Times New Roman" w:cstheme="minorHAnsi"/>
          <w:bCs/>
          <w:lang w:val="sr-Latn-ME"/>
        </w:rPr>
        <w:t xml:space="preserve">završetak planova upravljanja riječnim slivovima; određivanje nadležnih organa za </w:t>
      </w:r>
      <w:proofErr w:type="spellStart"/>
      <w:r w:rsidRPr="00513077">
        <w:rPr>
          <w:rFonts w:eastAsia="Times New Roman" w:cstheme="minorHAnsi"/>
          <w:bCs/>
          <w:lang w:val="sr-Latn-ME"/>
        </w:rPr>
        <w:t>vodosnabdijevanje</w:t>
      </w:r>
      <w:proofErr w:type="spellEnd"/>
      <w:r w:rsidRPr="00513077">
        <w:rPr>
          <w:rFonts w:eastAsia="Times New Roman" w:cstheme="minorHAnsi"/>
          <w:bCs/>
          <w:lang w:val="sr-Latn-ME"/>
        </w:rPr>
        <w:t>; ulaganja u infrastrukturu za tretman otpadnih voda (velike investicione potrebe procijenjene na milijarde eura u periodu pristupanja); smanjenje gubitaka u vodovodnoj mreži;</w:t>
      </w:r>
    </w:p>
    <w:p w14:paraId="4C718BD2" w14:textId="77777777" w:rsidR="00654F3E" w:rsidRPr="00513077" w:rsidRDefault="00654F3E" w:rsidP="00654F3E">
      <w:pPr>
        <w:pStyle w:val="ListParagraph"/>
        <w:numPr>
          <w:ilvl w:val="0"/>
          <w:numId w:val="3"/>
        </w:numPr>
        <w:spacing w:after="240"/>
        <w:rPr>
          <w:rFonts w:eastAsia="Times New Roman" w:cstheme="minorHAnsi"/>
          <w:b/>
          <w:bCs/>
          <w:lang w:val="sr-Latn-ME"/>
        </w:rPr>
      </w:pPr>
      <w:r w:rsidRPr="00513077">
        <w:rPr>
          <w:rFonts w:eastAsia="Times New Roman" w:cstheme="minorHAnsi"/>
          <w:b/>
          <w:bCs/>
          <w:lang w:val="sr-Latn-ME"/>
        </w:rPr>
        <w:t xml:space="preserve">Kvalitet vazduha: </w:t>
      </w:r>
      <w:r w:rsidRPr="00513077">
        <w:rPr>
          <w:rFonts w:eastAsia="Times New Roman" w:cstheme="minorHAnsi"/>
          <w:bCs/>
          <w:lang w:val="sr-Latn-ME"/>
        </w:rPr>
        <w:t>usvajanje i sprovođenje Strategije upravljanja kvalitetom vazduha; uspostavljanje registra zagađivača; rješavanje problema individualnog loženja čvrstih goriva kao ključnog izvora urbanog zagađenja;</w:t>
      </w:r>
    </w:p>
    <w:p w14:paraId="3B0DE5BC" w14:textId="77777777" w:rsidR="00654F3E" w:rsidRPr="00513077" w:rsidRDefault="00654F3E" w:rsidP="00654F3E">
      <w:pPr>
        <w:pStyle w:val="ListParagraph"/>
        <w:numPr>
          <w:ilvl w:val="0"/>
          <w:numId w:val="3"/>
        </w:numPr>
        <w:spacing w:after="240"/>
        <w:rPr>
          <w:rFonts w:eastAsia="Times New Roman" w:cstheme="minorHAnsi"/>
          <w:bCs/>
          <w:lang w:val="sr-Latn-ME"/>
        </w:rPr>
      </w:pPr>
      <w:r w:rsidRPr="00513077">
        <w:rPr>
          <w:rFonts w:eastAsia="Times New Roman" w:cstheme="minorHAnsi"/>
          <w:b/>
          <w:bCs/>
          <w:lang w:val="sr-Latn-ME"/>
        </w:rPr>
        <w:t xml:space="preserve">Zaštita prirode: </w:t>
      </w:r>
      <w:r w:rsidRPr="00513077">
        <w:rPr>
          <w:rFonts w:eastAsia="Times New Roman" w:cstheme="minorHAnsi"/>
          <w:bCs/>
          <w:lang w:val="sr-Latn-ME"/>
        </w:rPr>
        <w:t>završetak procesa određivanja Natura 2000 područja i dokazivanje upravljačkih kapaciteta; rješavanje institucionalnog zastoja u upravljanju Solanom Ulcinj; ažuriranje i sprovođenje planova upravljanja nacionalnim parkovima (koji su istekli 2020. i trenutno se obnavljaju za period 2020–2025); jačanje sistema monitoringa biodiverziteta;</w:t>
      </w:r>
    </w:p>
    <w:p w14:paraId="1F332D19" w14:textId="77777777" w:rsidR="00654F3E" w:rsidRPr="00513077" w:rsidRDefault="00654F3E" w:rsidP="00654F3E">
      <w:pPr>
        <w:pStyle w:val="ListParagraph"/>
        <w:numPr>
          <w:ilvl w:val="0"/>
          <w:numId w:val="3"/>
        </w:numPr>
        <w:spacing w:after="240"/>
        <w:rPr>
          <w:rFonts w:eastAsia="Times New Roman" w:cstheme="minorHAnsi"/>
          <w:bCs/>
          <w:lang w:val="sr-Latn-ME"/>
        </w:rPr>
      </w:pPr>
      <w:r w:rsidRPr="00513077">
        <w:rPr>
          <w:rFonts w:eastAsia="Times New Roman" w:cstheme="minorHAnsi"/>
          <w:b/>
          <w:bCs/>
          <w:lang w:val="sr-Latn-ME"/>
        </w:rPr>
        <w:t xml:space="preserve">Klimatske promjene: </w:t>
      </w:r>
      <w:r w:rsidRPr="00513077">
        <w:rPr>
          <w:rFonts w:eastAsia="Times New Roman" w:cstheme="minorHAnsi"/>
          <w:bCs/>
          <w:lang w:val="sr-Latn-ME"/>
        </w:rPr>
        <w:t xml:space="preserve">usklađivanje nacionalnog ETS-a sa EU ETS-om (posebno važno zbog primjene CBAM-a od januara 2026); usvajanje Strategije </w:t>
      </w:r>
      <w:proofErr w:type="spellStart"/>
      <w:r w:rsidRPr="00513077">
        <w:rPr>
          <w:rFonts w:eastAsia="Times New Roman" w:cstheme="minorHAnsi"/>
          <w:bCs/>
          <w:lang w:val="sr-Latn-ME"/>
        </w:rPr>
        <w:t>niskougljeničnog</w:t>
      </w:r>
      <w:proofErr w:type="spellEnd"/>
      <w:r w:rsidRPr="00513077">
        <w:rPr>
          <w:rFonts w:eastAsia="Times New Roman" w:cstheme="minorHAnsi"/>
          <w:bCs/>
          <w:lang w:val="sr-Latn-ME"/>
        </w:rPr>
        <w:t xml:space="preserve"> razvoja; sprovođenje Plana adaptacije na klimatske promjene; jačanje MRV sistema (monitoring, izvještavanje i verifikacija) za emisije gasova sa efektom staklene bašte;</w:t>
      </w:r>
    </w:p>
    <w:p w14:paraId="0955DCB8" w14:textId="77777777" w:rsidR="00654F3E" w:rsidRPr="00513077" w:rsidRDefault="00654F3E" w:rsidP="00654F3E">
      <w:pPr>
        <w:pStyle w:val="ListParagraph"/>
        <w:numPr>
          <w:ilvl w:val="0"/>
          <w:numId w:val="3"/>
        </w:numPr>
        <w:spacing w:after="240"/>
        <w:rPr>
          <w:lang w:val="sr-Latn-ME"/>
        </w:rPr>
      </w:pPr>
      <w:r w:rsidRPr="00513077">
        <w:rPr>
          <w:rFonts w:eastAsia="Times New Roman" w:cstheme="minorHAnsi"/>
          <w:b/>
          <w:bCs/>
          <w:lang w:val="sr-Latn-ME"/>
        </w:rPr>
        <w:t xml:space="preserve">Cirkularna ekonomija: </w:t>
      </w:r>
      <w:r w:rsidRPr="00513077">
        <w:rPr>
          <w:rFonts w:eastAsia="Times New Roman" w:cstheme="minorHAnsi"/>
          <w:bCs/>
          <w:lang w:val="sr-Latn-ME"/>
        </w:rPr>
        <w:t xml:space="preserve">prelazak sa pristupa fokusiranog isključivo na upravljanje otpadom ka punoj primjeni principa cirkularne ekonomije (efikasnost resursa, </w:t>
      </w:r>
      <w:proofErr w:type="spellStart"/>
      <w:r w:rsidRPr="00513077">
        <w:rPr>
          <w:rFonts w:eastAsia="Times New Roman" w:cstheme="minorHAnsi"/>
          <w:bCs/>
          <w:lang w:val="sr-Latn-ME"/>
        </w:rPr>
        <w:t>eko</w:t>
      </w:r>
      <w:proofErr w:type="spellEnd"/>
      <w:r w:rsidRPr="00513077">
        <w:rPr>
          <w:rFonts w:eastAsia="Times New Roman" w:cstheme="minorHAnsi"/>
          <w:bCs/>
          <w:lang w:val="sr-Latn-ME"/>
        </w:rPr>
        <w:t>-dizajn, zelene javne nabavke); sprovođenje Mape puta za cirkularnu ekonomiju.</w:t>
      </w:r>
    </w:p>
    <w:p w14:paraId="3E014102" w14:textId="77777777" w:rsidR="00654F3E" w:rsidRPr="00513077" w:rsidRDefault="00654F3E" w:rsidP="00654F3E">
      <w:pPr>
        <w:rPr>
          <w:lang w:val="sr-Latn-ME"/>
        </w:rPr>
      </w:pPr>
      <w:r w:rsidRPr="00513077">
        <w:rPr>
          <w:lang w:val="sr-Latn-ME"/>
        </w:rPr>
        <w:t xml:space="preserve">Četvrti </w:t>
      </w:r>
      <w:proofErr w:type="spellStart"/>
      <w:r w:rsidRPr="00513077">
        <w:rPr>
          <w:lang w:val="sr-Latn-ME"/>
        </w:rPr>
        <w:t>pregled</w:t>
      </w:r>
      <w:proofErr w:type="spellEnd"/>
      <w:r w:rsidRPr="00513077">
        <w:rPr>
          <w:lang w:val="sr-Latn-ME"/>
        </w:rPr>
        <w:t xml:space="preserve"> učinka u oblasti životne sredine za Crnu Goru </w:t>
      </w:r>
      <w:r>
        <w:rPr>
          <w:lang w:val="sr-Latn-ME"/>
        </w:rPr>
        <w:t>(</w:t>
      </w:r>
      <w:r w:rsidRPr="00513077">
        <w:rPr>
          <w:b/>
          <w:lang w:val="sr-Latn-ME"/>
        </w:rPr>
        <w:t>UNECE</w:t>
      </w:r>
      <w:r>
        <w:rPr>
          <w:lang w:val="sr-Latn-ME"/>
        </w:rPr>
        <w:t>,</w:t>
      </w:r>
      <w:r w:rsidRPr="00513077">
        <w:rPr>
          <w:lang w:val="sr-Latn-ME"/>
        </w:rPr>
        <w:t xml:space="preserve"> oktobar 2025) dao je 58 preporuka koje pokrivaju sve </w:t>
      </w:r>
      <w:proofErr w:type="spellStart"/>
      <w:r w:rsidRPr="00513077">
        <w:rPr>
          <w:lang w:val="sr-Latn-ME"/>
        </w:rPr>
        <w:t>podoblasti</w:t>
      </w:r>
      <w:proofErr w:type="spellEnd"/>
      <w:r w:rsidRPr="00513077">
        <w:rPr>
          <w:lang w:val="sr-Latn-ME"/>
        </w:rPr>
        <w:t>, uključujući usvajanje nacionalne strategije kvaliteta vazduha, sprovođenje održive rudarske politike, primjenu zelenih javnih nabavki, modernizaciju sistema monitoringa životne sredine i razvoj integrisanog nacionalnog informacio</w:t>
      </w:r>
      <w:r>
        <w:rPr>
          <w:lang w:val="sr-Latn-ME"/>
        </w:rPr>
        <w:t>nog sistema za životnu sredinu.</w:t>
      </w:r>
    </w:p>
    <w:p w14:paraId="5127AC1D" w14:textId="77777777" w:rsidR="00654F3E" w:rsidRPr="00513077" w:rsidRDefault="00654F3E" w:rsidP="00654F3E">
      <w:pPr>
        <w:rPr>
          <w:lang w:val="sr-Latn-ME"/>
        </w:rPr>
      </w:pPr>
      <w:r w:rsidRPr="00513077">
        <w:rPr>
          <w:b/>
          <w:lang w:val="sr-Latn-ME"/>
        </w:rPr>
        <w:t>Reformska agenda 2024-2027</w:t>
      </w:r>
      <w:r w:rsidRPr="00513077">
        <w:rPr>
          <w:lang w:val="sr-Latn-ME"/>
        </w:rPr>
        <w:t xml:space="preserve"> u okviru EU Instrumenta za reformu i rast uključuje mjerila u oblasti životne sredine i zelene tranzicije, međutim procjena </w:t>
      </w:r>
      <w:proofErr w:type="spellStart"/>
      <w:r w:rsidRPr="00513077">
        <w:rPr>
          <w:lang w:val="sr-Latn-ME"/>
        </w:rPr>
        <w:t>Climate</w:t>
      </w:r>
      <w:proofErr w:type="spellEnd"/>
      <w:r w:rsidRPr="00513077">
        <w:rPr>
          <w:lang w:val="sr-Latn-ME"/>
        </w:rPr>
        <w:t xml:space="preserve"> </w:t>
      </w:r>
      <w:proofErr w:type="spellStart"/>
      <w:r w:rsidRPr="00513077">
        <w:rPr>
          <w:lang w:val="sr-Latn-ME"/>
        </w:rPr>
        <w:t>Action</w:t>
      </w:r>
      <w:proofErr w:type="spellEnd"/>
      <w:r w:rsidRPr="00513077">
        <w:rPr>
          <w:lang w:val="sr-Latn-ME"/>
        </w:rPr>
        <w:t xml:space="preserve"> </w:t>
      </w:r>
      <w:proofErr w:type="spellStart"/>
      <w:r w:rsidRPr="00513077">
        <w:rPr>
          <w:lang w:val="sr-Latn-ME"/>
        </w:rPr>
        <w:t>Network</w:t>
      </w:r>
      <w:proofErr w:type="spellEnd"/>
      <w:r w:rsidRPr="00513077">
        <w:rPr>
          <w:lang w:val="sr-Latn-ME"/>
        </w:rPr>
        <w:t xml:space="preserve"> </w:t>
      </w:r>
      <w:proofErr w:type="spellStart"/>
      <w:r w:rsidRPr="00513077">
        <w:rPr>
          <w:lang w:val="sr-Latn-ME"/>
        </w:rPr>
        <w:t>Europe</w:t>
      </w:r>
      <w:proofErr w:type="spellEnd"/>
      <w:r w:rsidRPr="00513077">
        <w:rPr>
          <w:lang w:val="sr-Latn-ME"/>
        </w:rPr>
        <w:t xml:space="preserve"> iz decembra 2025. pokazuje da je implementacija neujednačena i da je većina aktivnosti odložena za period 2026–</w:t>
      </w:r>
      <w:r>
        <w:rPr>
          <w:lang w:val="sr-Latn-ME"/>
        </w:rPr>
        <w:t>2029.</w:t>
      </w:r>
    </w:p>
    <w:p w14:paraId="7A02ABD3" w14:textId="77777777" w:rsidR="00654F3E" w:rsidRPr="00513077" w:rsidRDefault="00654F3E" w:rsidP="00654F3E">
      <w:pPr>
        <w:rPr>
          <w:lang w:val="sr-Latn-ME"/>
        </w:rPr>
      </w:pPr>
      <w:r>
        <w:rPr>
          <w:lang w:val="sr-Latn-ME"/>
        </w:rPr>
        <w:t>Turizam,</w:t>
      </w:r>
      <w:r w:rsidRPr="00513077">
        <w:rPr>
          <w:lang w:val="sr-Latn-ME"/>
        </w:rPr>
        <w:t xml:space="preserve"> koji ge</w:t>
      </w:r>
      <w:r>
        <w:rPr>
          <w:lang w:val="sr-Latn-ME"/>
        </w:rPr>
        <w:t>neriše oko 25% BDP-a Crne Gore,</w:t>
      </w:r>
      <w:r w:rsidRPr="00513077">
        <w:rPr>
          <w:lang w:val="sr-Latn-ME"/>
        </w:rPr>
        <w:t xml:space="preserve"> stvara disproporcionalan sezonski pritisak na otpad, vodne resurse i obalne ekosisteme. Nelegalna gradnja u zaštićenim i obalnim zonama i dalje predstavlja ozbiljan problem u sprovođenju propisa. Šumarstvo je dodatno ugroženo nelegalnom sječom i sve učestalijim požarima pove</w:t>
      </w:r>
      <w:r>
        <w:rPr>
          <w:lang w:val="sr-Latn-ME"/>
        </w:rPr>
        <w:t>zanim sa klimatskim promjenama.</w:t>
      </w:r>
    </w:p>
    <w:p w14:paraId="5386AEF1" w14:textId="77777777" w:rsidR="00654F3E" w:rsidRDefault="00654F3E" w:rsidP="00654F3E">
      <w:pPr>
        <w:rPr>
          <w:lang w:val="sr-Latn-ME"/>
        </w:rPr>
      </w:pPr>
      <w:r w:rsidRPr="00513077">
        <w:rPr>
          <w:lang w:val="sr-Latn-ME"/>
        </w:rPr>
        <w:t>P</w:t>
      </w:r>
      <w:r>
        <w:rPr>
          <w:lang w:val="sr-Latn-ME"/>
        </w:rPr>
        <w:t>regovori u okviru Poglavlja 27 -</w:t>
      </w:r>
      <w:r w:rsidRPr="00513077">
        <w:rPr>
          <w:lang w:val="sr-Latn-ME"/>
        </w:rPr>
        <w:t xml:space="preserve"> Životna sredina i klimatske promjene u posljednjim godinama se prvenstveno prate kroz Program pristupanja Crne Gore Evropskoj uniji i kroz napredak u ispunjavanju završnih mjerila. Dodatna podrška obezbijeđena je kroz IPA 2024 Godišnji akcioni program za podršku EU Crnoj Gori u oblasti životne sredine i klimatskih promjena (5,5 miliona eura), kao i kroz Višegodišnji operativni program za životnu sredinu i klimatske promjene za period 2024</w:t>
      </w:r>
      <w:r>
        <w:rPr>
          <w:lang w:val="sr-Latn-ME"/>
        </w:rPr>
        <w:t>-</w:t>
      </w:r>
      <w:r w:rsidRPr="00513077">
        <w:rPr>
          <w:lang w:val="sr-Latn-ME"/>
        </w:rPr>
        <w:t xml:space="preserve">2027, ukupne vrijednosti </w:t>
      </w:r>
      <w:proofErr w:type="spellStart"/>
      <w:r w:rsidRPr="00513077">
        <w:rPr>
          <w:lang w:val="sr-Latn-ME"/>
        </w:rPr>
        <w:t>preko</w:t>
      </w:r>
      <w:proofErr w:type="spellEnd"/>
      <w:r w:rsidRPr="00513077">
        <w:rPr>
          <w:lang w:val="sr-Latn-ME"/>
        </w:rPr>
        <w:t xml:space="preserve"> 38,7 miliona eura. Program je fokusiran na ključne oblasti kao što su upravljanje vodama, upravljanje otpadom, zaštita prirode i klimatske promjene, kao i horizontalne prioritete poput jačanja upravljanja u oblasti životne sredine i institucionalnih kapaciteta. IPA III MOP </w:t>
      </w:r>
      <w:r w:rsidRPr="00513077">
        <w:rPr>
          <w:lang w:val="sr-Latn-ME"/>
        </w:rPr>
        <w:lastRenderedPageBreak/>
        <w:t xml:space="preserve">za životnu sredinu i klimatske promjene obezbjeđuje namjenska sredstva za jačanje administrativnih kapaciteta u </w:t>
      </w:r>
      <w:proofErr w:type="spellStart"/>
      <w:r w:rsidRPr="00513077">
        <w:rPr>
          <w:lang w:val="sr-Latn-ME"/>
        </w:rPr>
        <w:t>podoblastima</w:t>
      </w:r>
      <w:proofErr w:type="spellEnd"/>
      <w:r w:rsidRPr="00513077">
        <w:rPr>
          <w:lang w:val="sr-Latn-ME"/>
        </w:rPr>
        <w:t xml:space="preserve"> Poglavlja 27.</w:t>
      </w:r>
    </w:p>
    <w:p w14:paraId="5F6F5E4C" w14:textId="754663EC" w:rsidR="00654F3E" w:rsidRPr="0011433A" w:rsidRDefault="00654F3E" w:rsidP="00654F3E">
      <w:pPr>
        <w:pStyle w:val="Heading2"/>
        <w:rPr>
          <w:lang w:val="sr-Latn-ME"/>
        </w:rPr>
      </w:pPr>
      <w:r>
        <w:rPr>
          <w:lang w:val="sr-Latn-ME"/>
        </w:rPr>
        <w:t>Ključni indikatori</w:t>
      </w:r>
    </w:p>
    <w:tbl>
      <w:tblPr>
        <w:tblStyle w:val="TableGrid"/>
        <w:tblW w:w="5000" w:type="pct"/>
        <w:tblLook w:val="04A0" w:firstRow="1" w:lastRow="0" w:firstColumn="1" w:lastColumn="0" w:noHBand="0" w:noVBand="1"/>
      </w:tblPr>
      <w:tblGrid>
        <w:gridCol w:w="2043"/>
        <w:gridCol w:w="1876"/>
        <w:gridCol w:w="1791"/>
        <w:gridCol w:w="1791"/>
        <w:gridCol w:w="1849"/>
      </w:tblGrid>
      <w:tr w:rsidR="00654F3E" w:rsidRPr="00654F3E" w14:paraId="6A4A717B" w14:textId="77777777" w:rsidTr="00654F3E">
        <w:trPr>
          <w:trHeight w:val="377"/>
        </w:trPr>
        <w:tc>
          <w:tcPr>
            <w:tcW w:w="1092" w:type="pct"/>
            <w:shd w:val="clear" w:color="auto" w:fill="83CAEB" w:themeFill="accent1" w:themeFillTint="66"/>
            <w:vAlign w:val="center"/>
            <w:hideMark/>
          </w:tcPr>
          <w:p w14:paraId="59B36C31" w14:textId="77777777" w:rsidR="00654F3E" w:rsidRPr="00654F3E" w:rsidRDefault="00654F3E" w:rsidP="0028553F">
            <w:pPr>
              <w:jc w:val="center"/>
              <w:rPr>
                <w:b/>
                <w:sz w:val="16"/>
                <w:szCs w:val="16"/>
                <w:lang w:val="sr-Latn-BA"/>
              </w:rPr>
            </w:pPr>
            <w:r w:rsidRPr="00654F3E">
              <w:rPr>
                <w:b/>
                <w:sz w:val="16"/>
                <w:szCs w:val="16"/>
                <w:lang w:val="sr-Latn-BA"/>
              </w:rPr>
              <w:t>Indikator</w:t>
            </w:r>
          </w:p>
        </w:tc>
        <w:tc>
          <w:tcPr>
            <w:tcW w:w="1003" w:type="pct"/>
            <w:shd w:val="clear" w:color="auto" w:fill="83CAEB" w:themeFill="accent1" w:themeFillTint="66"/>
            <w:vAlign w:val="center"/>
            <w:hideMark/>
          </w:tcPr>
          <w:p w14:paraId="534A779B" w14:textId="77777777" w:rsidR="00654F3E" w:rsidRPr="00654F3E" w:rsidRDefault="00654F3E" w:rsidP="0028553F">
            <w:pPr>
              <w:jc w:val="center"/>
              <w:rPr>
                <w:b/>
                <w:sz w:val="16"/>
                <w:szCs w:val="16"/>
                <w:lang w:val="sr-Latn-BA"/>
              </w:rPr>
            </w:pPr>
            <w:r w:rsidRPr="00654F3E">
              <w:rPr>
                <w:b/>
                <w:sz w:val="16"/>
                <w:szCs w:val="16"/>
                <w:lang w:val="sr-Latn-BA"/>
              </w:rPr>
              <w:t>Crna Gora</w:t>
            </w:r>
          </w:p>
        </w:tc>
        <w:tc>
          <w:tcPr>
            <w:tcW w:w="958" w:type="pct"/>
            <w:shd w:val="clear" w:color="auto" w:fill="83CAEB" w:themeFill="accent1" w:themeFillTint="66"/>
            <w:vAlign w:val="center"/>
            <w:hideMark/>
          </w:tcPr>
          <w:p w14:paraId="6ADB4D0C" w14:textId="77777777" w:rsidR="00654F3E" w:rsidRPr="00654F3E" w:rsidRDefault="00654F3E" w:rsidP="0028553F">
            <w:pPr>
              <w:jc w:val="center"/>
              <w:rPr>
                <w:b/>
                <w:sz w:val="16"/>
                <w:szCs w:val="16"/>
                <w:lang w:val="sr-Latn-BA"/>
              </w:rPr>
            </w:pPr>
            <w:r w:rsidRPr="00654F3E">
              <w:rPr>
                <w:b/>
                <w:sz w:val="16"/>
                <w:szCs w:val="16"/>
                <w:lang w:val="sr-Latn-BA"/>
              </w:rPr>
              <w:t>Prosjek EU-27</w:t>
            </w:r>
          </w:p>
        </w:tc>
        <w:tc>
          <w:tcPr>
            <w:tcW w:w="958" w:type="pct"/>
            <w:shd w:val="clear" w:color="auto" w:fill="83CAEB" w:themeFill="accent1" w:themeFillTint="66"/>
            <w:vAlign w:val="center"/>
            <w:hideMark/>
          </w:tcPr>
          <w:p w14:paraId="7A27BA18" w14:textId="77777777" w:rsidR="00654F3E" w:rsidRPr="00654F3E" w:rsidRDefault="00654F3E" w:rsidP="0028553F">
            <w:pPr>
              <w:jc w:val="center"/>
              <w:rPr>
                <w:b/>
                <w:sz w:val="16"/>
                <w:szCs w:val="16"/>
                <w:lang w:val="sr-Latn-BA"/>
              </w:rPr>
            </w:pPr>
            <w:r w:rsidRPr="00654F3E">
              <w:rPr>
                <w:b/>
                <w:sz w:val="16"/>
                <w:szCs w:val="16"/>
                <w:lang w:val="sr-Latn-BA"/>
              </w:rPr>
              <w:t>Cilj/Referentna vrijednost</w:t>
            </w:r>
          </w:p>
        </w:tc>
        <w:tc>
          <w:tcPr>
            <w:tcW w:w="990" w:type="pct"/>
            <w:shd w:val="clear" w:color="auto" w:fill="83CAEB" w:themeFill="accent1" w:themeFillTint="66"/>
            <w:vAlign w:val="center"/>
            <w:hideMark/>
          </w:tcPr>
          <w:p w14:paraId="611B2AEB" w14:textId="77777777" w:rsidR="00654F3E" w:rsidRPr="00654F3E" w:rsidRDefault="00654F3E" w:rsidP="0028553F">
            <w:pPr>
              <w:jc w:val="center"/>
              <w:rPr>
                <w:b/>
                <w:sz w:val="16"/>
                <w:szCs w:val="16"/>
                <w:lang w:val="sr-Latn-BA"/>
              </w:rPr>
            </w:pPr>
            <w:r w:rsidRPr="00654F3E">
              <w:rPr>
                <w:b/>
                <w:sz w:val="16"/>
                <w:szCs w:val="16"/>
                <w:lang w:val="sr-Latn-BA"/>
              </w:rPr>
              <w:t>Godina/Izvor</w:t>
            </w:r>
          </w:p>
        </w:tc>
      </w:tr>
      <w:tr w:rsidR="00654F3E" w:rsidRPr="00654F3E" w14:paraId="5407DC19" w14:textId="77777777" w:rsidTr="00654F3E">
        <w:trPr>
          <w:trHeight w:val="377"/>
        </w:trPr>
        <w:tc>
          <w:tcPr>
            <w:tcW w:w="5000" w:type="pct"/>
            <w:gridSpan w:val="5"/>
            <w:shd w:val="clear" w:color="auto" w:fill="FFFFFF" w:themeFill="background1"/>
            <w:vAlign w:val="center"/>
          </w:tcPr>
          <w:p w14:paraId="44F05C0B" w14:textId="77777777" w:rsidR="00654F3E" w:rsidRPr="00654F3E" w:rsidRDefault="00654F3E" w:rsidP="0028553F">
            <w:pPr>
              <w:jc w:val="left"/>
              <w:rPr>
                <w:rFonts w:eastAsia="Times New Roman" w:cstheme="minorHAnsi"/>
                <w:b/>
                <w:bCs/>
                <w:sz w:val="16"/>
                <w:szCs w:val="16"/>
                <w:lang w:val="sr-Latn-ME"/>
              </w:rPr>
            </w:pPr>
            <w:r w:rsidRPr="00654F3E">
              <w:rPr>
                <w:rFonts w:eastAsia="Times New Roman" w:cstheme="minorHAnsi"/>
                <w:b/>
                <w:bCs/>
                <w:sz w:val="16"/>
                <w:szCs w:val="16"/>
                <w:lang w:val="sr-Latn-ME"/>
              </w:rPr>
              <w:t>Životna sredina i klimatske promjene</w:t>
            </w:r>
          </w:p>
        </w:tc>
      </w:tr>
      <w:tr w:rsidR="00654F3E" w:rsidRPr="00654F3E" w14:paraId="675F4FB5" w14:textId="77777777" w:rsidTr="00654F3E">
        <w:tc>
          <w:tcPr>
            <w:tcW w:w="1092" w:type="pct"/>
            <w:hideMark/>
          </w:tcPr>
          <w:p w14:paraId="4C939D92"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Smanjenje emisija GHG u odnosu na 1990 (bez LULUCF)</w:t>
            </w:r>
          </w:p>
        </w:tc>
        <w:tc>
          <w:tcPr>
            <w:tcW w:w="1003" w:type="pct"/>
            <w:hideMark/>
          </w:tcPr>
          <w:p w14:paraId="5610D8DB"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-27.6%</w:t>
            </w:r>
          </w:p>
        </w:tc>
        <w:tc>
          <w:tcPr>
            <w:tcW w:w="958" w:type="pct"/>
            <w:hideMark/>
          </w:tcPr>
          <w:p w14:paraId="5F5C3C33"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-32.5%</w:t>
            </w:r>
          </w:p>
        </w:tc>
        <w:tc>
          <w:tcPr>
            <w:tcW w:w="958" w:type="pct"/>
            <w:hideMark/>
          </w:tcPr>
          <w:p w14:paraId="707E46EB"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-55% do 2030 (</w:t>
            </w:r>
            <w:proofErr w:type="spellStart"/>
            <w:r w:rsidRPr="00654F3E">
              <w:rPr>
                <w:rFonts w:eastAsia="Times New Roman" w:cstheme="minorHAnsi"/>
                <w:sz w:val="16"/>
                <w:szCs w:val="16"/>
                <w:lang w:val="sr-Latn-ME"/>
              </w:rPr>
              <w:t>EnC</w:t>
            </w:r>
            <w:proofErr w:type="spellEnd"/>
            <w:r w:rsidRPr="00654F3E">
              <w:rPr>
                <w:rFonts w:eastAsia="Times New Roman" w:cstheme="minorHAnsi"/>
                <w:sz w:val="16"/>
                <w:szCs w:val="16"/>
                <w:lang w:val="sr-Latn-ME"/>
              </w:rPr>
              <w:t xml:space="preserve"> target)</w:t>
            </w:r>
          </w:p>
        </w:tc>
        <w:tc>
          <w:tcPr>
            <w:tcW w:w="990" w:type="pct"/>
            <w:hideMark/>
          </w:tcPr>
          <w:p w14:paraId="37738FC5"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2022, EEA/NDC</w:t>
            </w:r>
          </w:p>
        </w:tc>
      </w:tr>
      <w:tr w:rsidR="00654F3E" w:rsidRPr="00654F3E" w14:paraId="18338ED8" w14:textId="77777777" w:rsidTr="00654F3E">
        <w:tc>
          <w:tcPr>
            <w:tcW w:w="1092" w:type="pct"/>
            <w:hideMark/>
          </w:tcPr>
          <w:p w14:paraId="4E81B61C"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Smanjenje emisija GHG u odnosu na 1990 (sa LULUCF)</w:t>
            </w:r>
          </w:p>
        </w:tc>
        <w:tc>
          <w:tcPr>
            <w:tcW w:w="1003" w:type="pct"/>
            <w:hideMark/>
          </w:tcPr>
          <w:p w14:paraId="61342477"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-71.3%</w:t>
            </w:r>
          </w:p>
        </w:tc>
        <w:tc>
          <w:tcPr>
            <w:tcW w:w="958" w:type="pct"/>
            <w:hideMark/>
          </w:tcPr>
          <w:p w14:paraId="2867D055"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w:t>
            </w:r>
          </w:p>
        </w:tc>
        <w:tc>
          <w:tcPr>
            <w:tcW w:w="958" w:type="pct"/>
            <w:hideMark/>
          </w:tcPr>
          <w:p w14:paraId="31B02452"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-60% do 2035 (NDC)</w:t>
            </w:r>
          </w:p>
        </w:tc>
        <w:tc>
          <w:tcPr>
            <w:tcW w:w="990" w:type="pct"/>
            <w:hideMark/>
          </w:tcPr>
          <w:p w14:paraId="4D6E36A7"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2022, EEA</w:t>
            </w:r>
          </w:p>
        </w:tc>
      </w:tr>
      <w:tr w:rsidR="00654F3E" w:rsidRPr="00654F3E" w14:paraId="00D9A49E" w14:textId="77777777" w:rsidTr="00654F3E">
        <w:tc>
          <w:tcPr>
            <w:tcW w:w="1092" w:type="pct"/>
            <w:hideMark/>
          </w:tcPr>
          <w:p w14:paraId="0CFBB6B5"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Stopa reciklaže komunalnog otpada</w:t>
            </w:r>
          </w:p>
        </w:tc>
        <w:tc>
          <w:tcPr>
            <w:tcW w:w="1003" w:type="pct"/>
            <w:hideMark/>
          </w:tcPr>
          <w:p w14:paraId="2F9D071C"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&lt;5%</w:t>
            </w:r>
          </w:p>
        </w:tc>
        <w:tc>
          <w:tcPr>
            <w:tcW w:w="958" w:type="pct"/>
            <w:hideMark/>
          </w:tcPr>
          <w:p w14:paraId="36269058"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~49.8%</w:t>
            </w:r>
          </w:p>
        </w:tc>
        <w:tc>
          <w:tcPr>
            <w:tcW w:w="958" w:type="pct"/>
            <w:hideMark/>
          </w:tcPr>
          <w:p w14:paraId="007C4B47"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50% do 2030 (Poglavlje 27)</w:t>
            </w:r>
          </w:p>
        </w:tc>
        <w:tc>
          <w:tcPr>
            <w:tcW w:w="990" w:type="pct"/>
            <w:hideMark/>
          </w:tcPr>
          <w:p w14:paraId="3B6084F6"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2022, MONSTAT/</w:t>
            </w:r>
            <w:proofErr w:type="spellStart"/>
            <w:r w:rsidRPr="00654F3E">
              <w:rPr>
                <w:rFonts w:eastAsia="Times New Roman" w:cstheme="minorHAnsi"/>
                <w:sz w:val="16"/>
                <w:szCs w:val="16"/>
                <w:lang w:val="sr-Latn-ME"/>
              </w:rPr>
              <w:t>Eurostat</w:t>
            </w:r>
            <w:proofErr w:type="spellEnd"/>
          </w:p>
        </w:tc>
      </w:tr>
      <w:tr w:rsidR="00654F3E" w:rsidRPr="00654F3E" w14:paraId="3950AE8A" w14:textId="77777777" w:rsidTr="00654F3E">
        <w:tc>
          <w:tcPr>
            <w:tcW w:w="1092" w:type="pct"/>
            <w:hideMark/>
          </w:tcPr>
          <w:p w14:paraId="388CF8C5"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Komunalni otpad po stanovniku (kg)</w:t>
            </w:r>
          </w:p>
        </w:tc>
        <w:tc>
          <w:tcPr>
            <w:tcW w:w="1003" w:type="pct"/>
            <w:hideMark/>
          </w:tcPr>
          <w:p w14:paraId="13308053"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~544</w:t>
            </w:r>
          </w:p>
        </w:tc>
        <w:tc>
          <w:tcPr>
            <w:tcW w:w="958" w:type="pct"/>
            <w:hideMark/>
          </w:tcPr>
          <w:p w14:paraId="46B7BE87"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~530</w:t>
            </w:r>
          </w:p>
        </w:tc>
        <w:tc>
          <w:tcPr>
            <w:tcW w:w="958" w:type="pct"/>
            <w:hideMark/>
          </w:tcPr>
          <w:p w14:paraId="12151ABC"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w:t>
            </w:r>
          </w:p>
        </w:tc>
        <w:tc>
          <w:tcPr>
            <w:tcW w:w="990" w:type="pct"/>
            <w:hideMark/>
          </w:tcPr>
          <w:p w14:paraId="4EAF6208"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2022, MONSTAT</w:t>
            </w:r>
          </w:p>
        </w:tc>
      </w:tr>
      <w:tr w:rsidR="00654F3E" w:rsidRPr="00654F3E" w14:paraId="21D790F7" w14:textId="77777777" w:rsidTr="00654F3E">
        <w:tc>
          <w:tcPr>
            <w:tcW w:w="1092" w:type="pct"/>
            <w:hideMark/>
          </w:tcPr>
          <w:p w14:paraId="6744B19B"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Zaštićena kopnena područja (% teritorije)</w:t>
            </w:r>
          </w:p>
        </w:tc>
        <w:tc>
          <w:tcPr>
            <w:tcW w:w="1003" w:type="pct"/>
            <w:hideMark/>
          </w:tcPr>
          <w:p w14:paraId="515E8078"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13.41%</w:t>
            </w:r>
          </w:p>
        </w:tc>
        <w:tc>
          <w:tcPr>
            <w:tcW w:w="958" w:type="pct"/>
            <w:hideMark/>
          </w:tcPr>
          <w:p w14:paraId="31734A6B"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~26% (Natura 2000)</w:t>
            </w:r>
          </w:p>
        </w:tc>
        <w:tc>
          <w:tcPr>
            <w:tcW w:w="958" w:type="pct"/>
            <w:hideMark/>
          </w:tcPr>
          <w:p w14:paraId="2EFAC802"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30% do 2030 (EU target)</w:t>
            </w:r>
          </w:p>
        </w:tc>
        <w:tc>
          <w:tcPr>
            <w:tcW w:w="990" w:type="pct"/>
            <w:hideMark/>
          </w:tcPr>
          <w:p w14:paraId="65D7C619"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2024, EEA</w:t>
            </w:r>
          </w:p>
        </w:tc>
      </w:tr>
      <w:tr w:rsidR="00654F3E" w:rsidRPr="00654F3E" w14:paraId="2CF789FE" w14:textId="77777777" w:rsidTr="00654F3E">
        <w:tc>
          <w:tcPr>
            <w:tcW w:w="1092" w:type="pct"/>
            <w:hideMark/>
          </w:tcPr>
          <w:p w14:paraId="65E10C13"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Zaštićena morska područja (% morskog teritorija)</w:t>
            </w:r>
          </w:p>
        </w:tc>
        <w:tc>
          <w:tcPr>
            <w:tcW w:w="1003" w:type="pct"/>
            <w:hideMark/>
          </w:tcPr>
          <w:p w14:paraId="05992586"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~1.79%</w:t>
            </w:r>
          </w:p>
        </w:tc>
        <w:tc>
          <w:tcPr>
            <w:tcW w:w="958" w:type="pct"/>
            <w:hideMark/>
          </w:tcPr>
          <w:p w14:paraId="5F413961"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~12%</w:t>
            </w:r>
          </w:p>
        </w:tc>
        <w:tc>
          <w:tcPr>
            <w:tcW w:w="958" w:type="pct"/>
            <w:hideMark/>
          </w:tcPr>
          <w:p w14:paraId="644324D0"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30% do 2030 (EU target)</w:t>
            </w:r>
          </w:p>
        </w:tc>
        <w:tc>
          <w:tcPr>
            <w:tcW w:w="990" w:type="pct"/>
            <w:hideMark/>
          </w:tcPr>
          <w:p w14:paraId="7EE832F3"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2024, EEA</w:t>
            </w:r>
          </w:p>
        </w:tc>
      </w:tr>
      <w:tr w:rsidR="00654F3E" w:rsidRPr="00654F3E" w14:paraId="5998A58A" w14:textId="77777777" w:rsidTr="00654F3E">
        <w:tc>
          <w:tcPr>
            <w:tcW w:w="1092" w:type="pct"/>
            <w:hideMark/>
          </w:tcPr>
          <w:p w14:paraId="2F75968A"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Natura 2000 lokaliteti dostavljeni EK</w:t>
            </w:r>
          </w:p>
        </w:tc>
        <w:tc>
          <w:tcPr>
            <w:tcW w:w="1003" w:type="pct"/>
            <w:hideMark/>
          </w:tcPr>
          <w:p w14:paraId="4D1CE7A0"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 xml:space="preserve">Nije dostavljeno </w:t>
            </w:r>
          </w:p>
        </w:tc>
        <w:tc>
          <w:tcPr>
            <w:tcW w:w="958" w:type="pct"/>
            <w:hideMark/>
          </w:tcPr>
          <w:p w14:paraId="68EEC781"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w:t>
            </w:r>
          </w:p>
        </w:tc>
        <w:tc>
          <w:tcPr>
            <w:tcW w:w="958" w:type="pct"/>
            <w:hideMark/>
          </w:tcPr>
          <w:p w14:paraId="2B688CA9"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Završno mjerilo</w:t>
            </w:r>
          </w:p>
        </w:tc>
        <w:tc>
          <w:tcPr>
            <w:tcW w:w="990" w:type="pct"/>
            <w:hideMark/>
          </w:tcPr>
          <w:p w14:paraId="64E8FF57"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 xml:space="preserve">2025, EC </w:t>
            </w:r>
            <w:proofErr w:type="spellStart"/>
            <w:r w:rsidRPr="00654F3E">
              <w:rPr>
                <w:rFonts w:eastAsia="Times New Roman" w:cstheme="minorHAnsi"/>
                <w:sz w:val="16"/>
                <w:szCs w:val="16"/>
                <w:lang w:val="sr-Latn-ME"/>
              </w:rPr>
              <w:t>Report</w:t>
            </w:r>
            <w:proofErr w:type="spellEnd"/>
          </w:p>
        </w:tc>
      </w:tr>
      <w:tr w:rsidR="00654F3E" w:rsidRPr="00654F3E" w14:paraId="10D2497B" w14:textId="77777777" w:rsidTr="00654F3E">
        <w:tc>
          <w:tcPr>
            <w:tcW w:w="1092" w:type="pct"/>
            <w:hideMark/>
          </w:tcPr>
          <w:p w14:paraId="50137F6A"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Obuhvat tretmana otpadnih voda</w:t>
            </w:r>
          </w:p>
        </w:tc>
        <w:tc>
          <w:tcPr>
            <w:tcW w:w="1003" w:type="pct"/>
            <w:hideMark/>
          </w:tcPr>
          <w:p w14:paraId="170BEF02"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 xml:space="preserve">Nizak (većinom bez tretmana) </w:t>
            </w:r>
          </w:p>
        </w:tc>
        <w:tc>
          <w:tcPr>
            <w:tcW w:w="958" w:type="pct"/>
            <w:hideMark/>
          </w:tcPr>
          <w:p w14:paraId="3FDCEFFA"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~80%+ sekundarni/tercijarni tretman</w:t>
            </w:r>
          </w:p>
        </w:tc>
        <w:tc>
          <w:tcPr>
            <w:tcW w:w="958" w:type="pct"/>
            <w:hideMark/>
          </w:tcPr>
          <w:p w14:paraId="19EF11E7"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Usklađenost sa UWWTD)</w:t>
            </w:r>
          </w:p>
        </w:tc>
        <w:tc>
          <w:tcPr>
            <w:tcW w:w="990" w:type="pct"/>
            <w:hideMark/>
          </w:tcPr>
          <w:p w14:paraId="038E9AB8"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2023, UNECE EPR</w:t>
            </w:r>
          </w:p>
        </w:tc>
      </w:tr>
      <w:tr w:rsidR="00654F3E" w:rsidRPr="00654F3E" w14:paraId="5C522453" w14:textId="77777777" w:rsidTr="00654F3E">
        <w:tc>
          <w:tcPr>
            <w:tcW w:w="1092" w:type="pct"/>
            <w:hideMark/>
          </w:tcPr>
          <w:p w14:paraId="6E59B5D8"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Gubici u vodovodnoj mreži</w:t>
            </w:r>
          </w:p>
        </w:tc>
        <w:tc>
          <w:tcPr>
            <w:tcW w:w="1003" w:type="pct"/>
            <w:hideMark/>
          </w:tcPr>
          <w:p w14:paraId="02A20839"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Veoma visoki (&gt;50% u nekim područjima)</w:t>
            </w:r>
          </w:p>
        </w:tc>
        <w:tc>
          <w:tcPr>
            <w:tcW w:w="958" w:type="pct"/>
            <w:hideMark/>
          </w:tcPr>
          <w:p w14:paraId="1D2223CA"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 xml:space="preserve">~25% EU </w:t>
            </w:r>
            <w:proofErr w:type="spellStart"/>
            <w:r w:rsidRPr="00654F3E">
              <w:rPr>
                <w:rFonts w:eastAsia="Times New Roman" w:cstheme="minorHAnsi"/>
                <w:sz w:val="16"/>
                <w:szCs w:val="16"/>
                <w:lang w:val="sr-Latn-ME"/>
              </w:rPr>
              <w:t>avg</w:t>
            </w:r>
            <w:proofErr w:type="spellEnd"/>
          </w:p>
        </w:tc>
        <w:tc>
          <w:tcPr>
            <w:tcW w:w="958" w:type="pct"/>
            <w:hideMark/>
          </w:tcPr>
          <w:p w14:paraId="41C3AEE3"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w:t>
            </w:r>
          </w:p>
        </w:tc>
        <w:tc>
          <w:tcPr>
            <w:tcW w:w="990" w:type="pct"/>
            <w:hideMark/>
          </w:tcPr>
          <w:p w14:paraId="0B191548"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2025, UNECE EPR</w:t>
            </w:r>
          </w:p>
        </w:tc>
      </w:tr>
      <w:tr w:rsidR="00654F3E" w:rsidRPr="00654F3E" w14:paraId="750EB1CD" w14:textId="77777777" w:rsidTr="00654F3E">
        <w:tc>
          <w:tcPr>
            <w:tcW w:w="1092" w:type="pct"/>
            <w:hideMark/>
          </w:tcPr>
          <w:p w14:paraId="564874B2"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Kvalitet vazduha – prekoračenja PM2.5</w:t>
            </w:r>
          </w:p>
        </w:tc>
        <w:tc>
          <w:tcPr>
            <w:tcW w:w="1003" w:type="pct"/>
            <w:hideMark/>
          </w:tcPr>
          <w:p w14:paraId="34B1A3C3"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Česta (Pljevlja, Nikšić)</w:t>
            </w:r>
          </w:p>
        </w:tc>
        <w:tc>
          <w:tcPr>
            <w:tcW w:w="958" w:type="pct"/>
            <w:hideMark/>
          </w:tcPr>
          <w:p w14:paraId="1DE4342D"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Trend opadanja</w:t>
            </w:r>
          </w:p>
        </w:tc>
        <w:tc>
          <w:tcPr>
            <w:tcW w:w="958" w:type="pct"/>
            <w:hideMark/>
          </w:tcPr>
          <w:p w14:paraId="56B26F00"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WHO/EU granične vrijednosti</w:t>
            </w:r>
          </w:p>
        </w:tc>
        <w:tc>
          <w:tcPr>
            <w:tcW w:w="990" w:type="pct"/>
            <w:hideMark/>
          </w:tcPr>
          <w:p w14:paraId="165925E0"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2023, EPA Montenegro</w:t>
            </w:r>
          </w:p>
        </w:tc>
      </w:tr>
      <w:tr w:rsidR="00654F3E" w:rsidRPr="00654F3E" w14:paraId="49E56232" w14:textId="77777777" w:rsidTr="00654F3E">
        <w:tc>
          <w:tcPr>
            <w:tcW w:w="1092" w:type="pct"/>
            <w:hideMark/>
          </w:tcPr>
          <w:p w14:paraId="4FC804DA"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Broj neuređenih odlagališta otpada</w:t>
            </w:r>
          </w:p>
        </w:tc>
        <w:tc>
          <w:tcPr>
            <w:tcW w:w="1003" w:type="pct"/>
            <w:hideMark/>
          </w:tcPr>
          <w:p w14:paraId="476EF0F1"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&gt;300</w:t>
            </w:r>
          </w:p>
        </w:tc>
        <w:tc>
          <w:tcPr>
            <w:tcW w:w="958" w:type="pct"/>
            <w:hideMark/>
          </w:tcPr>
          <w:p w14:paraId="061E2DEA"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Gotovo nula</w:t>
            </w:r>
          </w:p>
        </w:tc>
        <w:tc>
          <w:tcPr>
            <w:tcW w:w="958" w:type="pct"/>
            <w:hideMark/>
          </w:tcPr>
          <w:p w14:paraId="4ED40DBF"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Potpuna sanacija</w:t>
            </w:r>
          </w:p>
        </w:tc>
        <w:tc>
          <w:tcPr>
            <w:tcW w:w="990" w:type="pct"/>
            <w:hideMark/>
          </w:tcPr>
          <w:p w14:paraId="38204AE1"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2024, MONSTAT/WB</w:t>
            </w:r>
          </w:p>
        </w:tc>
      </w:tr>
      <w:tr w:rsidR="00654F3E" w:rsidRPr="00654F3E" w14:paraId="33CC27F6" w14:textId="77777777" w:rsidTr="00654F3E">
        <w:tc>
          <w:tcPr>
            <w:tcW w:w="1092" w:type="pct"/>
            <w:hideMark/>
          </w:tcPr>
          <w:p w14:paraId="7FF4E470"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Stopa cirkularne upotrebe materijala</w:t>
            </w:r>
          </w:p>
        </w:tc>
        <w:tc>
          <w:tcPr>
            <w:tcW w:w="1003" w:type="pct"/>
            <w:hideMark/>
          </w:tcPr>
          <w:p w14:paraId="70EC9971" w14:textId="77777777" w:rsidR="00654F3E" w:rsidRPr="00654F3E" w:rsidRDefault="00654F3E" w:rsidP="0028553F">
            <w:pPr>
              <w:rPr>
                <w:rFonts w:eastAsia="Times New Roman" w:cstheme="minorHAnsi"/>
                <w:sz w:val="16"/>
                <w:szCs w:val="16"/>
                <w:lang w:val="sr-Latn-ME"/>
              </w:rPr>
            </w:pPr>
            <w:proofErr w:type="spellStart"/>
            <w:r w:rsidRPr="00654F3E">
              <w:rPr>
                <w:rFonts w:eastAsia="Times New Roman" w:cstheme="minorHAnsi"/>
                <w:sz w:val="16"/>
                <w:szCs w:val="16"/>
                <w:lang w:val="sr-Latn-ME"/>
              </w:rPr>
              <w:t>Very</w:t>
            </w:r>
            <w:proofErr w:type="spellEnd"/>
            <w:r w:rsidRPr="00654F3E">
              <w:rPr>
                <w:rFonts w:eastAsia="Times New Roman" w:cstheme="minorHAnsi"/>
                <w:sz w:val="16"/>
                <w:szCs w:val="16"/>
                <w:lang w:val="sr-Latn-ME"/>
              </w:rPr>
              <w:t xml:space="preserve"> </w:t>
            </w:r>
            <w:proofErr w:type="spellStart"/>
            <w:r w:rsidRPr="00654F3E">
              <w:rPr>
                <w:rFonts w:eastAsia="Times New Roman" w:cstheme="minorHAnsi"/>
                <w:sz w:val="16"/>
                <w:szCs w:val="16"/>
                <w:lang w:val="sr-Latn-ME"/>
              </w:rPr>
              <w:t>low</w:t>
            </w:r>
            <w:proofErr w:type="spellEnd"/>
          </w:p>
        </w:tc>
        <w:tc>
          <w:tcPr>
            <w:tcW w:w="958" w:type="pct"/>
            <w:hideMark/>
          </w:tcPr>
          <w:p w14:paraId="3FC76E86"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~11.5%</w:t>
            </w:r>
          </w:p>
        </w:tc>
        <w:tc>
          <w:tcPr>
            <w:tcW w:w="958" w:type="pct"/>
            <w:hideMark/>
          </w:tcPr>
          <w:p w14:paraId="60E7E8DD"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w:t>
            </w:r>
          </w:p>
        </w:tc>
        <w:tc>
          <w:tcPr>
            <w:tcW w:w="990" w:type="pct"/>
            <w:hideMark/>
          </w:tcPr>
          <w:p w14:paraId="3BDD4C7D"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2023, EEA</w:t>
            </w:r>
          </w:p>
        </w:tc>
      </w:tr>
      <w:tr w:rsidR="00654F3E" w:rsidRPr="00654F3E" w14:paraId="1AFAC458" w14:textId="77777777" w:rsidTr="00654F3E">
        <w:tc>
          <w:tcPr>
            <w:tcW w:w="1092" w:type="pct"/>
            <w:hideMark/>
          </w:tcPr>
          <w:p w14:paraId="3A25C5F5"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Šumska pokrivenost (% teritorije)</w:t>
            </w:r>
          </w:p>
        </w:tc>
        <w:tc>
          <w:tcPr>
            <w:tcW w:w="1003" w:type="pct"/>
            <w:hideMark/>
          </w:tcPr>
          <w:p w14:paraId="56282DAE"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~61%</w:t>
            </w:r>
          </w:p>
        </w:tc>
        <w:tc>
          <w:tcPr>
            <w:tcW w:w="958" w:type="pct"/>
            <w:hideMark/>
          </w:tcPr>
          <w:p w14:paraId="5E6D58B5"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~44%</w:t>
            </w:r>
          </w:p>
        </w:tc>
        <w:tc>
          <w:tcPr>
            <w:tcW w:w="958" w:type="pct"/>
            <w:hideMark/>
          </w:tcPr>
          <w:p w14:paraId="23F0F232"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w:t>
            </w:r>
          </w:p>
        </w:tc>
        <w:tc>
          <w:tcPr>
            <w:tcW w:w="990" w:type="pct"/>
            <w:hideMark/>
          </w:tcPr>
          <w:p w14:paraId="6D8824DB"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2023, MONSTAT</w:t>
            </w:r>
          </w:p>
        </w:tc>
      </w:tr>
      <w:tr w:rsidR="00654F3E" w:rsidRPr="00654F3E" w14:paraId="5D474E9D" w14:textId="77777777" w:rsidTr="00654F3E">
        <w:tc>
          <w:tcPr>
            <w:tcW w:w="5000" w:type="pct"/>
            <w:gridSpan w:val="5"/>
          </w:tcPr>
          <w:p w14:paraId="214B3545" w14:textId="77777777" w:rsidR="00654F3E" w:rsidRPr="00654F3E" w:rsidRDefault="00654F3E" w:rsidP="0028553F">
            <w:pPr>
              <w:jc w:val="left"/>
              <w:rPr>
                <w:rFonts w:eastAsia="Times New Roman" w:cstheme="minorHAnsi"/>
                <w:sz w:val="16"/>
                <w:szCs w:val="16"/>
                <w:lang w:val="sr-Latn-ME"/>
              </w:rPr>
            </w:pPr>
            <w:proofErr w:type="spellStart"/>
            <w:r w:rsidRPr="00654F3E">
              <w:rPr>
                <w:rFonts w:eastAsia="Times New Roman" w:cstheme="minorHAnsi"/>
                <w:b/>
                <w:bCs/>
                <w:sz w:val="16"/>
                <w:szCs w:val="16"/>
                <w:lang w:val="sr-Latn-ME"/>
              </w:rPr>
              <w:t>Agrošumski</w:t>
            </w:r>
            <w:proofErr w:type="spellEnd"/>
            <w:r w:rsidRPr="00654F3E">
              <w:rPr>
                <w:rFonts w:eastAsia="Times New Roman" w:cstheme="minorHAnsi"/>
                <w:b/>
                <w:bCs/>
                <w:sz w:val="16"/>
                <w:szCs w:val="16"/>
                <w:lang w:val="sr-Latn-ME"/>
              </w:rPr>
              <w:t xml:space="preserve"> sistemi, uključujući mjere klimatske otpornosti</w:t>
            </w:r>
          </w:p>
        </w:tc>
      </w:tr>
      <w:tr w:rsidR="00654F3E" w:rsidRPr="00654F3E" w14:paraId="6F9BC1F1" w14:textId="77777777" w:rsidTr="00654F3E">
        <w:tc>
          <w:tcPr>
            <w:tcW w:w="1092" w:type="pct"/>
          </w:tcPr>
          <w:p w14:paraId="139FBFDE" w14:textId="77777777" w:rsidR="00654F3E" w:rsidRPr="00654F3E" w:rsidRDefault="00654F3E" w:rsidP="0028553F">
            <w:pPr>
              <w:jc w:val="left"/>
              <w:rPr>
                <w:rFonts w:eastAsia="Times New Roman" w:cstheme="minorHAnsi"/>
                <w:sz w:val="16"/>
                <w:szCs w:val="16"/>
                <w:lang w:val="sr-Latn-ME"/>
              </w:rPr>
            </w:pPr>
            <w:r w:rsidRPr="00654F3E">
              <w:rPr>
                <w:rFonts w:eastAsia="Times New Roman" w:cstheme="minorHAnsi"/>
                <w:sz w:val="16"/>
                <w:szCs w:val="16"/>
                <w:lang w:val="sr-Latn-ME"/>
              </w:rPr>
              <w:t xml:space="preserve">Broj operacija </w:t>
            </w:r>
          </w:p>
          <w:p w14:paraId="72907186" w14:textId="77777777" w:rsidR="00654F3E" w:rsidRPr="00654F3E" w:rsidRDefault="00654F3E" w:rsidP="0028553F">
            <w:pPr>
              <w:jc w:val="left"/>
              <w:rPr>
                <w:rFonts w:eastAsia="Times New Roman" w:cstheme="minorHAnsi"/>
                <w:sz w:val="16"/>
                <w:szCs w:val="16"/>
                <w:lang w:val="sr-Latn-ME"/>
              </w:rPr>
            </w:pPr>
            <w:r w:rsidRPr="00654F3E">
              <w:rPr>
                <w:rFonts w:eastAsia="Times New Roman" w:cstheme="minorHAnsi"/>
                <w:sz w:val="16"/>
                <w:szCs w:val="16"/>
                <w:lang w:val="sr-Latn-ME"/>
              </w:rPr>
              <w:t xml:space="preserve">(ha zemljišta pod </w:t>
            </w:r>
            <w:proofErr w:type="spellStart"/>
            <w:r w:rsidRPr="00654F3E">
              <w:rPr>
                <w:rFonts w:eastAsia="Times New Roman" w:cstheme="minorHAnsi"/>
                <w:sz w:val="16"/>
                <w:szCs w:val="16"/>
                <w:lang w:val="sr-Latn-ME"/>
              </w:rPr>
              <w:t>agrošumarstvom</w:t>
            </w:r>
            <w:proofErr w:type="spellEnd"/>
            <w:r w:rsidRPr="00654F3E">
              <w:rPr>
                <w:rFonts w:eastAsia="Times New Roman" w:cstheme="minorHAnsi"/>
                <w:sz w:val="16"/>
                <w:szCs w:val="16"/>
                <w:lang w:val="sr-Latn-ME"/>
              </w:rPr>
              <w:t>)</w:t>
            </w:r>
          </w:p>
        </w:tc>
        <w:tc>
          <w:tcPr>
            <w:tcW w:w="1003" w:type="pct"/>
          </w:tcPr>
          <w:p w14:paraId="2A6025A1"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248 279.6 ha</w:t>
            </w:r>
            <w:r w:rsidRPr="00654F3E">
              <w:rPr>
                <w:rStyle w:val="FootnoteReference"/>
                <w:rFonts w:eastAsia="Times New Roman" w:cstheme="minorHAnsi"/>
                <w:sz w:val="16"/>
                <w:szCs w:val="16"/>
                <w:lang w:val="sr-Latn-ME"/>
              </w:rPr>
              <w:footnoteReference w:id="8"/>
            </w:r>
            <w:r w:rsidRPr="00654F3E">
              <w:rPr>
                <w:rFonts w:eastAsia="Times New Roman" w:cstheme="minorHAnsi"/>
                <w:sz w:val="16"/>
                <w:szCs w:val="16"/>
                <w:lang w:val="sr-Latn-ME"/>
              </w:rPr>
              <w:t xml:space="preserve"> </w:t>
            </w:r>
          </w:p>
          <w:p w14:paraId="45906662"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 xml:space="preserve">Korišćeno poljoprivredno zemljište sa zajedničkim </w:t>
            </w:r>
            <w:r w:rsidRPr="00654F3E">
              <w:rPr>
                <w:rFonts w:eastAsia="Times New Roman" w:cstheme="minorHAnsi"/>
                <w:sz w:val="16"/>
                <w:szCs w:val="16"/>
                <w:lang w:val="sr-Latn-ME"/>
              </w:rPr>
              <w:lastRenderedPageBreak/>
              <w:t>zemljištem i bez njega: 126.658,4 ha</w:t>
            </w:r>
            <w:r w:rsidRPr="00654F3E">
              <w:rPr>
                <w:rStyle w:val="FootnoteReference"/>
                <w:rFonts w:eastAsia="Times New Roman" w:cstheme="minorHAnsi"/>
                <w:sz w:val="16"/>
                <w:szCs w:val="16"/>
                <w:lang w:val="sr-Latn-ME"/>
              </w:rPr>
              <w:footnoteReference w:id="9"/>
            </w:r>
          </w:p>
        </w:tc>
        <w:tc>
          <w:tcPr>
            <w:tcW w:w="958" w:type="pct"/>
          </w:tcPr>
          <w:p w14:paraId="4FB48FB9"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lastRenderedPageBreak/>
              <w:t xml:space="preserve">Oko 15,4 miliona hektara u EU (27), što predstavlja ~8,8% korišćenog </w:t>
            </w:r>
            <w:r w:rsidRPr="00654F3E">
              <w:rPr>
                <w:rFonts w:eastAsia="Times New Roman" w:cstheme="minorHAnsi"/>
                <w:sz w:val="16"/>
                <w:szCs w:val="16"/>
                <w:lang w:val="sr-Latn-ME"/>
              </w:rPr>
              <w:lastRenderedPageBreak/>
              <w:t>poljoprivrednog zemljišta (UAA)</w:t>
            </w:r>
            <w:r w:rsidRPr="00654F3E">
              <w:rPr>
                <w:rStyle w:val="FootnoteReference"/>
                <w:rFonts w:eastAsia="Times New Roman" w:cstheme="minorHAnsi"/>
                <w:sz w:val="16"/>
                <w:szCs w:val="16"/>
                <w:lang w:val="sr-Latn-ME"/>
              </w:rPr>
              <w:footnoteReference w:id="10"/>
            </w:r>
          </w:p>
        </w:tc>
        <w:tc>
          <w:tcPr>
            <w:tcW w:w="958" w:type="pct"/>
          </w:tcPr>
          <w:p w14:paraId="5CFA890B"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lastRenderedPageBreak/>
              <w:t>Usklađivanje sa EU kriterijumima i proširenje obuhvata periodičnih istraživanja</w:t>
            </w:r>
          </w:p>
        </w:tc>
        <w:tc>
          <w:tcPr>
            <w:tcW w:w="990" w:type="pct"/>
          </w:tcPr>
          <w:p w14:paraId="126846DC" w14:textId="77777777" w:rsidR="00654F3E" w:rsidRPr="00654F3E" w:rsidRDefault="00654F3E" w:rsidP="0028553F">
            <w:pPr>
              <w:rPr>
                <w:rFonts w:cstheme="minorHAnsi"/>
                <w:color w:val="222222"/>
                <w:sz w:val="16"/>
                <w:szCs w:val="16"/>
                <w:shd w:val="clear" w:color="auto" w:fill="FFFFFF"/>
                <w:lang w:val="sr-Latn-ME"/>
              </w:rPr>
            </w:pPr>
          </w:p>
          <w:p w14:paraId="457333EC" w14:textId="77777777" w:rsidR="00654F3E" w:rsidRPr="00654F3E" w:rsidRDefault="00654F3E" w:rsidP="0028553F">
            <w:pPr>
              <w:rPr>
                <w:rFonts w:eastAsia="Times New Roman" w:cstheme="minorHAnsi"/>
                <w:sz w:val="16"/>
                <w:szCs w:val="16"/>
                <w:lang w:val="sr-Latn-ME"/>
              </w:rPr>
            </w:pPr>
            <w:r w:rsidRPr="00654F3E">
              <w:rPr>
                <w:rFonts w:cstheme="minorHAnsi"/>
                <w:color w:val="222222"/>
                <w:sz w:val="16"/>
                <w:szCs w:val="16"/>
                <w:shd w:val="clear" w:color="auto" w:fill="FFFFFF"/>
                <w:lang w:val="sr-Latn-ME"/>
              </w:rPr>
              <w:t>EU baza podataka LUCAS; Popis poljoprivrede 2024, MONSTAT</w:t>
            </w:r>
            <w:r w:rsidRPr="00654F3E">
              <w:rPr>
                <w:rStyle w:val="FootnoteReference"/>
                <w:rFonts w:cstheme="minorHAnsi"/>
                <w:color w:val="222222"/>
                <w:sz w:val="16"/>
                <w:szCs w:val="16"/>
                <w:shd w:val="clear" w:color="auto" w:fill="FFFFFF"/>
                <w:lang w:val="sr-Latn-ME"/>
              </w:rPr>
              <w:footnoteReference w:id="11"/>
            </w:r>
          </w:p>
        </w:tc>
      </w:tr>
      <w:tr w:rsidR="00654F3E" w:rsidRPr="00654F3E" w14:paraId="6C85B2EB" w14:textId="77777777" w:rsidTr="00654F3E">
        <w:tc>
          <w:tcPr>
            <w:tcW w:w="1092" w:type="pct"/>
          </w:tcPr>
          <w:p w14:paraId="456C3941" w14:textId="77777777" w:rsidR="00654F3E" w:rsidRPr="00654F3E" w:rsidRDefault="00654F3E" w:rsidP="0028553F">
            <w:pPr>
              <w:jc w:val="left"/>
              <w:rPr>
                <w:rFonts w:eastAsia="Times New Roman" w:cstheme="minorHAnsi"/>
                <w:sz w:val="16"/>
                <w:szCs w:val="16"/>
                <w:lang w:val="sr-Latn-ME"/>
              </w:rPr>
            </w:pPr>
            <w:r w:rsidRPr="00654F3E">
              <w:rPr>
                <w:rFonts w:eastAsia="Times New Roman" w:cstheme="minorHAnsi"/>
                <w:sz w:val="16"/>
                <w:szCs w:val="16"/>
                <w:lang w:val="sr-Latn-ME"/>
              </w:rPr>
              <w:lastRenderedPageBreak/>
              <w:t>Broj malih poljoprivrednih gazdinstava u trećim zemljama</w:t>
            </w:r>
          </w:p>
        </w:tc>
        <w:tc>
          <w:tcPr>
            <w:tcW w:w="1003" w:type="pct"/>
          </w:tcPr>
          <w:p w14:paraId="63DD5272" w14:textId="77777777" w:rsidR="00654F3E" w:rsidRPr="00654F3E" w:rsidRDefault="00654F3E" w:rsidP="0028553F">
            <w:pPr>
              <w:rPr>
                <w:rFonts w:eastAsia="Times New Roman" w:cstheme="minorHAnsi"/>
                <w:sz w:val="16"/>
                <w:szCs w:val="16"/>
                <w:lang w:val="sr-Latn-ME"/>
              </w:rPr>
            </w:pPr>
            <w:r w:rsidRPr="00654F3E">
              <w:rPr>
                <w:rFonts w:eastAsia="Times New Roman" w:cstheme="minorHAnsi"/>
                <w:sz w:val="16"/>
                <w:szCs w:val="16"/>
                <w:lang w:val="sr-Latn-ME"/>
              </w:rPr>
              <w:t>26.711 (nacionalni kriterijumi), odnosno 18.774 prema EU kriterijumima</w:t>
            </w:r>
          </w:p>
        </w:tc>
        <w:tc>
          <w:tcPr>
            <w:tcW w:w="958" w:type="pct"/>
          </w:tcPr>
          <w:p w14:paraId="3CB0C578" w14:textId="77777777" w:rsidR="00654F3E" w:rsidRPr="00654F3E" w:rsidRDefault="00654F3E" w:rsidP="0028553F">
            <w:pPr>
              <w:rPr>
                <w:rFonts w:eastAsia="Times New Roman" w:cstheme="minorHAnsi"/>
                <w:sz w:val="16"/>
                <w:szCs w:val="16"/>
                <w:lang w:val="sr-Latn-ME"/>
              </w:rPr>
            </w:pPr>
          </w:p>
        </w:tc>
        <w:tc>
          <w:tcPr>
            <w:tcW w:w="958" w:type="pct"/>
          </w:tcPr>
          <w:p w14:paraId="64944F34" w14:textId="77777777" w:rsidR="00654F3E" w:rsidRPr="00654F3E" w:rsidRDefault="00654F3E" w:rsidP="0028553F">
            <w:pPr>
              <w:rPr>
                <w:rFonts w:eastAsia="Times New Roman" w:cstheme="minorHAnsi"/>
                <w:sz w:val="16"/>
                <w:szCs w:val="16"/>
                <w:lang w:val="sr-Latn-ME"/>
              </w:rPr>
            </w:pPr>
          </w:p>
        </w:tc>
        <w:tc>
          <w:tcPr>
            <w:tcW w:w="990" w:type="pct"/>
            <w:vAlign w:val="center"/>
          </w:tcPr>
          <w:p w14:paraId="28AF6A17" w14:textId="77777777" w:rsidR="00654F3E" w:rsidRPr="00654F3E" w:rsidRDefault="00654F3E" w:rsidP="0028553F">
            <w:pPr>
              <w:jc w:val="left"/>
              <w:rPr>
                <w:rFonts w:eastAsia="Times New Roman" w:cstheme="minorHAnsi"/>
                <w:sz w:val="16"/>
                <w:szCs w:val="16"/>
                <w:lang w:val="sr-Latn-ME"/>
              </w:rPr>
            </w:pPr>
            <w:r w:rsidRPr="00654F3E">
              <w:rPr>
                <w:rFonts w:cstheme="minorHAnsi"/>
                <w:color w:val="222222"/>
                <w:sz w:val="16"/>
                <w:szCs w:val="16"/>
                <w:shd w:val="clear" w:color="auto" w:fill="FFFFFF"/>
                <w:lang w:val="sr-Latn-ME"/>
              </w:rPr>
              <w:t>Popis poljoprivrede 2024, MONSTAT</w:t>
            </w:r>
          </w:p>
        </w:tc>
      </w:tr>
    </w:tbl>
    <w:p w14:paraId="602DD4E9" w14:textId="77777777" w:rsidR="00654F3E" w:rsidRPr="00395005" w:rsidRDefault="00654F3E" w:rsidP="00654F3E">
      <w:pPr>
        <w:rPr>
          <w:lang w:val="sr-Latn-ME"/>
        </w:rPr>
      </w:pPr>
      <w:r w:rsidRPr="00395005">
        <w:rPr>
          <w:b/>
          <w:lang w:val="sr-Latn-ME"/>
        </w:rPr>
        <w:t>Napomena</w:t>
      </w:r>
      <w:r w:rsidRPr="00395005">
        <w:rPr>
          <w:lang w:val="sr-Latn-ME"/>
        </w:rPr>
        <w:t xml:space="preserve">: Smanjenje emisija GHG u Crnoj Gori je u velikoj mjeri rezultat strukturnih promjena (zatvaranje KAP-a), a ne politika </w:t>
      </w:r>
      <w:proofErr w:type="spellStart"/>
      <w:r w:rsidRPr="00395005">
        <w:rPr>
          <w:lang w:val="sr-Latn-ME"/>
        </w:rPr>
        <w:t>dekarbonizacije</w:t>
      </w:r>
      <w:proofErr w:type="spellEnd"/>
      <w:r w:rsidRPr="00395005">
        <w:rPr>
          <w:lang w:val="sr-Latn-ME"/>
        </w:rPr>
        <w:t xml:space="preserve">. Podaci o stopi reciklaže variraju u zavisnosti od izvora i metodologije – MONSTAT navodi &lt;0,5% za 2022. godinu, dok prema metodologiji </w:t>
      </w:r>
      <w:proofErr w:type="spellStart"/>
      <w:r w:rsidRPr="00395005">
        <w:rPr>
          <w:lang w:val="sr-Latn-ME"/>
        </w:rPr>
        <w:t>Eurostat</w:t>
      </w:r>
      <w:proofErr w:type="spellEnd"/>
      <w:r w:rsidRPr="00395005">
        <w:rPr>
          <w:lang w:val="sr-Latn-ME"/>
        </w:rPr>
        <w:t xml:space="preserve"> iznosi približno 4,7%. Veliki jaz u odnosu na prosjek EU u oblasti upravljanja otpadom i tretmana otpadnih voda predstavlja najveću pojedinačnu investicionu potrebu za usklađivanje u okviru Poglavlja 27.</w:t>
      </w:r>
    </w:p>
    <w:p w14:paraId="594DCC14" w14:textId="27F7821C" w:rsidR="00654F3E" w:rsidRPr="0011433A" w:rsidRDefault="00654F3E" w:rsidP="00654F3E">
      <w:pPr>
        <w:pStyle w:val="Heading2"/>
        <w:rPr>
          <w:rFonts w:eastAsia="Times New Roman"/>
          <w:lang w:val="sr-Latn-ME"/>
        </w:rPr>
      </w:pPr>
      <w:r w:rsidRPr="0083753E">
        <w:rPr>
          <w:rFonts w:eastAsia="Times New Roman"/>
          <w:lang w:val="sr-Latn-ME"/>
        </w:rPr>
        <w:t>Tematske jedinice</w:t>
      </w:r>
    </w:p>
    <w:tbl>
      <w:tblPr>
        <w:tblStyle w:val="TableGrid"/>
        <w:tblW w:w="5000" w:type="pct"/>
        <w:jc w:val="center"/>
        <w:tblLook w:val="04A0" w:firstRow="1" w:lastRow="0" w:firstColumn="1" w:lastColumn="0" w:noHBand="0" w:noVBand="1"/>
      </w:tblPr>
      <w:tblGrid>
        <w:gridCol w:w="1672"/>
        <w:gridCol w:w="7678"/>
      </w:tblGrid>
      <w:tr w:rsidR="00654F3E" w:rsidRPr="000745CA" w14:paraId="05D60FC2" w14:textId="77777777" w:rsidTr="00654F3E">
        <w:trPr>
          <w:jc w:val="center"/>
        </w:trPr>
        <w:tc>
          <w:tcPr>
            <w:tcW w:w="894" w:type="pct"/>
            <w:shd w:val="clear" w:color="auto" w:fill="83CAEB" w:themeFill="accent1" w:themeFillTint="66"/>
          </w:tcPr>
          <w:p w14:paraId="189B0884"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Kod tematske oblasti</w:t>
            </w:r>
          </w:p>
        </w:tc>
        <w:tc>
          <w:tcPr>
            <w:tcW w:w="4106" w:type="pct"/>
            <w:shd w:val="clear" w:color="auto" w:fill="83CAEB" w:themeFill="accent1" w:themeFillTint="66"/>
            <w:vAlign w:val="center"/>
          </w:tcPr>
          <w:p w14:paraId="0EA25CFD" w14:textId="77777777" w:rsidR="00654F3E" w:rsidRPr="00654F3E" w:rsidRDefault="00654F3E" w:rsidP="0028553F">
            <w:pPr>
              <w:rPr>
                <w:rFonts w:eastAsia="Times New Roman" w:cstheme="minorHAnsi"/>
                <w:b/>
                <w:bCs/>
                <w:sz w:val="16"/>
                <w:szCs w:val="16"/>
                <w:lang w:val="sr-Latn-ME"/>
              </w:rPr>
            </w:pPr>
            <w:r w:rsidRPr="00654F3E">
              <w:rPr>
                <w:rFonts w:eastAsia="Times New Roman" w:cstheme="minorHAnsi"/>
                <w:b/>
                <w:bCs/>
                <w:sz w:val="16"/>
                <w:szCs w:val="16"/>
                <w:lang w:val="sr-Latn-ME"/>
              </w:rPr>
              <w:t>Naziv tematskih jedinica</w:t>
            </w:r>
          </w:p>
        </w:tc>
      </w:tr>
      <w:tr w:rsidR="00654F3E" w:rsidRPr="000745CA" w14:paraId="23A063C6" w14:textId="77777777" w:rsidTr="00654F3E">
        <w:trPr>
          <w:jc w:val="center"/>
        </w:trPr>
        <w:tc>
          <w:tcPr>
            <w:tcW w:w="894" w:type="pct"/>
          </w:tcPr>
          <w:p w14:paraId="002741A6" w14:textId="77777777" w:rsidR="00654F3E" w:rsidRPr="00654F3E" w:rsidRDefault="00654F3E" w:rsidP="0028553F">
            <w:pPr>
              <w:jc w:val="center"/>
              <w:rPr>
                <w:rFonts w:eastAsia="Times New Roman" w:cstheme="minorHAnsi"/>
                <w:b/>
                <w:bCs/>
                <w:sz w:val="16"/>
                <w:szCs w:val="16"/>
                <w:lang w:val="sr-Latn-ME"/>
              </w:rPr>
            </w:pPr>
          </w:p>
        </w:tc>
        <w:tc>
          <w:tcPr>
            <w:tcW w:w="4106" w:type="pct"/>
            <w:shd w:val="clear" w:color="auto" w:fill="D9D9D9" w:themeFill="background1" w:themeFillShade="D9"/>
          </w:tcPr>
          <w:p w14:paraId="7D0E2B4F" w14:textId="77777777" w:rsidR="00654F3E" w:rsidRPr="00654F3E" w:rsidRDefault="00654F3E" w:rsidP="0028553F">
            <w:pPr>
              <w:rPr>
                <w:rFonts w:cstheme="minorHAnsi"/>
                <w:b/>
                <w:sz w:val="16"/>
                <w:szCs w:val="16"/>
                <w:lang w:val="sr-Latn-ME"/>
              </w:rPr>
            </w:pPr>
            <w:r w:rsidRPr="00654F3E">
              <w:rPr>
                <w:rFonts w:cstheme="minorHAnsi"/>
                <w:b/>
                <w:sz w:val="16"/>
                <w:szCs w:val="16"/>
                <w:lang w:val="sr-Latn-ME"/>
              </w:rPr>
              <w:t>2.02 Poljoprivreda i šumarstvo</w:t>
            </w:r>
          </w:p>
        </w:tc>
      </w:tr>
      <w:tr w:rsidR="00654F3E" w:rsidRPr="00654F3E" w14:paraId="6AC304F0" w14:textId="77777777" w:rsidTr="00654F3E">
        <w:trPr>
          <w:jc w:val="center"/>
        </w:trPr>
        <w:tc>
          <w:tcPr>
            <w:tcW w:w="894" w:type="pct"/>
          </w:tcPr>
          <w:p w14:paraId="5B205E59"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34</w:t>
            </w:r>
          </w:p>
        </w:tc>
        <w:tc>
          <w:tcPr>
            <w:tcW w:w="4106" w:type="pct"/>
          </w:tcPr>
          <w:p w14:paraId="03D057C0" w14:textId="77777777" w:rsidR="00654F3E" w:rsidRPr="00654F3E" w:rsidRDefault="00654F3E" w:rsidP="0028553F">
            <w:pPr>
              <w:rPr>
                <w:rFonts w:cstheme="minorHAnsi"/>
                <w:sz w:val="16"/>
                <w:szCs w:val="16"/>
                <w:lang w:val="sr-Latn-ME"/>
              </w:rPr>
            </w:pPr>
            <w:proofErr w:type="spellStart"/>
            <w:r w:rsidRPr="00654F3E">
              <w:rPr>
                <w:rFonts w:cstheme="minorHAnsi"/>
                <w:sz w:val="16"/>
                <w:szCs w:val="16"/>
                <w:lang w:val="sr-Latn-ME"/>
              </w:rPr>
              <w:t>Agrošumarski</w:t>
            </w:r>
            <w:proofErr w:type="spellEnd"/>
            <w:r w:rsidRPr="00654F3E">
              <w:rPr>
                <w:rFonts w:cstheme="minorHAnsi"/>
                <w:sz w:val="16"/>
                <w:szCs w:val="16"/>
                <w:lang w:val="sr-Latn-ME"/>
              </w:rPr>
              <w:t xml:space="preserve"> sistemi, uključujući mjere klimatske otpornosti</w:t>
            </w:r>
          </w:p>
        </w:tc>
      </w:tr>
      <w:tr w:rsidR="00654F3E" w:rsidRPr="000745CA" w14:paraId="16C8075F" w14:textId="77777777" w:rsidTr="00654F3E">
        <w:trPr>
          <w:jc w:val="center"/>
        </w:trPr>
        <w:tc>
          <w:tcPr>
            <w:tcW w:w="894" w:type="pct"/>
          </w:tcPr>
          <w:p w14:paraId="56A16120" w14:textId="77777777" w:rsidR="00654F3E" w:rsidRPr="00654F3E" w:rsidRDefault="00654F3E" w:rsidP="0028553F">
            <w:pPr>
              <w:jc w:val="center"/>
              <w:rPr>
                <w:rFonts w:eastAsia="Times New Roman" w:cstheme="minorHAnsi"/>
                <w:b/>
                <w:bCs/>
                <w:sz w:val="16"/>
                <w:szCs w:val="16"/>
                <w:lang w:val="sr-Latn-ME"/>
              </w:rPr>
            </w:pPr>
          </w:p>
        </w:tc>
        <w:tc>
          <w:tcPr>
            <w:tcW w:w="4106" w:type="pct"/>
            <w:shd w:val="clear" w:color="auto" w:fill="D9D9D9" w:themeFill="background1" w:themeFillShade="D9"/>
          </w:tcPr>
          <w:p w14:paraId="0817DEB9" w14:textId="77777777" w:rsidR="00654F3E" w:rsidRPr="00654F3E" w:rsidRDefault="00654F3E" w:rsidP="0028553F">
            <w:pPr>
              <w:rPr>
                <w:rFonts w:cstheme="minorHAnsi"/>
                <w:b/>
                <w:sz w:val="16"/>
                <w:szCs w:val="16"/>
                <w:lang w:val="sr-Latn-ME"/>
              </w:rPr>
            </w:pPr>
            <w:r w:rsidRPr="00654F3E">
              <w:rPr>
                <w:rFonts w:cstheme="minorHAnsi"/>
                <w:b/>
                <w:sz w:val="16"/>
                <w:szCs w:val="16"/>
                <w:lang w:val="sr-Latn-ME"/>
              </w:rPr>
              <w:t>2.35 Cirkularna ekonomija</w:t>
            </w:r>
          </w:p>
        </w:tc>
      </w:tr>
      <w:tr w:rsidR="00654F3E" w:rsidRPr="00654F3E" w14:paraId="3EE80267" w14:textId="77777777" w:rsidTr="00654F3E">
        <w:trPr>
          <w:jc w:val="center"/>
        </w:trPr>
        <w:tc>
          <w:tcPr>
            <w:tcW w:w="894" w:type="pct"/>
            <w:vAlign w:val="center"/>
          </w:tcPr>
          <w:p w14:paraId="12CF88C7"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257</w:t>
            </w:r>
          </w:p>
        </w:tc>
        <w:tc>
          <w:tcPr>
            <w:tcW w:w="4106" w:type="pct"/>
          </w:tcPr>
          <w:p w14:paraId="3EBEF5C9"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 xml:space="preserve">Usluge cirkularne ekonomije (npr. popravka, obnova i </w:t>
            </w:r>
            <w:proofErr w:type="spellStart"/>
            <w:r w:rsidRPr="00654F3E">
              <w:rPr>
                <w:rFonts w:cstheme="minorHAnsi"/>
                <w:sz w:val="16"/>
                <w:szCs w:val="16"/>
                <w:lang w:val="sr-Latn-ME"/>
              </w:rPr>
              <w:t>remanufaktura</w:t>
            </w:r>
            <w:proofErr w:type="spellEnd"/>
            <w:r w:rsidRPr="00654F3E">
              <w:rPr>
                <w:rFonts w:cstheme="minorHAnsi"/>
                <w:sz w:val="16"/>
                <w:szCs w:val="16"/>
                <w:lang w:val="sr-Latn-ME"/>
              </w:rPr>
              <w:t>; prodaja rezervnih djelova; priprema za ponovnu upotrebu proizvoda na kraju životnog vijeka i njihovih komponenti; prodaja polovne robe; modeli „proizvod kao usluga“ i drugi cirkularni modeli zasnovani na rezultatima; platforme za trgovinu polovnom robom)</w:t>
            </w:r>
          </w:p>
        </w:tc>
      </w:tr>
      <w:tr w:rsidR="00654F3E" w:rsidRPr="00654F3E" w14:paraId="0438B404" w14:textId="77777777" w:rsidTr="00654F3E">
        <w:trPr>
          <w:jc w:val="center"/>
        </w:trPr>
        <w:tc>
          <w:tcPr>
            <w:tcW w:w="894" w:type="pct"/>
            <w:vAlign w:val="center"/>
          </w:tcPr>
          <w:p w14:paraId="65B0EFD9"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258</w:t>
            </w:r>
          </w:p>
        </w:tc>
        <w:tc>
          <w:tcPr>
            <w:tcW w:w="4106" w:type="pct"/>
          </w:tcPr>
          <w:p w14:paraId="4FEE4E25"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 xml:space="preserve">Upravljanje komercijalnim i industrijskim otpadom: mjere koje značajno doprinose prevenciji otpada, odvojenom sakupljanju, sortiranju, pripremi za ponovnu upotrebu i reciklaži (osim </w:t>
            </w:r>
            <w:proofErr w:type="spellStart"/>
            <w:r w:rsidRPr="00654F3E">
              <w:rPr>
                <w:rFonts w:cstheme="minorHAnsi"/>
                <w:sz w:val="16"/>
                <w:szCs w:val="16"/>
                <w:lang w:val="sr-Latn-ME"/>
              </w:rPr>
              <w:t>biootpada</w:t>
            </w:r>
            <w:proofErr w:type="spellEnd"/>
            <w:r w:rsidRPr="00654F3E">
              <w:rPr>
                <w:rFonts w:cstheme="minorHAnsi"/>
                <w:sz w:val="16"/>
                <w:szCs w:val="16"/>
                <w:lang w:val="sr-Latn-ME"/>
              </w:rPr>
              <w:t>)</w:t>
            </w:r>
          </w:p>
        </w:tc>
      </w:tr>
      <w:tr w:rsidR="00654F3E" w:rsidRPr="00654F3E" w14:paraId="3A06C057" w14:textId="77777777" w:rsidTr="00654F3E">
        <w:trPr>
          <w:jc w:val="center"/>
        </w:trPr>
        <w:tc>
          <w:tcPr>
            <w:tcW w:w="894" w:type="pct"/>
            <w:vAlign w:val="center"/>
          </w:tcPr>
          <w:p w14:paraId="0E5EB760"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259</w:t>
            </w:r>
          </w:p>
        </w:tc>
        <w:tc>
          <w:tcPr>
            <w:tcW w:w="4106" w:type="pct"/>
          </w:tcPr>
          <w:p w14:paraId="62ADA102"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Dekontaminacija i demontaža proizvoda na kraju životnog vijeka</w:t>
            </w:r>
          </w:p>
        </w:tc>
      </w:tr>
      <w:tr w:rsidR="00654F3E" w:rsidRPr="000745CA" w14:paraId="3713034C" w14:textId="77777777" w:rsidTr="00654F3E">
        <w:trPr>
          <w:jc w:val="center"/>
        </w:trPr>
        <w:tc>
          <w:tcPr>
            <w:tcW w:w="894" w:type="pct"/>
            <w:vAlign w:val="center"/>
          </w:tcPr>
          <w:p w14:paraId="300D91B0"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260</w:t>
            </w:r>
          </w:p>
        </w:tc>
        <w:tc>
          <w:tcPr>
            <w:tcW w:w="4106" w:type="pct"/>
          </w:tcPr>
          <w:p w14:paraId="139ADCBD"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Reciklaža kritičnih sirovina</w:t>
            </w:r>
          </w:p>
        </w:tc>
      </w:tr>
      <w:tr w:rsidR="00654F3E" w:rsidRPr="00654F3E" w14:paraId="60D40CDE" w14:textId="77777777" w:rsidTr="00654F3E">
        <w:trPr>
          <w:jc w:val="center"/>
        </w:trPr>
        <w:tc>
          <w:tcPr>
            <w:tcW w:w="894" w:type="pct"/>
            <w:vAlign w:val="center"/>
          </w:tcPr>
          <w:p w14:paraId="6F723CC5"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261</w:t>
            </w:r>
          </w:p>
        </w:tc>
        <w:tc>
          <w:tcPr>
            <w:tcW w:w="4106" w:type="pct"/>
          </w:tcPr>
          <w:p w14:paraId="0C923A52"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 xml:space="preserve">Upravljanje komunalnim otpadom: mjere koje značajno doprinose prevenciji otpada, odvojenom sakupljanju, sortiranju, pripremi za ponovnu upotrebu i reciklaži (osim </w:t>
            </w:r>
            <w:proofErr w:type="spellStart"/>
            <w:r w:rsidRPr="00654F3E">
              <w:rPr>
                <w:rFonts w:cstheme="minorHAnsi"/>
                <w:sz w:val="16"/>
                <w:szCs w:val="16"/>
                <w:lang w:val="sr-Latn-ME"/>
              </w:rPr>
              <w:t>biootpada</w:t>
            </w:r>
            <w:proofErr w:type="spellEnd"/>
            <w:r w:rsidRPr="00654F3E">
              <w:rPr>
                <w:rFonts w:cstheme="minorHAnsi"/>
                <w:sz w:val="16"/>
                <w:szCs w:val="16"/>
                <w:lang w:val="sr-Latn-ME"/>
              </w:rPr>
              <w:t>)</w:t>
            </w:r>
          </w:p>
        </w:tc>
      </w:tr>
      <w:tr w:rsidR="00654F3E" w:rsidRPr="00654F3E" w14:paraId="41C0A171" w14:textId="77777777" w:rsidTr="00654F3E">
        <w:trPr>
          <w:jc w:val="center"/>
        </w:trPr>
        <w:tc>
          <w:tcPr>
            <w:tcW w:w="894" w:type="pct"/>
            <w:vAlign w:val="center"/>
          </w:tcPr>
          <w:p w14:paraId="41FE7983"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262</w:t>
            </w:r>
          </w:p>
        </w:tc>
        <w:tc>
          <w:tcPr>
            <w:tcW w:w="4106" w:type="pct"/>
          </w:tcPr>
          <w:p w14:paraId="5A8880C3"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 xml:space="preserve">Investicije u prakse cirkularne ekonomije (npr. reciklirani sadržaj, industrijska simbioza, dizajn proizvoda, ponovna upotreba, </w:t>
            </w:r>
            <w:proofErr w:type="spellStart"/>
            <w:r w:rsidRPr="00654F3E">
              <w:rPr>
                <w:rFonts w:cstheme="minorHAnsi"/>
                <w:sz w:val="16"/>
                <w:szCs w:val="16"/>
                <w:lang w:val="sr-Latn-ME"/>
              </w:rPr>
              <w:t>remanufaktura</w:t>
            </w:r>
            <w:proofErr w:type="spellEnd"/>
            <w:r w:rsidRPr="00654F3E">
              <w:rPr>
                <w:rFonts w:cstheme="minorHAnsi"/>
                <w:sz w:val="16"/>
                <w:szCs w:val="16"/>
                <w:lang w:val="sr-Latn-ME"/>
              </w:rPr>
              <w:t>)</w:t>
            </w:r>
          </w:p>
        </w:tc>
      </w:tr>
      <w:tr w:rsidR="00654F3E" w:rsidRPr="00654F3E" w14:paraId="28ABC0F2" w14:textId="77777777" w:rsidTr="00654F3E">
        <w:trPr>
          <w:jc w:val="center"/>
        </w:trPr>
        <w:tc>
          <w:tcPr>
            <w:tcW w:w="894" w:type="pct"/>
            <w:vAlign w:val="center"/>
          </w:tcPr>
          <w:p w14:paraId="15FE3569"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263</w:t>
            </w:r>
          </w:p>
        </w:tc>
        <w:tc>
          <w:tcPr>
            <w:tcW w:w="4106" w:type="pct"/>
          </w:tcPr>
          <w:p w14:paraId="5453A9F3"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 xml:space="preserve">Hvatanje i korišćenje </w:t>
            </w:r>
            <w:proofErr w:type="spellStart"/>
            <w:r w:rsidRPr="00654F3E">
              <w:rPr>
                <w:rFonts w:cstheme="minorHAnsi"/>
                <w:sz w:val="16"/>
                <w:szCs w:val="16"/>
                <w:lang w:val="sr-Latn-ME"/>
              </w:rPr>
              <w:t>deponijskog</w:t>
            </w:r>
            <w:proofErr w:type="spellEnd"/>
            <w:r w:rsidRPr="00654F3E">
              <w:rPr>
                <w:rFonts w:cstheme="minorHAnsi"/>
                <w:sz w:val="16"/>
                <w:szCs w:val="16"/>
                <w:lang w:val="sr-Latn-ME"/>
              </w:rPr>
              <w:t xml:space="preserve"> gasa</w:t>
            </w:r>
          </w:p>
        </w:tc>
      </w:tr>
      <w:tr w:rsidR="00654F3E" w:rsidRPr="00654F3E" w14:paraId="222C99AB" w14:textId="77777777" w:rsidTr="00654F3E">
        <w:trPr>
          <w:jc w:val="center"/>
        </w:trPr>
        <w:tc>
          <w:tcPr>
            <w:tcW w:w="894" w:type="pct"/>
            <w:vAlign w:val="center"/>
          </w:tcPr>
          <w:p w14:paraId="6015CC71"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264</w:t>
            </w:r>
          </w:p>
        </w:tc>
        <w:tc>
          <w:tcPr>
            <w:tcW w:w="4106" w:type="pct"/>
          </w:tcPr>
          <w:p w14:paraId="3F5104A9"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Promovisanje upotrebe recikliranih materijala kao sirovina – u skladu sa kriterijumima energetske efikasnosti</w:t>
            </w:r>
          </w:p>
        </w:tc>
      </w:tr>
      <w:tr w:rsidR="00654F3E" w:rsidRPr="00654F3E" w14:paraId="465B9D4B" w14:textId="77777777" w:rsidTr="00654F3E">
        <w:trPr>
          <w:jc w:val="center"/>
        </w:trPr>
        <w:tc>
          <w:tcPr>
            <w:tcW w:w="894" w:type="pct"/>
            <w:vAlign w:val="center"/>
          </w:tcPr>
          <w:p w14:paraId="240FF988"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265</w:t>
            </w:r>
          </w:p>
        </w:tc>
        <w:tc>
          <w:tcPr>
            <w:tcW w:w="4106" w:type="pct"/>
          </w:tcPr>
          <w:p w14:paraId="13E4AA07"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 xml:space="preserve">Obrada </w:t>
            </w:r>
            <w:proofErr w:type="spellStart"/>
            <w:r w:rsidRPr="00654F3E">
              <w:rPr>
                <w:rFonts w:cstheme="minorHAnsi"/>
                <w:sz w:val="16"/>
                <w:szCs w:val="16"/>
                <w:lang w:val="sr-Latn-ME"/>
              </w:rPr>
              <w:t>biootpada</w:t>
            </w:r>
            <w:proofErr w:type="spellEnd"/>
            <w:r w:rsidRPr="00654F3E">
              <w:rPr>
                <w:rFonts w:cstheme="minorHAnsi"/>
                <w:sz w:val="16"/>
                <w:szCs w:val="16"/>
                <w:lang w:val="sr-Latn-ME"/>
              </w:rPr>
              <w:t xml:space="preserve"> anaerobnom digestijom ili kompostiranjem</w:t>
            </w:r>
          </w:p>
        </w:tc>
      </w:tr>
      <w:tr w:rsidR="00654F3E" w:rsidRPr="00654F3E" w14:paraId="4A2BB781" w14:textId="77777777" w:rsidTr="00654F3E">
        <w:trPr>
          <w:jc w:val="center"/>
        </w:trPr>
        <w:tc>
          <w:tcPr>
            <w:tcW w:w="894" w:type="pct"/>
            <w:vAlign w:val="center"/>
          </w:tcPr>
          <w:p w14:paraId="43AE1C6A"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266</w:t>
            </w:r>
          </w:p>
        </w:tc>
        <w:tc>
          <w:tcPr>
            <w:tcW w:w="4106" w:type="pct"/>
          </w:tcPr>
          <w:p w14:paraId="0984E401"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Sanacija industrijskih lokacija i kontaminiranog zemljišta za namjene koje nijesu obnova prirode</w:t>
            </w:r>
          </w:p>
        </w:tc>
      </w:tr>
      <w:tr w:rsidR="00654F3E" w:rsidRPr="00654F3E" w14:paraId="6E8102F4" w14:textId="77777777" w:rsidTr="00654F3E">
        <w:trPr>
          <w:jc w:val="center"/>
        </w:trPr>
        <w:tc>
          <w:tcPr>
            <w:tcW w:w="894" w:type="pct"/>
            <w:vAlign w:val="center"/>
          </w:tcPr>
          <w:p w14:paraId="0A2BB219"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267</w:t>
            </w:r>
          </w:p>
        </w:tc>
        <w:tc>
          <w:tcPr>
            <w:tcW w:w="4106" w:type="pct"/>
          </w:tcPr>
          <w:p w14:paraId="495C2194"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 xml:space="preserve">Odvojeno sakupljanje, sortiranje, priprema za ponovnu upotrebu ili reciklažu </w:t>
            </w:r>
            <w:proofErr w:type="spellStart"/>
            <w:r w:rsidRPr="00654F3E">
              <w:rPr>
                <w:rFonts w:cstheme="minorHAnsi"/>
                <w:sz w:val="16"/>
                <w:szCs w:val="16"/>
                <w:lang w:val="sr-Latn-ME"/>
              </w:rPr>
              <w:t>neopasnog</w:t>
            </w:r>
            <w:proofErr w:type="spellEnd"/>
            <w:r w:rsidRPr="00654F3E">
              <w:rPr>
                <w:rFonts w:cstheme="minorHAnsi"/>
                <w:sz w:val="16"/>
                <w:szCs w:val="16"/>
                <w:lang w:val="sr-Latn-ME"/>
              </w:rPr>
              <w:t xml:space="preserve"> otpada (bez biomase)</w:t>
            </w:r>
          </w:p>
        </w:tc>
      </w:tr>
      <w:tr w:rsidR="00654F3E" w:rsidRPr="00654F3E" w14:paraId="117D862B" w14:textId="77777777" w:rsidTr="00654F3E">
        <w:trPr>
          <w:jc w:val="center"/>
        </w:trPr>
        <w:tc>
          <w:tcPr>
            <w:tcW w:w="894" w:type="pct"/>
            <w:vAlign w:val="center"/>
          </w:tcPr>
          <w:p w14:paraId="665B42D3"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268</w:t>
            </w:r>
          </w:p>
        </w:tc>
        <w:tc>
          <w:tcPr>
            <w:tcW w:w="4106" w:type="pct"/>
          </w:tcPr>
          <w:p w14:paraId="561F7FFA"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Sanacija neusklađenih deponija i napuštenih ili ilegalnih odlagališta u trećim zemljama</w:t>
            </w:r>
          </w:p>
        </w:tc>
      </w:tr>
      <w:tr w:rsidR="00654F3E" w:rsidRPr="00654F3E" w14:paraId="1EE8E7FD" w14:textId="77777777" w:rsidTr="00654F3E">
        <w:trPr>
          <w:jc w:val="center"/>
        </w:trPr>
        <w:tc>
          <w:tcPr>
            <w:tcW w:w="894" w:type="pct"/>
            <w:vAlign w:val="center"/>
          </w:tcPr>
          <w:p w14:paraId="1790EC20"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lastRenderedPageBreak/>
              <w:t>269</w:t>
            </w:r>
          </w:p>
        </w:tc>
        <w:tc>
          <w:tcPr>
            <w:tcW w:w="4106" w:type="pct"/>
          </w:tcPr>
          <w:p w14:paraId="2DBF4C8F"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 xml:space="preserve">Postrojenja za energetsko iskorišćenje otpada za tretman </w:t>
            </w:r>
            <w:proofErr w:type="spellStart"/>
            <w:r w:rsidRPr="00654F3E">
              <w:rPr>
                <w:rFonts w:cstheme="minorHAnsi"/>
                <w:sz w:val="16"/>
                <w:szCs w:val="16"/>
                <w:lang w:val="sr-Latn-ME"/>
              </w:rPr>
              <w:t>nereciklabilnog</w:t>
            </w:r>
            <w:proofErr w:type="spellEnd"/>
            <w:r w:rsidRPr="00654F3E">
              <w:rPr>
                <w:rFonts w:cstheme="minorHAnsi"/>
                <w:sz w:val="16"/>
                <w:szCs w:val="16"/>
                <w:lang w:val="sr-Latn-ME"/>
              </w:rPr>
              <w:t xml:space="preserve"> opasnog otpada</w:t>
            </w:r>
          </w:p>
        </w:tc>
      </w:tr>
      <w:tr w:rsidR="00654F3E" w:rsidRPr="00654F3E" w14:paraId="52DF09E6" w14:textId="77777777" w:rsidTr="00654F3E">
        <w:trPr>
          <w:jc w:val="center"/>
        </w:trPr>
        <w:tc>
          <w:tcPr>
            <w:tcW w:w="894" w:type="pct"/>
            <w:vAlign w:val="center"/>
          </w:tcPr>
          <w:p w14:paraId="681886CF"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270</w:t>
            </w:r>
          </w:p>
        </w:tc>
        <w:tc>
          <w:tcPr>
            <w:tcW w:w="4106" w:type="pct"/>
          </w:tcPr>
          <w:p w14:paraId="0FF8B25B"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Postrojenja za mehaničko-biološki tretman (MBT) – u poljoprivrednom sektoru</w:t>
            </w:r>
          </w:p>
        </w:tc>
      </w:tr>
      <w:tr w:rsidR="00654F3E" w:rsidRPr="000745CA" w14:paraId="26216FA0" w14:textId="77777777" w:rsidTr="00654F3E">
        <w:trPr>
          <w:jc w:val="center"/>
        </w:trPr>
        <w:tc>
          <w:tcPr>
            <w:tcW w:w="894" w:type="pct"/>
            <w:vAlign w:val="center"/>
          </w:tcPr>
          <w:p w14:paraId="518BA946"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271</w:t>
            </w:r>
          </w:p>
        </w:tc>
        <w:tc>
          <w:tcPr>
            <w:tcW w:w="4106" w:type="pct"/>
          </w:tcPr>
          <w:p w14:paraId="75E9D1C5"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Tretman opasnog otpada</w:t>
            </w:r>
          </w:p>
        </w:tc>
      </w:tr>
      <w:tr w:rsidR="00654F3E" w:rsidRPr="000745CA" w14:paraId="6E9EA2D2" w14:textId="77777777" w:rsidTr="00654F3E">
        <w:trPr>
          <w:jc w:val="center"/>
        </w:trPr>
        <w:tc>
          <w:tcPr>
            <w:tcW w:w="894" w:type="pct"/>
          </w:tcPr>
          <w:p w14:paraId="6BC406BE" w14:textId="77777777" w:rsidR="00654F3E" w:rsidRPr="00654F3E" w:rsidRDefault="00654F3E" w:rsidP="0028553F">
            <w:pPr>
              <w:jc w:val="center"/>
              <w:rPr>
                <w:rFonts w:eastAsia="Times New Roman" w:cstheme="minorHAnsi"/>
                <w:b/>
                <w:bCs/>
                <w:sz w:val="16"/>
                <w:szCs w:val="16"/>
                <w:lang w:val="sr-Latn-ME"/>
              </w:rPr>
            </w:pPr>
          </w:p>
        </w:tc>
        <w:tc>
          <w:tcPr>
            <w:tcW w:w="4106" w:type="pct"/>
            <w:shd w:val="clear" w:color="auto" w:fill="D9D9D9" w:themeFill="background1" w:themeFillShade="D9"/>
          </w:tcPr>
          <w:p w14:paraId="5A439B03" w14:textId="77777777" w:rsidR="00654F3E" w:rsidRPr="00654F3E" w:rsidRDefault="00654F3E" w:rsidP="0028553F">
            <w:pPr>
              <w:rPr>
                <w:rFonts w:cstheme="minorHAnsi"/>
                <w:b/>
                <w:sz w:val="16"/>
                <w:szCs w:val="16"/>
                <w:lang w:val="sr-Latn-ME"/>
              </w:rPr>
            </w:pPr>
            <w:r w:rsidRPr="00654F3E">
              <w:rPr>
                <w:rFonts w:cstheme="minorHAnsi"/>
                <w:b/>
                <w:sz w:val="16"/>
                <w:szCs w:val="16"/>
                <w:lang w:val="sr-Latn-ME"/>
              </w:rPr>
              <w:t>2.36 Prilagođavanje klimatskim promjenama</w:t>
            </w:r>
          </w:p>
        </w:tc>
      </w:tr>
      <w:tr w:rsidR="00654F3E" w:rsidRPr="000745CA" w14:paraId="45B4C9A5" w14:textId="77777777" w:rsidTr="00654F3E">
        <w:trPr>
          <w:jc w:val="center"/>
        </w:trPr>
        <w:tc>
          <w:tcPr>
            <w:tcW w:w="894" w:type="pct"/>
            <w:vAlign w:val="center"/>
          </w:tcPr>
          <w:p w14:paraId="56D93F3C"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272</w:t>
            </w:r>
          </w:p>
        </w:tc>
        <w:tc>
          <w:tcPr>
            <w:tcW w:w="4106" w:type="pct"/>
          </w:tcPr>
          <w:p w14:paraId="675BBED4"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Sive mjere prilagođavanja</w:t>
            </w:r>
          </w:p>
        </w:tc>
      </w:tr>
      <w:tr w:rsidR="00654F3E" w:rsidRPr="000745CA" w14:paraId="4B5E5F6F" w14:textId="77777777" w:rsidTr="00654F3E">
        <w:trPr>
          <w:jc w:val="center"/>
        </w:trPr>
        <w:tc>
          <w:tcPr>
            <w:tcW w:w="894" w:type="pct"/>
            <w:vAlign w:val="center"/>
          </w:tcPr>
          <w:p w14:paraId="43A897BB"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273</w:t>
            </w:r>
          </w:p>
        </w:tc>
        <w:tc>
          <w:tcPr>
            <w:tcW w:w="4106" w:type="pct"/>
          </w:tcPr>
          <w:p w14:paraId="35D1C424"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Osiguranje od klimatskih rizika</w:t>
            </w:r>
          </w:p>
        </w:tc>
      </w:tr>
      <w:tr w:rsidR="00654F3E" w:rsidRPr="000745CA" w14:paraId="7AFC9D8B" w14:textId="77777777" w:rsidTr="00654F3E">
        <w:trPr>
          <w:jc w:val="center"/>
        </w:trPr>
        <w:tc>
          <w:tcPr>
            <w:tcW w:w="894" w:type="pct"/>
            <w:vAlign w:val="center"/>
          </w:tcPr>
          <w:p w14:paraId="7E8014AA"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274</w:t>
            </w:r>
          </w:p>
        </w:tc>
        <w:tc>
          <w:tcPr>
            <w:tcW w:w="4106" w:type="pct"/>
          </w:tcPr>
          <w:p w14:paraId="12A5BAD1"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Kombinovane sive i prirodno zasnovane mjere otpornosti</w:t>
            </w:r>
          </w:p>
        </w:tc>
      </w:tr>
      <w:tr w:rsidR="00654F3E" w:rsidRPr="000745CA" w14:paraId="3FBB593D" w14:textId="77777777" w:rsidTr="00654F3E">
        <w:trPr>
          <w:jc w:val="center"/>
        </w:trPr>
        <w:tc>
          <w:tcPr>
            <w:tcW w:w="894" w:type="pct"/>
            <w:vAlign w:val="center"/>
          </w:tcPr>
          <w:p w14:paraId="4834D17C"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275</w:t>
            </w:r>
          </w:p>
        </w:tc>
        <w:tc>
          <w:tcPr>
            <w:tcW w:w="4106" w:type="pct"/>
          </w:tcPr>
          <w:p w14:paraId="2D5562C8"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Prirodno zasnovane mjere klimatske otpornosti</w:t>
            </w:r>
          </w:p>
        </w:tc>
      </w:tr>
      <w:tr w:rsidR="00654F3E" w:rsidRPr="00654F3E" w14:paraId="12AA0DF9" w14:textId="77777777" w:rsidTr="00654F3E">
        <w:trPr>
          <w:jc w:val="center"/>
        </w:trPr>
        <w:tc>
          <w:tcPr>
            <w:tcW w:w="894" w:type="pct"/>
            <w:vAlign w:val="center"/>
          </w:tcPr>
          <w:p w14:paraId="115B570C"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276</w:t>
            </w:r>
          </w:p>
        </w:tc>
        <w:tc>
          <w:tcPr>
            <w:tcW w:w="4106" w:type="pct"/>
          </w:tcPr>
          <w:p w14:paraId="782731AF"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Preventivne mjere za smanjenje rizika od šumskih požara</w:t>
            </w:r>
          </w:p>
        </w:tc>
      </w:tr>
      <w:tr w:rsidR="00654F3E" w:rsidRPr="000745CA" w14:paraId="1DB452D8" w14:textId="77777777" w:rsidTr="00654F3E">
        <w:trPr>
          <w:jc w:val="center"/>
        </w:trPr>
        <w:tc>
          <w:tcPr>
            <w:tcW w:w="894" w:type="pct"/>
            <w:vAlign w:val="center"/>
          </w:tcPr>
          <w:p w14:paraId="20E6C5A0"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277</w:t>
            </w:r>
          </w:p>
        </w:tc>
        <w:tc>
          <w:tcPr>
            <w:tcW w:w="4106" w:type="pct"/>
          </w:tcPr>
          <w:p w14:paraId="50385F7E"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Preventivne mjere za smanjenje rizika od suše</w:t>
            </w:r>
          </w:p>
        </w:tc>
      </w:tr>
      <w:tr w:rsidR="00654F3E" w:rsidRPr="000745CA" w14:paraId="2D80B36A" w14:textId="77777777" w:rsidTr="00654F3E">
        <w:trPr>
          <w:jc w:val="center"/>
        </w:trPr>
        <w:tc>
          <w:tcPr>
            <w:tcW w:w="894" w:type="pct"/>
            <w:vAlign w:val="center"/>
          </w:tcPr>
          <w:p w14:paraId="29DAFBCA"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278</w:t>
            </w:r>
          </w:p>
        </w:tc>
        <w:tc>
          <w:tcPr>
            <w:tcW w:w="4106" w:type="pct"/>
          </w:tcPr>
          <w:p w14:paraId="50FA4D9F"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Preventivne mjere za smanjenje rizika od poplava</w:t>
            </w:r>
          </w:p>
        </w:tc>
      </w:tr>
      <w:tr w:rsidR="00654F3E" w:rsidRPr="000745CA" w14:paraId="78C05F47" w14:textId="77777777" w:rsidTr="00654F3E">
        <w:trPr>
          <w:jc w:val="center"/>
        </w:trPr>
        <w:tc>
          <w:tcPr>
            <w:tcW w:w="894" w:type="pct"/>
          </w:tcPr>
          <w:p w14:paraId="3D6FBD81" w14:textId="77777777" w:rsidR="00654F3E" w:rsidRPr="00654F3E" w:rsidRDefault="00654F3E" w:rsidP="0028553F">
            <w:pPr>
              <w:jc w:val="center"/>
              <w:rPr>
                <w:rFonts w:eastAsia="Times New Roman" w:cstheme="minorHAnsi"/>
                <w:b/>
                <w:bCs/>
                <w:sz w:val="16"/>
                <w:szCs w:val="16"/>
                <w:lang w:val="sr-Latn-ME"/>
              </w:rPr>
            </w:pPr>
          </w:p>
        </w:tc>
        <w:tc>
          <w:tcPr>
            <w:tcW w:w="4106" w:type="pct"/>
            <w:shd w:val="clear" w:color="auto" w:fill="D9D9D9" w:themeFill="background1" w:themeFillShade="D9"/>
          </w:tcPr>
          <w:p w14:paraId="02C5C918" w14:textId="77777777" w:rsidR="00654F3E" w:rsidRPr="00654F3E" w:rsidRDefault="00654F3E" w:rsidP="0028553F">
            <w:pPr>
              <w:rPr>
                <w:rFonts w:cstheme="minorHAnsi"/>
                <w:b/>
                <w:sz w:val="16"/>
                <w:szCs w:val="16"/>
                <w:lang w:val="sr-Latn-ME"/>
              </w:rPr>
            </w:pPr>
            <w:r w:rsidRPr="00654F3E">
              <w:rPr>
                <w:rFonts w:cstheme="minorHAnsi"/>
                <w:b/>
                <w:sz w:val="16"/>
                <w:szCs w:val="16"/>
                <w:lang w:val="sr-Latn-ME"/>
              </w:rPr>
              <w:t>2.37 Digital za klimu</w:t>
            </w:r>
          </w:p>
        </w:tc>
      </w:tr>
      <w:tr w:rsidR="00654F3E" w:rsidRPr="00395005" w14:paraId="25141FDE" w14:textId="77777777" w:rsidTr="00654F3E">
        <w:trPr>
          <w:jc w:val="center"/>
        </w:trPr>
        <w:tc>
          <w:tcPr>
            <w:tcW w:w="894" w:type="pct"/>
            <w:vAlign w:val="center"/>
          </w:tcPr>
          <w:p w14:paraId="07142487"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279</w:t>
            </w:r>
          </w:p>
        </w:tc>
        <w:tc>
          <w:tcPr>
            <w:tcW w:w="4106" w:type="pct"/>
          </w:tcPr>
          <w:p w14:paraId="2ACA11A8"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Digitalne tehnologije i usluge za klimatsku adaptaciju</w:t>
            </w:r>
          </w:p>
        </w:tc>
      </w:tr>
      <w:tr w:rsidR="00654F3E" w:rsidRPr="00654F3E" w14:paraId="1C4DD0D2" w14:textId="77777777" w:rsidTr="00654F3E">
        <w:trPr>
          <w:jc w:val="center"/>
        </w:trPr>
        <w:tc>
          <w:tcPr>
            <w:tcW w:w="894" w:type="pct"/>
            <w:vAlign w:val="center"/>
          </w:tcPr>
          <w:p w14:paraId="10174638"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280</w:t>
            </w:r>
          </w:p>
        </w:tc>
        <w:tc>
          <w:tcPr>
            <w:tcW w:w="4106" w:type="pct"/>
          </w:tcPr>
          <w:p w14:paraId="67ED7928"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Digitalne tehnologije i usluge za ublažavanje klimatskih promjena</w:t>
            </w:r>
          </w:p>
        </w:tc>
      </w:tr>
      <w:tr w:rsidR="00654F3E" w:rsidRPr="000745CA" w14:paraId="7D27DFDB" w14:textId="77777777" w:rsidTr="00654F3E">
        <w:trPr>
          <w:jc w:val="center"/>
        </w:trPr>
        <w:tc>
          <w:tcPr>
            <w:tcW w:w="894" w:type="pct"/>
          </w:tcPr>
          <w:p w14:paraId="7050C13B" w14:textId="77777777" w:rsidR="00654F3E" w:rsidRPr="00654F3E" w:rsidRDefault="00654F3E" w:rsidP="0028553F">
            <w:pPr>
              <w:jc w:val="center"/>
              <w:rPr>
                <w:rFonts w:eastAsia="Times New Roman" w:cstheme="minorHAnsi"/>
                <w:b/>
                <w:bCs/>
                <w:sz w:val="16"/>
                <w:szCs w:val="16"/>
                <w:lang w:val="sr-Latn-ME"/>
              </w:rPr>
            </w:pPr>
          </w:p>
        </w:tc>
        <w:tc>
          <w:tcPr>
            <w:tcW w:w="4106" w:type="pct"/>
            <w:shd w:val="clear" w:color="auto" w:fill="D9D9D9" w:themeFill="background1" w:themeFillShade="D9"/>
          </w:tcPr>
          <w:p w14:paraId="6511F66F" w14:textId="77777777" w:rsidR="00654F3E" w:rsidRPr="00654F3E" w:rsidRDefault="00654F3E" w:rsidP="0028553F">
            <w:pPr>
              <w:rPr>
                <w:rFonts w:cstheme="minorHAnsi"/>
                <w:b/>
                <w:sz w:val="16"/>
                <w:szCs w:val="16"/>
                <w:lang w:val="sr-Latn-ME"/>
              </w:rPr>
            </w:pPr>
            <w:r w:rsidRPr="00654F3E">
              <w:rPr>
                <w:rFonts w:cstheme="minorHAnsi"/>
                <w:b/>
                <w:sz w:val="16"/>
                <w:szCs w:val="16"/>
                <w:lang w:val="sr-Latn-ME"/>
              </w:rPr>
              <w:t>2.38 Zaštita i obnova prirode</w:t>
            </w:r>
          </w:p>
        </w:tc>
      </w:tr>
      <w:tr w:rsidR="00654F3E" w:rsidRPr="00654F3E" w14:paraId="2DB0DDA6" w14:textId="77777777" w:rsidTr="00654F3E">
        <w:trPr>
          <w:jc w:val="center"/>
        </w:trPr>
        <w:tc>
          <w:tcPr>
            <w:tcW w:w="894" w:type="pct"/>
            <w:vAlign w:val="center"/>
          </w:tcPr>
          <w:p w14:paraId="7DC3C519"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281</w:t>
            </w:r>
          </w:p>
        </w:tc>
        <w:tc>
          <w:tcPr>
            <w:tcW w:w="4106" w:type="pct"/>
          </w:tcPr>
          <w:p w14:paraId="5A6D49B0"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Horizontalne mjere zaštite i obnove prirode (uključujući monitoring, izvještavanje, popunjavanje praznina u znanju, jačanje kapaciteta, informisanje i edukaciju itd.)</w:t>
            </w:r>
          </w:p>
        </w:tc>
      </w:tr>
      <w:tr w:rsidR="00654F3E" w:rsidRPr="00654F3E" w14:paraId="3082811A" w14:textId="77777777" w:rsidTr="00654F3E">
        <w:trPr>
          <w:jc w:val="center"/>
        </w:trPr>
        <w:tc>
          <w:tcPr>
            <w:tcW w:w="894" w:type="pct"/>
            <w:vAlign w:val="center"/>
          </w:tcPr>
          <w:p w14:paraId="7533F4AE"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282</w:t>
            </w:r>
          </w:p>
        </w:tc>
        <w:tc>
          <w:tcPr>
            <w:tcW w:w="4106" w:type="pct"/>
          </w:tcPr>
          <w:p w14:paraId="653EAD12"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Ostale mjere koje nijesu vezane za specifične ekosisteme (uključujući prevenciju, ublažavanje ili kompenzaciju štete uzrokovane zaštićenim vrstama)</w:t>
            </w:r>
          </w:p>
        </w:tc>
      </w:tr>
      <w:tr w:rsidR="00654F3E" w:rsidRPr="000745CA" w14:paraId="072BE986" w14:textId="77777777" w:rsidTr="00654F3E">
        <w:trPr>
          <w:jc w:val="center"/>
        </w:trPr>
        <w:tc>
          <w:tcPr>
            <w:tcW w:w="894" w:type="pct"/>
            <w:vAlign w:val="center"/>
          </w:tcPr>
          <w:p w14:paraId="199F9C10"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283</w:t>
            </w:r>
          </w:p>
        </w:tc>
        <w:tc>
          <w:tcPr>
            <w:tcW w:w="4106" w:type="pct"/>
          </w:tcPr>
          <w:p w14:paraId="1B32CE95"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2.38 Zaštita i obnova prirode</w:t>
            </w:r>
          </w:p>
        </w:tc>
      </w:tr>
      <w:tr w:rsidR="00654F3E" w:rsidRPr="00654F3E" w14:paraId="365077DE" w14:textId="77777777" w:rsidTr="00654F3E">
        <w:trPr>
          <w:jc w:val="center"/>
        </w:trPr>
        <w:tc>
          <w:tcPr>
            <w:tcW w:w="894" w:type="pct"/>
            <w:vAlign w:val="center"/>
          </w:tcPr>
          <w:p w14:paraId="3AAA606B"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284</w:t>
            </w:r>
          </w:p>
        </w:tc>
        <w:tc>
          <w:tcPr>
            <w:tcW w:w="4106" w:type="pct"/>
          </w:tcPr>
          <w:p w14:paraId="3541BF31"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Horizontalne mjere zaštite i obnove prirode (uključujući monitoring, izvještavanje, popunjavanje praznina u znanju, jačanje kapaciteta, informisanje i edukaciju itd.)</w:t>
            </w:r>
          </w:p>
        </w:tc>
      </w:tr>
      <w:tr w:rsidR="00654F3E" w:rsidRPr="00654F3E" w14:paraId="1A93F4F2" w14:textId="77777777" w:rsidTr="00654F3E">
        <w:trPr>
          <w:jc w:val="center"/>
        </w:trPr>
        <w:tc>
          <w:tcPr>
            <w:tcW w:w="894" w:type="pct"/>
            <w:vAlign w:val="center"/>
          </w:tcPr>
          <w:p w14:paraId="48135AE9"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287</w:t>
            </w:r>
          </w:p>
        </w:tc>
        <w:tc>
          <w:tcPr>
            <w:tcW w:w="4106" w:type="pct"/>
          </w:tcPr>
          <w:p w14:paraId="29937FA0"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Ostale mjere koje nijesu vezane za specifične ekosisteme (uključujući prevenciju, ublažavanje ili kompenzaciju štete uzrokovane zaštićenim vrstama)</w:t>
            </w:r>
          </w:p>
        </w:tc>
      </w:tr>
      <w:tr w:rsidR="00654F3E" w:rsidRPr="000745CA" w14:paraId="3C8A90F3" w14:textId="77777777" w:rsidTr="00654F3E">
        <w:trPr>
          <w:jc w:val="center"/>
        </w:trPr>
        <w:tc>
          <w:tcPr>
            <w:tcW w:w="894" w:type="pct"/>
          </w:tcPr>
          <w:p w14:paraId="392896E5" w14:textId="77777777" w:rsidR="00654F3E" w:rsidRPr="00654F3E" w:rsidRDefault="00654F3E" w:rsidP="0028553F">
            <w:pPr>
              <w:jc w:val="center"/>
              <w:rPr>
                <w:rFonts w:eastAsia="Times New Roman" w:cstheme="minorHAnsi"/>
                <w:b/>
                <w:bCs/>
                <w:sz w:val="16"/>
                <w:szCs w:val="16"/>
                <w:lang w:val="sr-Latn-ME"/>
              </w:rPr>
            </w:pPr>
          </w:p>
        </w:tc>
        <w:tc>
          <w:tcPr>
            <w:tcW w:w="4106" w:type="pct"/>
            <w:shd w:val="clear" w:color="auto" w:fill="D9D9D9" w:themeFill="background1" w:themeFillShade="D9"/>
          </w:tcPr>
          <w:p w14:paraId="6531A4C2" w14:textId="77777777" w:rsidR="00654F3E" w:rsidRPr="00654F3E" w:rsidRDefault="00654F3E" w:rsidP="0028553F">
            <w:pPr>
              <w:tabs>
                <w:tab w:val="left" w:pos="1644"/>
              </w:tabs>
              <w:rPr>
                <w:rFonts w:cstheme="minorHAnsi"/>
                <w:b/>
                <w:sz w:val="16"/>
                <w:szCs w:val="16"/>
                <w:lang w:val="sr-Latn-ME"/>
              </w:rPr>
            </w:pPr>
            <w:r w:rsidRPr="00654F3E">
              <w:rPr>
                <w:rFonts w:cstheme="minorHAnsi"/>
                <w:b/>
                <w:sz w:val="16"/>
                <w:szCs w:val="16"/>
                <w:lang w:val="sr-Latn-ME"/>
              </w:rPr>
              <w:t>2.39 Šumarstvo</w:t>
            </w:r>
            <w:r w:rsidRPr="00654F3E">
              <w:rPr>
                <w:rFonts w:cstheme="minorHAnsi"/>
                <w:b/>
                <w:sz w:val="16"/>
                <w:szCs w:val="16"/>
                <w:lang w:val="sr-Latn-ME"/>
              </w:rPr>
              <w:tab/>
            </w:r>
          </w:p>
        </w:tc>
      </w:tr>
      <w:tr w:rsidR="00654F3E" w:rsidRPr="00654F3E" w14:paraId="24119233" w14:textId="77777777" w:rsidTr="00654F3E">
        <w:trPr>
          <w:jc w:val="center"/>
        </w:trPr>
        <w:tc>
          <w:tcPr>
            <w:tcW w:w="894" w:type="pct"/>
            <w:vAlign w:val="center"/>
          </w:tcPr>
          <w:p w14:paraId="2AE79864" w14:textId="77777777" w:rsidR="00654F3E" w:rsidRPr="00654F3E" w:rsidRDefault="00654F3E" w:rsidP="0028553F">
            <w:pPr>
              <w:jc w:val="center"/>
              <w:rPr>
                <w:rFonts w:cstheme="minorHAnsi"/>
                <w:color w:val="000000"/>
                <w:sz w:val="16"/>
                <w:szCs w:val="16"/>
                <w:lang w:val="sr-Latn-ME"/>
              </w:rPr>
            </w:pPr>
            <w:r w:rsidRPr="00654F3E">
              <w:rPr>
                <w:rFonts w:eastAsia="Times New Roman" w:cstheme="minorHAnsi"/>
                <w:b/>
                <w:bCs/>
                <w:sz w:val="16"/>
                <w:szCs w:val="16"/>
                <w:lang w:val="sr-Latn-ME"/>
              </w:rPr>
              <w:t>288</w:t>
            </w:r>
          </w:p>
        </w:tc>
        <w:tc>
          <w:tcPr>
            <w:tcW w:w="4106" w:type="pct"/>
          </w:tcPr>
          <w:p w14:paraId="11CDED34"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Održivo pošumljavanje i obnova šuma</w:t>
            </w:r>
          </w:p>
        </w:tc>
      </w:tr>
      <w:tr w:rsidR="00654F3E" w:rsidRPr="000745CA" w14:paraId="0FAF0273" w14:textId="77777777" w:rsidTr="00654F3E">
        <w:trPr>
          <w:jc w:val="center"/>
        </w:trPr>
        <w:tc>
          <w:tcPr>
            <w:tcW w:w="894" w:type="pct"/>
          </w:tcPr>
          <w:p w14:paraId="51226BBE" w14:textId="77777777" w:rsidR="00654F3E" w:rsidRPr="00654F3E" w:rsidRDefault="00654F3E" w:rsidP="0028553F">
            <w:pPr>
              <w:jc w:val="center"/>
              <w:rPr>
                <w:rFonts w:cstheme="minorHAnsi"/>
                <w:color w:val="000000"/>
                <w:sz w:val="16"/>
                <w:szCs w:val="16"/>
                <w:lang w:val="sr-Latn-ME"/>
              </w:rPr>
            </w:pPr>
          </w:p>
        </w:tc>
        <w:tc>
          <w:tcPr>
            <w:tcW w:w="4106" w:type="pct"/>
            <w:shd w:val="clear" w:color="auto" w:fill="D9D9D9" w:themeFill="background1" w:themeFillShade="D9"/>
          </w:tcPr>
          <w:p w14:paraId="308C4139" w14:textId="77777777" w:rsidR="00654F3E" w:rsidRPr="00654F3E" w:rsidRDefault="00654F3E" w:rsidP="0028553F">
            <w:pPr>
              <w:rPr>
                <w:rFonts w:cstheme="minorHAnsi"/>
                <w:b/>
                <w:sz w:val="16"/>
                <w:szCs w:val="16"/>
                <w:lang w:val="sr-Latn-ME"/>
              </w:rPr>
            </w:pPr>
            <w:r w:rsidRPr="00654F3E">
              <w:rPr>
                <w:rFonts w:cstheme="minorHAnsi"/>
                <w:b/>
                <w:sz w:val="16"/>
                <w:szCs w:val="16"/>
                <w:lang w:val="sr-Latn-ME"/>
              </w:rPr>
              <w:t>2.40 Zagađenje</w:t>
            </w:r>
          </w:p>
        </w:tc>
      </w:tr>
      <w:tr w:rsidR="00654F3E" w:rsidRPr="00395005" w14:paraId="5BC565C4" w14:textId="77777777" w:rsidTr="00654F3E">
        <w:trPr>
          <w:jc w:val="center"/>
        </w:trPr>
        <w:tc>
          <w:tcPr>
            <w:tcW w:w="894" w:type="pct"/>
            <w:vAlign w:val="center"/>
          </w:tcPr>
          <w:p w14:paraId="47FDA7FB"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289</w:t>
            </w:r>
          </w:p>
        </w:tc>
        <w:tc>
          <w:tcPr>
            <w:tcW w:w="4106" w:type="pct"/>
          </w:tcPr>
          <w:p w14:paraId="6922167B"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 xml:space="preserve">Aktivnosti za </w:t>
            </w:r>
            <w:proofErr w:type="spellStart"/>
            <w:r w:rsidRPr="00654F3E">
              <w:rPr>
                <w:rFonts w:cstheme="minorHAnsi"/>
                <w:sz w:val="16"/>
                <w:szCs w:val="16"/>
                <w:lang w:val="sr-Latn-ME"/>
              </w:rPr>
              <w:t>unapređenje</w:t>
            </w:r>
            <w:proofErr w:type="spellEnd"/>
            <w:r w:rsidRPr="00654F3E">
              <w:rPr>
                <w:rFonts w:cstheme="minorHAnsi"/>
                <w:sz w:val="16"/>
                <w:szCs w:val="16"/>
                <w:lang w:val="sr-Latn-ME"/>
              </w:rPr>
              <w:t xml:space="preserve"> monitoringa i modeliranja kvaliteta vazduha</w:t>
            </w:r>
          </w:p>
        </w:tc>
      </w:tr>
      <w:tr w:rsidR="00654F3E" w:rsidRPr="00654F3E" w14:paraId="07E0F0C6" w14:textId="77777777" w:rsidTr="00654F3E">
        <w:trPr>
          <w:jc w:val="center"/>
        </w:trPr>
        <w:tc>
          <w:tcPr>
            <w:tcW w:w="894" w:type="pct"/>
            <w:vAlign w:val="center"/>
          </w:tcPr>
          <w:p w14:paraId="3EDDFE6C"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290</w:t>
            </w:r>
          </w:p>
        </w:tc>
        <w:tc>
          <w:tcPr>
            <w:tcW w:w="4106" w:type="pct"/>
          </w:tcPr>
          <w:p w14:paraId="6576567D"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Mjere za smanjenje zagađenja vazduha</w:t>
            </w:r>
          </w:p>
        </w:tc>
      </w:tr>
      <w:tr w:rsidR="00654F3E" w:rsidRPr="00654F3E" w14:paraId="53CECBBD" w14:textId="77777777" w:rsidTr="00654F3E">
        <w:trPr>
          <w:jc w:val="center"/>
        </w:trPr>
        <w:tc>
          <w:tcPr>
            <w:tcW w:w="894" w:type="pct"/>
            <w:vAlign w:val="center"/>
          </w:tcPr>
          <w:p w14:paraId="5B819CF7"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291</w:t>
            </w:r>
          </w:p>
        </w:tc>
        <w:tc>
          <w:tcPr>
            <w:tcW w:w="4106" w:type="pct"/>
          </w:tcPr>
          <w:p w14:paraId="166FA30C"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Mjere za smanjenje buke na izvoru i izloženosti buci</w:t>
            </w:r>
          </w:p>
        </w:tc>
      </w:tr>
      <w:tr w:rsidR="00654F3E" w:rsidRPr="00654F3E" w14:paraId="4A9B665A" w14:textId="77777777" w:rsidTr="00654F3E">
        <w:trPr>
          <w:jc w:val="center"/>
        </w:trPr>
        <w:tc>
          <w:tcPr>
            <w:tcW w:w="894" w:type="pct"/>
            <w:vAlign w:val="center"/>
          </w:tcPr>
          <w:p w14:paraId="3F6AFD55"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292</w:t>
            </w:r>
          </w:p>
        </w:tc>
        <w:tc>
          <w:tcPr>
            <w:tcW w:w="4106" w:type="pct"/>
          </w:tcPr>
          <w:p w14:paraId="06858065"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Mjere za smanjenje industrijskih emisija, uključujući ulaganja u čistije proizvodne tehnologije i kontrolu emisija</w:t>
            </w:r>
          </w:p>
        </w:tc>
      </w:tr>
      <w:tr w:rsidR="00654F3E" w:rsidRPr="00654F3E" w14:paraId="785C2E3C" w14:textId="77777777" w:rsidTr="00654F3E">
        <w:trPr>
          <w:jc w:val="center"/>
        </w:trPr>
        <w:tc>
          <w:tcPr>
            <w:tcW w:w="894" w:type="pct"/>
            <w:vAlign w:val="center"/>
          </w:tcPr>
          <w:p w14:paraId="46B2655C"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293</w:t>
            </w:r>
          </w:p>
        </w:tc>
        <w:tc>
          <w:tcPr>
            <w:tcW w:w="4106" w:type="pct"/>
          </w:tcPr>
          <w:p w14:paraId="44E74C05"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 xml:space="preserve">Sanacija zagađenja voda (npr. </w:t>
            </w:r>
            <w:proofErr w:type="spellStart"/>
            <w:r w:rsidRPr="00654F3E">
              <w:rPr>
                <w:rFonts w:cstheme="minorHAnsi"/>
                <w:sz w:val="16"/>
                <w:szCs w:val="16"/>
                <w:lang w:val="sr-Latn-ME"/>
              </w:rPr>
              <w:t>nutrijenti</w:t>
            </w:r>
            <w:proofErr w:type="spellEnd"/>
            <w:r w:rsidRPr="00654F3E">
              <w:rPr>
                <w:rFonts w:cstheme="minorHAnsi"/>
                <w:sz w:val="16"/>
                <w:szCs w:val="16"/>
                <w:lang w:val="sr-Latn-ME"/>
              </w:rPr>
              <w:t>, pesticidi, farmaceutski proizvodi, PFAS, plastika, hemikalije)</w:t>
            </w:r>
          </w:p>
        </w:tc>
      </w:tr>
      <w:tr w:rsidR="00654F3E" w:rsidRPr="000745CA" w14:paraId="0CDD63AE" w14:textId="77777777" w:rsidTr="00654F3E">
        <w:trPr>
          <w:jc w:val="center"/>
        </w:trPr>
        <w:tc>
          <w:tcPr>
            <w:tcW w:w="894" w:type="pct"/>
          </w:tcPr>
          <w:p w14:paraId="0366AC83" w14:textId="77777777" w:rsidR="00654F3E" w:rsidRPr="00654F3E" w:rsidRDefault="00654F3E" w:rsidP="0028553F">
            <w:pPr>
              <w:jc w:val="center"/>
              <w:rPr>
                <w:rFonts w:eastAsia="Times New Roman" w:cstheme="minorHAnsi"/>
                <w:b/>
                <w:bCs/>
                <w:sz w:val="16"/>
                <w:szCs w:val="16"/>
                <w:lang w:val="sr-Latn-ME"/>
              </w:rPr>
            </w:pPr>
          </w:p>
        </w:tc>
        <w:tc>
          <w:tcPr>
            <w:tcW w:w="4106" w:type="pct"/>
            <w:shd w:val="clear" w:color="auto" w:fill="D9D9D9" w:themeFill="background1" w:themeFillShade="D9"/>
          </w:tcPr>
          <w:p w14:paraId="14F4C2AF" w14:textId="77777777" w:rsidR="00654F3E" w:rsidRPr="00654F3E" w:rsidRDefault="00654F3E" w:rsidP="0028553F">
            <w:pPr>
              <w:rPr>
                <w:rFonts w:cstheme="minorHAnsi"/>
                <w:b/>
                <w:sz w:val="16"/>
                <w:szCs w:val="16"/>
                <w:lang w:val="sr-Latn-ME"/>
              </w:rPr>
            </w:pPr>
            <w:r w:rsidRPr="00654F3E">
              <w:rPr>
                <w:rFonts w:cstheme="minorHAnsi"/>
                <w:b/>
                <w:sz w:val="16"/>
                <w:szCs w:val="16"/>
                <w:lang w:val="sr-Latn-ME"/>
              </w:rPr>
              <w:t>2.05 Reforme</w:t>
            </w:r>
          </w:p>
        </w:tc>
      </w:tr>
      <w:tr w:rsidR="00654F3E" w:rsidRPr="00395005" w14:paraId="064F4DBC" w14:textId="77777777" w:rsidTr="00654F3E">
        <w:trPr>
          <w:jc w:val="center"/>
        </w:trPr>
        <w:tc>
          <w:tcPr>
            <w:tcW w:w="894" w:type="pct"/>
            <w:vAlign w:val="center"/>
          </w:tcPr>
          <w:p w14:paraId="2445D537"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294</w:t>
            </w:r>
          </w:p>
        </w:tc>
        <w:tc>
          <w:tcPr>
            <w:tcW w:w="4106" w:type="pct"/>
          </w:tcPr>
          <w:p w14:paraId="26117201"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Prilagođavanje klimatskim promjenama i otpornost</w:t>
            </w:r>
          </w:p>
        </w:tc>
      </w:tr>
      <w:tr w:rsidR="00654F3E" w:rsidRPr="00654F3E" w14:paraId="1447E191" w14:textId="77777777" w:rsidTr="00654F3E">
        <w:trPr>
          <w:jc w:val="center"/>
        </w:trPr>
        <w:tc>
          <w:tcPr>
            <w:tcW w:w="894" w:type="pct"/>
            <w:vAlign w:val="center"/>
          </w:tcPr>
          <w:p w14:paraId="2B65CFB5"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295</w:t>
            </w:r>
          </w:p>
        </w:tc>
        <w:tc>
          <w:tcPr>
            <w:tcW w:w="4106" w:type="pct"/>
          </w:tcPr>
          <w:p w14:paraId="7BDE253F"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Politike i regulatorni okvir u oblasti životne sredine i upravljanja resursima, uključujući održivo finansiranje</w:t>
            </w:r>
          </w:p>
        </w:tc>
      </w:tr>
      <w:tr w:rsidR="00654F3E" w:rsidRPr="000745CA" w14:paraId="3A156CA1" w14:textId="77777777" w:rsidTr="00654F3E">
        <w:trPr>
          <w:trHeight w:val="89"/>
          <w:jc w:val="center"/>
        </w:trPr>
        <w:tc>
          <w:tcPr>
            <w:tcW w:w="894" w:type="pct"/>
          </w:tcPr>
          <w:p w14:paraId="24A53EEF" w14:textId="77777777" w:rsidR="00654F3E" w:rsidRPr="00654F3E" w:rsidRDefault="00654F3E" w:rsidP="0028553F">
            <w:pPr>
              <w:jc w:val="center"/>
              <w:rPr>
                <w:rFonts w:eastAsia="Times New Roman" w:cstheme="minorHAnsi"/>
                <w:b/>
                <w:bCs/>
                <w:sz w:val="16"/>
                <w:szCs w:val="16"/>
                <w:lang w:val="sr-Latn-ME"/>
              </w:rPr>
            </w:pPr>
          </w:p>
        </w:tc>
        <w:tc>
          <w:tcPr>
            <w:tcW w:w="4106" w:type="pct"/>
            <w:shd w:val="clear" w:color="auto" w:fill="D9D9D9" w:themeFill="background1" w:themeFillShade="D9"/>
          </w:tcPr>
          <w:p w14:paraId="726C26B2" w14:textId="77777777" w:rsidR="00654F3E" w:rsidRPr="00654F3E" w:rsidRDefault="00654F3E" w:rsidP="0028553F">
            <w:pPr>
              <w:rPr>
                <w:rFonts w:cstheme="minorHAnsi"/>
                <w:b/>
                <w:sz w:val="16"/>
                <w:szCs w:val="16"/>
                <w:lang w:val="sr-Latn-ME"/>
              </w:rPr>
            </w:pPr>
            <w:r w:rsidRPr="00654F3E">
              <w:rPr>
                <w:rFonts w:cstheme="minorHAnsi"/>
                <w:b/>
                <w:sz w:val="16"/>
                <w:szCs w:val="16"/>
                <w:lang w:val="sr-Latn-ME"/>
              </w:rPr>
              <w:t>2.41 Voda</w:t>
            </w:r>
          </w:p>
        </w:tc>
      </w:tr>
      <w:tr w:rsidR="00654F3E" w:rsidRPr="00395005" w14:paraId="6932F54D" w14:textId="77777777" w:rsidTr="00654F3E">
        <w:trPr>
          <w:jc w:val="center"/>
        </w:trPr>
        <w:tc>
          <w:tcPr>
            <w:tcW w:w="894" w:type="pct"/>
            <w:vAlign w:val="center"/>
          </w:tcPr>
          <w:p w14:paraId="62F540F7"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296</w:t>
            </w:r>
          </w:p>
        </w:tc>
        <w:tc>
          <w:tcPr>
            <w:tcW w:w="4106" w:type="pct"/>
          </w:tcPr>
          <w:p w14:paraId="75CA33D2"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Smanjenje pritisaka na morski ekosistem</w:t>
            </w:r>
          </w:p>
        </w:tc>
      </w:tr>
      <w:tr w:rsidR="00654F3E" w:rsidRPr="00654F3E" w14:paraId="665C7760" w14:textId="77777777" w:rsidTr="00654F3E">
        <w:trPr>
          <w:jc w:val="center"/>
        </w:trPr>
        <w:tc>
          <w:tcPr>
            <w:tcW w:w="894" w:type="pct"/>
            <w:vAlign w:val="center"/>
          </w:tcPr>
          <w:p w14:paraId="62F9681B"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297</w:t>
            </w:r>
          </w:p>
        </w:tc>
        <w:tc>
          <w:tcPr>
            <w:tcW w:w="4106" w:type="pct"/>
          </w:tcPr>
          <w:p w14:paraId="151BCB8C"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 xml:space="preserve">Izgradnja, obnova ili proširenje sistema za prikupljanje i/ili tretman otpadnih voda, uz očuvanje i </w:t>
            </w:r>
            <w:proofErr w:type="spellStart"/>
            <w:r w:rsidRPr="00654F3E">
              <w:rPr>
                <w:rFonts w:cstheme="minorHAnsi"/>
                <w:sz w:val="16"/>
                <w:szCs w:val="16"/>
                <w:lang w:val="sr-Latn-ME"/>
              </w:rPr>
              <w:t>unapređenje</w:t>
            </w:r>
            <w:proofErr w:type="spellEnd"/>
            <w:r w:rsidRPr="00654F3E">
              <w:rPr>
                <w:rFonts w:cstheme="minorHAnsi"/>
                <w:sz w:val="16"/>
                <w:szCs w:val="16"/>
                <w:lang w:val="sr-Latn-ME"/>
              </w:rPr>
              <w:t xml:space="preserve"> pristupa sanitaciji</w:t>
            </w:r>
          </w:p>
        </w:tc>
      </w:tr>
      <w:tr w:rsidR="00654F3E" w:rsidRPr="00654F3E" w14:paraId="6B3A8973" w14:textId="77777777" w:rsidTr="00654F3E">
        <w:trPr>
          <w:jc w:val="center"/>
        </w:trPr>
        <w:tc>
          <w:tcPr>
            <w:tcW w:w="894" w:type="pct"/>
            <w:vAlign w:val="center"/>
          </w:tcPr>
          <w:p w14:paraId="045C7C97"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298</w:t>
            </w:r>
          </w:p>
        </w:tc>
        <w:tc>
          <w:tcPr>
            <w:tcW w:w="4106" w:type="pct"/>
          </w:tcPr>
          <w:p w14:paraId="6B2450BE"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Mjere digitalizacije u sektoru voda i otpadnih voda (npr. mjerenje potrošnje)</w:t>
            </w:r>
          </w:p>
        </w:tc>
      </w:tr>
      <w:tr w:rsidR="00654F3E" w:rsidRPr="00654F3E" w14:paraId="62C9DDFE" w14:textId="77777777" w:rsidTr="00654F3E">
        <w:trPr>
          <w:jc w:val="center"/>
        </w:trPr>
        <w:tc>
          <w:tcPr>
            <w:tcW w:w="894" w:type="pct"/>
            <w:vAlign w:val="center"/>
          </w:tcPr>
          <w:p w14:paraId="3FB7E781"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lastRenderedPageBreak/>
              <w:t>299</w:t>
            </w:r>
          </w:p>
        </w:tc>
        <w:tc>
          <w:tcPr>
            <w:tcW w:w="4106" w:type="pct"/>
          </w:tcPr>
          <w:p w14:paraId="0D391AE8"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 xml:space="preserve">Mjere energetske efikasnosti u sektoru voda i otpadnih voda (npr. </w:t>
            </w:r>
            <w:proofErr w:type="spellStart"/>
            <w:r w:rsidRPr="00654F3E">
              <w:rPr>
                <w:rFonts w:cstheme="minorHAnsi"/>
                <w:sz w:val="16"/>
                <w:szCs w:val="16"/>
                <w:lang w:val="sr-Latn-ME"/>
              </w:rPr>
              <w:t>vodosnabdijevanje</w:t>
            </w:r>
            <w:proofErr w:type="spellEnd"/>
            <w:r w:rsidRPr="00654F3E">
              <w:rPr>
                <w:rFonts w:cstheme="minorHAnsi"/>
                <w:sz w:val="16"/>
                <w:szCs w:val="16"/>
                <w:lang w:val="sr-Latn-ME"/>
              </w:rPr>
              <w:t>, upravljanje, tretman otpadnih voda)</w:t>
            </w:r>
          </w:p>
        </w:tc>
      </w:tr>
      <w:tr w:rsidR="00654F3E" w:rsidRPr="00654F3E" w14:paraId="3FD72C8E" w14:textId="77777777" w:rsidTr="00654F3E">
        <w:trPr>
          <w:jc w:val="center"/>
        </w:trPr>
        <w:tc>
          <w:tcPr>
            <w:tcW w:w="894" w:type="pct"/>
            <w:vAlign w:val="center"/>
          </w:tcPr>
          <w:p w14:paraId="75563D73"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300</w:t>
            </w:r>
          </w:p>
        </w:tc>
        <w:tc>
          <w:tcPr>
            <w:tcW w:w="4106" w:type="pct"/>
          </w:tcPr>
          <w:p w14:paraId="08805F5D"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 xml:space="preserve">Prirodno zasnovana rješenja za povećanje kapaciteta zadržavanja vode u zemljištu; prikupljanje kišnice bez zahvatanja podzemnih voda; uklanjanje </w:t>
            </w:r>
            <w:proofErr w:type="spellStart"/>
            <w:r w:rsidRPr="00654F3E">
              <w:rPr>
                <w:rFonts w:cstheme="minorHAnsi"/>
                <w:sz w:val="16"/>
                <w:szCs w:val="16"/>
                <w:lang w:val="sr-Latn-ME"/>
              </w:rPr>
              <w:t>prepreka</w:t>
            </w:r>
            <w:proofErr w:type="spellEnd"/>
            <w:r w:rsidRPr="00654F3E">
              <w:rPr>
                <w:rFonts w:cstheme="minorHAnsi"/>
                <w:sz w:val="16"/>
                <w:szCs w:val="16"/>
                <w:lang w:val="sr-Latn-ME"/>
              </w:rPr>
              <w:t xml:space="preserve"> slobodnom toku rijeka; prečišćavanje vode</w:t>
            </w:r>
          </w:p>
        </w:tc>
      </w:tr>
      <w:tr w:rsidR="00654F3E" w:rsidRPr="00654F3E" w14:paraId="6D88A3F0" w14:textId="77777777" w:rsidTr="00654F3E">
        <w:trPr>
          <w:jc w:val="center"/>
        </w:trPr>
        <w:tc>
          <w:tcPr>
            <w:tcW w:w="894" w:type="pct"/>
            <w:vAlign w:val="center"/>
          </w:tcPr>
          <w:p w14:paraId="3CD51F26"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301</w:t>
            </w:r>
          </w:p>
        </w:tc>
        <w:tc>
          <w:tcPr>
            <w:tcW w:w="4106" w:type="pct"/>
          </w:tcPr>
          <w:p w14:paraId="5718CD4B" w14:textId="77777777" w:rsidR="00654F3E" w:rsidRPr="00654F3E" w:rsidRDefault="00654F3E" w:rsidP="0028553F">
            <w:pPr>
              <w:rPr>
                <w:rFonts w:cstheme="minorHAnsi"/>
                <w:sz w:val="16"/>
                <w:szCs w:val="16"/>
                <w:lang w:val="sr-Latn-ME"/>
              </w:rPr>
            </w:pPr>
            <w:proofErr w:type="spellStart"/>
            <w:r w:rsidRPr="00654F3E">
              <w:rPr>
                <w:rFonts w:cstheme="minorHAnsi"/>
                <w:sz w:val="16"/>
                <w:szCs w:val="16"/>
                <w:lang w:val="sr-Latn-ME"/>
              </w:rPr>
              <w:t>Obezbjeđivanje</w:t>
            </w:r>
            <w:proofErr w:type="spellEnd"/>
            <w:r w:rsidRPr="00654F3E">
              <w:rPr>
                <w:rFonts w:cstheme="minorHAnsi"/>
                <w:sz w:val="16"/>
                <w:szCs w:val="16"/>
                <w:lang w:val="sr-Latn-ME"/>
              </w:rPr>
              <w:t xml:space="preserve"> </w:t>
            </w:r>
            <w:proofErr w:type="spellStart"/>
            <w:r w:rsidRPr="00654F3E">
              <w:rPr>
                <w:rFonts w:cstheme="minorHAnsi"/>
                <w:sz w:val="16"/>
                <w:szCs w:val="16"/>
                <w:lang w:val="sr-Latn-ME"/>
              </w:rPr>
              <w:t>vodosnabdijevanja</w:t>
            </w:r>
            <w:proofErr w:type="spellEnd"/>
            <w:r w:rsidRPr="00654F3E">
              <w:rPr>
                <w:rFonts w:cstheme="minorHAnsi"/>
                <w:sz w:val="16"/>
                <w:szCs w:val="16"/>
                <w:lang w:val="sr-Latn-ME"/>
              </w:rPr>
              <w:t xml:space="preserve"> za ljudsku potrošnju (zahvatanje, tretman, skladištenje i distribucija), uključujući mjere usklađenosti kvaliteta, povećanje efikasnosti (npr. smanjenje gubitaka vode), obnovu i </w:t>
            </w:r>
            <w:proofErr w:type="spellStart"/>
            <w:r w:rsidRPr="00654F3E">
              <w:rPr>
                <w:rFonts w:cstheme="minorHAnsi"/>
                <w:sz w:val="16"/>
                <w:szCs w:val="16"/>
                <w:lang w:val="sr-Latn-ME"/>
              </w:rPr>
              <w:t>unapređenje</w:t>
            </w:r>
            <w:proofErr w:type="spellEnd"/>
            <w:r w:rsidRPr="00654F3E">
              <w:rPr>
                <w:rFonts w:cstheme="minorHAnsi"/>
                <w:sz w:val="16"/>
                <w:szCs w:val="16"/>
                <w:lang w:val="sr-Latn-ME"/>
              </w:rPr>
              <w:t xml:space="preserve"> pristupa vodi</w:t>
            </w:r>
          </w:p>
        </w:tc>
      </w:tr>
      <w:tr w:rsidR="00654F3E" w:rsidRPr="00395005" w14:paraId="5E8D21A2" w14:textId="77777777" w:rsidTr="00654F3E">
        <w:trPr>
          <w:jc w:val="center"/>
        </w:trPr>
        <w:tc>
          <w:tcPr>
            <w:tcW w:w="894" w:type="pct"/>
            <w:vAlign w:val="center"/>
          </w:tcPr>
          <w:p w14:paraId="2E062B65"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302</w:t>
            </w:r>
          </w:p>
        </w:tc>
        <w:tc>
          <w:tcPr>
            <w:tcW w:w="4106" w:type="pct"/>
          </w:tcPr>
          <w:p w14:paraId="3DBB8940"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Efikasnost korišćenja vode, uštede i ponovna upotreba</w:t>
            </w:r>
          </w:p>
        </w:tc>
      </w:tr>
      <w:tr w:rsidR="00654F3E" w:rsidRPr="00654F3E" w14:paraId="25C4BAB2" w14:textId="77777777" w:rsidTr="00654F3E">
        <w:trPr>
          <w:jc w:val="center"/>
        </w:trPr>
        <w:tc>
          <w:tcPr>
            <w:tcW w:w="894" w:type="pct"/>
            <w:vAlign w:val="center"/>
          </w:tcPr>
          <w:p w14:paraId="67502555"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303</w:t>
            </w:r>
          </w:p>
        </w:tc>
        <w:tc>
          <w:tcPr>
            <w:tcW w:w="4106" w:type="pct"/>
          </w:tcPr>
          <w:p w14:paraId="08B513C9" w14:textId="77777777" w:rsidR="00654F3E" w:rsidRPr="00654F3E" w:rsidRDefault="00654F3E" w:rsidP="0028553F">
            <w:pPr>
              <w:rPr>
                <w:rFonts w:cstheme="minorHAnsi"/>
                <w:sz w:val="16"/>
                <w:szCs w:val="16"/>
                <w:lang w:val="sr-Latn-ME"/>
              </w:rPr>
            </w:pPr>
            <w:r w:rsidRPr="00654F3E">
              <w:rPr>
                <w:rFonts w:cstheme="minorHAnsi"/>
                <w:sz w:val="16"/>
                <w:szCs w:val="16"/>
                <w:lang w:val="sr-Latn-ME"/>
              </w:rPr>
              <w:t>Planiranje, monitoring i upravljanje vodama (uključujući digitalizaciju)</w:t>
            </w:r>
          </w:p>
        </w:tc>
      </w:tr>
    </w:tbl>
    <w:p w14:paraId="073B0CBE" w14:textId="77777777" w:rsidR="00654F3E" w:rsidRPr="0011433A" w:rsidRDefault="00654F3E" w:rsidP="00654F3E">
      <w:pPr>
        <w:rPr>
          <w:rFonts w:eastAsia="Times New Roman" w:cstheme="minorHAnsi"/>
          <w:lang w:val="sr-Latn-ME"/>
        </w:rPr>
      </w:pPr>
    </w:p>
    <w:p w14:paraId="7F6492D6" w14:textId="08959918" w:rsidR="00654F3E" w:rsidRPr="0011433A" w:rsidRDefault="00654F3E" w:rsidP="00654F3E">
      <w:pPr>
        <w:pStyle w:val="Heading2"/>
        <w:rPr>
          <w:rFonts w:eastAsia="Times New Roman"/>
          <w:lang w:val="sr-Latn-ME"/>
        </w:rPr>
      </w:pPr>
      <w:r w:rsidRPr="000745CA">
        <w:rPr>
          <w:rFonts w:eastAsia="Times New Roman"/>
          <w:lang w:val="sr-Latn-ME"/>
        </w:rPr>
        <w:t>Indikativna lista razvojnih izazova</w:t>
      </w:r>
    </w:p>
    <w:p w14:paraId="50621653" w14:textId="77777777" w:rsidR="00654F3E" w:rsidRPr="0011433A" w:rsidRDefault="00654F3E" w:rsidP="00654F3E">
      <w:pPr>
        <w:rPr>
          <w:rFonts w:eastAsia="Times New Roman" w:cstheme="minorHAnsi"/>
          <w:b/>
          <w:bCs/>
          <w:lang w:val="sr-Latn-ME"/>
        </w:rPr>
      </w:pPr>
    </w:p>
    <w:tbl>
      <w:tblPr>
        <w:tblStyle w:val="TableGrid"/>
        <w:tblW w:w="5000" w:type="pct"/>
        <w:tblLook w:val="04A0" w:firstRow="1" w:lastRow="0" w:firstColumn="1" w:lastColumn="0" w:noHBand="0" w:noVBand="1"/>
      </w:tblPr>
      <w:tblGrid>
        <w:gridCol w:w="1300"/>
        <w:gridCol w:w="2771"/>
        <w:gridCol w:w="5279"/>
      </w:tblGrid>
      <w:tr w:rsidR="00654F3E" w:rsidRPr="00654F3E" w14:paraId="6FCC6497" w14:textId="77777777" w:rsidTr="00654F3E">
        <w:tc>
          <w:tcPr>
            <w:tcW w:w="695" w:type="pct"/>
            <w:shd w:val="clear" w:color="auto" w:fill="83CAEB" w:themeFill="accent1" w:themeFillTint="66"/>
            <w:vAlign w:val="center"/>
          </w:tcPr>
          <w:p w14:paraId="5DFF4E49" w14:textId="77777777" w:rsidR="00654F3E" w:rsidRPr="00654F3E" w:rsidRDefault="00654F3E" w:rsidP="0028553F">
            <w:pPr>
              <w:rPr>
                <w:rFonts w:cstheme="minorHAnsi"/>
                <w:b/>
                <w:sz w:val="16"/>
                <w:szCs w:val="16"/>
                <w:lang w:val="sr-Latn-BA"/>
              </w:rPr>
            </w:pPr>
            <w:r w:rsidRPr="00654F3E">
              <w:rPr>
                <w:rFonts w:cstheme="minorHAnsi"/>
                <w:b/>
                <w:sz w:val="16"/>
                <w:szCs w:val="16"/>
                <w:lang w:val="sr-Latn-BA"/>
              </w:rPr>
              <w:t xml:space="preserve">Šifra razvojnog izazova </w:t>
            </w:r>
          </w:p>
        </w:tc>
        <w:tc>
          <w:tcPr>
            <w:tcW w:w="1482" w:type="pct"/>
            <w:shd w:val="clear" w:color="auto" w:fill="83CAEB" w:themeFill="accent1" w:themeFillTint="66"/>
            <w:vAlign w:val="center"/>
          </w:tcPr>
          <w:p w14:paraId="266B2215" w14:textId="77777777" w:rsidR="00654F3E" w:rsidRPr="00654F3E" w:rsidRDefault="00654F3E" w:rsidP="0028553F">
            <w:pPr>
              <w:jc w:val="left"/>
              <w:rPr>
                <w:rFonts w:cstheme="minorHAnsi"/>
                <w:b/>
                <w:sz w:val="16"/>
                <w:szCs w:val="16"/>
                <w:lang w:val="sr-Latn-BA"/>
              </w:rPr>
            </w:pPr>
            <w:r w:rsidRPr="00654F3E">
              <w:rPr>
                <w:rFonts w:cstheme="minorHAnsi"/>
                <w:b/>
                <w:sz w:val="16"/>
                <w:szCs w:val="16"/>
                <w:lang w:val="sr-Latn-BA"/>
              </w:rPr>
              <w:t>Naziv razvojnog izazova</w:t>
            </w:r>
          </w:p>
        </w:tc>
        <w:tc>
          <w:tcPr>
            <w:tcW w:w="2823" w:type="pct"/>
            <w:shd w:val="clear" w:color="auto" w:fill="83CAEB" w:themeFill="accent1" w:themeFillTint="66"/>
            <w:vAlign w:val="center"/>
          </w:tcPr>
          <w:p w14:paraId="7707581E" w14:textId="77777777" w:rsidR="00654F3E" w:rsidRPr="00654F3E" w:rsidRDefault="00654F3E" w:rsidP="0028553F">
            <w:pPr>
              <w:rPr>
                <w:rFonts w:cstheme="minorHAnsi"/>
                <w:b/>
                <w:sz w:val="16"/>
                <w:szCs w:val="16"/>
                <w:lang w:val="sr-Latn-BA"/>
              </w:rPr>
            </w:pPr>
            <w:r w:rsidRPr="00654F3E">
              <w:rPr>
                <w:rFonts w:cstheme="minorHAnsi"/>
                <w:b/>
                <w:sz w:val="16"/>
                <w:szCs w:val="16"/>
                <w:lang w:val="sr-Latn-BA"/>
              </w:rPr>
              <w:t>Objašnjenje</w:t>
            </w:r>
          </w:p>
        </w:tc>
      </w:tr>
      <w:tr w:rsidR="00654F3E" w:rsidRPr="00654F3E" w14:paraId="3B6B1276" w14:textId="77777777" w:rsidTr="00654F3E">
        <w:tc>
          <w:tcPr>
            <w:tcW w:w="695" w:type="pct"/>
            <w:shd w:val="clear" w:color="auto" w:fill="FFFFFF" w:themeFill="background1"/>
            <w:vAlign w:val="center"/>
          </w:tcPr>
          <w:p w14:paraId="0F3BF210"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DC1</w:t>
            </w:r>
          </w:p>
        </w:tc>
        <w:tc>
          <w:tcPr>
            <w:tcW w:w="1482" w:type="pct"/>
            <w:vAlign w:val="center"/>
          </w:tcPr>
          <w:p w14:paraId="09C2175F" w14:textId="77777777" w:rsidR="00654F3E" w:rsidRPr="00654F3E" w:rsidRDefault="00654F3E" w:rsidP="0028553F">
            <w:pPr>
              <w:jc w:val="left"/>
              <w:rPr>
                <w:rFonts w:eastAsia="Times New Roman" w:cstheme="minorHAnsi"/>
                <w:sz w:val="16"/>
                <w:szCs w:val="16"/>
                <w:lang w:val="sr-Latn-ME" w:eastAsia="sr-Latn-ME"/>
              </w:rPr>
            </w:pPr>
            <w:r w:rsidRPr="00654F3E">
              <w:rPr>
                <w:rFonts w:eastAsia="Times New Roman" w:cstheme="minorHAnsi"/>
                <w:sz w:val="16"/>
                <w:szCs w:val="16"/>
                <w:lang w:val="sr-Latn-ME" w:eastAsia="sr-Latn-ME"/>
              </w:rPr>
              <w:t>Nizak nivo implementacije cirkularne ekonomije</w:t>
            </w:r>
          </w:p>
          <w:p w14:paraId="76075CE4" w14:textId="77777777" w:rsidR="00654F3E" w:rsidRPr="00654F3E" w:rsidRDefault="00654F3E" w:rsidP="0028553F">
            <w:pPr>
              <w:jc w:val="left"/>
              <w:rPr>
                <w:rFonts w:eastAsia="Times New Roman" w:cstheme="minorHAnsi"/>
                <w:sz w:val="16"/>
                <w:szCs w:val="16"/>
                <w:lang w:val="sr-Latn-ME" w:eastAsia="sr-Latn-ME"/>
              </w:rPr>
            </w:pPr>
            <w:r w:rsidRPr="00654F3E">
              <w:rPr>
                <w:rFonts w:eastAsia="Times New Roman" w:cstheme="minorHAnsi"/>
                <w:sz w:val="16"/>
                <w:szCs w:val="16"/>
                <w:lang w:val="sr-Latn-ME" w:eastAsia="sr-Latn-ME"/>
              </w:rPr>
              <w:t>2.35 (257–262)</w:t>
            </w:r>
          </w:p>
        </w:tc>
        <w:tc>
          <w:tcPr>
            <w:tcW w:w="2823" w:type="pct"/>
            <w:vAlign w:val="center"/>
          </w:tcPr>
          <w:p w14:paraId="13839EAD" w14:textId="77777777" w:rsidR="00654F3E" w:rsidRPr="00654F3E" w:rsidRDefault="00654F3E" w:rsidP="0028553F">
            <w:pPr>
              <w:rPr>
                <w:rFonts w:eastAsia="Times New Roman" w:cstheme="minorHAnsi"/>
                <w:sz w:val="16"/>
                <w:szCs w:val="16"/>
                <w:lang w:val="sr-Latn-ME" w:eastAsia="sr-Latn-ME"/>
              </w:rPr>
            </w:pPr>
            <w:r w:rsidRPr="00654F3E">
              <w:rPr>
                <w:rFonts w:eastAsia="Times New Roman" w:cstheme="minorHAnsi"/>
                <w:sz w:val="16"/>
                <w:szCs w:val="16"/>
                <w:lang w:val="sr-Latn-ME" w:eastAsia="sr-Latn-ME"/>
              </w:rPr>
              <w:t>Cirkularna ekonomija je još u ranoj fazi razvoja, sa ograničenom primjenom popravke, ponovne upotrebe i cirkularnih usluga. Politike su dominantno fokusirane na upravljanje otpadom, a ne na cjelokupne cirkularne lance vrijednosti i pristup životnom ciklusu proizvoda.</w:t>
            </w:r>
          </w:p>
        </w:tc>
      </w:tr>
      <w:tr w:rsidR="00654F3E" w:rsidRPr="00654F3E" w14:paraId="28361AB1" w14:textId="77777777" w:rsidTr="00654F3E">
        <w:tc>
          <w:tcPr>
            <w:tcW w:w="695" w:type="pct"/>
            <w:shd w:val="clear" w:color="auto" w:fill="FFFFFF" w:themeFill="background1"/>
            <w:vAlign w:val="center"/>
          </w:tcPr>
          <w:p w14:paraId="15B01AE0"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DC2</w:t>
            </w:r>
          </w:p>
        </w:tc>
        <w:tc>
          <w:tcPr>
            <w:tcW w:w="1482" w:type="pct"/>
            <w:vAlign w:val="center"/>
          </w:tcPr>
          <w:p w14:paraId="2003CD55" w14:textId="77777777" w:rsidR="00654F3E" w:rsidRPr="00654F3E" w:rsidRDefault="00654F3E" w:rsidP="0028553F">
            <w:pPr>
              <w:jc w:val="left"/>
              <w:rPr>
                <w:rFonts w:eastAsia="Times New Roman" w:cstheme="minorHAnsi"/>
                <w:sz w:val="16"/>
                <w:szCs w:val="16"/>
                <w:lang w:val="sr-Latn-ME" w:eastAsia="sr-Latn-ME"/>
              </w:rPr>
            </w:pPr>
            <w:r w:rsidRPr="00654F3E">
              <w:rPr>
                <w:rFonts w:eastAsia="Times New Roman" w:cstheme="minorHAnsi"/>
                <w:sz w:val="16"/>
                <w:szCs w:val="16"/>
                <w:lang w:val="sr-Latn-ME" w:eastAsia="sr-Latn-ME"/>
              </w:rPr>
              <w:t>Slaba infrastruktura za upravljanje otpadom</w:t>
            </w:r>
          </w:p>
          <w:p w14:paraId="4CE8F412" w14:textId="77777777" w:rsidR="00654F3E" w:rsidRPr="00654F3E" w:rsidRDefault="00654F3E" w:rsidP="0028553F">
            <w:pPr>
              <w:jc w:val="left"/>
              <w:rPr>
                <w:rFonts w:eastAsia="Times New Roman" w:cstheme="minorHAnsi"/>
                <w:sz w:val="16"/>
                <w:szCs w:val="16"/>
                <w:lang w:val="sr-Latn-ME" w:eastAsia="sr-Latn-ME"/>
              </w:rPr>
            </w:pPr>
            <w:r w:rsidRPr="00654F3E">
              <w:rPr>
                <w:rFonts w:eastAsia="Times New Roman" w:cstheme="minorHAnsi"/>
                <w:sz w:val="16"/>
                <w:szCs w:val="16"/>
                <w:lang w:val="sr-Latn-ME" w:eastAsia="sr-Latn-ME"/>
              </w:rPr>
              <w:t>2.35 (258, 261, 267, 268, 271)</w:t>
            </w:r>
          </w:p>
        </w:tc>
        <w:tc>
          <w:tcPr>
            <w:tcW w:w="2823" w:type="pct"/>
            <w:vAlign w:val="center"/>
          </w:tcPr>
          <w:p w14:paraId="1FE8273D" w14:textId="77777777" w:rsidR="00654F3E" w:rsidRPr="00654F3E" w:rsidRDefault="00654F3E" w:rsidP="0028553F">
            <w:pPr>
              <w:rPr>
                <w:rFonts w:eastAsia="Times New Roman" w:cstheme="minorHAnsi"/>
                <w:sz w:val="16"/>
                <w:szCs w:val="16"/>
                <w:lang w:val="sr-Latn-ME" w:eastAsia="sr-Latn-ME"/>
              </w:rPr>
            </w:pPr>
            <w:r w:rsidRPr="00654F3E">
              <w:rPr>
                <w:rFonts w:eastAsia="Times New Roman" w:cstheme="minorHAnsi"/>
                <w:sz w:val="16"/>
                <w:szCs w:val="16"/>
                <w:lang w:val="sr-Latn-ME" w:eastAsia="sr-Latn-ME"/>
              </w:rPr>
              <w:t>Nedovoljna infrastruktura za odvojeno sakupljanje, reciklažu i tretman otpada dovodi do niskih stopa reciklaže i oslanjanja na deponije, znatno ispod standarda EU.</w:t>
            </w:r>
          </w:p>
        </w:tc>
      </w:tr>
      <w:tr w:rsidR="00654F3E" w:rsidRPr="00654F3E" w14:paraId="6D0A1838" w14:textId="77777777" w:rsidTr="00654F3E">
        <w:tc>
          <w:tcPr>
            <w:tcW w:w="695" w:type="pct"/>
            <w:shd w:val="clear" w:color="auto" w:fill="FFFFFF" w:themeFill="background1"/>
            <w:vAlign w:val="center"/>
          </w:tcPr>
          <w:p w14:paraId="3EAAAF60"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DC3</w:t>
            </w:r>
          </w:p>
        </w:tc>
        <w:tc>
          <w:tcPr>
            <w:tcW w:w="1482" w:type="pct"/>
            <w:vAlign w:val="center"/>
          </w:tcPr>
          <w:p w14:paraId="3516BCC2" w14:textId="77777777" w:rsidR="00654F3E" w:rsidRPr="00654F3E" w:rsidRDefault="00654F3E" w:rsidP="0028553F">
            <w:pPr>
              <w:jc w:val="left"/>
              <w:rPr>
                <w:rFonts w:eastAsia="Times New Roman" w:cstheme="minorHAnsi"/>
                <w:sz w:val="16"/>
                <w:szCs w:val="16"/>
                <w:lang w:val="sr-Latn-ME" w:eastAsia="sr-Latn-ME"/>
              </w:rPr>
            </w:pPr>
            <w:r w:rsidRPr="00654F3E">
              <w:rPr>
                <w:rFonts w:eastAsia="Times New Roman" w:cstheme="minorHAnsi"/>
                <w:sz w:val="16"/>
                <w:szCs w:val="16"/>
                <w:lang w:val="sr-Latn-ME" w:eastAsia="sr-Latn-ME"/>
              </w:rPr>
              <w:t>Ograničena primjena cirkularnih poslovnih modela 2.35 (257, 262, 264)</w:t>
            </w:r>
          </w:p>
        </w:tc>
        <w:tc>
          <w:tcPr>
            <w:tcW w:w="2823" w:type="pct"/>
            <w:vAlign w:val="center"/>
          </w:tcPr>
          <w:p w14:paraId="445431DF" w14:textId="77777777" w:rsidR="00654F3E" w:rsidRPr="00654F3E" w:rsidRDefault="00654F3E" w:rsidP="0028553F">
            <w:pPr>
              <w:rPr>
                <w:rFonts w:eastAsia="Times New Roman" w:cstheme="minorHAnsi"/>
                <w:sz w:val="16"/>
                <w:szCs w:val="16"/>
                <w:lang w:val="sr-Latn-ME" w:eastAsia="sr-Latn-ME"/>
              </w:rPr>
            </w:pPr>
            <w:r w:rsidRPr="00654F3E">
              <w:rPr>
                <w:rFonts w:eastAsia="Times New Roman" w:cstheme="minorHAnsi"/>
                <w:sz w:val="16"/>
                <w:szCs w:val="16"/>
                <w:lang w:val="sr-Latn-ME" w:eastAsia="sr-Latn-ME"/>
              </w:rPr>
              <w:t xml:space="preserve">Preduzeća, posebno MSP, suočavaju se sa finansijskim, tehničkim i znanjem ograničenjima u primjeni cirkularnih modela, uključujući ponovnu upotrebu, </w:t>
            </w:r>
            <w:proofErr w:type="spellStart"/>
            <w:r w:rsidRPr="00654F3E">
              <w:rPr>
                <w:rFonts w:eastAsia="Times New Roman" w:cstheme="minorHAnsi"/>
                <w:sz w:val="16"/>
                <w:szCs w:val="16"/>
                <w:lang w:val="sr-Latn-ME" w:eastAsia="sr-Latn-ME"/>
              </w:rPr>
              <w:t>remanufakturu</w:t>
            </w:r>
            <w:proofErr w:type="spellEnd"/>
            <w:r w:rsidRPr="00654F3E">
              <w:rPr>
                <w:rFonts w:eastAsia="Times New Roman" w:cstheme="minorHAnsi"/>
                <w:sz w:val="16"/>
                <w:szCs w:val="16"/>
                <w:lang w:val="sr-Latn-ME" w:eastAsia="sr-Latn-ME"/>
              </w:rPr>
              <w:t xml:space="preserve"> i korišćenje sekundarnih sirovina.</w:t>
            </w:r>
          </w:p>
        </w:tc>
      </w:tr>
      <w:tr w:rsidR="00654F3E" w:rsidRPr="00654F3E" w14:paraId="3E371B13" w14:textId="77777777" w:rsidTr="00654F3E">
        <w:tc>
          <w:tcPr>
            <w:tcW w:w="695" w:type="pct"/>
            <w:shd w:val="clear" w:color="auto" w:fill="FFFFFF" w:themeFill="background1"/>
            <w:vAlign w:val="center"/>
          </w:tcPr>
          <w:p w14:paraId="374FFEE0"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DC4</w:t>
            </w:r>
          </w:p>
        </w:tc>
        <w:tc>
          <w:tcPr>
            <w:tcW w:w="1482" w:type="pct"/>
            <w:vAlign w:val="center"/>
          </w:tcPr>
          <w:p w14:paraId="12F1ABD2" w14:textId="77777777" w:rsidR="00654F3E" w:rsidRPr="00654F3E" w:rsidRDefault="00654F3E" w:rsidP="0028553F">
            <w:pPr>
              <w:jc w:val="left"/>
              <w:rPr>
                <w:rFonts w:eastAsia="Times New Roman" w:cstheme="minorHAnsi"/>
                <w:sz w:val="16"/>
                <w:szCs w:val="16"/>
                <w:lang w:val="sr-Latn-ME" w:eastAsia="sr-Latn-ME"/>
              </w:rPr>
            </w:pPr>
            <w:r w:rsidRPr="00654F3E">
              <w:rPr>
                <w:rFonts w:eastAsia="Times New Roman" w:cstheme="minorHAnsi"/>
                <w:sz w:val="16"/>
                <w:szCs w:val="16"/>
                <w:lang w:val="sr-Latn-ME" w:eastAsia="sr-Latn-ME"/>
              </w:rPr>
              <w:t xml:space="preserve">Visoka zavisnost od uvoza i niska </w:t>
            </w:r>
            <w:proofErr w:type="spellStart"/>
            <w:r w:rsidRPr="00654F3E">
              <w:rPr>
                <w:rFonts w:eastAsia="Times New Roman" w:cstheme="minorHAnsi"/>
                <w:sz w:val="16"/>
                <w:szCs w:val="16"/>
                <w:lang w:val="sr-Latn-ME" w:eastAsia="sr-Latn-ME"/>
              </w:rPr>
              <w:t>resursna</w:t>
            </w:r>
            <w:proofErr w:type="spellEnd"/>
            <w:r w:rsidRPr="00654F3E">
              <w:rPr>
                <w:rFonts w:eastAsia="Times New Roman" w:cstheme="minorHAnsi"/>
                <w:sz w:val="16"/>
                <w:szCs w:val="16"/>
                <w:lang w:val="sr-Latn-ME" w:eastAsia="sr-Latn-ME"/>
              </w:rPr>
              <w:t xml:space="preserve"> efikasnost</w:t>
            </w:r>
          </w:p>
          <w:p w14:paraId="5C5965F6" w14:textId="77777777" w:rsidR="00654F3E" w:rsidRPr="00654F3E" w:rsidRDefault="00654F3E" w:rsidP="0028553F">
            <w:pPr>
              <w:jc w:val="left"/>
              <w:rPr>
                <w:rFonts w:eastAsia="Times New Roman" w:cstheme="minorHAnsi"/>
                <w:sz w:val="16"/>
                <w:szCs w:val="16"/>
                <w:lang w:val="sr-Latn-ME" w:eastAsia="sr-Latn-ME"/>
              </w:rPr>
            </w:pPr>
            <w:r w:rsidRPr="00654F3E">
              <w:rPr>
                <w:rFonts w:eastAsia="Times New Roman" w:cstheme="minorHAnsi"/>
                <w:sz w:val="16"/>
                <w:szCs w:val="16"/>
                <w:lang w:val="sr-Latn-ME" w:eastAsia="sr-Latn-ME"/>
              </w:rPr>
              <w:t>2.35 (262, 264)</w:t>
            </w:r>
          </w:p>
        </w:tc>
        <w:tc>
          <w:tcPr>
            <w:tcW w:w="2823" w:type="pct"/>
            <w:vAlign w:val="center"/>
          </w:tcPr>
          <w:p w14:paraId="6CA983ED" w14:textId="77777777" w:rsidR="00654F3E" w:rsidRPr="00654F3E" w:rsidRDefault="00654F3E" w:rsidP="0028553F">
            <w:pPr>
              <w:rPr>
                <w:rFonts w:eastAsia="Times New Roman" w:cstheme="minorHAnsi"/>
                <w:sz w:val="16"/>
                <w:szCs w:val="16"/>
                <w:lang w:val="sr-Latn-ME" w:eastAsia="sr-Latn-ME"/>
              </w:rPr>
            </w:pPr>
            <w:r w:rsidRPr="00654F3E">
              <w:rPr>
                <w:rFonts w:eastAsia="Times New Roman" w:cstheme="minorHAnsi"/>
                <w:sz w:val="16"/>
                <w:szCs w:val="16"/>
                <w:lang w:val="sr-Latn-ME" w:eastAsia="sr-Latn-ME"/>
              </w:rPr>
              <w:t>Izražena zavisnost od uvoza sirovina i izvoz resursa niske dodate vrijednosti ukazuju na slabo razvijene cirkularne lance vrijednosti i nisku efikasnost korišćenja resursa u zemlji.</w:t>
            </w:r>
          </w:p>
        </w:tc>
      </w:tr>
      <w:tr w:rsidR="00654F3E" w:rsidRPr="00654F3E" w14:paraId="4B8B0D87" w14:textId="77777777" w:rsidTr="00654F3E">
        <w:tc>
          <w:tcPr>
            <w:tcW w:w="695" w:type="pct"/>
            <w:shd w:val="clear" w:color="auto" w:fill="FFFFFF" w:themeFill="background1"/>
            <w:vAlign w:val="center"/>
          </w:tcPr>
          <w:p w14:paraId="63168B08"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DC5</w:t>
            </w:r>
          </w:p>
        </w:tc>
        <w:tc>
          <w:tcPr>
            <w:tcW w:w="1482" w:type="pct"/>
            <w:vAlign w:val="center"/>
          </w:tcPr>
          <w:p w14:paraId="72E097A8" w14:textId="77777777" w:rsidR="00654F3E" w:rsidRPr="00654F3E" w:rsidRDefault="00654F3E" w:rsidP="0028553F">
            <w:pPr>
              <w:jc w:val="left"/>
              <w:rPr>
                <w:rFonts w:eastAsia="Times New Roman" w:cstheme="minorHAnsi"/>
                <w:sz w:val="16"/>
                <w:szCs w:val="16"/>
                <w:lang w:val="sr-Latn-ME" w:eastAsia="sr-Latn-ME"/>
              </w:rPr>
            </w:pPr>
            <w:r w:rsidRPr="00654F3E">
              <w:rPr>
                <w:rFonts w:eastAsia="Times New Roman" w:cstheme="minorHAnsi"/>
                <w:sz w:val="16"/>
                <w:szCs w:val="16"/>
                <w:lang w:val="sr-Latn-ME" w:eastAsia="sr-Latn-ME"/>
              </w:rPr>
              <w:t>Nedovoljna inovacija i tehnološka modernizacija 2.35 (262), 2.37 (279–280)</w:t>
            </w:r>
          </w:p>
        </w:tc>
        <w:tc>
          <w:tcPr>
            <w:tcW w:w="2823" w:type="pct"/>
            <w:vAlign w:val="center"/>
          </w:tcPr>
          <w:p w14:paraId="2D26FB7F" w14:textId="77777777" w:rsidR="00654F3E" w:rsidRPr="00654F3E" w:rsidRDefault="00654F3E" w:rsidP="0028553F">
            <w:pPr>
              <w:rPr>
                <w:rFonts w:eastAsia="Times New Roman" w:cstheme="minorHAnsi"/>
                <w:sz w:val="16"/>
                <w:szCs w:val="16"/>
                <w:lang w:val="sr-Latn-ME" w:eastAsia="sr-Latn-ME"/>
              </w:rPr>
            </w:pPr>
            <w:r w:rsidRPr="00654F3E">
              <w:rPr>
                <w:rFonts w:eastAsia="Times New Roman" w:cstheme="minorHAnsi"/>
                <w:sz w:val="16"/>
                <w:szCs w:val="16"/>
                <w:lang w:val="sr-Latn-ME" w:eastAsia="sr-Latn-ME"/>
              </w:rPr>
              <w:t xml:space="preserve">Nizak nivo digitalizacije i inovacija ograničava primjenu cirkularnih praksi kao što su praćenje tokova materijala, </w:t>
            </w:r>
            <w:proofErr w:type="spellStart"/>
            <w:r w:rsidRPr="00654F3E">
              <w:rPr>
                <w:rFonts w:eastAsia="Times New Roman" w:cstheme="minorHAnsi"/>
                <w:sz w:val="16"/>
                <w:szCs w:val="16"/>
                <w:lang w:val="sr-Latn-ME" w:eastAsia="sr-Latn-ME"/>
              </w:rPr>
              <w:t>resursna</w:t>
            </w:r>
            <w:proofErr w:type="spellEnd"/>
            <w:r w:rsidRPr="00654F3E">
              <w:rPr>
                <w:rFonts w:eastAsia="Times New Roman" w:cstheme="minorHAnsi"/>
                <w:sz w:val="16"/>
                <w:szCs w:val="16"/>
                <w:lang w:val="sr-Latn-ME" w:eastAsia="sr-Latn-ME"/>
              </w:rPr>
              <w:t xml:space="preserve"> efikasnost i industrijska simbioza. </w:t>
            </w:r>
          </w:p>
        </w:tc>
      </w:tr>
      <w:tr w:rsidR="00654F3E" w:rsidRPr="00654F3E" w14:paraId="1C0B0DD4" w14:textId="77777777" w:rsidTr="00654F3E">
        <w:tc>
          <w:tcPr>
            <w:tcW w:w="695" w:type="pct"/>
            <w:shd w:val="clear" w:color="auto" w:fill="FFFFFF" w:themeFill="background1"/>
            <w:vAlign w:val="center"/>
          </w:tcPr>
          <w:p w14:paraId="3092DE71"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DC6</w:t>
            </w:r>
          </w:p>
        </w:tc>
        <w:tc>
          <w:tcPr>
            <w:tcW w:w="1482" w:type="pct"/>
            <w:vAlign w:val="center"/>
          </w:tcPr>
          <w:p w14:paraId="0D6C6C32" w14:textId="77777777" w:rsidR="00654F3E" w:rsidRPr="00654F3E" w:rsidRDefault="00654F3E" w:rsidP="0028553F">
            <w:pPr>
              <w:jc w:val="left"/>
              <w:rPr>
                <w:rFonts w:eastAsia="Times New Roman" w:cstheme="minorHAnsi"/>
                <w:sz w:val="16"/>
                <w:szCs w:val="16"/>
                <w:lang w:val="sr-Latn-ME" w:eastAsia="sr-Latn-ME"/>
              </w:rPr>
            </w:pPr>
            <w:r w:rsidRPr="00654F3E">
              <w:rPr>
                <w:rFonts w:eastAsia="Times New Roman" w:cstheme="minorHAnsi"/>
                <w:sz w:val="16"/>
                <w:szCs w:val="16"/>
                <w:lang w:val="sr-Latn-ME" w:eastAsia="sr-Latn-ME"/>
              </w:rPr>
              <w:t>Slaba institucionalna koordinacija i upravljanje 2.05 (294–295)</w:t>
            </w:r>
          </w:p>
        </w:tc>
        <w:tc>
          <w:tcPr>
            <w:tcW w:w="2823" w:type="pct"/>
            <w:vAlign w:val="center"/>
          </w:tcPr>
          <w:p w14:paraId="137F7729" w14:textId="77777777" w:rsidR="00654F3E" w:rsidRPr="00654F3E" w:rsidRDefault="00654F3E" w:rsidP="0028553F">
            <w:pPr>
              <w:rPr>
                <w:rFonts w:eastAsia="Times New Roman" w:cstheme="minorHAnsi"/>
                <w:sz w:val="16"/>
                <w:szCs w:val="16"/>
                <w:lang w:val="sr-Latn-ME" w:eastAsia="sr-Latn-ME"/>
              </w:rPr>
            </w:pPr>
            <w:r w:rsidRPr="00654F3E">
              <w:rPr>
                <w:rFonts w:eastAsia="Times New Roman" w:cstheme="minorHAnsi"/>
                <w:sz w:val="16"/>
                <w:szCs w:val="16"/>
                <w:lang w:val="sr-Latn-ME" w:eastAsia="sr-Latn-ME"/>
              </w:rPr>
              <w:t xml:space="preserve">Nedostatak integrisanog, </w:t>
            </w:r>
            <w:proofErr w:type="spellStart"/>
            <w:r w:rsidRPr="00654F3E">
              <w:rPr>
                <w:rFonts w:eastAsia="Times New Roman" w:cstheme="minorHAnsi"/>
                <w:sz w:val="16"/>
                <w:szCs w:val="16"/>
                <w:lang w:val="sr-Latn-ME" w:eastAsia="sr-Latn-ME"/>
              </w:rPr>
              <w:t>međusektorskog</w:t>
            </w:r>
            <w:proofErr w:type="spellEnd"/>
            <w:r w:rsidRPr="00654F3E">
              <w:rPr>
                <w:rFonts w:eastAsia="Times New Roman" w:cstheme="minorHAnsi"/>
                <w:sz w:val="16"/>
                <w:szCs w:val="16"/>
                <w:lang w:val="sr-Latn-ME" w:eastAsia="sr-Latn-ME"/>
              </w:rPr>
              <w:t xml:space="preserve"> upravljanja i ograničeni administrativni kapaciteti usporavaju sprovođenje politika cirkularne ekonomije i zaštite životne sredine.</w:t>
            </w:r>
          </w:p>
        </w:tc>
      </w:tr>
      <w:tr w:rsidR="00654F3E" w:rsidRPr="00654F3E" w14:paraId="130EF6E6" w14:textId="77777777" w:rsidTr="00654F3E">
        <w:tc>
          <w:tcPr>
            <w:tcW w:w="695" w:type="pct"/>
            <w:shd w:val="clear" w:color="auto" w:fill="FFFFFF" w:themeFill="background1"/>
            <w:vAlign w:val="center"/>
          </w:tcPr>
          <w:p w14:paraId="6F1E3EC0"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DC7</w:t>
            </w:r>
          </w:p>
        </w:tc>
        <w:tc>
          <w:tcPr>
            <w:tcW w:w="1482" w:type="pct"/>
            <w:vAlign w:val="center"/>
          </w:tcPr>
          <w:p w14:paraId="765A498D" w14:textId="77777777" w:rsidR="00654F3E" w:rsidRPr="00654F3E" w:rsidRDefault="00654F3E" w:rsidP="0028553F">
            <w:pPr>
              <w:jc w:val="left"/>
              <w:rPr>
                <w:rFonts w:eastAsia="Times New Roman" w:cstheme="minorHAnsi"/>
                <w:sz w:val="16"/>
                <w:szCs w:val="16"/>
                <w:lang w:val="sr-Latn-ME" w:eastAsia="sr-Latn-ME"/>
              </w:rPr>
            </w:pPr>
            <w:r w:rsidRPr="00654F3E">
              <w:rPr>
                <w:rFonts w:eastAsia="Times New Roman" w:cstheme="minorHAnsi"/>
                <w:sz w:val="16"/>
                <w:szCs w:val="16"/>
                <w:lang w:val="sr-Latn-ME" w:eastAsia="sr-Latn-ME"/>
              </w:rPr>
              <w:t>Nedostaci u infrastrukturi za vodu i otpadne vode 2.41 (297–303)</w:t>
            </w:r>
          </w:p>
        </w:tc>
        <w:tc>
          <w:tcPr>
            <w:tcW w:w="2823" w:type="pct"/>
            <w:vAlign w:val="center"/>
          </w:tcPr>
          <w:p w14:paraId="00C4A588" w14:textId="77777777" w:rsidR="00654F3E" w:rsidRPr="00654F3E" w:rsidRDefault="00654F3E" w:rsidP="0028553F">
            <w:pPr>
              <w:rPr>
                <w:rFonts w:eastAsia="Times New Roman" w:cstheme="minorHAnsi"/>
                <w:sz w:val="16"/>
                <w:szCs w:val="16"/>
                <w:lang w:val="sr-Latn-ME" w:eastAsia="sr-Latn-ME"/>
              </w:rPr>
            </w:pPr>
            <w:r w:rsidRPr="00654F3E">
              <w:rPr>
                <w:rFonts w:eastAsia="Times New Roman" w:cstheme="minorHAnsi"/>
                <w:sz w:val="16"/>
                <w:szCs w:val="16"/>
                <w:lang w:val="sr-Latn-ME" w:eastAsia="sr-Latn-ME"/>
              </w:rPr>
              <w:t>Ograničen obuhvat tretmana otpadnih voda, neefikasni vodovodni sistemi i infrastrukturni nedostaci otežavaju usklađivanje sa standardima EU i zaštitu životne sredine.</w:t>
            </w:r>
          </w:p>
        </w:tc>
      </w:tr>
      <w:tr w:rsidR="00654F3E" w:rsidRPr="00654F3E" w14:paraId="4DB36603" w14:textId="77777777" w:rsidTr="00654F3E">
        <w:tc>
          <w:tcPr>
            <w:tcW w:w="695" w:type="pct"/>
            <w:shd w:val="clear" w:color="auto" w:fill="FFFFFF" w:themeFill="background1"/>
            <w:vAlign w:val="center"/>
          </w:tcPr>
          <w:p w14:paraId="40229AA4"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DC8</w:t>
            </w:r>
          </w:p>
        </w:tc>
        <w:tc>
          <w:tcPr>
            <w:tcW w:w="1482" w:type="pct"/>
            <w:vAlign w:val="center"/>
          </w:tcPr>
          <w:p w14:paraId="0A9356B1" w14:textId="77777777" w:rsidR="00654F3E" w:rsidRPr="00654F3E" w:rsidRDefault="00654F3E" w:rsidP="0028553F">
            <w:pPr>
              <w:jc w:val="left"/>
              <w:rPr>
                <w:rFonts w:eastAsia="Times New Roman" w:cstheme="minorHAnsi"/>
                <w:sz w:val="16"/>
                <w:szCs w:val="16"/>
                <w:lang w:val="sr-Latn-ME" w:eastAsia="sr-Latn-ME"/>
              </w:rPr>
            </w:pPr>
            <w:r w:rsidRPr="00654F3E">
              <w:rPr>
                <w:rFonts w:eastAsia="Times New Roman" w:cstheme="minorHAnsi"/>
                <w:sz w:val="16"/>
                <w:szCs w:val="16"/>
                <w:lang w:val="sr-Latn-ME" w:eastAsia="sr-Latn-ME"/>
              </w:rPr>
              <w:t>Nizak nivo svijesti i kapaciteta za zelene vještine</w:t>
            </w:r>
          </w:p>
          <w:p w14:paraId="51717CA5" w14:textId="77777777" w:rsidR="00654F3E" w:rsidRPr="00654F3E" w:rsidRDefault="00654F3E" w:rsidP="0028553F">
            <w:pPr>
              <w:jc w:val="left"/>
              <w:rPr>
                <w:rFonts w:eastAsia="Times New Roman" w:cstheme="minorHAnsi"/>
                <w:sz w:val="16"/>
                <w:szCs w:val="16"/>
                <w:lang w:val="sr-Latn-ME" w:eastAsia="sr-Latn-ME"/>
              </w:rPr>
            </w:pPr>
            <w:r w:rsidRPr="00654F3E">
              <w:rPr>
                <w:rFonts w:eastAsia="Times New Roman" w:cstheme="minorHAnsi"/>
                <w:sz w:val="16"/>
                <w:szCs w:val="16"/>
                <w:lang w:val="sr-Latn-ME" w:eastAsia="sr-Latn-ME"/>
              </w:rPr>
              <w:t>2.38 (281), 2.05 (295)</w:t>
            </w:r>
          </w:p>
        </w:tc>
        <w:tc>
          <w:tcPr>
            <w:tcW w:w="2823" w:type="pct"/>
            <w:vAlign w:val="center"/>
          </w:tcPr>
          <w:p w14:paraId="09C7B690" w14:textId="77777777" w:rsidR="00654F3E" w:rsidRPr="00654F3E" w:rsidRDefault="00654F3E" w:rsidP="0028553F">
            <w:pPr>
              <w:rPr>
                <w:rFonts w:eastAsia="Times New Roman" w:cstheme="minorHAnsi"/>
                <w:sz w:val="16"/>
                <w:szCs w:val="16"/>
                <w:lang w:val="sr-Latn-ME" w:eastAsia="sr-Latn-ME"/>
              </w:rPr>
            </w:pPr>
            <w:r w:rsidRPr="00654F3E">
              <w:rPr>
                <w:rFonts w:eastAsia="Times New Roman" w:cstheme="minorHAnsi"/>
                <w:sz w:val="16"/>
                <w:szCs w:val="16"/>
                <w:lang w:val="sr-Latn-ME" w:eastAsia="sr-Latn-ME"/>
              </w:rPr>
              <w:t>Nedostatak svijesti, obrazovanja i ljudskih kapaciteta među akterima ograničava primjenu cirkularne ekonomije i klimatskih politika.</w:t>
            </w:r>
          </w:p>
        </w:tc>
      </w:tr>
      <w:tr w:rsidR="00654F3E" w:rsidRPr="00654F3E" w14:paraId="5FE134CB" w14:textId="77777777" w:rsidTr="00654F3E">
        <w:tc>
          <w:tcPr>
            <w:tcW w:w="695" w:type="pct"/>
            <w:shd w:val="clear" w:color="auto" w:fill="FFFFFF" w:themeFill="background1"/>
            <w:vAlign w:val="center"/>
          </w:tcPr>
          <w:p w14:paraId="765D67AA"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DC9</w:t>
            </w:r>
          </w:p>
        </w:tc>
        <w:tc>
          <w:tcPr>
            <w:tcW w:w="1482" w:type="pct"/>
            <w:vAlign w:val="center"/>
          </w:tcPr>
          <w:p w14:paraId="785ED825" w14:textId="77777777" w:rsidR="00654F3E" w:rsidRPr="00654F3E" w:rsidRDefault="00654F3E" w:rsidP="0028553F">
            <w:pPr>
              <w:jc w:val="left"/>
              <w:rPr>
                <w:rFonts w:eastAsia="Times New Roman" w:cstheme="minorHAnsi"/>
                <w:sz w:val="16"/>
                <w:szCs w:val="16"/>
                <w:lang w:val="sr-Latn-ME" w:eastAsia="sr-Latn-ME"/>
              </w:rPr>
            </w:pPr>
            <w:r w:rsidRPr="00654F3E">
              <w:rPr>
                <w:rFonts w:eastAsia="Times New Roman" w:cstheme="minorHAnsi"/>
                <w:sz w:val="16"/>
                <w:szCs w:val="16"/>
                <w:lang w:val="sr-Latn-ME" w:eastAsia="sr-Latn-ME"/>
              </w:rPr>
              <w:t xml:space="preserve">Nedovoljno iskorišćen </w:t>
            </w:r>
            <w:proofErr w:type="spellStart"/>
            <w:r w:rsidRPr="00654F3E">
              <w:rPr>
                <w:rFonts w:eastAsia="Times New Roman" w:cstheme="minorHAnsi"/>
                <w:sz w:val="16"/>
                <w:szCs w:val="16"/>
                <w:lang w:val="sr-Latn-ME" w:eastAsia="sr-Latn-ME"/>
              </w:rPr>
              <w:t>bioekonomski</w:t>
            </w:r>
            <w:proofErr w:type="spellEnd"/>
            <w:r w:rsidRPr="00654F3E">
              <w:rPr>
                <w:rFonts w:eastAsia="Times New Roman" w:cstheme="minorHAnsi"/>
                <w:sz w:val="16"/>
                <w:szCs w:val="16"/>
                <w:lang w:val="sr-Latn-ME" w:eastAsia="sr-Latn-ME"/>
              </w:rPr>
              <w:t xml:space="preserve"> i prirodni potencijal 2.02 (34), 2.39 (288), 2.35 (265)</w:t>
            </w:r>
          </w:p>
        </w:tc>
        <w:tc>
          <w:tcPr>
            <w:tcW w:w="2823" w:type="pct"/>
            <w:vAlign w:val="center"/>
          </w:tcPr>
          <w:p w14:paraId="6996F927" w14:textId="77777777" w:rsidR="00654F3E" w:rsidRPr="00654F3E" w:rsidRDefault="00654F3E" w:rsidP="0028553F">
            <w:pPr>
              <w:rPr>
                <w:rFonts w:eastAsia="Times New Roman" w:cstheme="minorHAnsi"/>
                <w:sz w:val="16"/>
                <w:szCs w:val="16"/>
                <w:lang w:val="sr-Latn-ME" w:eastAsia="sr-Latn-ME"/>
              </w:rPr>
            </w:pPr>
            <w:r w:rsidRPr="00654F3E">
              <w:rPr>
                <w:rFonts w:eastAsia="Times New Roman" w:cstheme="minorHAnsi"/>
                <w:sz w:val="16"/>
                <w:szCs w:val="16"/>
                <w:lang w:val="sr-Latn-ME" w:eastAsia="sr-Latn-ME"/>
              </w:rPr>
              <w:t xml:space="preserve">Potencijal u šumarstvu, poljoprivredi i valorizaciji </w:t>
            </w:r>
            <w:proofErr w:type="spellStart"/>
            <w:r w:rsidRPr="00654F3E">
              <w:rPr>
                <w:rFonts w:eastAsia="Times New Roman" w:cstheme="minorHAnsi"/>
                <w:sz w:val="16"/>
                <w:szCs w:val="16"/>
                <w:lang w:val="sr-Latn-ME" w:eastAsia="sr-Latn-ME"/>
              </w:rPr>
              <w:t>biootpada</w:t>
            </w:r>
            <w:proofErr w:type="spellEnd"/>
            <w:r w:rsidRPr="00654F3E">
              <w:rPr>
                <w:rFonts w:eastAsia="Times New Roman" w:cstheme="minorHAnsi"/>
                <w:sz w:val="16"/>
                <w:szCs w:val="16"/>
                <w:lang w:val="sr-Latn-ME" w:eastAsia="sr-Latn-ME"/>
              </w:rPr>
              <w:t xml:space="preserve"> ostaje nedovoljno iskorišćen zbog slabo razvijenih cirkularnih lanaca vrijednosti i nedostatka investicija u </w:t>
            </w:r>
            <w:proofErr w:type="spellStart"/>
            <w:r w:rsidRPr="00654F3E">
              <w:rPr>
                <w:rFonts w:eastAsia="Times New Roman" w:cstheme="minorHAnsi"/>
                <w:sz w:val="16"/>
                <w:szCs w:val="16"/>
                <w:lang w:val="sr-Latn-ME" w:eastAsia="sr-Latn-ME"/>
              </w:rPr>
              <w:t>biobazirana</w:t>
            </w:r>
            <w:proofErr w:type="spellEnd"/>
            <w:r w:rsidRPr="00654F3E">
              <w:rPr>
                <w:rFonts w:eastAsia="Times New Roman" w:cstheme="minorHAnsi"/>
                <w:sz w:val="16"/>
                <w:szCs w:val="16"/>
                <w:lang w:val="sr-Latn-ME" w:eastAsia="sr-Latn-ME"/>
              </w:rPr>
              <w:t xml:space="preserve"> rješenja.</w:t>
            </w:r>
          </w:p>
        </w:tc>
      </w:tr>
      <w:tr w:rsidR="00654F3E" w:rsidRPr="00654F3E" w14:paraId="52B1C13A" w14:textId="77777777" w:rsidTr="00654F3E">
        <w:tc>
          <w:tcPr>
            <w:tcW w:w="695" w:type="pct"/>
            <w:shd w:val="clear" w:color="auto" w:fill="FFFFFF" w:themeFill="background1"/>
            <w:vAlign w:val="center"/>
          </w:tcPr>
          <w:p w14:paraId="5DB3319A"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DC10</w:t>
            </w:r>
          </w:p>
        </w:tc>
        <w:tc>
          <w:tcPr>
            <w:tcW w:w="1482" w:type="pct"/>
            <w:vAlign w:val="center"/>
          </w:tcPr>
          <w:p w14:paraId="3E82C354" w14:textId="77777777" w:rsidR="00654F3E" w:rsidRPr="00654F3E" w:rsidRDefault="00654F3E" w:rsidP="0028553F">
            <w:pPr>
              <w:jc w:val="left"/>
              <w:rPr>
                <w:rFonts w:eastAsia="Times New Roman" w:cstheme="minorHAnsi"/>
                <w:sz w:val="16"/>
                <w:szCs w:val="16"/>
                <w:lang w:val="sr-Latn-ME" w:eastAsia="sr-Latn-ME"/>
              </w:rPr>
            </w:pPr>
            <w:r w:rsidRPr="00654F3E">
              <w:rPr>
                <w:rFonts w:eastAsia="Times New Roman" w:cstheme="minorHAnsi"/>
                <w:sz w:val="16"/>
                <w:szCs w:val="16"/>
                <w:lang w:val="sr-Latn-ME" w:eastAsia="sr-Latn-ME"/>
              </w:rPr>
              <w:t>Zagađenje životne sredine i degradacija ekosistema 2.40 (289–293), 2.38 (283–284)</w:t>
            </w:r>
          </w:p>
        </w:tc>
        <w:tc>
          <w:tcPr>
            <w:tcW w:w="2823" w:type="pct"/>
            <w:vAlign w:val="center"/>
          </w:tcPr>
          <w:p w14:paraId="398C33F3" w14:textId="77777777" w:rsidR="00654F3E" w:rsidRPr="00654F3E" w:rsidRDefault="00654F3E" w:rsidP="0028553F">
            <w:pPr>
              <w:rPr>
                <w:rFonts w:eastAsia="Times New Roman" w:cstheme="minorHAnsi"/>
                <w:sz w:val="16"/>
                <w:szCs w:val="16"/>
                <w:lang w:val="sr-Latn-ME" w:eastAsia="sr-Latn-ME"/>
              </w:rPr>
            </w:pPr>
            <w:r w:rsidRPr="00654F3E">
              <w:rPr>
                <w:rFonts w:eastAsia="Times New Roman" w:cstheme="minorHAnsi"/>
                <w:sz w:val="16"/>
                <w:szCs w:val="16"/>
                <w:lang w:val="sr-Latn-ME" w:eastAsia="sr-Latn-ME"/>
              </w:rPr>
              <w:t>Trajno prisutno zagađenje vazduha, voda i zemljišta, uz slabu primjenu propisa, ugrožava ekosisteme, biodiverzitet i javno zdravlje.</w:t>
            </w:r>
          </w:p>
        </w:tc>
      </w:tr>
      <w:tr w:rsidR="00654F3E" w:rsidRPr="00654F3E" w14:paraId="54C88834" w14:textId="77777777" w:rsidTr="00654F3E">
        <w:tc>
          <w:tcPr>
            <w:tcW w:w="695" w:type="pct"/>
            <w:shd w:val="clear" w:color="auto" w:fill="FFFFFF" w:themeFill="background1"/>
            <w:vAlign w:val="center"/>
          </w:tcPr>
          <w:p w14:paraId="084EA0A5"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t>DC11</w:t>
            </w:r>
          </w:p>
        </w:tc>
        <w:tc>
          <w:tcPr>
            <w:tcW w:w="1482" w:type="pct"/>
            <w:vAlign w:val="center"/>
          </w:tcPr>
          <w:p w14:paraId="4B7593DC" w14:textId="77777777" w:rsidR="00654F3E" w:rsidRPr="00654F3E" w:rsidRDefault="00654F3E" w:rsidP="0028553F">
            <w:pPr>
              <w:jc w:val="left"/>
              <w:rPr>
                <w:rFonts w:eastAsia="Times New Roman" w:cstheme="minorHAnsi"/>
                <w:sz w:val="16"/>
                <w:szCs w:val="16"/>
                <w:lang w:val="sr-Latn-ME" w:eastAsia="sr-Latn-ME"/>
              </w:rPr>
            </w:pPr>
            <w:r w:rsidRPr="00654F3E">
              <w:rPr>
                <w:rFonts w:eastAsia="Times New Roman" w:cstheme="minorHAnsi"/>
                <w:sz w:val="16"/>
                <w:szCs w:val="16"/>
                <w:lang w:val="sr-Latn-ME" w:eastAsia="sr-Latn-ME"/>
              </w:rPr>
              <w:t>Nedostaci u prilagođavanju klimatskim promjenama i otpornosti</w:t>
            </w:r>
          </w:p>
          <w:p w14:paraId="78B6486B" w14:textId="77777777" w:rsidR="00654F3E" w:rsidRPr="00654F3E" w:rsidRDefault="00654F3E" w:rsidP="0028553F">
            <w:pPr>
              <w:jc w:val="left"/>
              <w:rPr>
                <w:rFonts w:eastAsia="Times New Roman" w:cstheme="minorHAnsi"/>
                <w:sz w:val="16"/>
                <w:szCs w:val="16"/>
                <w:lang w:val="sr-Latn-ME" w:eastAsia="sr-Latn-ME"/>
              </w:rPr>
            </w:pPr>
            <w:r w:rsidRPr="00654F3E">
              <w:rPr>
                <w:rFonts w:eastAsia="Times New Roman" w:cstheme="minorHAnsi"/>
                <w:sz w:val="16"/>
                <w:szCs w:val="16"/>
                <w:lang w:val="sr-Latn-ME" w:eastAsia="sr-Latn-ME"/>
              </w:rPr>
              <w:t>2.36 (272–274)</w:t>
            </w:r>
          </w:p>
        </w:tc>
        <w:tc>
          <w:tcPr>
            <w:tcW w:w="2823" w:type="pct"/>
            <w:vAlign w:val="center"/>
          </w:tcPr>
          <w:p w14:paraId="0405277D" w14:textId="77777777" w:rsidR="00654F3E" w:rsidRPr="00654F3E" w:rsidRDefault="00654F3E" w:rsidP="0028553F">
            <w:pPr>
              <w:rPr>
                <w:rFonts w:eastAsia="Times New Roman" w:cstheme="minorHAnsi"/>
                <w:sz w:val="16"/>
                <w:szCs w:val="16"/>
                <w:lang w:val="sr-Latn-ME" w:eastAsia="sr-Latn-ME"/>
              </w:rPr>
            </w:pPr>
            <w:r w:rsidRPr="00654F3E">
              <w:rPr>
                <w:rFonts w:eastAsia="Times New Roman" w:cstheme="minorHAnsi"/>
                <w:sz w:val="16"/>
                <w:szCs w:val="16"/>
                <w:lang w:val="sr-Latn-ME" w:eastAsia="sr-Latn-ME"/>
              </w:rPr>
              <w:t>Ograničena primjena mjera prilagođavanja, upravljanja rizicima i planiranja otpornosti povećava ranjivost na ekstremne vremenske događaje i klimatske promjene.</w:t>
            </w:r>
          </w:p>
        </w:tc>
      </w:tr>
      <w:tr w:rsidR="00654F3E" w:rsidRPr="00654F3E" w14:paraId="2919723D" w14:textId="77777777" w:rsidTr="00654F3E">
        <w:tc>
          <w:tcPr>
            <w:tcW w:w="695" w:type="pct"/>
            <w:shd w:val="clear" w:color="auto" w:fill="FFFFFF" w:themeFill="background1"/>
            <w:vAlign w:val="center"/>
          </w:tcPr>
          <w:p w14:paraId="2C1E09A9" w14:textId="77777777" w:rsidR="00654F3E" w:rsidRPr="00654F3E" w:rsidRDefault="00654F3E" w:rsidP="0028553F">
            <w:pPr>
              <w:jc w:val="center"/>
              <w:rPr>
                <w:rFonts w:eastAsia="Times New Roman" w:cstheme="minorHAnsi"/>
                <w:b/>
                <w:bCs/>
                <w:sz w:val="16"/>
                <w:szCs w:val="16"/>
                <w:lang w:val="sr-Latn-ME"/>
              </w:rPr>
            </w:pPr>
            <w:r w:rsidRPr="00654F3E">
              <w:rPr>
                <w:rFonts w:eastAsia="Times New Roman" w:cstheme="minorHAnsi"/>
                <w:b/>
                <w:bCs/>
                <w:sz w:val="16"/>
                <w:szCs w:val="16"/>
                <w:lang w:val="sr-Latn-ME"/>
              </w:rPr>
              <w:lastRenderedPageBreak/>
              <w:t>DC12</w:t>
            </w:r>
          </w:p>
        </w:tc>
        <w:tc>
          <w:tcPr>
            <w:tcW w:w="1482" w:type="pct"/>
            <w:vAlign w:val="center"/>
          </w:tcPr>
          <w:p w14:paraId="176558E9" w14:textId="77777777" w:rsidR="00654F3E" w:rsidRPr="00654F3E" w:rsidRDefault="00654F3E" w:rsidP="0028553F">
            <w:pPr>
              <w:jc w:val="left"/>
              <w:rPr>
                <w:rFonts w:eastAsia="Times New Roman" w:cstheme="minorHAnsi"/>
                <w:sz w:val="16"/>
                <w:szCs w:val="16"/>
                <w:lang w:val="sr-Latn-ME" w:eastAsia="sr-Latn-ME"/>
              </w:rPr>
            </w:pPr>
            <w:r w:rsidRPr="00654F3E">
              <w:rPr>
                <w:rFonts w:eastAsia="Times New Roman" w:cstheme="minorHAnsi"/>
                <w:sz w:val="16"/>
                <w:szCs w:val="16"/>
                <w:lang w:val="sr-Latn-ME" w:eastAsia="sr-Latn-ME"/>
              </w:rPr>
              <w:t>Ograničena apsorpcija zelenog finansiranja i projektni kapaciteti</w:t>
            </w:r>
          </w:p>
          <w:p w14:paraId="2610A52F" w14:textId="77777777" w:rsidR="00654F3E" w:rsidRPr="00654F3E" w:rsidRDefault="00654F3E" w:rsidP="0028553F">
            <w:pPr>
              <w:jc w:val="left"/>
              <w:rPr>
                <w:rFonts w:eastAsia="Times New Roman" w:cstheme="minorHAnsi"/>
                <w:sz w:val="16"/>
                <w:szCs w:val="16"/>
                <w:lang w:val="sr-Latn-ME" w:eastAsia="sr-Latn-ME"/>
              </w:rPr>
            </w:pPr>
            <w:r w:rsidRPr="00654F3E">
              <w:rPr>
                <w:rFonts w:eastAsia="Times New Roman" w:cstheme="minorHAnsi"/>
                <w:sz w:val="16"/>
                <w:szCs w:val="16"/>
                <w:lang w:val="sr-Latn-ME" w:eastAsia="sr-Latn-ME"/>
              </w:rPr>
              <w:t>2.05 (295), 2.35 (262)</w:t>
            </w:r>
          </w:p>
        </w:tc>
        <w:tc>
          <w:tcPr>
            <w:tcW w:w="2823" w:type="pct"/>
            <w:vAlign w:val="center"/>
          </w:tcPr>
          <w:p w14:paraId="679DBAF0" w14:textId="77777777" w:rsidR="00654F3E" w:rsidRPr="00654F3E" w:rsidRDefault="00654F3E" w:rsidP="0028553F">
            <w:pPr>
              <w:rPr>
                <w:rFonts w:eastAsia="Times New Roman" w:cstheme="minorHAnsi"/>
                <w:sz w:val="16"/>
                <w:szCs w:val="16"/>
                <w:lang w:val="sr-Latn-ME" w:eastAsia="sr-Latn-ME"/>
              </w:rPr>
            </w:pPr>
            <w:r w:rsidRPr="00654F3E">
              <w:rPr>
                <w:rFonts w:eastAsia="Times New Roman" w:cstheme="minorHAnsi"/>
                <w:sz w:val="16"/>
                <w:szCs w:val="16"/>
                <w:lang w:val="sr-Latn-ME" w:eastAsia="sr-Latn-ME"/>
              </w:rPr>
              <w:t>Iako postoje dostupni izvori finansiranja, slabi kapaciteti javnog i privatnog sektora za pripremu i implementaciju „</w:t>
            </w:r>
            <w:proofErr w:type="spellStart"/>
            <w:r w:rsidRPr="00654F3E">
              <w:rPr>
                <w:rFonts w:eastAsia="Times New Roman" w:cstheme="minorHAnsi"/>
                <w:sz w:val="16"/>
                <w:szCs w:val="16"/>
                <w:lang w:val="sr-Latn-ME" w:eastAsia="sr-Latn-ME"/>
              </w:rPr>
              <w:t>bankabilnih</w:t>
            </w:r>
            <w:proofErr w:type="spellEnd"/>
            <w:r w:rsidRPr="00654F3E">
              <w:rPr>
                <w:rFonts w:eastAsia="Times New Roman" w:cstheme="minorHAnsi"/>
                <w:sz w:val="16"/>
                <w:szCs w:val="16"/>
                <w:lang w:val="sr-Latn-ME" w:eastAsia="sr-Latn-ME"/>
              </w:rPr>
              <w:t>“ projekata ograničavaju pristup zelenim finansijama.</w:t>
            </w:r>
          </w:p>
        </w:tc>
      </w:tr>
    </w:tbl>
    <w:p w14:paraId="6DC5F910" w14:textId="77777777" w:rsidR="00654F3E" w:rsidRPr="00395005" w:rsidRDefault="00654F3E" w:rsidP="00654F3E">
      <w:pPr>
        <w:pStyle w:val="Heading1"/>
        <w:rPr>
          <w:rFonts w:eastAsia="Times New Roman"/>
          <w:lang w:val="sr-Latn-ME"/>
        </w:rPr>
      </w:pPr>
      <w:r>
        <w:rPr>
          <w:rFonts w:eastAsia="Times New Roman"/>
          <w:lang w:val="sr-Latn-ME"/>
        </w:rPr>
        <w:t>Reference:</w:t>
      </w:r>
    </w:p>
    <w:p w14:paraId="5EF0C00A"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Climate</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Action</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Network</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Europe</w:t>
      </w:r>
      <w:proofErr w:type="spellEnd"/>
      <w:r w:rsidRPr="00395005">
        <w:rPr>
          <w:rFonts w:eastAsia="Times New Roman" w:cstheme="minorHAnsi"/>
          <w:bCs/>
          <w:sz w:val="20"/>
          <w:szCs w:val="20"/>
          <w:lang w:val="sr-Latn-ME"/>
        </w:rPr>
        <w:t xml:space="preserve">. (2025). </w:t>
      </w:r>
      <w:proofErr w:type="spellStart"/>
      <w:r w:rsidRPr="00395005">
        <w:rPr>
          <w:rFonts w:eastAsia="Times New Roman" w:cstheme="minorHAnsi"/>
          <w:bCs/>
          <w:sz w:val="20"/>
          <w:szCs w:val="20"/>
          <w:lang w:val="sr-Latn-ME"/>
        </w:rPr>
        <w:t>Assessment</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of</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Western</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Balkans</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reform</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agendas</w:t>
      </w:r>
      <w:proofErr w:type="spellEnd"/>
      <w:r w:rsidRPr="00395005">
        <w:rPr>
          <w:rFonts w:eastAsia="Times New Roman" w:cstheme="minorHAnsi"/>
          <w:bCs/>
          <w:sz w:val="20"/>
          <w:szCs w:val="20"/>
          <w:lang w:val="sr-Latn-ME"/>
        </w:rPr>
        <w:t>. https://caneurope.org/new-can-europe-assessment-report-reform-agendas-can-accelerate-progress-on-national-energy-and-climate-plans-necps-but-timely-implementation-and-public-participation-remain-critical/</w:t>
      </w:r>
    </w:p>
    <w:p w14:paraId="550428C2"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Energy</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Community</w:t>
      </w:r>
      <w:proofErr w:type="spellEnd"/>
      <w:r w:rsidRPr="00395005">
        <w:rPr>
          <w:rFonts w:eastAsia="Times New Roman" w:cstheme="minorHAnsi"/>
          <w:bCs/>
          <w:sz w:val="20"/>
          <w:szCs w:val="20"/>
          <w:lang w:val="sr-Latn-ME"/>
        </w:rPr>
        <w:t xml:space="preserve">. (2025). </w:t>
      </w:r>
      <w:proofErr w:type="spellStart"/>
      <w:r w:rsidRPr="00395005">
        <w:rPr>
          <w:rFonts w:eastAsia="Times New Roman" w:cstheme="minorHAnsi"/>
          <w:bCs/>
          <w:sz w:val="20"/>
          <w:szCs w:val="20"/>
          <w:lang w:val="sr-Latn-ME"/>
        </w:rPr>
        <w:t>Annual</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implementation</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report</w:t>
      </w:r>
      <w:proofErr w:type="spellEnd"/>
      <w:r w:rsidRPr="00395005">
        <w:rPr>
          <w:rFonts w:eastAsia="Times New Roman" w:cstheme="minorHAnsi"/>
          <w:bCs/>
          <w:sz w:val="20"/>
          <w:szCs w:val="20"/>
          <w:lang w:val="sr-Latn-ME"/>
        </w:rPr>
        <w:t xml:space="preserve"> – Montenegro. https://www.energy-community.org/dam/jcr:0a70ae6d-921a-4544-a98c-0ff3db9e8214/Montenegro_IR25CP.pdf</w:t>
      </w:r>
    </w:p>
    <w:p w14:paraId="1B9C6E40"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Energy</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Community</w:t>
      </w:r>
      <w:proofErr w:type="spellEnd"/>
      <w:r w:rsidRPr="00395005">
        <w:rPr>
          <w:rFonts w:eastAsia="Times New Roman" w:cstheme="minorHAnsi"/>
          <w:bCs/>
          <w:sz w:val="20"/>
          <w:szCs w:val="20"/>
          <w:lang w:val="sr-Latn-ME"/>
        </w:rPr>
        <w:t xml:space="preserve">. (2025). </w:t>
      </w:r>
      <w:proofErr w:type="spellStart"/>
      <w:r w:rsidRPr="00395005">
        <w:rPr>
          <w:rFonts w:eastAsia="Times New Roman" w:cstheme="minorHAnsi"/>
          <w:bCs/>
          <w:sz w:val="20"/>
          <w:szCs w:val="20"/>
          <w:lang w:val="sr-Latn-ME"/>
        </w:rPr>
        <w:t>National</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Energy</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and</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Climate</w:t>
      </w:r>
      <w:proofErr w:type="spellEnd"/>
      <w:r w:rsidRPr="00395005">
        <w:rPr>
          <w:rFonts w:eastAsia="Times New Roman" w:cstheme="minorHAnsi"/>
          <w:bCs/>
          <w:sz w:val="20"/>
          <w:szCs w:val="20"/>
          <w:lang w:val="sr-Latn-ME"/>
        </w:rPr>
        <w:t xml:space="preserve"> Plan </w:t>
      </w:r>
      <w:proofErr w:type="spellStart"/>
      <w:r w:rsidRPr="00395005">
        <w:rPr>
          <w:rFonts w:eastAsia="Times New Roman" w:cstheme="minorHAnsi"/>
          <w:bCs/>
          <w:sz w:val="20"/>
          <w:szCs w:val="20"/>
          <w:lang w:val="sr-Latn-ME"/>
        </w:rPr>
        <w:t>of</w:t>
      </w:r>
      <w:proofErr w:type="spellEnd"/>
      <w:r w:rsidRPr="00395005">
        <w:rPr>
          <w:rFonts w:eastAsia="Times New Roman" w:cstheme="minorHAnsi"/>
          <w:bCs/>
          <w:sz w:val="20"/>
          <w:szCs w:val="20"/>
          <w:lang w:val="sr-Latn-ME"/>
        </w:rPr>
        <w:t xml:space="preserve"> Montenegro. https://www.energy-community.org/dam/jcr:d02417a9-03e2-4764-ab58-38763ca800d0/NECP%20Montenegro%20FINAL%20ENG.pdf</w:t>
      </w:r>
    </w:p>
    <w:p w14:paraId="5B3E4392"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Environmental</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Protection</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Agency</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of</w:t>
      </w:r>
      <w:proofErr w:type="spellEnd"/>
      <w:r w:rsidRPr="00395005">
        <w:rPr>
          <w:rFonts w:eastAsia="Times New Roman" w:cstheme="minorHAnsi"/>
          <w:bCs/>
          <w:sz w:val="20"/>
          <w:szCs w:val="20"/>
          <w:lang w:val="sr-Latn-ME"/>
        </w:rPr>
        <w:t xml:space="preserve"> Montenegro. (</w:t>
      </w:r>
      <w:proofErr w:type="spellStart"/>
      <w:r w:rsidRPr="00395005">
        <w:rPr>
          <w:rFonts w:eastAsia="Times New Roman" w:cstheme="minorHAnsi"/>
          <w:bCs/>
          <w:sz w:val="20"/>
          <w:szCs w:val="20"/>
          <w:lang w:val="sr-Latn-ME"/>
        </w:rPr>
        <w:t>n.d</w:t>
      </w:r>
      <w:proofErr w:type="spellEnd"/>
      <w:r w:rsidRPr="00395005">
        <w:rPr>
          <w:rFonts w:eastAsia="Times New Roman" w:cstheme="minorHAnsi"/>
          <w:bCs/>
          <w:sz w:val="20"/>
          <w:szCs w:val="20"/>
          <w:lang w:val="sr-Latn-ME"/>
        </w:rPr>
        <w:t>.). Izvještaji o stanju životne sredine. https://epa.org.me/izvjestaj-o-stanju-zivotne-sredine-na-bazi-indikatora/</w:t>
      </w:r>
    </w:p>
    <w:p w14:paraId="7EB32C53"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European</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Commission</w:t>
      </w:r>
      <w:proofErr w:type="spellEnd"/>
      <w:r w:rsidRPr="00395005">
        <w:rPr>
          <w:rFonts w:eastAsia="Times New Roman" w:cstheme="minorHAnsi"/>
          <w:bCs/>
          <w:sz w:val="20"/>
          <w:szCs w:val="20"/>
          <w:lang w:val="sr-Latn-ME"/>
        </w:rPr>
        <w:t xml:space="preserve">. (2025). Montenegro </w:t>
      </w:r>
      <w:proofErr w:type="spellStart"/>
      <w:r w:rsidRPr="00395005">
        <w:rPr>
          <w:rFonts w:eastAsia="Times New Roman" w:cstheme="minorHAnsi"/>
          <w:bCs/>
          <w:sz w:val="20"/>
          <w:szCs w:val="20"/>
          <w:lang w:val="sr-Latn-ME"/>
        </w:rPr>
        <w:t>Report</w:t>
      </w:r>
      <w:proofErr w:type="spellEnd"/>
      <w:r w:rsidRPr="00395005">
        <w:rPr>
          <w:rFonts w:eastAsia="Times New Roman" w:cstheme="minorHAnsi"/>
          <w:bCs/>
          <w:sz w:val="20"/>
          <w:szCs w:val="20"/>
          <w:lang w:val="sr-Latn-ME"/>
        </w:rPr>
        <w:t xml:space="preserve"> 2025. https://enlargement.ec.europa.eu/montenegro-report-2025_en</w:t>
      </w:r>
    </w:p>
    <w:p w14:paraId="3AB868C2"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European</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Commission</w:t>
      </w:r>
      <w:proofErr w:type="spellEnd"/>
      <w:r w:rsidRPr="00395005">
        <w:rPr>
          <w:rFonts w:eastAsia="Times New Roman" w:cstheme="minorHAnsi"/>
          <w:bCs/>
          <w:sz w:val="20"/>
          <w:szCs w:val="20"/>
          <w:lang w:val="sr-Latn-ME"/>
        </w:rPr>
        <w:t xml:space="preserve">. (2025). </w:t>
      </w:r>
      <w:proofErr w:type="spellStart"/>
      <w:r w:rsidRPr="00395005">
        <w:rPr>
          <w:rFonts w:eastAsia="Times New Roman" w:cstheme="minorHAnsi"/>
          <w:bCs/>
          <w:sz w:val="20"/>
          <w:szCs w:val="20"/>
          <w:lang w:val="sr-Latn-ME"/>
        </w:rPr>
        <w:t>Moving</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towards</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circularity</w:t>
      </w:r>
      <w:proofErr w:type="spellEnd"/>
      <w:r w:rsidRPr="00395005">
        <w:rPr>
          <w:rFonts w:eastAsia="Times New Roman" w:cstheme="minorHAnsi"/>
          <w:bCs/>
          <w:sz w:val="20"/>
          <w:szCs w:val="20"/>
          <w:lang w:val="sr-Latn-ME"/>
        </w:rPr>
        <w:t xml:space="preserve">: Montenegro </w:t>
      </w:r>
      <w:proofErr w:type="spellStart"/>
      <w:r w:rsidRPr="00395005">
        <w:rPr>
          <w:rFonts w:eastAsia="Times New Roman" w:cstheme="minorHAnsi"/>
          <w:bCs/>
          <w:sz w:val="20"/>
          <w:szCs w:val="20"/>
          <w:lang w:val="sr-Latn-ME"/>
        </w:rPr>
        <w:t>path</w:t>
      </w:r>
      <w:proofErr w:type="spellEnd"/>
      <w:r w:rsidRPr="00395005">
        <w:rPr>
          <w:rFonts w:eastAsia="Times New Roman" w:cstheme="minorHAnsi"/>
          <w:bCs/>
          <w:sz w:val="20"/>
          <w:szCs w:val="20"/>
          <w:lang w:val="sr-Latn-ME"/>
        </w:rPr>
        <w:t>. https://www.switchtogreen.eu/wp-content/uploads/2025/10/250930_Montenegro_factsheet.pdf</w:t>
      </w:r>
    </w:p>
    <w:p w14:paraId="4F97B703"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European</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Environment</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Agency</w:t>
      </w:r>
      <w:proofErr w:type="spellEnd"/>
      <w:r w:rsidRPr="00395005">
        <w:rPr>
          <w:rFonts w:eastAsia="Times New Roman" w:cstheme="minorHAnsi"/>
          <w:bCs/>
          <w:sz w:val="20"/>
          <w:szCs w:val="20"/>
          <w:lang w:val="sr-Latn-ME"/>
        </w:rPr>
        <w:t xml:space="preserve">. (2025). </w:t>
      </w:r>
      <w:proofErr w:type="spellStart"/>
      <w:r w:rsidRPr="00395005">
        <w:rPr>
          <w:rFonts w:eastAsia="Times New Roman" w:cstheme="minorHAnsi"/>
          <w:bCs/>
          <w:sz w:val="20"/>
          <w:szCs w:val="20"/>
          <w:lang w:val="sr-Latn-ME"/>
        </w:rPr>
        <w:t>Circular</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material</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use</w:t>
      </w:r>
      <w:proofErr w:type="spellEnd"/>
      <w:r w:rsidRPr="00395005">
        <w:rPr>
          <w:rFonts w:eastAsia="Times New Roman" w:cstheme="minorHAnsi"/>
          <w:bCs/>
          <w:sz w:val="20"/>
          <w:szCs w:val="20"/>
          <w:lang w:val="sr-Latn-ME"/>
        </w:rPr>
        <w:t xml:space="preserve"> rate – Montenegro. https://www.eea.europa.eu/en/europe-environment-2025/countries/montenegro/circular-material-use-rate</w:t>
      </w:r>
    </w:p>
    <w:p w14:paraId="0A54D472"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European</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Environment</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Agency</w:t>
      </w:r>
      <w:proofErr w:type="spellEnd"/>
      <w:r w:rsidRPr="00395005">
        <w:rPr>
          <w:rFonts w:eastAsia="Times New Roman" w:cstheme="minorHAnsi"/>
          <w:bCs/>
          <w:sz w:val="20"/>
          <w:szCs w:val="20"/>
          <w:lang w:val="sr-Latn-ME"/>
        </w:rPr>
        <w:t xml:space="preserve">. (2025). </w:t>
      </w:r>
      <w:proofErr w:type="spellStart"/>
      <w:r w:rsidRPr="00395005">
        <w:rPr>
          <w:rFonts w:eastAsia="Times New Roman" w:cstheme="minorHAnsi"/>
          <w:bCs/>
          <w:sz w:val="20"/>
          <w:szCs w:val="20"/>
          <w:lang w:val="sr-Latn-ME"/>
        </w:rPr>
        <w:t>Europe’s</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environment</w:t>
      </w:r>
      <w:proofErr w:type="spellEnd"/>
      <w:r w:rsidRPr="00395005">
        <w:rPr>
          <w:rFonts w:eastAsia="Times New Roman" w:cstheme="minorHAnsi"/>
          <w:bCs/>
          <w:sz w:val="20"/>
          <w:szCs w:val="20"/>
          <w:lang w:val="sr-Latn-ME"/>
        </w:rPr>
        <w:t xml:space="preserve"> 2025: Montenegro </w:t>
      </w:r>
      <w:proofErr w:type="spellStart"/>
      <w:r w:rsidRPr="00395005">
        <w:rPr>
          <w:rFonts w:eastAsia="Times New Roman" w:cstheme="minorHAnsi"/>
          <w:bCs/>
          <w:sz w:val="20"/>
          <w:szCs w:val="20"/>
          <w:lang w:val="sr-Latn-ME"/>
        </w:rPr>
        <w:t>country</w:t>
      </w:r>
      <w:proofErr w:type="spellEnd"/>
      <w:r w:rsidRPr="00395005">
        <w:rPr>
          <w:rFonts w:eastAsia="Times New Roman" w:cstheme="minorHAnsi"/>
          <w:bCs/>
          <w:sz w:val="20"/>
          <w:szCs w:val="20"/>
          <w:lang w:val="sr-Latn-ME"/>
        </w:rPr>
        <w:t xml:space="preserve"> profile. https://www.eea.europa.eu/en/europe-environment-2025/countries/montenegro</w:t>
      </w:r>
    </w:p>
    <w:p w14:paraId="7366D188"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European</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Environment</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Agency</w:t>
      </w:r>
      <w:proofErr w:type="spellEnd"/>
      <w:r w:rsidRPr="00395005">
        <w:rPr>
          <w:rFonts w:eastAsia="Times New Roman" w:cstheme="minorHAnsi"/>
          <w:bCs/>
          <w:sz w:val="20"/>
          <w:szCs w:val="20"/>
          <w:lang w:val="sr-Latn-ME"/>
        </w:rPr>
        <w:t xml:space="preserve">. (2025). Total </w:t>
      </w:r>
      <w:proofErr w:type="spellStart"/>
      <w:r w:rsidRPr="00395005">
        <w:rPr>
          <w:rFonts w:eastAsia="Times New Roman" w:cstheme="minorHAnsi"/>
          <w:bCs/>
          <w:sz w:val="20"/>
          <w:szCs w:val="20"/>
          <w:lang w:val="sr-Latn-ME"/>
        </w:rPr>
        <w:t>greenhouse</w:t>
      </w:r>
      <w:proofErr w:type="spellEnd"/>
      <w:r w:rsidRPr="00395005">
        <w:rPr>
          <w:rFonts w:eastAsia="Times New Roman" w:cstheme="minorHAnsi"/>
          <w:bCs/>
          <w:sz w:val="20"/>
          <w:szCs w:val="20"/>
          <w:lang w:val="sr-Latn-ME"/>
        </w:rPr>
        <w:t xml:space="preserve"> gas </w:t>
      </w:r>
      <w:proofErr w:type="spellStart"/>
      <w:r w:rsidRPr="00395005">
        <w:rPr>
          <w:rFonts w:eastAsia="Times New Roman" w:cstheme="minorHAnsi"/>
          <w:bCs/>
          <w:sz w:val="20"/>
          <w:szCs w:val="20"/>
          <w:lang w:val="sr-Latn-ME"/>
        </w:rPr>
        <w:t>emissions</w:t>
      </w:r>
      <w:proofErr w:type="spellEnd"/>
      <w:r w:rsidRPr="00395005">
        <w:rPr>
          <w:rFonts w:eastAsia="Times New Roman" w:cstheme="minorHAnsi"/>
          <w:bCs/>
          <w:sz w:val="20"/>
          <w:szCs w:val="20"/>
          <w:lang w:val="sr-Latn-ME"/>
        </w:rPr>
        <w:t xml:space="preserve"> – Montenegro. https://www.eea.europa.eu/en/europe-environment-2025/countries/montenegro/total-greenhouse-gas-emissions</w:t>
      </w:r>
    </w:p>
    <w:p w14:paraId="4A81507B"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Eurostat</w:t>
      </w:r>
      <w:proofErr w:type="spellEnd"/>
      <w:r w:rsidRPr="00395005">
        <w:rPr>
          <w:rFonts w:eastAsia="Times New Roman" w:cstheme="minorHAnsi"/>
          <w:bCs/>
          <w:sz w:val="20"/>
          <w:szCs w:val="20"/>
          <w:lang w:val="sr-Latn-ME"/>
        </w:rPr>
        <w:t>. (</w:t>
      </w:r>
      <w:proofErr w:type="spellStart"/>
      <w:r w:rsidRPr="00395005">
        <w:rPr>
          <w:rFonts w:eastAsia="Times New Roman" w:cstheme="minorHAnsi"/>
          <w:bCs/>
          <w:sz w:val="20"/>
          <w:szCs w:val="20"/>
          <w:lang w:val="sr-Latn-ME"/>
        </w:rPr>
        <w:t>n.d</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Municipal</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waste</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generation</w:t>
      </w:r>
      <w:proofErr w:type="spellEnd"/>
      <w:r w:rsidRPr="00395005">
        <w:rPr>
          <w:rFonts w:eastAsia="Times New Roman" w:cstheme="minorHAnsi"/>
          <w:bCs/>
          <w:sz w:val="20"/>
          <w:szCs w:val="20"/>
          <w:lang w:val="sr-Latn-ME"/>
        </w:rPr>
        <w:t>. https://ec.europa.eu/eurostat/databrowser/view/sdg_11_60/default/table?lang=en</w:t>
      </w:r>
    </w:p>
    <w:p w14:paraId="5DF9651C"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Eurostat</w:t>
      </w:r>
      <w:proofErr w:type="spellEnd"/>
      <w:r w:rsidRPr="00395005">
        <w:rPr>
          <w:rFonts w:eastAsia="Times New Roman" w:cstheme="minorHAnsi"/>
          <w:bCs/>
          <w:sz w:val="20"/>
          <w:szCs w:val="20"/>
          <w:lang w:val="sr-Latn-ME"/>
        </w:rPr>
        <w:t>. (</w:t>
      </w:r>
      <w:proofErr w:type="spellStart"/>
      <w:r w:rsidRPr="00395005">
        <w:rPr>
          <w:rFonts w:eastAsia="Times New Roman" w:cstheme="minorHAnsi"/>
          <w:bCs/>
          <w:sz w:val="20"/>
          <w:szCs w:val="20"/>
          <w:lang w:val="sr-Latn-ME"/>
        </w:rPr>
        <w:t>n.d</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Recycling</w:t>
      </w:r>
      <w:proofErr w:type="spellEnd"/>
      <w:r w:rsidRPr="00395005">
        <w:rPr>
          <w:rFonts w:eastAsia="Times New Roman" w:cstheme="minorHAnsi"/>
          <w:bCs/>
          <w:sz w:val="20"/>
          <w:szCs w:val="20"/>
          <w:lang w:val="sr-Latn-ME"/>
        </w:rPr>
        <w:t xml:space="preserve"> rate </w:t>
      </w:r>
      <w:proofErr w:type="spellStart"/>
      <w:r w:rsidRPr="00395005">
        <w:rPr>
          <w:rFonts w:eastAsia="Times New Roman" w:cstheme="minorHAnsi"/>
          <w:bCs/>
          <w:sz w:val="20"/>
          <w:szCs w:val="20"/>
          <w:lang w:val="sr-Latn-ME"/>
        </w:rPr>
        <w:t>of</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municipal</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waste</w:t>
      </w:r>
      <w:proofErr w:type="spellEnd"/>
      <w:r w:rsidRPr="00395005">
        <w:rPr>
          <w:rFonts w:eastAsia="Times New Roman" w:cstheme="minorHAnsi"/>
          <w:bCs/>
          <w:sz w:val="20"/>
          <w:szCs w:val="20"/>
          <w:lang w:val="sr-Latn-ME"/>
        </w:rPr>
        <w:t>. https://ec.europa.eu/eurostat/databrowser/view/cei_wm011/default/table?lang=en</w:t>
      </w:r>
    </w:p>
    <w:p w14:paraId="43A8C8A0"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sz w:val="20"/>
          <w:szCs w:val="20"/>
          <w:lang w:val="sr-Latn-ME"/>
        </w:rPr>
      </w:pPr>
      <w:proofErr w:type="spellStart"/>
      <w:r w:rsidRPr="00395005">
        <w:rPr>
          <w:rFonts w:eastAsia="Times New Roman" w:cstheme="minorHAnsi"/>
          <w:bCs/>
          <w:sz w:val="20"/>
          <w:szCs w:val="20"/>
          <w:lang w:val="sr-Latn-ME"/>
        </w:rPr>
        <w:t>Government</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of</w:t>
      </w:r>
      <w:proofErr w:type="spellEnd"/>
      <w:r w:rsidRPr="00395005">
        <w:rPr>
          <w:rFonts w:eastAsia="Times New Roman" w:cstheme="minorHAnsi"/>
          <w:bCs/>
          <w:sz w:val="20"/>
          <w:szCs w:val="20"/>
          <w:lang w:val="sr-Latn-ME"/>
        </w:rPr>
        <w:t xml:space="preserve"> Montenegro. (2021). Akcioni plan za ispunjenje završnih mjerila za Poglavlje 27 – procjena finansijskih potreba.</w:t>
      </w:r>
    </w:p>
    <w:p w14:paraId="3D2579B7"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Government</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of</w:t>
      </w:r>
      <w:proofErr w:type="spellEnd"/>
      <w:r w:rsidRPr="00395005">
        <w:rPr>
          <w:rFonts w:eastAsia="Times New Roman" w:cstheme="minorHAnsi"/>
          <w:bCs/>
          <w:sz w:val="20"/>
          <w:szCs w:val="20"/>
          <w:lang w:val="sr-Latn-ME"/>
        </w:rPr>
        <w:t xml:space="preserve"> Montenegro. (</w:t>
      </w:r>
      <w:proofErr w:type="spellStart"/>
      <w:r w:rsidRPr="00395005">
        <w:rPr>
          <w:rFonts w:eastAsia="Times New Roman" w:cstheme="minorHAnsi"/>
          <w:bCs/>
          <w:sz w:val="20"/>
          <w:szCs w:val="20"/>
          <w:lang w:val="sr-Latn-ME"/>
        </w:rPr>
        <w:t>n.d</w:t>
      </w:r>
      <w:proofErr w:type="spellEnd"/>
      <w:r w:rsidRPr="00395005">
        <w:rPr>
          <w:rFonts w:eastAsia="Times New Roman" w:cstheme="minorHAnsi"/>
          <w:bCs/>
          <w:sz w:val="20"/>
          <w:szCs w:val="20"/>
          <w:lang w:val="sr-Latn-ME"/>
        </w:rPr>
        <w:t>.). Državni plan upravljanja otpadom 2024–2028. https://www.gov.me/dokumenta/1b9a9af3-c1c1-43c2-a10b-48388084af11</w:t>
      </w:r>
    </w:p>
    <w:p w14:paraId="61BB4848"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Government</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of</w:t>
      </w:r>
      <w:proofErr w:type="spellEnd"/>
      <w:r w:rsidRPr="00395005">
        <w:rPr>
          <w:rFonts w:eastAsia="Times New Roman" w:cstheme="minorHAnsi"/>
          <w:bCs/>
          <w:sz w:val="20"/>
          <w:szCs w:val="20"/>
          <w:lang w:val="sr-Latn-ME"/>
        </w:rPr>
        <w:t xml:space="preserve"> Montenegro. (</w:t>
      </w:r>
      <w:proofErr w:type="spellStart"/>
      <w:r w:rsidRPr="00395005">
        <w:rPr>
          <w:rFonts w:eastAsia="Times New Roman" w:cstheme="minorHAnsi"/>
          <w:bCs/>
          <w:sz w:val="20"/>
          <w:szCs w:val="20"/>
          <w:lang w:val="sr-Latn-ME"/>
        </w:rPr>
        <w:t>n.d</w:t>
      </w:r>
      <w:proofErr w:type="spellEnd"/>
      <w:r w:rsidRPr="00395005">
        <w:rPr>
          <w:rFonts w:eastAsia="Times New Roman" w:cstheme="minorHAnsi"/>
          <w:bCs/>
          <w:sz w:val="20"/>
          <w:szCs w:val="20"/>
          <w:lang w:val="sr-Latn-ME"/>
        </w:rPr>
        <w:t>.). Nacionalna strategija upravljanja otpadom do 2030. godine. https://www.gov.me/dokumenta/d8073954-d74f-4398-ba8c-2e6747c153f2</w:t>
      </w:r>
    </w:p>
    <w:p w14:paraId="68D0D416"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Green</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Home</w:t>
      </w:r>
      <w:proofErr w:type="spellEnd"/>
      <w:r w:rsidRPr="00395005">
        <w:rPr>
          <w:rFonts w:eastAsia="Times New Roman" w:cstheme="minorHAnsi"/>
          <w:bCs/>
          <w:sz w:val="20"/>
          <w:szCs w:val="20"/>
          <w:lang w:val="sr-Latn-ME"/>
        </w:rPr>
        <w:t xml:space="preserve">. (2025). </w:t>
      </w:r>
      <w:proofErr w:type="spellStart"/>
      <w:r w:rsidRPr="00395005">
        <w:rPr>
          <w:rFonts w:eastAsia="Times New Roman" w:cstheme="minorHAnsi"/>
          <w:bCs/>
          <w:sz w:val="20"/>
          <w:szCs w:val="20"/>
          <w:lang w:val="sr-Latn-ME"/>
        </w:rPr>
        <w:t>Shadow</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report</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for</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Chapter</w:t>
      </w:r>
      <w:proofErr w:type="spellEnd"/>
      <w:r w:rsidRPr="00395005">
        <w:rPr>
          <w:rFonts w:eastAsia="Times New Roman" w:cstheme="minorHAnsi"/>
          <w:bCs/>
          <w:sz w:val="20"/>
          <w:szCs w:val="20"/>
          <w:lang w:val="sr-Latn-ME"/>
        </w:rPr>
        <w:t xml:space="preserve"> 27 </w:t>
      </w:r>
      <w:proofErr w:type="spellStart"/>
      <w:r w:rsidRPr="00395005">
        <w:rPr>
          <w:rFonts w:eastAsia="Times New Roman" w:cstheme="minorHAnsi"/>
          <w:bCs/>
          <w:sz w:val="20"/>
          <w:szCs w:val="20"/>
          <w:lang w:val="sr-Latn-ME"/>
        </w:rPr>
        <w:t>and</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Chapter</w:t>
      </w:r>
      <w:proofErr w:type="spellEnd"/>
      <w:r w:rsidRPr="00395005">
        <w:rPr>
          <w:rFonts w:eastAsia="Times New Roman" w:cstheme="minorHAnsi"/>
          <w:bCs/>
          <w:sz w:val="20"/>
          <w:szCs w:val="20"/>
          <w:lang w:val="sr-Latn-ME"/>
        </w:rPr>
        <w:t xml:space="preserve"> 15. https://www.greenhome.co.me/en/limited-progress-in-chapter-27-and-chapter-15</w:t>
      </w:r>
    </w:p>
    <w:p w14:paraId="2E653958"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r w:rsidRPr="00395005">
        <w:rPr>
          <w:rFonts w:eastAsia="Times New Roman" w:cstheme="minorHAnsi"/>
          <w:bCs/>
          <w:sz w:val="20"/>
          <w:szCs w:val="20"/>
          <w:lang w:val="sr-Latn-ME"/>
        </w:rPr>
        <w:t xml:space="preserve">MONSTAT. (2025). </w:t>
      </w:r>
      <w:proofErr w:type="spellStart"/>
      <w:r w:rsidRPr="00395005">
        <w:rPr>
          <w:rFonts w:eastAsia="Times New Roman" w:cstheme="minorHAnsi"/>
          <w:bCs/>
          <w:sz w:val="20"/>
          <w:szCs w:val="20"/>
          <w:lang w:val="sr-Latn-ME"/>
        </w:rPr>
        <w:t>Statistical</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yearbook</w:t>
      </w:r>
      <w:proofErr w:type="spellEnd"/>
      <w:r w:rsidRPr="00395005">
        <w:rPr>
          <w:rFonts w:eastAsia="Times New Roman" w:cstheme="minorHAnsi"/>
          <w:bCs/>
          <w:sz w:val="20"/>
          <w:szCs w:val="20"/>
          <w:lang w:val="sr-Latn-ME"/>
        </w:rPr>
        <w:t xml:space="preserve"> 2025. https://www.monstat.org/eng/novosti.php?id=4270</w:t>
      </w:r>
    </w:p>
    <w:p w14:paraId="7C55A747"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r w:rsidRPr="00395005">
        <w:rPr>
          <w:rFonts w:eastAsia="Times New Roman" w:cstheme="minorHAnsi"/>
          <w:bCs/>
          <w:sz w:val="20"/>
          <w:szCs w:val="20"/>
          <w:lang w:val="sr-Latn-ME"/>
        </w:rPr>
        <w:t xml:space="preserve">Montenegrin </w:t>
      </w:r>
      <w:proofErr w:type="spellStart"/>
      <w:r w:rsidRPr="00395005">
        <w:rPr>
          <w:rFonts w:eastAsia="Times New Roman" w:cstheme="minorHAnsi"/>
          <w:bCs/>
          <w:sz w:val="20"/>
          <w:szCs w:val="20"/>
          <w:lang w:val="sr-Latn-ME"/>
        </w:rPr>
        <w:t>Employers</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Federation</w:t>
      </w:r>
      <w:proofErr w:type="spellEnd"/>
      <w:r w:rsidRPr="00395005">
        <w:rPr>
          <w:rFonts w:eastAsia="Times New Roman" w:cstheme="minorHAnsi"/>
          <w:bCs/>
          <w:sz w:val="20"/>
          <w:szCs w:val="20"/>
          <w:lang w:val="sr-Latn-ME"/>
        </w:rPr>
        <w:t>. (</w:t>
      </w:r>
      <w:proofErr w:type="spellStart"/>
      <w:r w:rsidRPr="00395005">
        <w:rPr>
          <w:rFonts w:eastAsia="Times New Roman" w:cstheme="minorHAnsi"/>
          <w:bCs/>
          <w:sz w:val="20"/>
          <w:szCs w:val="20"/>
          <w:lang w:val="sr-Latn-ME"/>
        </w:rPr>
        <w:t>n.d</w:t>
      </w:r>
      <w:proofErr w:type="spellEnd"/>
      <w:r w:rsidRPr="00395005">
        <w:rPr>
          <w:rFonts w:eastAsia="Times New Roman" w:cstheme="minorHAnsi"/>
          <w:bCs/>
          <w:sz w:val="20"/>
          <w:szCs w:val="20"/>
          <w:lang w:val="sr-Latn-ME"/>
        </w:rPr>
        <w:t>.). Spremnost privatnog sektora za klimatsku akciju u Crnoj Gori. https://www.poslodavci.org/biblioteka/publikacije/spremnost-privatnog-sektora-za-klimatsku-akciju-u-crnoj-gori</w:t>
      </w:r>
    </w:p>
    <w:p w14:paraId="7CFF457A"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Organisation</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for</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Economic</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Co-operation</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and</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Development</w:t>
      </w:r>
      <w:proofErr w:type="spellEnd"/>
      <w:r w:rsidRPr="00395005">
        <w:rPr>
          <w:rFonts w:eastAsia="Times New Roman" w:cstheme="minorHAnsi"/>
          <w:bCs/>
          <w:sz w:val="20"/>
          <w:szCs w:val="20"/>
          <w:lang w:val="sr-Latn-ME"/>
        </w:rPr>
        <w:t xml:space="preserve">. (2024). </w:t>
      </w:r>
      <w:proofErr w:type="spellStart"/>
      <w:r w:rsidRPr="00395005">
        <w:rPr>
          <w:rFonts w:eastAsia="Times New Roman" w:cstheme="minorHAnsi"/>
          <w:bCs/>
          <w:sz w:val="20"/>
          <w:szCs w:val="20"/>
          <w:lang w:val="sr-Latn-ME"/>
        </w:rPr>
        <w:t>Western</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Balkans</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competitiveness</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outlook</w:t>
      </w:r>
      <w:proofErr w:type="spellEnd"/>
      <w:r w:rsidRPr="00395005">
        <w:rPr>
          <w:rFonts w:eastAsia="Times New Roman" w:cstheme="minorHAnsi"/>
          <w:bCs/>
          <w:sz w:val="20"/>
          <w:szCs w:val="20"/>
          <w:lang w:val="sr-Latn-ME"/>
        </w:rPr>
        <w:t xml:space="preserve"> 2024: Montenegro. https://doi.org/10.1787/ead1588e-en</w:t>
      </w:r>
    </w:p>
    <w:p w14:paraId="68194EBB"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United</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Nations</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Development</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Programme</w:t>
      </w:r>
      <w:proofErr w:type="spellEnd"/>
      <w:r w:rsidRPr="00395005">
        <w:rPr>
          <w:rFonts w:eastAsia="Times New Roman" w:cstheme="minorHAnsi"/>
          <w:bCs/>
          <w:sz w:val="20"/>
          <w:szCs w:val="20"/>
          <w:lang w:val="sr-Latn-ME"/>
        </w:rPr>
        <w:t xml:space="preserve">. (2022). </w:t>
      </w:r>
      <w:proofErr w:type="spellStart"/>
      <w:r w:rsidRPr="00395005">
        <w:rPr>
          <w:rFonts w:eastAsia="Times New Roman" w:cstheme="minorHAnsi"/>
          <w:bCs/>
          <w:sz w:val="20"/>
          <w:szCs w:val="20"/>
          <w:lang w:val="sr-Latn-ME"/>
        </w:rPr>
        <w:t>Roadmap</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towards</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the</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circular</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economy</w:t>
      </w:r>
      <w:proofErr w:type="spellEnd"/>
      <w:r w:rsidRPr="00395005">
        <w:rPr>
          <w:rFonts w:eastAsia="Times New Roman" w:cstheme="minorHAnsi"/>
          <w:bCs/>
          <w:sz w:val="20"/>
          <w:szCs w:val="20"/>
          <w:lang w:val="sr-Latn-ME"/>
        </w:rPr>
        <w:t xml:space="preserve"> in Montenegro. </w:t>
      </w:r>
      <w:r w:rsidRPr="00395005">
        <w:rPr>
          <w:rFonts w:eastAsia="Times New Roman" w:cstheme="minorHAnsi"/>
          <w:bCs/>
          <w:sz w:val="20"/>
          <w:szCs w:val="20"/>
          <w:lang w:val="sr-Latn-ME"/>
        </w:rPr>
        <w:lastRenderedPageBreak/>
        <w:t>https://circulareconomy.europa.eu/platform/sites/default/files/roadmap_to_circular_economy_-web-_single.pdf</w:t>
      </w:r>
    </w:p>
    <w:p w14:paraId="2DEE4E0D"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United</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Nations</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Economic</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Commission</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for</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Europe</w:t>
      </w:r>
      <w:proofErr w:type="spellEnd"/>
      <w:r w:rsidRPr="00395005">
        <w:rPr>
          <w:rFonts w:eastAsia="Times New Roman" w:cstheme="minorHAnsi"/>
          <w:bCs/>
          <w:sz w:val="20"/>
          <w:szCs w:val="20"/>
          <w:lang w:val="sr-Latn-ME"/>
        </w:rPr>
        <w:t xml:space="preserve">. (2025). 4th </w:t>
      </w:r>
      <w:proofErr w:type="spellStart"/>
      <w:r w:rsidRPr="00395005">
        <w:rPr>
          <w:rFonts w:eastAsia="Times New Roman" w:cstheme="minorHAnsi"/>
          <w:bCs/>
          <w:sz w:val="20"/>
          <w:szCs w:val="20"/>
          <w:lang w:val="sr-Latn-ME"/>
        </w:rPr>
        <w:t>Environmental</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Performance</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Review</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of</w:t>
      </w:r>
      <w:proofErr w:type="spellEnd"/>
      <w:r w:rsidRPr="00395005">
        <w:rPr>
          <w:rFonts w:eastAsia="Times New Roman" w:cstheme="minorHAnsi"/>
          <w:bCs/>
          <w:sz w:val="20"/>
          <w:szCs w:val="20"/>
          <w:lang w:val="sr-Latn-ME"/>
        </w:rPr>
        <w:t xml:space="preserve"> Montenegro. https://unece.org/environment-policy/publications/4th-environmental-performance-review-montenegro</w:t>
      </w:r>
    </w:p>
    <w:p w14:paraId="2A3514B4"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United</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Nations</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Framework</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Convention</w:t>
      </w:r>
      <w:proofErr w:type="spellEnd"/>
      <w:r w:rsidRPr="00395005">
        <w:rPr>
          <w:rFonts w:eastAsia="Times New Roman" w:cstheme="minorHAnsi"/>
          <w:bCs/>
          <w:sz w:val="20"/>
          <w:szCs w:val="20"/>
          <w:lang w:val="sr-Latn-ME"/>
        </w:rPr>
        <w:t xml:space="preserve"> on </w:t>
      </w:r>
      <w:proofErr w:type="spellStart"/>
      <w:r w:rsidRPr="00395005">
        <w:rPr>
          <w:rFonts w:eastAsia="Times New Roman" w:cstheme="minorHAnsi"/>
          <w:bCs/>
          <w:sz w:val="20"/>
          <w:szCs w:val="20"/>
          <w:lang w:val="sr-Latn-ME"/>
        </w:rPr>
        <w:t>Climate</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Change</w:t>
      </w:r>
      <w:proofErr w:type="spellEnd"/>
      <w:r w:rsidRPr="00395005">
        <w:rPr>
          <w:rFonts w:eastAsia="Times New Roman" w:cstheme="minorHAnsi"/>
          <w:bCs/>
          <w:sz w:val="20"/>
          <w:szCs w:val="20"/>
          <w:lang w:val="sr-Latn-ME"/>
        </w:rPr>
        <w:t xml:space="preserve">. (2025). </w:t>
      </w:r>
      <w:proofErr w:type="spellStart"/>
      <w:r w:rsidRPr="00395005">
        <w:rPr>
          <w:rFonts w:eastAsia="Times New Roman" w:cstheme="minorHAnsi"/>
          <w:bCs/>
          <w:sz w:val="20"/>
          <w:szCs w:val="20"/>
          <w:lang w:val="sr-Latn-ME"/>
        </w:rPr>
        <w:t>Updated</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nationally</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determined</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contribution</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of</w:t>
      </w:r>
      <w:proofErr w:type="spellEnd"/>
      <w:r w:rsidRPr="00395005">
        <w:rPr>
          <w:rFonts w:eastAsia="Times New Roman" w:cstheme="minorHAnsi"/>
          <w:bCs/>
          <w:sz w:val="20"/>
          <w:szCs w:val="20"/>
          <w:lang w:val="sr-Latn-ME"/>
        </w:rPr>
        <w:t xml:space="preserve"> Montenegro. https://unfccc.int/sites/default/files/2025-02/001_eng_NDC_Montenegro.pdf</w:t>
      </w:r>
    </w:p>
    <w:p w14:paraId="5167F7E9"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World</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Bank</w:t>
      </w:r>
      <w:proofErr w:type="spellEnd"/>
      <w:r w:rsidRPr="00395005">
        <w:rPr>
          <w:rFonts w:eastAsia="Times New Roman" w:cstheme="minorHAnsi"/>
          <w:bCs/>
          <w:sz w:val="20"/>
          <w:szCs w:val="20"/>
          <w:lang w:val="sr-Latn-ME"/>
        </w:rPr>
        <w:t xml:space="preserve">. (2024). </w:t>
      </w:r>
      <w:proofErr w:type="spellStart"/>
      <w:r w:rsidRPr="00395005">
        <w:rPr>
          <w:rFonts w:eastAsia="Times New Roman" w:cstheme="minorHAnsi"/>
          <w:bCs/>
          <w:sz w:val="20"/>
          <w:szCs w:val="20"/>
          <w:lang w:val="sr-Latn-ME"/>
        </w:rPr>
        <w:t>Western</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Balkans</w:t>
      </w:r>
      <w:proofErr w:type="spellEnd"/>
      <w:r w:rsidRPr="00395005">
        <w:rPr>
          <w:rFonts w:eastAsia="Times New Roman" w:cstheme="minorHAnsi"/>
          <w:bCs/>
          <w:sz w:val="20"/>
          <w:szCs w:val="20"/>
          <w:lang w:val="sr-Latn-ME"/>
        </w:rPr>
        <w:t xml:space="preserve"> 6 </w:t>
      </w:r>
      <w:proofErr w:type="spellStart"/>
      <w:r w:rsidRPr="00395005">
        <w:rPr>
          <w:rFonts w:eastAsia="Times New Roman" w:cstheme="minorHAnsi"/>
          <w:bCs/>
          <w:sz w:val="20"/>
          <w:szCs w:val="20"/>
          <w:lang w:val="sr-Latn-ME"/>
        </w:rPr>
        <w:t>country</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climate</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and</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development</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report</w:t>
      </w:r>
      <w:proofErr w:type="spellEnd"/>
      <w:r w:rsidRPr="00395005">
        <w:rPr>
          <w:rFonts w:eastAsia="Times New Roman" w:cstheme="minorHAnsi"/>
          <w:bCs/>
          <w:sz w:val="20"/>
          <w:szCs w:val="20"/>
          <w:lang w:val="sr-Latn-ME"/>
        </w:rPr>
        <w:t>. https://www.worldbank.org/en/region/eca/publication/western-balkans-6-ccdr</w:t>
      </w:r>
    </w:p>
    <w:p w14:paraId="1C9E7A2B"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World</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Bank</w:t>
      </w:r>
      <w:proofErr w:type="spellEnd"/>
      <w:r w:rsidRPr="00395005">
        <w:rPr>
          <w:rFonts w:eastAsia="Times New Roman" w:cstheme="minorHAnsi"/>
          <w:bCs/>
          <w:sz w:val="20"/>
          <w:szCs w:val="20"/>
          <w:lang w:val="sr-Latn-ME"/>
        </w:rPr>
        <w:t xml:space="preserve">. (2025). Montenegro </w:t>
      </w:r>
      <w:proofErr w:type="spellStart"/>
      <w:r w:rsidRPr="00395005">
        <w:rPr>
          <w:rFonts w:eastAsia="Times New Roman" w:cstheme="minorHAnsi"/>
          <w:bCs/>
          <w:sz w:val="20"/>
          <w:szCs w:val="20"/>
          <w:lang w:val="sr-Latn-ME"/>
        </w:rPr>
        <w:t>waste</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sector</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improvement</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project</w:t>
      </w:r>
      <w:proofErr w:type="spellEnd"/>
      <w:r w:rsidRPr="00395005">
        <w:rPr>
          <w:rFonts w:eastAsia="Times New Roman" w:cstheme="minorHAnsi"/>
          <w:bCs/>
          <w:sz w:val="20"/>
          <w:szCs w:val="20"/>
          <w:lang w:val="sr-Latn-ME"/>
        </w:rPr>
        <w:t>. https://documents1.worldbank.org/curated/en/099042925063039998/pdf/P510187-25697783-5725-4a90-8225-84866b48bdf7.pdf</w:t>
      </w:r>
    </w:p>
    <w:p w14:paraId="06C172E8" w14:textId="77777777" w:rsidR="00654F3E" w:rsidRPr="00395005" w:rsidRDefault="00654F3E" w:rsidP="00654F3E">
      <w:pPr>
        <w:pStyle w:val="ListParagraph"/>
        <w:numPr>
          <w:ilvl w:val="0"/>
          <w:numId w:val="4"/>
        </w:numPr>
        <w:spacing w:before="100" w:beforeAutospacing="1" w:after="100" w:afterAutospacing="1"/>
        <w:jc w:val="left"/>
        <w:rPr>
          <w:rFonts w:eastAsia="Times New Roman" w:cstheme="minorHAnsi"/>
          <w:bCs/>
          <w:sz w:val="20"/>
          <w:szCs w:val="20"/>
          <w:lang w:val="sr-Latn-ME"/>
        </w:rPr>
      </w:pPr>
      <w:proofErr w:type="spellStart"/>
      <w:r w:rsidRPr="00395005">
        <w:rPr>
          <w:rFonts w:eastAsia="Times New Roman" w:cstheme="minorHAnsi"/>
          <w:bCs/>
          <w:sz w:val="20"/>
          <w:szCs w:val="20"/>
          <w:lang w:val="sr-Latn-ME"/>
        </w:rPr>
        <w:t>Zero</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Waste</w:t>
      </w:r>
      <w:proofErr w:type="spellEnd"/>
      <w:r w:rsidRPr="00395005">
        <w:rPr>
          <w:rFonts w:eastAsia="Times New Roman" w:cstheme="minorHAnsi"/>
          <w:bCs/>
          <w:sz w:val="20"/>
          <w:szCs w:val="20"/>
          <w:lang w:val="sr-Latn-ME"/>
        </w:rPr>
        <w:t xml:space="preserve"> Montenegro. (</w:t>
      </w:r>
      <w:proofErr w:type="spellStart"/>
      <w:r w:rsidRPr="00395005">
        <w:rPr>
          <w:rFonts w:eastAsia="Times New Roman" w:cstheme="minorHAnsi"/>
          <w:bCs/>
          <w:sz w:val="20"/>
          <w:szCs w:val="20"/>
          <w:lang w:val="sr-Latn-ME"/>
        </w:rPr>
        <w:t>n.d</w:t>
      </w:r>
      <w:proofErr w:type="spellEnd"/>
      <w:r w:rsidRPr="00395005">
        <w:rPr>
          <w:rFonts w:eastAsia="Times New Roman" w:cstheme="minorHAnsi"/>
          <w:bCs/>
          <w:sz w:val="20"/>
          <w:szCs w:val="20"/>
          <w:lang w:val="sr-Latn-ME"/>
        </w:rPr>
        <w:t xml:space="preserve">.). </w:t>
      </w:r>
      <w:proofErr w:type="spellStart"/>
      <w:r w:rsidRPr="00395005">
        <w:rPr>
          <w:rFonts w:eastAsia="Times New Roman" w:cstheme="minorHAnsi"/>
          <w:bCs/>
          <w:sz w:val="20"/>
          <w:szCs w:val="20"/>
          <w:lang w:val="sr-Latn-ME"/>
        </w:rPr>
        <w:t>Waste</w:t>
      </w:r>
      <w:proofErr w:type="spellEnd"/>
      <w:r w:rsidRPr="00395005">
        <w:rPr>
          <w:rFonts w:eastAsia="Times New Roman" w:cstheme="minorHAnsi"/>
          <w:bCs/>
          <w:sz w:val="20"/>
          <w:szCs w:val="20"/>
          <w:lang w:val="sr-Latn-ME"/>
        </w:rPr>
        <w:t xml:space="preserve"> management status in Montenegro. https://zerowastemontenegro.me/waste-management-status-montenegro/</w:t>
      </w:r>
    </w:p>
    <w:p w14:paraId="14AA65A1" w14:textId="77777777" w:rsidR="0087152E" w:rsidRPr="00654F3E" w:rsidRDefault="0087152E">
      <w:pPr>
        <w:rPr>
          <w:lang w:val="sr-Latn-ME"/>
        </w:rPr>
      </w:pPr>
    </w:p>
    <w:sectPr w:rsidR="0087152E" w:rsidRPr="00654F3E" w:rsidSect="00654F3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0663E" w14:textId="77777777" w:rsidR="00FF2CA5" w:rsidRDefault="00FF2CA5" w:rsidP="00654F3E">
      <w:pPr>
        <w:spacing w:after="0"/>
      </w:pPr>
      <w:r>
        <w:separator/>
      </w:r>
    </w:p>
  </w:endnote>
  <w:endnote w:type="continuationSeparator" w:id="0">
    <w:p w14:paraId="1FE39CB7" w14:textId="77777777" w:rsidR="00FF2CA5" w:rsidRDefault="00FF2CA5" w:rsidP="00654F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5291096"/>
      <w:docPartObj>
        <w:docPartGallery w:val="Page Numbers (Bottom of Page)"/>
        <w:docPartUnique/>
      </w:docPartObj>
    </w:sdtPr>
    <w:sdtEndPr>
      <w:rPr>
        <w:noProof/>
      </w:rPr>
    </w:sdtEndPr>
    <w:sdtContent>
      <w:p w14:paraId="1FA8FDE5" w14:textId="77777777" w:rsidR="00654F3E" w:rsidRDefault="00654F3E">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p w14:paraId="3120EFEB" w14:textId="77777777" w:rsidR="00654F3E" w:rsidRDefault="00654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BEC84" w14:textId="77777777" w:rsidR="00FF2CA5" w:rsidRDefault="00FF2CA5" w:rsidP="00654F3E">
      <w:pPr>
        <w:spacing w:after="0"/>
      </w:pPr>
      <w:r>
        <w:separator/>
      </w:r>
    </w:p>
  </w:footnote>
  <w:footnote w:type="continuationSeparator" w:id="0">
    <w:p w14:paraId="26C40AAC" w14:textId="77777777" w:rsidR="00FF2CA5" w:rsidRDefault="00FF2CA5" w:rsidP="00654F3E">
      <w:pPr>
        <w:spacing w:after="0"/>
      </w:pPr>
      <w:r>
        <w:continuationSeparator/>
      </w:r>
    </w:p>
  </w:footnote>
  <w:footnote w:id="1">
    <w:p w14:paraId="4661D2FF" w14:textId="77777777" w:rsidR="00654F3E" w:rsidRPr="00A8012D" w:rsidRDefault="00654F3E" w:rsidP="00654F3E">
      <w:pPr>
        <w:pStyle w:val="FootnoteText"/>
        <w:rPr>
          <w:sz w:val="16"/>
          <w:szCs w:val="16"/>
        </w:rPr>
      </w:pPr>
      <w:r w:rsidRPr="00A8012D">
        <w:rPr>
          <w:rStyle w:val="FootnoteReference"/>
          <w:sz w:val="16"/>
          <w:szCs w:val="16"/>
        </w:rPr>
        <w:footnoteRef/>
      </w:r>
      <w:r w:rsidRPr="00A8012D">
        <w:rPr>
          <w:sz w:val="16"/>
          <w:szCs w:val="16"/>
        </w:rPr>
        <w:t xml:space="preserve"> https://ec.europa.eu/eurostat/databrowser/view/sdg_11_60/default/table</w:t>
      </w:r>
    </w:p>
  </w:footnote>
  <w:footnote w:id="2">
    <w:p w14:paraId="31E85AA0" w14:textId="77777777" w:rsidR="00654F3E" w:rsidRPr="00A8012D" w:rsidRDefault="00654F3E" w:rsidP="00654F3E">
      <w:pPr>
        <w:pStyle w:val="FootnoteText"/>
        <w:rPr>
          <w:sz w:val="16"/>
          <w:szCs w:val="16"/>
          <w:lang w:val="sr-Latn-ME"/>
        </w:rPr>
      </w:pPr>
      <w:r w:rsidRPr="00A8012D">
        <w:rPr>
          <w:rStyle w:val="FootnoteReference"/>
          <w:sz w:val="16"/>
          <w:szCs w:val="16"/>
          <w:lang w:val="sr-Latn-ME"/>
        </w:rPr>
        <w:footnoteRef/>
      </w:r>
      <w:r w:rsidRPr="00A8012D">
        <w:rPr>
          <w:sz w:val="16"/>
          <w:szCs w:val="16"/>
          <w:lang w:val="sr-Latn-ME"/>
        </w:rPr>
        <w:t xml:space="preserve"> </w:t>
      </w:r>
      <w:proofErr w:type="spellStart"/>
      <w:r w:rsidRPr="00A8012D">
        <w:rPr>
          <w:sz w:val="16"/>
          <w:szCs w:val="16"/>
          <w:lang w:val="sr-Latn-ME"/>
        </w:rPr>
        <w:t>Proposal</w:t>
      </w:r>
      <w:proofErr w:type="spellEnd"/>
      <w:r w:rsidRPr="00A8012D">
        <w:rPr>
          <w:sz w:val="16"/>
          <w:szCs w:val="16"/>
          <w:lang w:val="sr-Latn-ME"/>
        </w:rPr>
        <w:t xml:space="preserve"> </w:t>
      </w:r>
      <w:proofErr w:type="spellStart"/>
      <w:r w:rsidRPr="00A8012D">
        <w:rPr>
          <w:sz w:val="16"/>
          <w:szCs w:val="16"/>
          <w:lang w:val="sr-Latn-ME"/>
        </w:rPr>
        <w:t>for</w:t>
      </w:r>
      <w:proofErr w:type="spellEnd"/>
      <w:r w:rsidRPr="00A8012D">
        <w:rPr>
          <w:sz w:val="16"/>
          <w:szCs w:val="16"/>
          <w:lang w:val="sr-Latn-ME"/>
        </w:rPr>
        <w:t xml:space="preserve"> a </w:t>
      </w:r>
      <w:proofErr w:type="spellStart"/>
      <w:r w:rsidRPr="00A8012D">
        <w:rPr>
          <w:sz w:val="16"/>
          <w:szCs w:val="16"/>
          <w:lang w:val="sr-Latn-ME"/>
        </w:rPr>
        <w:t>Regulation</w:t>
      </w:r>
      <w:proofErr w:type="spellEnd"/>
      <w:r w:rsidRPr="00A8012D">
        <w:rPr>
          <w:sz w:val="16"/>
          <w:szCs w:val="16"/>
          <w:lang w:val="sr-Latn-ME"/>
        </w:rPr>
        <w:t xml:space="preserve"> </w:t>
      </w:r>
      <w:proofErr w:type="spellStart"/>
      <w:r w:rsidRPr="00A8012D">
        <w:rPr>
          <w:sz w:val="16"/>
          <w:szCs w:val="16"/>
          <w:lang w:val="sr-Latn-ME"/>
        </w:rPr>
        <w:t>establishing</w:t>
      </w:r>
      <w:proofErr w:type="spellEnd"/>
      <w:r w:rsidRPr="00A8012D">
        <w:rPr>
          <w:sz w:val="16"/>
          <w:szCs w:val="16"/>
          <w:lang w:val="sr-Latn-ME"/>
        </w:rPr>
        <w:t xml:space="preserve"> a </w:t>
      </w:r>
      <w:proofErr w:type="spellStart"/>
      <w:r w:rsidRPr="00A8012D">
        <w:rPr>
          <w:sz w:val="16"/>
          <w:szCs w:val="16"/>
          <w:lang w:val="sr-Latn-ME"/>
        </w:rPr>
        <w:t>budget</w:t>
      </w:r>
      <w:proofErr w:type="spellEnd"/>
      <w:r w:rsidRPr="00A8012D">
        <w:rPr>
          <w:sz w:val="16"/>
          <w:szCs w:val="16"/>
          <w:lang w:val="sr-Latn-ME"/>
        </w:rPr>
        <w:t xml:space="preserve"> </w:t>
      </w:r>
      <w:proofErr w:type="spellStart"/>
      <w:r w:rsidRPr="00A8012D">
        <w:rPr>
          <w:sz w:val="16"/>
          <w:szCs w:val="16"/>
          <w:lang w:val="sr-Latn-ME"/>
        </w:rPr>
        <w:t>expenditure</w:t>
      </w:r>
      <w:proofErr w:type="spellEnd"/>
      <w:r w:rsidRPr="00A8012D">
        <w:rPr>
          <w:sz w:val="16"/>
          <w:szCs w:val="16"/>
          <w:lang w:val="sr-Latn-ME"/>
        </w:rPr>
        <w:t xml:space="preserve"> </w:t>
      </w:r>
      <w:proofErr w:type="spellStart"/>
      <w:r w:rsidRPr="00A8012D">
        <w:rPr>
          <w:sz w:val="16"/>
          <w:szCs w:val="16"/>
          <w:lang w:val="sr-Latn-ME"/>
        </w:rPr>
        <w:t>tracking</w:t>
      </w:r>
      <w:proofErr w:type="spellEnd"/>
      <w:r w:rsidRPr="00A8012D">
        <w:rPr>
          <w:sz w:val="16"/>
          <w:szCs w:val="16"/>
          <w:lang w:val="sr-Latn-ME"/>
        </w:rPr>
        <w:t xml:space="preserve"> </w:t>
      </w:r>
      <w:proofErr w:type="spellStart"/>
      <w:r w:rsidRPr="00A8012D">
        <w:rPr>
          <w:sz w:val="16"/>
          <w:szCs w:val="16"/>
          <w:lang w:val="sr-Latn-ME"/>
        </w:rPr>
        <w:t>and</w:t>
      </w:r>
      <w:proofErr w:type="spellEnd"/>
      <w:r w:rsidRPr="00A8012D">
        <w:rPr>
          <w:sz w:val="16"/>
          <w:szCs w:val="16"/>
          <w:lang w:val="sr-Latn-ME"/>
        </w:rPr>
        <w:t xml:space="preserve"> </w:t>
      </w:r>
      <w:proofErr w:type="spellStart"/>
      <w:r w:rsidRPr="00A8012D">
        <w:rPr>
          <w:sz w:val="16"/>
          <w:szCs w:val="16"/>
          <w:lang w:val="sr-Latn-ME"/>
        </w:rPr>
        <w:t>performance</w:t>
      </w:r>
      <w:proofErr w:type="spellEnd"/>
      <w:r w:rsidRPr="00A8012D">
        <w:rPr>
          <w:sz w:val="16"/>
          <w:szCs w:val="16"/>
          <w:lang w:val="sr-Latn-ME"/>
        </w:rPr>
        <w:t xml:space="preserve"> </w:t>
      </w:r>
      <w:proofErr w:type="spellStart"/>
      <w:r w:rsidRPr="00A8012D">
        <w:rPr>
          <w:sz w:val="16"/>
          <w:szCs w:val="16"/>
          <w:lang w:val="sr-Latn-ME"/>
        </w:rPr>
        <w:t>framework</w:t>
      </w:r>
      <w:proofErr w:type="spellEnd"/>
      <w:r w:rsidRPr="00A8012D">
        <w:rPr>
          <w:sz w:val="16"/>
          <w:szCs w:val="16"/>
          <w:lang w:val="sr-Latn-ME"/>
        </w:rPr>
        <w:t xml:space="preserve">, COM(2025)545, </w:t>
      </w:r>
      <w:proofErr w:type="spellStart"/>
      <w:r w:rsidRPr="00A8012D">
        <w:rPr>
          <w:sz w:val="16"/>
          <w:szCs w:val="16"/>
          <w:lang w:val="sr-Latn-ME"/>
        </w:rPr>
        <w:t>Annex</w:t>
      </w:r>
      <w:proofErr w:type="spellEnd"/>
      <w:r w:rsidRPr="00A8012D">
        <w:rPr>
          <w:sz w:val="16"/>
          <w:szCs w:val="16"/>
          <w:lang w:val="sr-Latn-ME"/>
        </w:rPr>
        <w:t xml:space="preserve"> I. https://eur-lex.europa.eu/legal-content/EN/TXT/?uri=CELEX%3A52025PC0545</w:t>
      </w:r>
    </w:p>
  </w:footnote>
  <w:footnote w:id="3">
    <w:p w14:paraId="39E98BBC" w14:textId="77777777" w:rsidR="00654F3E" w:rsidRPr="00395005" w:rsidRDefault="00654F3E" w:rsidP="00654F3E">
      <w:pPr>
        <w:pStyle w:val="FootnoteText"/>
        <w:rPr>
          <w:sz w:val="16"/>
          <w:szCs w:val="16"/>
          <w:lang w:val="sr-Latn-ME"/>
        </w:rPr>
      </w:pPr>
      <w:r w:rsidRPr="00A8012D">
        <w:rPr>
          <w:rStyle w:val="FootnoteReference"/>
          <w:sz w:val="16"/>
          <w:szCs w:val="16"/>
        </w:rPr>
        <w:footnoteRef/>
      </w:r>
      <w:r w:rsidRPr="00395005">
        <w:rPr>
          <w:sz w:val="16"/>
          <w:szCs w:val="16"/>
          <w:lang w:val="sr-Latn-ME"/>
        </w:rPr>
        <w:t xml:space="preserve"> </w:t>
      </w:r>
      <w:r w:rsidRPr="00A8012D">
        <w:rPr>
          <w:sz w:val="16"/>
          <w:szCs w:val="16"/>
        </w:rPr>
        <w:t>https</w:t>
      </w:r>
      <w:r w:rsidRPr="00395005">
        <w:rPr>
          <w:sz w:val="16"/>
          <w:szCs w:val="16"/>
          <w:lang w:val="sr-Latn-ME"/>
        </w:rPr>
        <w:t>://</w:t>
      </w:r>
      <w:r w:rsidRPr="00A8012D">
        <w:rPr>
          <w:sz w:val="16"/>
          <w:szCs w:val="16"/>
        </w:rPr>
        <w:t>commission</w:t>
      </w:r>
      <w:r w:rsidRPr="00395005">
        <w:rPr>
          <w:sz w:val="16"/>
          <w:szCs w:val="16"/>
          <w:lang w:val="sr-Latn-ME"/>
        </w:rPr>
        <w:t>.</w:t>
      </w:r>
      <w:proofErr w:type="spellStart"/>
      <w:r w:rsidRPr="00A8012D">
        <w:rPr>
          <w:sz w:val="16"/>
          <w:szCs w:val="16"/>
        </w:rPr>
        <w:t>europa</w:t>
      </w:r>
      <w:proofErr w:type="spellEnd"/>
      <w:r w:rsidRPr="00395005">
        <w:rPr>
          <w:sz w:val="16"/>
          <w:szCs w:val="16"/>
          <w:lang w:val="sr-Latn-ME"/>
        </w:rPr>
        <w:t>.</w:t>
      </w:r>
      <w:proofErr w:type="spellStart"/>
      <w:r w:rsidRPr="00A8012D">
        <w:rPr>
          <w:sz w:val="16"/>
          <w:szCs w:val="16"/>
        </w:rPr>
        <w:t>eu</w:t>
      </w:r>
      <w:proofErr w:type="spellEnd"/>
      <w:r w:rsidRPr="00395005">
        <w:rPr>
          <w:sz w:val="16"/>
          <w:szCs w:val="16"/>
          <w:lang w:val="sr-Latn-ME"/>
        </w:rPr>
        <w:t>/</w:t>
      </w:r>
      <w:r w:rsidRPr="00A8012D">
        <w:rPr>
          <w:sz w:val="16"/>
          <w:szCs w:val="16"/>
        </w:rPr>
        <w:t>strategy</w:t>
      </w:r>
      <w:r w:rsidRPr="00395005">
        <w:rPr>
          <w:sz w:val="16"/>
          <w:szCs w:val="16"/>
          <w:lang w:val="sr-Latn-ME"/>
        </w:rPr>
        <w:t>-</w:t>
      </w:r>
      <w:r w:rsidRPr="00A8012D">
        <w:rPr>
          <w:sz w:val="16"/>
          <w:szCs w:val="16"/>
        </w:rPr>
        <w:t>and</w:t>
      </w:r>
      <w:r w:rsidRPr="00395005">
        <w:rPr>
          <w:sz w:val="16"/>
          <w:szCs w:val="16"/>
          <w:lang w:val="sr-Latn-ME"/>
        </w:rPr>
        <w:t>-</w:t>
      </w:r>
      <w:r w:rsidRPr="00A8012D">
        <w:rPr>
          <w:sz w:val="16"/>
          <w:szCs w:val="16"/>
        </w:rPr>
        <w:t>policy</w:t>
      </w:r>
      <w:r w:rsidRPr="00395005">
        <w:rPr>
          <w:sz w:val="16"/>
          <w:szCs w:val="16"/>
          <w:lang w:val="sr-Latn-ME"/>
        </w:rPr>
        <w:t>/</w:t>
      </w:r>
      <w:r w:rsidRPr="00A8012D">
        <w:rPr>
          <w:sz w:val="16"/>
          <w:szCs w:val="16"/>
        </w:rPr>
        <w:t>priorities</w:t>
      </w:r>
      <w:r w:rsidRPr="00395005">
        <w:rPr>
          <w:sz w:val="16"/>
          <w:szCs w:val="16"/>
          <w:lang w:val="sr-Latn-ME"/>
        </w:rPr>
        <w:t>-2019-2024/</w:t>
      </w:r>
      <w:proofErr w:type="spellStart"/>
      <w:r w:rsidRPr="00A8012D">
        <w:rPr>
          <w:sz w:val="16"/>
          <w:szCs w:val="16"/>
        </w:rPr>
        <w:t>european</w:t>
      </w:r>
      <w:proofErr w:type="spellEnd"/>
      <w:r w:rsidRPr="00395005">
        <w:rPr>
          <w:sz w:val="16"/>
          <w:szCs w:val="16"/>
          <w:lang w:val="sr-Latn-ME"/>
        </w:rPr>
        <w:t>-</w:t>
      </w:r>
      <w:r w:rsidRPr="00A8012D">
        <w:rPr>
          <w:sz w:val="16"/>
          <w:szCs w:val="16"/>
        </w:rPr>
        <w:t>green</w:t>
      </w:r>
      <w:r w:rsidRPr="00395005">
        <w:rPr>
          <w:sz w:val="16"/>
          <w:szCs w:val="16"/>
          <w:lang w:val="sr-Latn-ME"/>
        </w:rPr>
        <w:t>-</w:t>
      </w:r>
      <w:r w:rsidRPr="00A8012D">
        <w:rPr>
          <w:sz w:val="16"/>
          <w:szCs w:val="16"/>
        </w:rPr>
        <w:t>deal</w:t>
      </w:r>
      <w:r w:rsidRPr="00395005">
        <w:rPr>
          <w:sz w:val="16"/>
          <w:szCs w:val="16"/>
          <w:lang w:val="sr-Latn-ME"/>
        </w:rPr>
        <w:t>_</w:t>
      </w:r>
      <w:proofErr w:type="spellStart"/>
      <w:r w:rsidRPr="00A8012D">
        <w:rPr>
          <w:sz w:val="16"/>
          <w:szCs w:val="16"/>
        </w:rPr>
        <w:t>en</w:t>
      </w:r>
      <w:proofErr w:type="spellEnd"/>
    </w:p>
  </w:footnote>
  <w:footnote w:id="4">
    <w:p w14:paraId="4FA27C72" w14:textId="77777777" w:rsidR="00654F3E" w:rsidRPr="00395005" w:rsidRDefault="00654F3E" w:rsidP="00654F3E">
      <w:pPr>
        <w:pStyle w:val="FootnoteText"/>
        <w:rPr>
          <w:sz w:val="16"/>
          <w:szCs w:val="16"/>
          <w:lang w:val="sr-Latn-ME"/>
        </w:rPr>
      </w:pPr>
      <w:r w:rsidRPr="00A8012D">
        <w:rPr>
          <w:rStyle w:val="FootnoteReference"/>
          <w:sz w:val="16"/>
          <w:szCs w:val="16"/>
        </w:rPr>
        <w:footnoteRef/>
      </w:r>
      <w:r w:rsidRPr="00395005">
        <w:rPr>
          <w:sz w:val="16"/>
          <w:szCs w:val="16"/>
          <w:lang w:val="sr-Latn-ME"/>
        </w:rPr>
        <w:t xml:space="preserve"> </w:t>
      </w:r>
      <w:r w:rsidRPr="00A8012D">
        <w:rPr>
          <w:sz w:val="16"/>
          <w:szCs w:val="16"/>
        </w:rPr>
        <w:t>https</w:t>
      </w:r>
      <w:r w:rsidRPr="00395005">
        <w:rPr>
          <w:sz w:val="16"/>
          <w:szCs w:val="16"/>
          <w:lang w:val="sr-Latn-ME"/>
        </w:rPr>
        <w:t>://</w:t>
      </w:r>
      <w:proofErr w:type="spellStart"/>
      <w:r w:rsidRPr="00A8012D">
        <w:rPr>
          <w:sz w:val="16"/>
          <w:szCs w:val="16"/>
        </w:rPr>
        <w:t>eur</w:t>
      </w:r>
      <w:proofErr w:type="spellEnd"/>
      <w:r w:rsidRPr="00395005">
        <w:rPr>
          <w:sz w:val="16"/>
          <w:szCs w:val="16"/>
          <w:lang w:val="sr-Latn-ME"/>
        </w:rPr>
        <w:t>-</w:t>
      </w:r>
      <w:r w:rsidRPr="00A8012D">
        <w:rPr>
          <w:sz w:val="16"/>
          <w:szCs w:val="16"/>
        </w:rPr>
        <w:t>lex</w:t>
      </w:r>
      <w:r w:rsidRPr="00395005">
        <w:rPr>
          <w:sz w:val="16"/>
          <w:szCs w:val="16"/>
          <w:lang w:val="sr-Latn-ME"/>
        </w:rPr>
        <w:t>.</w:t>
      </w:r>
      <w:proofErr w:type="spellStart"/>
      <w:r w:rsidRPr="00A8012D">
        <w:rPr>
          <w:sz w:val="16"/>
          <w:szCs w:val="16"/>
        </w:rPr>
        <w:t>europa</w:t>
      </w:r>
      <w:proofErr w:type="spellEnd"/>
      <w:r w:rsidRPr="00395005">
        <w:rPr>
          <w:sz w:val="16"/>
          <w:szCs w:val="16"/>
          <w:lang w:val="sr-Latn-ME"/>
        </w:rPr>
        <w:t>.</w:t>
      </w:r>
      <w:proofErr w:type="spellStart"/>
      <w:r w:rsidRPr="00A8012D">
        <w:rPr>
          <w:sz w:val="16"/>
          <w:szCs w:val="16"/>
        </w:rPr>
        <w:t>eu</w:t>
      </w:r>
      <w:proofErr w:type="spellEnd"/>
      <w:r w:rsidRPr="00395005">
        <w:rPr>
          <w:sz w:val="16"/>
          <w:szCs w:val="16"/>
          <w:lang w:val="sr-Latn-ME"/>
        </w:rPr>
        <w:t>/</w:t>
      </w:r>
      <w:r w:rsidRPr="00A8012D">
        <w:rPr>
          <w:sz w:val="16"/>
          <w:szCs w:val="16"/>
        </w:rPr>
        <w:t>legal</w:t>
      </w:r>
      <w:r w:rsidRPr="00395005">
        <w:rPr>
          <w:sz w:val="16"/>
          <w:szCs w:val="16"/>
          <w:lang w:val="sr-Latn-ME"/>
        </w:rPr>
        <w:t>-</w:t>
      </w:r>
      <w:r w:rsidRPr="00A8012D">
        <w:rPr>
          <w:sz w:val="16"/>
          <w:szCs w:val="16"/>
        </w:rPr>
        <w:t>content</w:t>
      </w:r>
      <w:r w:rsidRPr="00395005">
        <w:rPr>
          <w:sz w:val="16"/>
          <w:szCs w:val="16"/>
          <w:lang w:val="sr-Latn-ME"/>
        </w:rPr>
        <w:t>/</w:t>
      </w:r>
      <w:r w:rsidRPr="00A8012D">
        <w:rPr>
          <w:sz w:val="16"/>
          <w:szCs w:val="16"/>
        </w:rPr>
        <w:t>EN</w:t>
      </w:r>
      <w:r w:rsidRPr="00395005">
        <w:rPr>
          <w:sz w:val="16"/>
          <w:szCs w:val="16"/>
          <w:lang w:val="sr-Latn-ME"/>
        </w:rPr>
        <w:t>/</w:t>
      </w:r>
      <w:r w:rsidRPr="00A8012D">
        <w:rPr>
          <w:sz w:val="16"/>
          <w:szCs w:val="16"/>
        </w:rPr>
        <w:t>TXT</w:t>
      </w:r>
      <w:r w:rsidRPr="00395005">
        <w:rPr>
          <w:sz w:val="16"/>
          <w:szCs w:val="16"/>
          <w:lang w:val="sr-Latn-ME"/>
        </w:rPr>
        <w:t>/</w:t>
      </w:r>
      <w:r w:rsidRPr="00A8012D">
        <w:rPr>
          <w:sz w:val="16"/>
          <w:szCs w:val="16"/>
        </w:rPr>
        <w:t>PDF</w:t>
      </w:r>
      <w:r w:rsidRPr="00395005">
        <w:rPr>
          <w:sz w:val="16"/>
          <w:szCs w:val="16"/>
          <w:lang w:val="sr-Latn-ME"/>
        </w:rPr>
        <w:t>/?</w:t>
      </w:r>
      <w:proofErr w:type="spellStart"/>
      <w:r w:rsidRPr="00A8012D">
        <w:rPr>
          <w:sz w:val="16"/>
          <w:szCs w:val="16"/>
        </w:rPr>
        <w:t>uri</w:t>
      </w:r>
      <w:proofErr w:type="spellEnd"/>
      <w:r w:rsidRPr="00395005">
        <w:rPr>
          <w:sz w:val="16"/>
          <w:szCs w:val="16"/>
          <w:lang w:val="sr-Latn-ME"/>
        </w:rPr>
        <w:t>=</w:t>
      </w:r>
      <w:r w:rsidRPr="00A8012D">
        <w:rPr>
          <w:sz w:val="16"/>
          <w:szCs w:val="16"/>
        </w:rPr>
        <w:t>CELEX</w:t>
      </w:r>
      <w:r w:rsidRPr="00395005">
        <w:rPr>
          <w:sz w:val="16"/>
          <w:szCs w:val="16"/>
          <w:lang w:val="sr-Latn-ME"/>
        </w:rPr>
        <w:t>:02003</w:t>
      </w:r>
      <w:r w:rsidRPr="00A8012D">
        <w:rPr>
          <w:sz w:val="16"/>
          <w:szCs w:val="16"/>
        </w:rPr>
        <w:t>L</w:t>
      </w:r>
      <w:r w:rsidRPr="00395005">
        <w:rPr>
          <w:sz w:val="16"/>
          <w:szCs w:val="16"/>
          <w:lang w:val="sr-Latn-ME"/>
        </w:rPr>
        <w:t>0087-20240301</w:t>
      </w:r>
    </w:p>
  </w:footnote>
  <w:footnote w:id="5">
    <w:p w14:paraId="278CF064" w14:textId="77777777" w:rsidR="00654F3E" w:rsidRPr="00395005" w:rsidRDefault="00654F3E" w:rsidP="00654F3E">
      <w:pPr>
        <w:pStyle w:val="FootnoteText"/>
        <w:rPr>
          <w:sz w:val="16"/>
          <w:szCs w:val="16"/>
          <w:lang w:val="sr-Latn-ME"/>
        </w:rPr>
      </w:pPr>
      <w:r w:rsidRPr="00A8012D">
        <w:rPr>
          <w:rStyle w:val="FootnoteReference"/>
          <w:sz w:val="16"/>
          <w:szCs w:val="16"/>
        </w:rPr>
        <w:footnoteRef/>
      </w:r>
      <w:r w:rsidRPr="00395005">
        <w:rPr>
          <w:sz w:val="16"/>
          <w:szCs w:val="16"/>
          <w:lang w:val="sr-Latn-ME"/>
        </w:rPr>
        <w:t xml:space="preserve"> </w:t>
      </w:r>
      <w:r w:rsidRPr="00A8012D">
        <w:rPr>
          <w:sz w:val="16"/>
          <w:szCs w:val="16"/>
        </w:rPr>
        <w:t>https</w:t>
      </w:r>
      <w:r w:rsidRPr="00395005">
        <w:rPr>
          <w:sz w:val="16"/>
          <w:szCs w:val="16"/>
          <w:lang w:val="sr-Latn-ME"/>
        </w:rPr>
        <w:t>://</w:t>
      </w:r>
      <w:proofErr w:type="spellStart"/>
      <w:r w:rsidRPr="00A8012D">
        <w:rPr>
          <w:sz w:val="16"/>
          <w:szCs w:val="16"/>
        </w:rPr>
        <w:t>eur</w:t>
      </w:r>
      <w:proofErr w:type="spellEnd"/>
      <w:r w:rsidRPr="00395005">
        <w:rPr>
          <w:sz w:val="16"/>
          <w:szCs w:val="16"/>
          <w:lang w:val="sr-Latn-ME"/>
        </w:rPr>
        <w:t>-</w:t>
      </w:r>
      <w:r w:rsidRPr="00A8012D">
        <w:rPr>
          <w:sz w:val="16"/>
          <w:szCs w:val="16"/>
        </w:rPr>
        <w:t>lex</w:t>
      </w:r>
      <w:r w:rsidRPr="00395005">
        <w:rPr>
          <w:sz w:val="16"/>
          <w:szCs w:val="16"/>
          <w:lang w:val="sr-Latn-ME"/>
        </w:rPr>
        <w:t>.</w:t>
      </w:r>
      <w:proofErr w:type="spellStart"/>
      <w:r w:rsidRPr="00A8012D">
        <w:rPr>
          <w:sz w:val="16"/>
          <w:szCs w:val="16"/>
        </w:rPr>
        <w:t>europa</w:t>
      </w:r>
      <w:proofErr w:type="spellEnd"/>
      <w:r w:rsidRPr="00395005">
        <w:rPr>
          <w:sz w:val="16"/>
          <w:szCs w:val="16"/>
          <w:lang w:val="sr-Latn-ME"/>
        </w:rPr>
        <w:t>.</w:t>
      </w:r>
      <w:proofErr w:type="spellStart"/>
      <w:r w:rsidRPr="00A8012D">
        <w:rPr>
          <w:sz w:val="16"/>
          <w:szCs w:val="16"/>
        </w:rPr>
        <w:t>eu</w:t>
      </w:r>
      <w:proofErr w:type="spellEnd"/>
      <w:r w:rsidRPr="00395005">
        <w:rPr>
          <w:sz w:val="16"/>
          <w:szCs w:val="16"/>
          <w:lang w:val="sr-Latn-ME"/>
        </w:rPr>
        <w:t>/</w:t>
      </w:r>
      <w:proofErr w:type="spellStart"/>
      <w:r w:rsidRPr="00A8012D">
        <w:rPr>
          <w:sz w:val="16"/>
          <w:szCs w:val="16"/>
        </w:rPr>
        <w:t>eli</w:t>
      </w:r>
      <w:proofErr w:type="spellEnd"/>
      <w:r w:rsidRPr="00395005">
        <w:rPr>
          <w:sz w:val="16"/>
          <w:szCs w:val="16"/>
          <w:lang w:val="sr-Latn-ME"/>
        </w:rPr>
        <w:t>/</w:t>
      </w:r>
      <w:proofErr w:type="spellStart"/>
      <w:r w:rsidRPr="00A8012D">
        <w:rPr>
          <w:sz w:val="16"/>
          <w:szCs w:val="16"/>
        </w:rPr>
        <w:t>dir</w:t>
      </w:r>
      <w:proofErr w:type="spellEnd"/>
      <w:r w:rsidRPr="00395005">
        <w:rPr>
          <w:sz w:val="16"/>
          <w:szCs w:val="16"/>
          <w:lang w:val="sr-Latn-ME"/>
        </w:rPr>
        <w:t>/2018/851/</w:t>
      </w:r>
      <w:proofErr w:type="spellStart"/>
      <w:r w:rsidRPr="00A8012D">
        <w:rPr>
          <w:sz w:val="16"/>
          <w:szCs w:val="16"/>
        </w:rPr>
        <w:t>oj</w:t>
      </w:r>
      <w:proofErr w:type="spellEnd"/>
      <w:r w:rsidRPr="00395005">
        <w:rPr>
          <w:sz w:val="16"/>
          <w:szCs w:val="16"/>
          <w:lang w:val="sr-Latn-ME"/>
        </w:rPr>
        <w:t>/</w:t>
      </w:r>
      <w:proofErr w:type="spellStart"/>
      <w:r w:rsidRPr="00A8012D">
        <w:rPr>
          <w:sz w:val="16"/>
          <w:szCs w:val="16"/>
        </w:rPr>
        <w:t>eng</w:t>
      </w:r>
      <w:proofErr w:type="spellEnd"/>
    </w:p>
  </w:footnote>
  <w:footnote w:id="6">
    <w:p w14:paraId="64EEF109" w14:textId="77777777" w:rsidR="00654F3E" w:rsidRPr="00395005" w:rsidRDefault="00654F3E" w:rsidP="00654F3E">
      <w:pPr>
        <w:pStyle w:val="FootnoteText"/>
        <w:rPr>
          <w:sz w:val="16"/>
          <w:szCs w:val="16"/>
          <w:lang w:val="sr-Latn-ME"/>
        </w:rPr>
      </w:pPr>
      <w:r w:rsidRPr="00A8012D">
        <w:rPr>
          <w:rStyle w:val="FootnoteReference"/>
          <w:sz w:val="16"/>
          <w:szCs w:val="16"/>
        </w:rPr>
        <w:footnoteRef/>
      </w:r>
      <w:r w:rsidRPr="00395005">
        <w:rPr>
          <w:sz w:val="16"/>
          <w:szCs w:val="16"/>
          <w:lang w:val="sr-Latn-ME"/>
        </w:rPr>
        <w:t xml:space="preserve"> </w:t>
      </w:r>
      <w:r w:rsidRPr="00A8012D">
        <w:rPr>
          <w:sz w:val="16"/>
          <w:szCs w:val="16"/>
        </w:rPr>
        <w:t>https</w:t>
      </w:r>
      <w:r w:rsidRPr="00395005">
        <w:rPr>
          <w:sz w:val="16"/>
          <w:szCs w:val="16"/>
          <w:lang w:val="sr-Latn-ME"/>
        </w:rPr>
        <w:t>://</w:t>
      </w:r>
      <w:proofErr w:type="spellStart"/>
      <w:r w:rsidRPr="00A8012D">
        <w:rPr>
          <w:sz w:val="16"/>
          <w:szCs w:val="16"/>
        </w:rPr>
        <w:t>eur</w:t>
      </w:r>
      <w:proofErr w:type="spellEnd"/>
      <w:r w:rsidRPr="00395005">
        <w:rPr>
          <w:sz w:val="16"/>
          <w:szCs w:val="16"/>
          <w:lang w:val="sr-Latn-ME"/>
        </w:rPr>
        <w:t>-</w:t>
      </w:r>
      <w:r w:rsidRPr="00A8012D">
        <w:rPr>
          <w:sz w:val="16"/>
          <w:szCs w:val="16"/>
        </w:rPr>
        <w:t>lex</w:t>
      </w:r>
      <w:r w:rsidRPr="00395005">
        <w:rPr>
          <w:sz w:val="16"/>
          <w:szCs w:val="16"/>
          <w:lang w:val="sr-Latn-ME"/>
        </w:rPr>
        <w:t>.</w:t>
      </w:r>
      <w:proofErr w:type="spellStart"/>
      <w:r w:rsidRPr="00A8012D">
        <w:rPr>
          <w:sz w:val="16"/>
          <w:szCs w:val="16"/>
        </w:rPr>
        <w:t>europa</w:t>
      </w:r>
      <w:proofErr w:type="spellEnd"/>
      <w:r w:rsidRPr="00395005">
        <w:rPr>
          <w:sz w:val="16"/>
          <w:szCs w:val="16"/>
          <w:lang w:val="sr-Latn-ME"/>
        </w:rPr>
        <w:t>.</w:t>
      </w:r>
      <w:proofErr w:type="spellStart"/>
      <w:r w:rsidRPr="00A8012D">
        <w:rPr>
          <w:sz w:val="16"/>
          <w:szCs w:val="16"/>
        </w:rPr>
        <w:t>eu</w:t>
      </w:r>
      <w:proofErr w:type="spellEnd"/>
      <w:r w:rsidRPr="00395005">
        <w:rPr>
          <w:sz w:val="16"/>
          <w:szCs w:val="16"/>
          <w:lang w:val="sr-Latn-ME"/>
        </w:rPr>
        <w:t>/</w:t>
      </w:r>
      <w:proofErr w:type="spellStart"/>
      <w:r w:rsidRPr="00A8012D">
        <w:rPr>
          <w:sz w:val="16"/>
          <w:szCs w:val="16"/>
        </w:rPr>
        <w:t>eli</w:t>
      </w:r>
      <w:proofErr w:type="spellEnd"/>
      <w:r w:rsidRPr="00395005">
        <w:rPr>
          <w:sz w:val="16"/>
          <w:szCs w:val="16"/>
          <w:lang w:val="sr-Latn-ME"/>
        </w:rPr>
        <w:t>/</w:t>
      </w:r>
      <w:proofErr w:type="spellStart"/>
      <w:r w:rsidRPr="00A8012D">
        <w:rPr>
          <w:sz w:val="16"/>
          <w:szCs w:val="16"/>
        </w:rPr>
        <w:t>dir</w:t>
      </w:r>
      <w:proofErr w:type="spellEnd"/>
      <w:r w:rsidRPr="00395005">
        <w:rPr>
          <w:sz w:val="16"/>
          <w:szCs w:val="16"/>
          <w:lang w:val="sr-Latn-ME"/>
        </w:rPr>
        <w:t>/1994/62/</w:t>
      </w:r>
      <w:proofErr w:type="spellStart"/>
      <w:r w:rsidRPr="00A8012D">
        <w:rPr>
          <w:sz w:val="16"/>
          <w:szCs w:val="16"/>
        </w:rPr>
        <w:t>oj</w:t>
      </w:r>
      <w:proofErr w:type="spellEnd"/>
      <w:r w:rsidRPr="00395005">
        <w:rPr>
          <w:sz w:val="16"/>
          <w:szCs w:val="16"/>
          <w:lang w:val="sr-Latn-ME"/>
        </w:rPr>
        <w:t>/</w:t>
      </w:r>
      <w:proofErr w:type="spellStart"/>
      <w:r w:rsidRPr="00A8012D">
        <w:rPr>
          <w:sz w:val="16"/>
          <w:szCs w:val="16"/>
        </w:rPr>
        <w:t>eng</w:t>
      </w:r>
      <w:proofErr w:type="spellEnd"/>
    </w:p>
  </w:footnote>
  <w:footnote w:id="7">
    <w:p w14:paraId="3DA1D5C3" w14:textId="77777777" w:rsidR="00654F3E" w:rsidRPr="00395005" w:rsidRDefault="00654F3E" w:rsidP="00654F3E">
      <w:pPr>
        <w:pStyle w:val="FootnoteText"/>
        <w:rPr>
          <w:sz w:val="16"/>
          <w:szCs w:val="16"/>
          <w:lang w:val="sr-Latn-ME"/>
        </w:rPr>
      </w:pPr>
      <w:r w:rsidRPr="00A8012D">
        <w:rPr>
          <w:rStyle w:val="FootnoteReference"/>
          <w:sz w:val="16"/>
          <w:szCs w:val="16"/>
        </w:rPr>
        <w:footnoteRef/>
      </w:r>
      <w:r w:rsidRPr="00395005">
        <w:rPr>
          <w:sz w:val="16"/>
          <w:szCs w:val="16"/>
          <w:lang w:val="sr-Latn-ME"/>
        </w:rPr>
        <w:t xml:space="preserve"> </w:t>
      </w:r>
      <w:r w:rsidRPr="00A8012D">
        <w:rPr>
          <w:sz w:val="16"/>
          <w:szCs w:val="16"/>
        </w:rPr>
        <w:t>https</w:t>
      </w:r>
      <w:r w:rsidRPr="00395005">
        <w:rPr>
          <w:sz w:val="16"/>
          <w:szCs w:val="16"/>
          <w:lang w:val="sr-Latn-ME"/>
        </w:rPr>
        <w:t>://</w:t>
      </w:r>
      <w:r w:rsidRPr="00A8012D">
        <w:rPr>
          <w:sz w:val="16"/>
          <w:szCs w:val="16"/>
        </w:rPr>
        <w:t>environment</w:t>
      </w:r>
      <w:r w:rsidRPr="00395005">
        <w:rPr>
          <w:sz w:val="16"/>
          <w:szCs w:val="16"/>
          <w:lang w:val="sr-Latn-ME"/>
        </w:rPr>
        <w:t>.</w:t>
      </w:r>
      <w:proofErr w:type="spellStart"/>
      <w:r w:rsidRPr="00A8012D">
        <w:rPr>
          <w:sz w:val="16"/>
          <w:szCs w:val="16"/>
        </w:rPr>
        <w:t>ec</w:t>
      </w:r>
      <w:proofErr w:type="spellEnd"/>
      <w:r w:rsidRPr="00395005">
        <w:rPr>
          <w:sz w:val="16"/>
          <w:szCs w:val="16"/>
          <w:lang w:val="sr-Latn-ME"/>
        </w:rPr>
        <w:t>.</w:t>
      </w:r>
      <w:proofErr w:type="spellStart"/>
      <w:r w:rsidRPr="00A8012D">
        <w:rPr>
          <w:sz w:val="16"/>
          <w:szCs w:val="16"/>
        </w:rPr>
        <w:t>europa</w:t>
      </w:r>
      <w:proofErr w:type="spellEnd"/>
      <w:r w:rsidRPr="00395005">
        <w:rPr>
          <w:sz w:val="16"/>
          <w:szCs w:val="16"/>
          <w:lang w:val="sr-Latn-ME"/>
        </w:rPr>
        <w:t>.</w:t>
      </w:r>
      <w:proofErr w:type="spellStart"/>
      <w:r w:rsidRPr="00A8012D">
        <w:rPr>
          <w:sz w:val="16"/>
          <w:szCs w:val="16"/>
        </w:rPr>
        <w:t>eu</w:t>
      </w:r>
      <w:proofErr w:type="spellEnd"/>
      <w:r w:rsidRPr="00395005">
        <w:rPr>
          <w:sz w:val="16"/>
          <w:szCs w:val="16"/>
          <w:lang w:val="sr-Latn-ME"/>
        </w:rPr>
        <w:t>/</w:t>
      </w:r>
      <w:r w:rsidRPr="00A8012D">
        <w:rPr>
          <w:sz w:val="16"/>
          <w:szCs w:val="16"/>
        </w:rPr>
        <w:t>strategy</w:t>
      </w:r>
      <w:r w:rsidRPr="00395005">
        <w:rPr>
          <w:sz w:val="16"/>
          <w:szCs w:val="16"/>
          <w:lang w:val="sr-Latn-ME"/>
        </w:rPr>
        <w:t>/</w:t>
      </w:r>
      <w:r w:rsidRPr="00A8012D">
        <w:rPr>
          <w:sz w:val="16"/>
          <w:szCs w:val="16"/>
        </w:rPr>
        <w:t>zero</w:t>
      </w:r>
      <w:r w:rsidRPr="00395005">
        <w:rPr>
          <w:sz w:val="16"/>
          <w:szCs w:val="16"/>
          <w:lang w:val="sr-Latn-ME"/>
        </w:rPr>
        <w:t>-</w:t>
      </w:r>
      <w:r w:rsidRPr="00A8012D">
        <w:rPr>
          <w:sz w:val="16"/>
          <w:szCs w:val="16"/>
        </w:rPr>
        <w:t>pollution</w:t>
      </w:r>
      <w:r w:rsidRPr="00395005">
        <w:rPr>
          <w:sz w:val="16"/>
          <w:szCs w:val="16"/>
          <w:lang w:val="sr-Latn-ME"/>
        </w:rPr>
        <w:t>-</w:t>
      </w:r>
      <w:r w:rsidRPr="00A8012D">
        <w:rPr>
          <w:sz w:val="16"/>
          <w:szCs w:val="16"/>
        </w:rPr>
        <w:t>action</w:t>
      </w:r>
      <w:r w:rsidRPr="00395005">
        <w:rPr>
          <w:sz w:val="16"/>
          <w:szCs w:val="16"/>
          <w:lang w:val="sr-Latn-ME"/>
        </w:rPr>
        <w:t>-</w:t>
      </w:r>
      <w:r w:rsidRPr="00A8012D">
        <w:rPr>
          <w:sz w:val="16"/>
          <w:szCs w:val="16"/>
        </w:rPr>
        <w:t>plan</w:t>
      </w:r>
      <w:r w:rsidRPr="00395005">
        <w:rPr>
          <w:sz w:val="16"/>
          <w:szCs w:val="16"/>
          <w:lang w:val="sr-Latn-ME"/>
        </w:rPr>
        <w:t>_</w:t>
      </w:r>
      <w:proofErr w:type="spellStart"/>
      <w:r w:rsidRPr="00A8012D">
        <w:rPr>
          <w:sz w:val="16"/>
          <w:szCs w:val="16"/>
        </w:rPr>
        <w:t>en</w:t>
      </w:r>
      <w:proofErr w:type="spellEnd"/>
    </w:p>
  </w:footnote>
  <w:footnote w:id="8">
    <w:p w14:paraId="04927E79" w14:textId="77777777" w:rsidR="00654F3E" w:rsidRPr="00A8012D" w:rsidRDefault="00654F3E" w:rsidP="00654F3E">
      <w:pPr>
        <w:pStyle w:val="FootnoteText"/>
        <w:rPr>
          <w:sz w:val="16"/>
          <w:szCs w:val="16"/>
          <w:lang w:val="sr-Latn-ME"/>
        </w:rPr>
      </w:pPr>
      <w:r w:rsidRPr="00A8012D">
        <w:rPr>
          <w:rStyle w:val="FootnoteReference"/>
          <w:sz w:val="16"/>
          <w:szCs w:val="16"/>
          <w:lang w:val="sr-Latn-ME"/>
        </w:rPr>
        <w:footnoteRef/>
      </w:r>
      <w:r w:rsidRPr="00A8012D">
        <w:rPr>
          <w:sz w:val="16"/>
          <w:szCs w:val="16"/>
          <w:lang w:val="sr-Latn-ME"/>
        </w:rPr>
        <w:t xml:space="preserve"> </w:t>
      </w:r>
      <w:r w:rsidRPr="00A8012D">
        <w:rPr>
          <w:sz w:val="16"/>
          <w:szCs w:val="16"/>
          <w:lang w:val="sr-Latn-ME"/>
        </w:rPr>
        <w:t>Ukupna površina Crne Gore iznosi približno 1.381.200 ha. Korišćeno poljoprivredno zemljište sa zajedničkim zemljištem čini oko 18% teritorije, dok korišćeno poljoprivredno zemljište bez zajedničkog zemljišta iznosi 9,2% ukupne teritorije Crne Gore. Prosječna veličina korišćenog poljoprivrednog zemljišta po gazdinstvu (sa zajedničkim zemljištem) u 2024. godini iznosi 9,8 ha, dok bez zajedničkog zemljišta iznosi 5 ha.</w:t>
      </w:r>
    </w:p>
  </w:footnote>
  <w:footnote w:id="9">
    <w:p w14:paraId="030A9944" w14:textId="77777777" w:rsidR="00654F3E" w:rsidRPr="00A8012D" w:rsidRDefault="00654F3E" w:rsidP="00654F3E">
      <w:pPr>
        <w:pStyle w:val="FootnoteText"/>
        <w:rPr>
          <w:sz w:val="16"/>
          <w:szCs w:val="16"/>
          <w:lang w:val="sr-Latn-ME"/>
        </w:rPr>
      </w:pPr>
      <w:r w:rsidRPr="00A8012D">
        <w:rPr>
          <w:rStyle w:val="FootnoteReference"/>
          <w:sz w:val="16"/>
          <w:szCs w:val="16"/>
          <w:lang w:val="sr-Latn-ME"/>
        </w:rPr>
        <w:footnoteRef/>
      </w:r>
      <w:r w:rsidRPr="00A8012D">
        <w:rPr>
          <w:sz w:val="16"/>
          <w:szCs w:val="16"/>
          <w:lang w:val="sr-Latn-ME"/>
        </w:rPr>
        <w:t xml:space="preserve"> </w:t>
      </w:r>
      <w:proofErr w:type="spellStart"/>
      <w:r w:rsidRPr="00A8012D">
        <w:rPr>
          <w:sz w:val="16"/>
          <w:szCs w:val="16"/>
          <w:lang w:val="sr-Latn-ME"/>
        </w:rPr>
        <w:t>Agrošumarstvo</w:t>
      </w:r>
      <w:proofErr w:type="spellEnd"/>
      <w:r w:rsidRPr="00A8012D">
        <w:rPr>
          <w:sz w:val="16"/>
          <w:szCs w:val="16"/>
          <w:lang w:val="sr-Latn-ME"/>
        </w:rPr>
        <w:t xml:space="preserve"> se u Crnoj Gori ne vodi kao posebna kategorija korišćenja zemljišta, te stoga ne postoji zvaničan indikator. Međutim, struktura poljoprivrednog zemljišta ukazuje na značajno prisustvo sistema koji imaju karakteristike </w:t>
      </w:r>
      <w:proofErr w:type="spellStart"/>
      <w:r w:rsidRPr="00A8012D">
        <w:rPr>
          <w:sz w:val="16"/>
          <w:szCs w:val="16"/>
          <w:lang w:val="sr-Latn-ME"/>
        </w:rPr>
        <w:t>agrošumarstva</w:t>
      </w:r>
      <w:proofErr w:type="spellEnd"/>
      <w:r w:rsidRPr="00A8012D">
        <w:rPr>
          <w:sz w:val="16"/>
          <w:szCs w:val="16"/>
          <w:lang w:val="sr-Latn-ME"/>
        </w:rPr>
        <w:t xml:space="preserve">. Prema Popisu poljoprivrede 2024, dominantan </w:t>
      </w:r>
      <w:proofErr w:type="spellStart"/>
      <w:r w:rsidRPr="00A8012D">
        <w:rPr>
          <w:sz w:val="16"/>
          <w:szCs w:val="16"/>
          <w:lang w:val="sr-Latn-ME"/>
        </w:rPr>
        <w:t>udio</w:t>
      </w:r>
      <w:proofErr w:type="spellEnd"/>
      <w:r w:rsidRPr="00A8012D">
        <w:rPr>
          <w:sz w:val="16"/>
          <w:szCs w:val="16"/>
          <w:lang w:val="sr-Latn-ME"/>
        </w:rPr>
        <w:t xml:space="preserve"> korišćenog poljoprivrednog zemljišta čine livade, pašnjaci i zajedničke ispaše, koji su tipično povezani sa </w:t>
      </w:r>
      <w:proofErr w:type="spellStart"/>
      <w:r w:rsidRPr="00A8012D">
        <w:rPr>
          <w:sz w:val="16"/>
          <w:szCs w:val="16"/>
          <w:lang w:val="sr-Latn-ME"/>
        </w:rPr>
        <w:t>silvopastoralnim</w:t>
      </w:r>
      <w:proofErr w:type="spellEnd"/>
      <w:r w:rsidRPr="00A8012D">
        <w:rPr>
          <w:sz w:val="16"/>
          <w:szCs w:val="16"/>
          <w:lang w:val="sr-Latn-ME"/>
        </w:rPr>
        <w:t xml:space="preserve"> praksama. Na osnovu ove strukture korišćenja zemljišta i preovlađujućih ekstenzivnih sistema stočarstva, može se analitički procijeniti da približno 10–20% korišćenog poljoprivrednog zemljišta (UAA) potpada pod oblike </w:t>
      </w:r>
      <w:proofErr w:type="spellStart"/>
      <w:r w:rsidRPr="00A8012D">
        <w:rPr>
          <w:sz w:val="16"/>
          <w:szCs w:val="16"/>
          <w:lang w:val="sr-Latn-ME"/>
        </w:rPr>
        <w:t>agrošumarskog</w:t>
      </w:r>
      <w:proofErr w:type="spellEnd"/>
      <w:r w:rsidRPr="00A8012D">
        <w:rPr>
          <w:sz w:val="16"/>
          <w:szCs w:val="16"/>
          <w:lang w:val="sr-Latn-ME"/>
        </w:rPr>
        <w:t xml:space="preserve"> korišćenja. Ova procjena je indikativna i nije direktno uporediva sa prosjekom EU-27 od 8,8% (na osnovu podataka </w:t>
      </w:r>
      <w:proofErr w:type="spellStart"/>
      <w:r w:rsidRPr="00A8012D">
        <w:rPr>
          <w:sz w:val="16"/>
          <w:szCs w:val="16"/>
          <w:lang w:val="sr-Latn-ME"/>
        </w:rPr>
        <w:t>Eurostat</w:t>
      </w:r>
      <w:proofErr w:type="spellEnd"/>
      <w:r w:rsidRPr="00A8012D">
        <w:rPr>
          <w:sz w:val="16"/>
          <w:szCs w:val="16"/>
          <w:lang w:val="sr-Latn-ME"/>
        </w:rPr>
        <w:t xml:space="preserve">), budući da </w:t>
      </w:r>
      <w:proofErr w:type="spellStart"/>
      <w:r w:rsidRPr="00A8012D">
        <w:rPr>
          <w:sz w:val="16"/>
          <w:szCs w:val="16"/>
          <w:lang w:val="sr-Latn-ME"/>
        </w:rPr>
        <w:t>agrošumarstvo</w:t>
      </w:r>
      <w:proofErr w:type="spellEnd"/>
      <w:r w:rsidRPr="00A8012D">
        <w:rPr>
          <w:sz w:val="16"/>
          <w:szCs w:val="16"/>
          <w:lang w:val="sr-Latn-ME"/>
        </w:rPr>
        <w:t xml:space="preserve"> u Crnoj Gori nije sistematski evidentirano već je uključeno u šire kategorije poljoprivrednog zemljišta.</w:t>
      </w:r>
    </w:p>
  </w:footnote>
  <w:footnote w:id="10">
    <w:p w14:paraId="48A666BF" w14:textId="77777777" w:rsidR="00654F3E" w:rsidRPr="00A8012D" w:rsidRDefault="00654F3E" w:rsidP="00654F3E">
      <w:pPr>
        <w:pStyle w:val="FootnoteText"/>
        <w:jc w:val="left"/>
        <w:rPr>
          <w:sz w:val="16"/>
          <w:szCs w:val="16"/>
          <w:lang w:val="sr-Latn-ME"/>
        </w:rPr>
      </w:pPr>
      <w:r w:rsidRPr="00A8012D">
        <w:rPr>
          <w:rStyle w:val="FootnoteReference"/>
          <w:sz w:val="16"/>
          <w:szCs w:val="16"/>
          <w:lang w:val="sr-Latn-ME"/>
        </w:rPr>
        <w:footnoteRef/>
      </w:r>
      <w:r w:rsidRPr="00A8012D">
        <w:rPr>
          <w:sz w:val="16"/>
          <w:szCs w:val="16"/>
          <w:lang w:val="sr-Latn-ME"/>
        </w:rPr>
        <w:t xml:space="preserve"> </w:t>
      </w:r>
      <w:r w:rsidRPr="00A8012D">
        <w:rPr>
          <w:sz w:val="16"/>
          <w:szCs w:val="16"/>
          <w:lang w:val="sr-Latn-ME"/>
        </w:rPr>
        <w:t>https://www.fao.org/family-farming/detail/en/c/1637684/#:~:text=Some%2015.4%20million%20hectares%20in,by%20this%20multifunctional%20land%20use.</w:t>
      </w:r>
    </w:p>
  </w:footnote>
  <w:footnote w:id="11">
    <w:p w14:paraId="32C08B33" w14:textId="77777777" w:rsidR="00654F3E" w:rsidRPr="00A8012D" w:rsidRDefault="00654F3E" w:rsidP="00654F3E">
      <w:pPr>
        <w:pStyle w:val="FootnoteText"/>
        <w:jc w:val="left"/>
        <w:rPr>
          <w:sz w:val="16"/>
          <w:szCs w:val="16"/>
          <w:lang w:val="sr-Latn-ME"/>
        </w:rPr>
      </w:pPr>
      <w:r w:rsidRPr="00A8012D">
        <w:rPr>
          <w:rStyle w:val="FootnoteReference"/>
          <w:sz w:val="16"/>
          <w:szCs w:val="16"/>
          <w:lang w:val="sr-Latn-ME"/>
        </w:rPr>
        <w:footnoteRef/>
      </w:r>
      <w:r w:rsidRPr="00A8012D">
        <w:rPr>
          <w:sz w:val="16"/>
          <w:szCs w:val="16"/>
          <w:lang w:val="sr-Latn-ME"/>
        </w:rPr>
        <w:t xml:space="preserve"> </w:t>
      </w:r>
      <w:proofErr w:type="spellStart"/>
      <w:r w:rsidRPr="00A8012D">
        <w:rPr>
          <w:sz w:val="16"/>
          <w:szCs w:val="16"/>
          <w:lang w:val="sr-Latn-ME"/>
        </w:rPr>
        <w:t>Agricultural</w:t>
      </w:r>
      <w:proofErr w:type="spellEnd"/>
      <w:r w:rsidRPr="00A8012D">
        <w:rPr>
          <w:sz w:val="16"/>
          <w:szCs w:val="16"/>
          <w:lang w:val="sr-Latn-ME"/>
        </w:rPr>
        <w:t xml:space="preserve"> </w:t>
      </w:r>
      <w:proofErr w:type="spellStart"/>
      <w:r w:rsidRPr="00A8012D">
        <w:rPr>
          <w:sz w:val="16"/>
          <w:szCs w:val="16"/>
          <w:lang w:val="sr-Latn-ME"/>
        </w:rPr>
        <w:t>census</w:t>
      </w:r>
      <w:proofErr w:type="spellEnd"/>
      <w:r w:rsidRPr="00A8012D">
        <w:rPr>
          <w:sz w:val="16"/>
          <w:szCs w:val="16"/>
          <w:lang w:val="sr-Latn-ME"/>
        </w:rPr>
        <w:t xml:space="preserve"> 2024, http://www.monstat.org/uploads/files/popis%20poljoprivrede%202024/Saopštenje%20PP2024_CG.pdf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E4D35"/>
    <w:multiLevelType w:val="hybridMultilevel"/>
    <w:tmpl w:val="435EE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0F1318"/>
    <w:multiLevelType w:val="hybridMultilevel"/>
    <w:tmpl w:val="847039B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6BE86C55"/>
    <w:multiLevelType w:val="multilevel"/>
    <w:tmpl w:val="A670B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9C6865"/>
    <w:multiLevelType w:val="hybridMultilevel"/>
    <w:tmpl w:val="749AC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7079685">
    <w:abstractNumId w:val="2"/>
  </w:num>
  <w:num w:numId="2" w16cid:durableId="1938900543">
    <w:abstractNumId w:val="0"/>
  </w:num>
  <w:num w:numId="3" w16cid:durableId="570232717">
    <w:abstractNumId w:val="3"/>
  </w:num>
  <w:num w:numId="4" w16cid:durableId="877592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F3E"/>
    <w:rsid w:val="00112D31"/>
    <w:rsid w:val="002A663A"/>
    <w:rsid w:val="002D6FE8"/>
    <w:rsid w:val="002F3912"/>
    <w:rsid w:val="003630F9"/>
    <w:rsid w:val="00654F3E"/>
    <w:rsid w:val="00672BA3"/>
    <w:rsid w:val="006A1BFC"/>
    <w:rsid w:val="00811E78"/>
    <w:rsid w:val="0087152E"/>
    <w:rsid w:val="0093136E"/>
    <w:rsid w:val="009A0264"/>
    <w:rsid w:val="00A1491C"/>
    <w:rsid w:val="00B17B5B"/>
    <w:rsid w:val="00B722BD"/>
    <w:rsid w:val="00B96841"/>
    <w:rsid w:val="00BD1487"/>
    <w:rsid w:val="00C94037"/>
    <w:rsid w:val="00E92DFE"/>
    <w:rsid w:val="00F4622C"/>
    <w:rsid w:val="00FF2C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39D6C"/>
  <w15:chartTrackingRefBased/>
  <w15:docId w15:val="{1FB42685-36B1-4333-84E7-783A13A93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F3E"/>
    <w:pPr>
      <w:spacing w:after="120" w:line="240" w:lineRule="auto"/>
      <w:jc w:val="both"/>
    </w:pPr>
    <w:rPr>
      <w:sz w:val="22"/>
      <w:szCs w:val="22"/>
      <w:lang w:val="en-US"/>
      <w14:ligatures w14:val="none"/>
    </w:rPr>
  </w:style>
  <w:style w:type="paragraph" w:styleId="Heading1">
    <w:name w:val="heading 1"/>
    <w:basedOn w:val="Normal"/>
    <w:next w:val="Normal"/>
    <w:link w:val="Heading1Char"/>
    <w:uiPriority w:val="9"/>
    <w:qFormat/>
    <w:rsid w:val="00654F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54F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54F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F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F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F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F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F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F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F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54F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54F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F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F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F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F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F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F3E"/>
    <w:rPr>
      <w:rFonts w:eastAsiaTheme="majorEastAsia" w:cstheme="majorBidi"/>
      <w:color w:val="272727" w:themeColor="text1" w:themeTint="D8"/>
    </w:rPr>
  </w:style>
  <w:style w:type="paragraph" w:styleId="Title">
    <w:name w:val="Title"/>
    <w:basedOn w:val="Normal"/>
    <w:next w:val="Normal"/>
    <w:link w:val="TitleChar"/>
    <w:uiPriority w:val="10"/>
    <w:qFormat/>
    <w:rsid w:val="00654F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F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F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F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F3E"/>
    <w:pPr>
      <w:spacing w:before="160"/>
      <w:jc w:val="center"/>
    </w:pPr>
    <w:rPr>
      <w:i/>
      <w:iCs/>
      <w:color w:val="404040" w:themeColor="text1" w:themeTint="BF"/>
    </w:rPr>
  </w:style>
  <w:style w:type="character" w:customStyle="1" w:styleId="QuoteChar">
    <w:name w:val="Quote Char"/>
    <w:basedOn w:val="DefaultParagraphFont"/>
    <w:link w:val="Quote"/>
    <w:uiPriority w:val="29"/>
    <w:rsid w:val="00654F3E"/>
    <w:rPr>
      <w:i/>
      <w:iCs/>
      <w:color w:val="404040" w:themeColor="text1" w:themeTint="BF"/>
    </w:rPr>
  </w:style>
  <w:style w:type="paragraph" w:styleId="ListParagraph">
    <w:name w:val="List Paragraph"/>
    <w:basedOn w:val="Normal"/>
    <w:uiPriority w:val="34"/>
    <w:qFormat/>
    <w:rsid w:val="00654F3E"/>
    <w:pPr>
      <w:ind w:left="720"/>
      <w:contextualSpacing/>
    </w:pPr>
  </w:style>
  <w:style w:type="character" w:styleId="IntenseEmphasis">
    <w:name w:val="Intense Emphasis"/>
    <w:basedOn w:val="DefaultParagraphFont"/>
    <w:uiPriority w:val="21"/>
    <w:qFormat/>
    <w:rsid w:val="00654F3E"/>
    <w:rPr>
      <w:i/>
      <w:iCs/>
      <w:color w:val="0F4761" w:themeColor="accent1" w:themeShade="BF"/>
    </w:rPr>
  </w:style>
  <w:style w:type="paragraph" w:styleId="IntenseQuote">
    <w:name w:val="Intense Quote"/>
    <w:basedOn w:val="Normal"/>
    <w:next w:val="Normal"/>
    <w:link w:val="IntenseQuoteChar"/>
    <w:uiPriority w:val="30"/>
    <w:qFormat/>
    <w:rsid w:val="00654F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F3E"/>
    <w:rPr>
      <w:i/>
      <w:iCs/>
      <w:color w:val="0F4761" w:themeColor="accent1" w:themeShade="BF"/>
    </w:rPr>
  </w:style>
  <w:style w:type="character" w:styleId="IntenseReference">
    <w:name w:val="Intense Reference"/>
    <w:basedOn w:val="DefaultParagraphFont"/>
    <w:uiPriority w:val="32"/>
    <w:qFormat/>
    <w:rsid w:val="00654F3E"/>
    <w:rPr>
      <w:b/>
      <w:bCs/>
      <w:smallCaps/>
      <w:color w:val="0F4761" w:themeColor="accent1" w:themeShade="BF"/>
      <w:spacing w:val="5"/>
    </w:rPr>
  </w:style>
  <w:style w:type="character" w:styleId="Strong">
    <w:name w:val="Strong"/>
    <w:basedOn w:val="DefaultParagraphFont"/>
    <w:uiPriority w:val="22"/>
    <w:qFormat/>
    <w:rsid w:val="00654F3E"/>
    <w:rPr>
      <w:b/>
      <w:bCs/>
    </w:rPr>
  </w:style>
  <w:style w:type="table" w:styleId="TableGrid">
    <w:name w:val="Table Grid"/>
    <w:basedOn w:val="TableNormal"/>
    <w:uiPriority w:val="39"/>
    <w:rsid w:val="00654F3E"/>
    <w:pPr>
      <w:spacing w:after="0" w:line="240" w:lineRule="auto"/>
    </w:pPr>
    <w:rPr>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54F3E"/>
    <w:rPr>
      <w:sz w:val="20"/>
      <w:szCs w:val="20"/>
    </w:rPr>
  </w:style>
  <w:style w:type="character" w:customStyle="1" w:styleId="FootnoteTextChar">
    <w:name w:val="Footnote Text Char"/>
    <w:basedOn w:val="DefaultParagraphFont"/>
    <w:link w:val="FootnoteText"/>
    <w:uiPriority w:val="99"/>
    <w:semiHidden/>
    <w:rsid w:val="00654F3E"/>
    <w:rPr>
      <w:sz w:val="20"/>
      <w:szCs w:val="20"/>
      <w:lang w:val="en-US"/>
      <w14:ligatures w14:val="none"/>
    </w:rPr>
  </w:style>
  <w:style w:type="character" w:styleId="FootnoteReference">
    <w:name w:val="footnote reference"/>
    <w:basedOn w:val="DefaultParagraphFont"/>
    <w:uiPriority w:val="99"/>
    <w:semiHidden/>
    <w:unhideWhenUsed/>
    <w:rsid w:val="00654F3E"/>
    <w:rPr>
      <w:vertAlign w:val="superscript"/>
    </w:rPr>
  </w:style>
  <w:style w:type="paragraph" w:styleId="Footer">
    <w:name w:val="footer"/>
    <w:basedOn w:val="Normal"/>
    <w:link w:val="FooterChar"/>
    <w:uiPriority w:val="99"/>
    <w:unhideWhenUsed/>
    <w:rsid w:val="00654F3E"/>
    <w:pPr>
      <w:tabs>
        <w:tab w:val="center" w:pos="4513"/>
        <w:tab w:val="right" w:pos="9026"/>
      </w:tabs>
    </w:pPr>
  </w:style>
  <w:style w:type="character" w:customStyle="1" w:styleId="FooterChar">
    <w:name w:val="Footer Char"/>
    <w:basedOn w:val="DefaultParagraphFont"/>
    <w:link w:val="Footer"/>
    <w:uiPriority w:val="99"/>
    <w:rsid w:val="00654F3E"/>
    <w:rPr>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5063</Words>
  <Characters>28860</Characters>
  <Application>Microsoft Office Word</Application>
  <DocSecurity>0</DocSecurity>
  <Lines>240</Lines>
  <Paragraphs>67</Paragraphs>
  <ScaleCrop>false</ScaleCrop>
  <Company/>
  <LinksUpToDate>false</LinksUpToDate>
  <CharactersWithSpaces>33856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Krešimir Ivančić</dc:creator>
  <cp:keywords/>
  <dc:description/>
  <cp:lastModifiedBy>Krešimir Ivančić</cp:lastModifiedBy>
  <cp:revision>1</cp:revision>
  <dcterms:created xsi:type="dcterms:W3CDTF">2026-04-29T03:49:00Z</dcterms:created>
  <dcterms:modified xsi:type="dcterms:W3CDTF">2026-04-29T03:54:00Z</dcterms:modified>
</cp:coreProperties>
</file>