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914A4" w14:textId="61E8872F" w:rsidR="00095509" w:rsidRPr="00F33088" w:rsidRDefault="00095509" w:rsidP="00095509">
      <w:pPr>
        <w:pStyle w:val="Naslov"/>
        <w:jc w:val="center"/>
        <w:rPr>
          <w:lang w:val="sr-Latn-ME"/>
        </w:rPr>
      </w:pPr>
      <w:r w:rsidRPr="00F33088">
        <w:rPr>
          <w:noProof/>
          <w:lang w:val="sr-Latn-ME"/>
        </w:rPr>
        <w:drawing>
          <wp:inline distT="0" distB="0" distL="0" distR="0" wp14:anchorId="30970AE4" wp14:editId="2D898720">
            <wp:extent cx="4177324" cy="2088662"/>
            <wp:effectExtent l="0" t="0" r="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B462C3E9-0F16-3A9C-C01E-9CF55F5E68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B462C3E9-0F16-3A9C-C01E-9CF55F5E68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324" cy="208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3088">
        <w:rPr>
          <w:noProof/>
          <w:lang w:val="sr-Latn-ME"/>
        </w:rPr>
        <w:drawing>
          <wp:inline distT="0" distB="0" distL="0" distR="0" wp14:anchorId="1430543E" wp14:editId="23F7D59A">
            <wp:extent cx="5040000" cy="5040000"/>
            <wp:effectExtent l="0" t="0" r="8255" b="8255"/>
            <wp:docPr id="20613789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20989" w14:textId="77777777" w:rsidR="00095509" w:rsidRPr="00F33088" w:rsidRDefault="00095509">
      <w:pPr>
        <w:spacing w:after="160" w:line="278" w:lineRule="auto"/>
        <w:jc w:val="left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  <w:lang w:val="sr-Latn-ME"/>
        </w:rPr>
      </w:pPr>
      <w:r w:rsidRPr="00F33088">
        <w:rPr>
          <w:lang w:val="sr-Latn-ME"/>
        </w:rPr>
        <w:br w:type="page"/>
      </w:r>
    </w:p>
    <w:p w14:paraId="3E1914A5" w14:textId="77777777" w:rsidR="00976EA2" w:rsidRPr="00F33088" w:rsidRDefault="00976EA2" w:rsidP="00976EA2">
      <w:pPr>
        <w:pStyle w:val="Naslov1"/>
        <w:rPr>
          <w:lang w:val="sr-Latn-ME"/>
        </w:rPr>
      </w:pPr>
      <w:r w:rsidRPr="00F33088">
        <w:rPr>
          <w:lang w:val="sr-Latn-ME"/>
        </w:rPr>
        <w:lastRenderedPageBreak/>
        <w:t>Uvod i važnost</w:t>
      </w:r>
    </w:p>
    <w:p w14:paraId="3E1914A6" w14:textId="77777777" w:rsidR="00976EA2" w:rsidRPr="00F33088" w:rsidRDefault="00976EA2" w:rsidP="00F8621C">
      <w:pPr>
        <w:rPr>
          <w:lang w:val="sr-Latn-ME"/>
        </w:rPr>
      </w:pPr>
      <w:r w:rsidRPr="00F33088">
        <w:rPr>
          <w:lang w:val="sr-Latn-ME"/>
        </w:rPr>
        <w:t>Situaciona analiza predstavlja analitičku osnovu za pripremu Strateškog planskog dokumenta Crne Gore za potrebe korišćenja fondova Evropske unije u okviru budućeg Nacionalnog i regionalnog partnerskog plana. Njena svrha je da, na sistematičan i na dokazima zasnovan način, identifikuje glavne razvojne izazove, potrebe, ciljne grupe, razvojne nejednakosti i investiciona uska grla u okviru predmetne oblasti politike, uzimajući u obzir ekonomske, socijalne, teritorijalne i, gdje je relevantno, ekološke dimenzije razvoja.</w:t>
      </w:r>
    </w:p>
    <w:p w14:paraId="3E1914A7" w14:textId="77777777" w:rsidR="00976EA2" w:rsidRPr="00F33088" w:rsidRDefault="00976EA2" w:rsidP="00976EA2">
      <w:pPr>
        <w:rPr>
          <w:rFonts w:ascii="Aptos" w:eastAsia="Aptos" w:hAnsi="Aptos" w:cs="Aptos"/>
          <w:color w:val="000000" w:themeColor="text1"/>
          <w:lang w:val="sr-Latn-ME"/>
        </w:rPr>
      </w:pPr>
      <w:r w:rsidRPr="00F33088">
        <w:rPr>
          <w:rFonts w:ascii="Aptos" w:eastAsia="Aptos" w:hAnsi="Aptos" w:cs="Aptos"/>
          <w:color w:val="000000" w:themeColor="text1"/>
          <w:lang w:val="sr-Latn-ME"/>
        </w:rPr>
        <w:t>Značaj situacione analize dodatno proizlazi iz činjenice da je Strateški planski dokument prepoznat od strane Evropske komisije kao jedan od ključnih elemenata za ispunjenje mjerila za zatvaranje Poglavlja 22 – Regionalna politika i koordinacija strukturnih instrumenata, konkretno mjerila 2. Evropska komisija očekuje dostavljanje sveobuhvatnog, sažetog i kvalitetnog nacrta strateškog planskog dokumenta, koji u kontekstu finansijske perspektive 2021–2027 odgovara logici „</w:t>
      </w:r>
      <w:proofErr w:type="spellStart"/>
      <w:r w:rsidRPr="00F33088">
        <w:rPr>
          <w:rFonts w:ascii="Aptos" w:eastAsia="Aptos" w:hAnsi="Aptos" w:cs="Aptos"/>
          <w:color w:val="000000" w:themeColor="text1"/>
          <w:lang w:val="sr-Latn-ME"/>
        </w:rPr>
        <w:t>Partnership</w:t>
      </w:r>
      <w:proofErr w:type="spellEnd"/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 </w:t>
      </w:r>
      <w:proofErr w:type="spellStart"/>
      <w:r w:rsidRPr="00F33088">
        <w:rPr>
          <w:rFonts w:ascii="Aptos" w:eastAsia="Aptos" w:hAnsi="Aptos" w:cs="Aptos"/>
          <w:color w:val="000000" w:themeColor="text1"/>
          <w:lang w:val="sr-Latn-ME"/>
        </w:rPr>
        <w:t>Agreement</w:t>
      </w:r>
      <w:proofErr w:type="spellEnd"/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“, a koji treba da obuhvati stratešku analizu, uključujući izazove, potrebe i ciljne grupe, odabrane prioritete i ciljeve, glavne očekivane rezultate, planirane tematske cjeline i izvore finansiranja, mehanizme za </w:t>
      </w:r>
      <w:proofErr w:type="spellStart"/>
      <w:r w:rsidRPr="00F33088">
        <w:rPr>
          <w:rFonts w:ascii="Aptos" w:eastAsia="Aptos" w:hAnsi="Aptos" w:cs="Aptos"/>
          <w:color w:val="000000" w:themeColor="text1"/>
          <w:lang w:val="sr-Latn-ME"/>
        </w:rPr>
        <w:t>obezbjeđivanje</w:t>
      </w:r>
      <w:proofErr w:type="spellEnd"/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 usklađenosti sa relevantnim prioritetima i strategijama Evropske unije, kao i okvir upravljanja u skladu sa Evropskim kodeksom ponašanja o partnerstvu.</w:t>
      </w:r>
    </w:p>
    <w:p w14:paraId="3E1914A8" w14:textId="77777777" w:rsidR="00976EA2" w:rsidRPr="00F33088" w:rsidRDefault="00976EA2" w:rsidP="00976EA2">
      <w:pPr>
        <w:rPr>
          <w:rFonts w:ascii="Aptos" w:eastAsia="Aptos" w:hAnsi="Aptos" w:cs="Aptos"/>
          <w:color w:val="000000" w:themeColor="text1"/>
          <w:lang w:val="sr-Latn-ME"/>
        </w:rPr>
      </w:pPr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U tom smislu, situaciona analiza ne služi samo kao opis postojećeg stanja, već kao polazna tačka za definisanje prioritetnih pravaca djelovanja, očekivanih rezultata i budućih reformskih i investicionih intervencija. U skladu sa metodološkim pristupom za izradu Strateškog planskog dokumenta, razvojni izazovi se posmatraju kao problemi koji zahtijevaju </w:t>
      </w:r>
      <w:proofErr w:type="spellStart"/>
      <w:r w:rsidRPr="00F33088">
        <w:rPr>
          <w:rFonts w:ascii="Aptos" w:eastAsia="Aptos" w:hAnsi="Aptos" w:cs="Aptos"/>
          <w:color w:val="000000" w:themeColor="text1"/>
          <w:lang w:val="sr-Latn-ME"/>
        </w:rPr>
        <w:t>javnopolitički</w:t>
      </w:r>
      <w:proofErr w:type="spellEnd"/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 odgovor, a ne kao unaprijed definisane mjere ili rješenja. Zbog toga analiza mora da poveže raspoložive statističke i administrativne podatke, nalaze nacionalnih strateških dokumenata, relevantne međunarodne i EU izvore, kao i uvide ključnih institucija i partnera.</w:t>
      </w:r>
    </w:p>
    <w:p w14:paraId="3E1914A9" w14:textId="77777777" w:rsidR="00976EA2" w:rsidRPr="00F33088" w:rsidRDefault="00976EA2" w:rsidP="00976EA2">
      <w:pPr>
        <w:rPr>
          <w:rFonts w:ascii="Aptos" w:eastAsia="Aptos" w:hAnsi="Aptos" w:cs="Aptos"/>
          <w:color w:val="000000" w:themeColor="text1"/>
          <w:lang w:val="sr-Latn-ME"/>
        </w:rPr>
      </w:pPr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Situaciona analiza istovremeno ima i važnu funkciju u </w:t>
      </w:r>
      <w:proofErr w:type="spellStart"/>
      <w:r w:rsidRPr="00F33088">
        <w:rPr>
          <w:rFonts w:ascii="Aptos" w:eastAsia="Aptos" w:hAnsi="Aptos" w:cs="Aptos"/>
          <w:color w:val="000000" w:themeColor="text1"/>
          <w:lang w:val="sr-Latn-ME"/>
        </w:rPr>
        <w:t>obezbjeđivanju</w:t>
      </w:r>
      <w:proofErr w:type="spellEnd"/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 usklađenosti budućeg strateškog dokumenta sa prioritetima Evropske unije, pravnom tekovinom EU i programskim okvirom za period nakon 2027. godine. Kroz </w:t>
      </w:r>
      <w:proofErr w:type="spellStart"/>
      <w:r w:rsidRPr="00F33088">
        <w:rPr>
          <w:rFonts w:ascii="Aptos" w:eastAsia="Aptos" w:hAnsi="Aptos" w:cs="Aptos"/>
          <w:color w:val="000000" w:themeColor="text1"/>
          <w:lang w:val="sr-Latn-ME"/>
        </w:rPr>
        <w:t>pregled</w:t>
      </w:r>
      <w:proofErr w:type="spellEnd"/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 međunarodnog i nacionalnog strateškog i pravnog okvira, planiranih reformi i ključnih pokazatelja, analiza omogućava da se predmetna oblast politike sagleda u širem razvojnom i pristupnom kontekstu, uključujući doprinos pametnom, održivom i </w:t>
      </w:r>
      <w:proofErr w:type="spellStart"/>
      <w:r w:rsidRPr="00F33088">
        <w:rPr>
          <w:rFonts w:ascii="Aptos" w:eastAsia="Aptos" w:hAnsi="Aptos" w:cs="Aptos"/>
          <w:color w:val="000000" w:themeColor="text1"/>
          <w:lang w:val="sr-Latn-ME"/>
        </w:rPr>
        <w:t>inkluzivnom</w:t>
      </w:r>
      <w:proofErr w:type="spellEnd"/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 rastu, ekonomskoj, socijalnoj i teritorijalnoj koheziji, kao i smanjenju razvojnih dispariteta.</w:t>
      </w:r>
    </w:p>
    <w:p w14:paraId="3E1914AA" w14:textId="77777777" w:rsidR="00976EA2" w:rsidRPr="00F33088" w:rsidRDefault="00976EA2" w:rsidP="00976EA2">
      <w:pPr>
        <w:rPr>
          <w:rFonts w:ascii="Aptos" w:eastAsia="Aptos" w:hAnsi="Aptos" w:cs="Aptos"/>
          <w:color w:val="000000" w:themeColor="text1"/>
          <w:lang w:val="sr-Latn-ME"/>
        </w:rPr>
      </w:pPr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Pored toga, situaciona analiza je važan alat za strukturiranje dijaloga unutar radnih grupa i sa širim krugom partnera. Njome se obezbjeđuje zajednička analitička osnova za SWOT razmatranje, </w:t>
      </w:r>
      <w:proofErr w:type="spellStart"/>
      <w:r w:rsidRPr="00F33088">
        <w:rPr>
          <w:rFonts w:ascii="Aptos" w:eastAsia="Aptos" w:hAnsi="Aptos" w:cs="Aptos"/>
          <w:color w:val="000000" w:themeColor="text1"/>
          <w:lang w:val="sr-Latn-ME"/>
        </w:rPr>
        <w:t>validaciju</w:t>
      </w:r>
      <w:proofErr w:type="spellEnd"/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 nalaza i identifikaciju dugog spiska razvojnih izazova, koji će u narednim koracima biti </w:t>
      </w:r>
      <w:proofErr w:type="spellStart"/>
      <w:r w:rsidRPr="00F33088">
        <w:rPr>
          <w:rFonts w:ascii="Aptos" w:eastAsia="Aptos" w:hAnsi="Aptos" w:cs="Aptos"/>
          <w:color w:val="000000" w:themeColor="text1"/>
          <w:lang w:val="sr-Latn-ME"/>
        </w:rPr>
        <w:t>prioritizovani</w:t>
      </w:r>
      <w:proofErr w:type="spellEnd"/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. Na taj način, situaciona analiza doprinosi transparentnom, </w:t>
      </w:r>
      <w:proofErr w:type="spellStart"/>
      <w:r w:rsidRPr="00F33088">
        <w:rPr>
          <w:rFonts w:ascii="Aptos" w:eastAsia="Aptos" w:hAnsi="Aptos" w:cs="Aptos"/>
          <w:color w:val="000000" w:themeColor="text1"/>
          <w:lang w:val="sr-Latn-ME"/>
        </w:rPr>
        <w:t>participativnom</w:t>
      </w:r>
      <w:proofErr w:type="spellEnd"/>
      <w:r w:rsidRPr="00F33088">
        <w:rPr>
          <w:rFonts w:ascii="Aptos" w:eastAsia="Aptos" w:hAnsi="Aptos" w:cs="Aptos"/>
          <w:color w:val="000000" w:themeColor="text1"/>
          <w:lang w:val="sr-Latn-ME"/>
        </w:rPr>
        <w:t xml:space="preserve"> i metodološki utemeljenom procesu planiranja, u skladu sa principom partnerstva i upravljanja</w:t>
      </w:r>
      <w:r w:rsidR="0096123D" w:rsidRPr="00F33088">
        <w:rPr>
          <w:rFonts w:ascii="Aptos" w:eastAsia="Aptos" w:hAnsi="Aptos" w:cs="Aptos"/>
          <w:color w:val="000000" w:themeColor="text1"/>
          <w:lang w:val="sr-Latn-ME"/>
        </w:rPr>
        <w:t xml:space="preserve"> na više nivoa</w:t>
      </w:r>
      <w:r w:rsidRPr="00F33088">
        <w:rPr>
          <w:rFonts w:ascii="Aptos" w:eastAsia="Aptos" w:hAnsi="Aptos" w:cs="Aptos"/>
          <w:color w:val="000000" w:themeColor="text1"/>
          <w:lang w:val="sr-Latn-ME"/>
        </w:rPr>
        <w:t>.</w:t>
      </w:r>
    </w:p>
    <w:p w14:paraId="3E1914AB" w14:textId="7D00F305" w:rsidR="00976EA2" w:rsidRPr="00F33088" w:rsidRDefault="00976EA2" w:rsidP="00976EA2">
      <w:pPr>
        <w:pStyle w:val="Naslov1"/>
        <w:rPr>
          <w:lang w:val="sr-Latn-ME"/>
        </w:rPr>
      </w:pPr>
      <w:r w:rsidRPr="00F33088">
        <w:rPr>
          <w:lang w:val="sr-Latn-ME"/>
        </w:rPr>
        <w:t>Opis prioritetnih oblasti</w:t>
      </w:r>
    </w:p>
    <w:p w14:paraId="3E1914AC" w14:textId="77777777" w:rsidR="00976EA2" w:rsidRPr="00F33088" w:rsidRDefault="00976EA2" w:rsidP="00976EA2">
      <w:pPr>
        <w:rPr>
          <w:lang w:val="sr-Latn-ME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1412"/>
        <w:gridCol w:w="2119"/>
        <w:gridCol w:w="1148"/>
        <w:gridCol w:w="4671"/>
      </w:tblGrid>
      <w:tr w:rsidR="00976EA2" w:rsidRPr="00F33088" w14:paraId="3E1914B5" w14:textId="77777777" w:rsidTr="008D132A">
        <w:trPr>
          <w:trHeight w:val="20"/>
        </w:trPr>
        <w:tc>
          <w:tcPr>
            <w:tcW w:w="755" w:type="pct"/>
            <w:shd w:val="clear" w:color="auto" w:fill="83CAEB" w:themeFill="accent1" w:themeFillTint="66"/>
            <w:vAlign w:val="center"/>
          </w:tcPr>
          <w:p w14:paraId="3E1914AF" w14:textId="718F1FD3" w:rsidR="00976EA2" w:rsidRPr="00F33088" w:rsidRDefault="00976EA2" w:rsidP="00F8621C">
            <w:pPr>
              <w:spacing w:line="216" w:lineRule="auto"/>
              <w:rPr>
                <w:b/>
                <w:sz w:val="16"/>
                <w:szCs w:val="16"/>
                <w:lang w:val="sr-Latn-ME"/>
              </w:rPr>
            </w:pPr>
            <w:r w:rsidRPr="00F33088">
              <w:rPr>
                <w:b/>
                <w:sz w:val="16"/>
                <w:szCs w:val="16"/>
                <w:lang w:val="sr-Latn-ME"/>
              </w:rPr>
              <w:t>Kod</w:t>
            </w:r>
            <w:r w:rsidR="00F8621C" w:rsidRPr="00F33088">
              <w:rPr>
                <w:b/>
                <w:sz w:val="16"/>
                <w:szCs w:val="16"/>
                <w:lang w:val="sr-Latn-ME"/>
              </w:rPr>
              <w:t xml:space="preserve"> </w:t>
            </w:r>
            <w:r w:rsidRPr="00F33088">
              <w:rPr>
                <w:b/>
                <w:sz w:val="16"/>
                <w:szCs w:val="16"/>
                <w:lang w:val="sr-Latn-ME"/>
              </w:rPr>
              <w:t>Prioritetn</w:t>
            </w:r>
            <w:r w:rsidR="00F8621C" w:rsidRPr="00F33088">
              <w:rPr>
                <w:b/>
                <w:sz w:val="16"/>
                <w:szCs w:val="16"/>
                <w:lang w:val="sr-Latn-ME"/>
              </w:rPr>
              <w:t>e</w:t>
            </w:r>
            <w:r w:rsidRPr="00F33088">
              <w:rPr>
                <w:b/>
                <w:sz w:val="16"/>
                <w:szCs w:val="16"/>
                <w:lang w:val="sr-Latn-ME"/>
              </w:rPr>
              <w:t xml:space="preserve"> oblast </w:t>
            </w:r>
            <w:r w:rsidR="00F8621C" w:rsidRPr="00F33088">
              <w:rPr>
                <w:b/>
                <w:sz w:val="16"/>
                <w:szCs w:val="16"/>
                <w:lang w:val="sr-Latn-ME"/>
              </w:rPr>
              <w:t xml:space="preserve">nivo 1 </w:t>
            </w:r>
            <w:r w:rsidRPr="00F33088">
              <w:rPr>
                <w:b/>
                <w:sz w:val="16"/>
                <w:szCs w:val="16"/>
                <w:lang w:val="sr-Latn-ME"/>
              </w:rPr>
              <w:t>(PO)</w:t>
            </w:r>
          </w:p>
        </w:tc>
        <w:tc>
          <w:tcPr>
            <w:tcW w:w="1133" w:type="pct"/>
            <w:shd w:val="clear" w:color="auto" w:fill="83CAEB" w:themeFill="accent1" w:themeFillTint="66"/>
            <w:vAlign w:val="center"/>
          </w:tcPr>
          <w:p w14:paraId="3E1914B0" w14:textId="73953B93" w:rsidR="00976EA2" w:rsidRPr="00F33088" w:rsidRDefault="00976EA2" w:rsidP="008D132A">
            <w:pPr>
              <w:spacing w:line="216" w:lineRule="auto"/>
              <w:rPr>
                <w:b/>
                <w:sz w:val="16"/>
                <w:szCs w:val="16"/>
                <w:lang w:val="sr-Latn-ME"/>
              </w:rPr>
            </w:pPr>
            <w:r w:rsidRPr="00F33088">
              <w:rPr>
                <w:b/>
                <w:sz w:val="16"/>
                <w:szCs w:val="16"/>
                <w:lang w:val="sr-Latn-ME"/>
              </w:rPr>
              <w:t>Naziv</w:t>
            </w:r>
            <w:r w:rsidR="00F8621C" w:rsidRPr="00F33088">
              <w:rPr>
                <w:b/>
                <w:sz w:val="16"/>
                <w:szCs w:val="16"/>
                <w:lang w:val="sr-Latn-ME"/>
              </w:rPr>
              <w:t xml:space="preserve"> Prioritetne oblasti nivo 1</w:t>
            </w:r>
          </w:p>
          <w:p w14:paraId="3E1914B1" w14:textId="77777777" w:rsidR="00976EA2" w:rsidRPr="00F33088" w:rsidRDefault="00976EA2" w:rsidP="008D132A">
            <w:pPr>
              <w:spacing w:line="216" w:lineRule="auto"/>
              <w:rPr>
                <w:b/>
                <w:sz w:val="16"/>
                <w:szCs w:val="16"/>
                <w:lang w:val="sr-Latn-ME"/>
              </w:rPr>
            </w:pPr>
          </w:p>
        </w:tc>
        <w:tc>
          <w:tcPr>
            <w:tcW w:w="614" w:type="pct"/>
            <w:shd w:val="clear" w:color="auto" w:fill="83CAEB" w:themeFill="accent1" w:themeFillTint="66"/>
            <w:vAlign w:val="center"/>
          </w:tcPr>
          <w:p w14:paraId="3E1914B3" w14:textId="1A7137C4" w:rsidR="00976EA2" w:rsidRPr="00F33088" w:rsidRDefault="00976EA2" w:rsidP="00F8621C">
            <w:pPr>
              <w:spacing w:line="216" w:lineRule="auto"/>
              <w:rPr>
                <w:b/>
                <w:sz w:val="16"/>
                <w:szCs w:val="16"/>
                <w:lang w:val="sr-Latn-ME"/>
              </w:rPr>
            </w:pPr>
            <w:r w:rsidRPr="00F33088">
              <w:rPr>
                <w:b/>
                <w:sz w:val="16"/>
                <w:szCs w:val="16"/>
                <w:lang w:val="sr-Latn-ME"/>
              </w:rPr>
              <w:t>Kod</w:t>
            </w:r>
            <w:r w:rsidR="00F8621C" w:rsidRPr="00F33088">
              <w:rPr>
                <w:b/>
                <w:sz w:val="16"/>
                <w:szCs w:val="16"/>
                <w:lang w:val="sr-Latn-ME"/>
              </w:rPr>
              <w:t xml:space="preserve"> </w:t>
            </w:r>
            <w:r w:rsidRPr="00F33088">
              <w:rPr>
                <w:b/>
                <w:sz w:val="16"/>
                <w:szCs w:val="16"/>
                <w:lang w:val="sr-Latn-ME"/>
              </w:rPr>
              <w:t xml:space="preserve">PO Nivo 2 </w:t>
            </w:r>
          </w:p>
        </w:tc>
        <w:tc>
          <w:tcPr>
            <w:tcW w:w="2499" w:type="pct"/>
            <w:shd w:val="clear" w:color="auto" w:fill="83CAEB" w:themeFill="accent1" w:themeFillTint="66"/>
            <w:vAlign w:val="center"/>
          </w:tcPr>
          <w:p w14:paraId="3E1914B4" w14:textId="459FA825" w:rsidR="00F8621C" w:rsidRPr="00F33088" w:rsidRDefault="00976EA2" w:rsidP="008D132A">
            <w:pPr>
              <w:spacing w:line="216" w:lineRule="auto"/>
              <w:rPr>
                <w:b/>
                <w:sz w:val="16"/>
                <w:szCs w:val="16"/>
                <w:lang w:val="sr-Latn-ME"/>
              </w:rPr>
            </w:pPr>
            <w:r w:rsidRPr="00F33088">
              <w:rPr>
                <w:b/>
                <w:sz w:val="16"/>
                <w:szCs w:val="16"/>
                <w:lang w:val="sr-Latn-ME"/>
              </w:rPr>
              <w:t>Naziv</w:t>
            </w:r>
            <w:r w:rsidR="00F8621C" w:rsidRPr="00F33088">
              <w:rPr>
                <w:b/>
                <w:sz w:val="16"/>
                <w:szCs w:val="16"/>
                <w:lang w:val="sr-Latn-ME"/>
              </w:rPr>
              <w:t xml:space="preserve"> Prioritetne oblasti nivo 2</w:t>
            </w:r>
          </w:p>
        </w:tc>
      </w:tr>
      <w:tr w:rsidR="00976EA2" w:rsidRPr="00F33088" w14:paraId="3E1914BA" w14:textId="77777777" w:rsidTr="008D132A">
        <w:trPr>
          <w:trHeight w:val="20"/>
        </w:trPr>
        <w:tc>
          <w:tcPr>
            <w:tcW w:w="755" w:type="pct"/>
            <w:vMerge w:val="restart"/>
            <w:vAlign w:val="center"/>
          </w:tcPr>
          <w:p w14:paraId="3E1914B6" w14:textId="77777777" w:rsidR="00976EA2" w:rsidRPr="00F33088" w:rsidRDefault="00976EA2" w:rsidP="008D132A">
            <w:pPr>
              <w:spacing w:line="216" w:lineRule="auto"/>
              <w:jc w:val="center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2</w:t>
            </w:r>
          </w:p>
        </w:tc>
        <w:tc>
          <w:tcPr>
            <w:tcW w:w="1133" w:type="pct"/>
            <w:vMerge w:val="restart"/>
            <w:vAlign w:val="center"/>
          </w:tcPr>
          <w:p w14:paraId="3E1914B7" w14:textId="77777777" w:rsidR="00976EA2" w:rsidRPr="00F33088" w:rsidRDefault="00976EA2" w:rsidP="008D132A">
            <w:pPr>
              <w:spacing w:line="216" w:lineRule="auto"/>
              <w:jc w:val="left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Životna sredina i klimatske promjene</w:t>
            </w:r>
          </w:p>
        </w:tc>
        <w:tc>
          <w:tcPr>
            <w:tcW w:w="614" w:type="pct"/>
          </w:tcPr>
          <w:p w14:paraId="3E1914B8" w14:textId="77777777" w:rsidR="00976EA2" w:rsidRPr="00F33088" w:rsidRDefault="00976EA2" w:rsidP="008D132A">
            <w:pPr>
              <w:spacing w:line="216" w:lineRule="auto"/>
              <w:jc w:val="center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2.02</w:t>
            </w:r>
          </w:p>
        </w:tc>
        <w:tc>
          <w:tcPr>
            <w:tcW w:w="2499" w:type="pct"/>
          </w:tcPr>
          <w:p w14:paraId="3E1914B9" w14:textId="77777777" w:rsidR="00976EA2" w:rsidRPr="00F33088" w:rsidRDefault="00976EA2" w:rsidP="008D132A">
            <w:pPr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Poljoprivreda i šumarstvo</w:t>
            </w:r>
          </w:p>
        </w:tc>
      </w:tr>
      <w:tr w:rsidR="00976EA2" w:rsidRPr="00F33088" w14:paraId="3E1914BF" w14:textId="77777777" w:rsidTr="008D132A">
        <w:trPr>
          <w:trHeight w:val="20"/>
        </w:trPr>
        <w:tc>
          <w:tcPr>
            <w:tcW w:w="755" w:type="pct"/>
            <w:vMerge/>
          </w:tcPr>
          <w:p w14:paraId="3E1914BB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133" w:type="pct"/>
            <w:vMerge/>
          </w:tcPr>
          <w:p w14:paraId="3E1914BC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614" w:type="pct"/>
          </w:tcPr>
          <w:p w14:paraId="3E1914BD" w14:textId="77777777" w:rsidR="00976EA2" w:rsidRPr="00F33088" w:rsidRDefault="00976EA2" w:rsidP="008D132A">
            <w:pPr>
              <w:spacing w:line="216" w:lineRule="auto"/>
              <w:jc w:val="center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2.35</w:t>
            </w:r>
          </w:p>
        </w:tc>
        <w:tc>
          <w:tcPr>
            <w:tcW w:w="2499" w:type="pct"/>
          </w:tcPr>
          <w:p w14:paraId="3E1914BE" w14:textId="77777777" w:rsidR="00976EA2" w:rsidRPr="00F33088" w:rsidRDefault="00976EA2" w:rsidP="008D132A">
            <w:pPr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Cirkularna ekonomija</w:t>
            </w:r>
          </w:p>
        </w:tc>
      </w:tr>
      <w:tr w:rsidR="00976EA2" w:rsidRPr="00F33088" w14:paraId="3E1914C4" w14:textId="77777777" w:rsidTr="008D132A">
        <w:trPr>
          <w:trHeight w:val="20"/>
        </w:trPr>
        <w:tc>
          <w:tcPr>
            <w:tcW w:w="755" w:type="pct"/>
            <w:vMerge/>
          </w:tcPr>
          <w:p w14:paraId="3E1914C0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133" w:type="pct"/>
            <w:vMerge/>
          </w:tcPr>
          <w:p w14:paraId="3E1914C1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614" w:type="pct"/>
          </w:tcPr>
          <w:p w14:paraId="3E1914C2" w14:textId="77777777" w:rsidR="00976EA2" w:rsidRPr="00F33088" w:rsidRDefault="00976EA2" w:rsidP="008D132A">
            <w:pPr>
              <w:spacing w:line="216" w:lineRule="auto"/>
              <w:jc w:val="center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2.36</w:t>
            </w:r>
          </w:p>
        </w:tc>
        <w:tc>
          <w:tcPr>
            <w:tcW w:w="2499" w:type="pct"/>
          </w:tcPr>
          <w:p w14:paraId="3E1914C3" w14:textId="77777777" w:rsidR="00976EA2" w:rsidRPr="00F33088" w:rsidRDefault="00976EA2" w:rsidP="008D132A">
            <w:pPr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Adaptacija na klimatske promjene</w:t>
            </w:r>
          </w:p>
        </w:tc>
      </w:tr>
      <w:tr w:rsidR="00976EA2" w:rsidRPr="00F33088" w14:paraId="3E1914C9" w14:textId="77777777" w:rsidTr="008D132A">
        <w:trPr>
          <w:trHeight w:val="20"/>
        </w:trPr>
        <w:tc>
          <w:tcPr>
            <w:tcW w:w="755" w:type="pct"/>
            <w:vMerge/>
          </w:tcPr>
          <w:p w14:paraId="3E1914C5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133" w:type="pct"/>
            <w:vMerge/>
          </w:tcPr>
          <w:p w14:paraId="3E1914C6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614" w:type="pct"/>
          </w:tcPr>
          <w:p w14:paraId="3E1914C7" w14:textId="77777777" w:rsidR="00976EA2" w:rsidRPr="00F33088" w:rsidRDefault="00976EA2" w:rsidP="008D132A">
            <w:pPr>
              <w:spacing w:line="216" w:lineRule="auto"/>
              <w:jc w:val="center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2.37</w:t>
            </w:r>
          </w:p>
        </w:tc>
        <w:tc>
          <w:tcPr>
            <w:tcW w:w="2499" w:type="pct"/>
          </w:tcPr>
          <w:p w14:paraId="3E1914C8" w14:textId="77777777" w:rsidR="00976EA2" w:rsidRPr="00F33088" w:rsidRDefault="00976EA2" w:rsidP="008D132A">
            <w:pPr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Digitalizacija u oblasti klime</w:t>
            </w:r>
          </w:p>
        </w:tc>
      </w:tr>
      <w:tr w:rsidR="00976EA2" w:rsidRPr="00F33088" w14:paraId="3E1914CE" w14:textId="77777777" w:rsidTr="008D132A">
        <w:trPr>
          <w:trHeight w:val="20"/>
        </w:trPr>
        <w:tc>
          <w:tcPr>
            <w:tcW w:w="755" w:type="pct"/>
            <w:vMerge/>
          </w:tcPr>
          <w:p w14:paraId="3E1914CA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133" w:type="pct"/>
            <w:vMerge/>
          </w:tcPr>
          <w:p w14:paraId="3E1914CB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614" w:type="pct"/>
          </w:tcPr>
          <w:p w14:paraId="3E1914CC" w14:textId="77777777" w:rsidR="00976EA2" w:rsidRPr="00F33088" w:rsidRDefault="00976EA2" w:rsidP="008D132A">
            <w:pPr>
              <w:spacing w:line="216" w:lineRule="auto"/>
              <w:jc w:val="center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2.38</w:t>
            </w:r>
          </w:p>
        </w:tc>
        <w:tc>
          <w:tcPr>
            <w:tcW w:w="2499" w:type="pct"/>
          </w:tcPr>
          <w:p w14:paraId="3E1914CD" w14:textId="77777777" w:rsidR="00976EA2" w:rsidRPr="00F33088" w:rsidRDefault="00976EA2" w:rsidP="008D132A">
            <w:pPr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Zaštita i obnova prirode</w:t>
            </w:r>
          </w:p>
        </w:tc>
      </w:tr>
      <w:tr w:rsidR="00976EA2" w:rsidRPr="00F33088" w14:paraId="3E1914D3" w14:textId="77777777" w:rsidTr="008D132A">
        <w:trPr>
          <w:trHeight w:val="20"/>
        </w:trPr>
        <w:tc>
          <w:tcPr>
            <w:tcW w:w="755" w:type="pct"/>
            <w:vMerge/>
          </w:tcPr>
          <w:p w14:paraId="3E1914CF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133" w:type="pct"/>
            <w:vMerge/>
          </w:tcPr>
          <w:p w14:paraId="3E1914D0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614" w:type="pct"/>
          </w:tcPr>
          <w:p w14:paraId="3E1914D1" w14:textId="77777777" w:rsidR="00976EA2" w:rsidRPr="00F33088" w:rsidRDefault="00976EA2" w:rsidP="008D132A">
            <w:pPr>
              <w:spacing w:line="216" w:lineRule="auto"/>
              <w:jc w:val="center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2.39</w:t>
            </w:r>
          </w:p>
        </w:tc>
        <w:tc>
          <w:tcPr>
            <w:tcW w:w="2499" w:type="pct"/>
          </w:tcPr>
          <w:p w14:paraId="3E1914D2" w14:textId="77777777" w:rsidR="00976EA2" w:rsidRPr="00F33088" w:rsidRDefault="00976EA2" w:rsidP="008D132A">
            <w:pPr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Šumarstvo</w:t>
            </w:r>
          </w:p>
        </w:tc>
      </w:tr>
      <w:tr w:rsidR="00976EA2" w:rsidRPr="00F33088" w14:paraId="3E1914D8" w14:textId="77777777" w:rsidTr="008D132A">
        <w:trPr>
          <w:trHeight w:val="20"/>
        </w:trPr>
        <w:tc>
          <w:tcPr>
            <w:tcW w:w="755" w:type="pct"/>
            <w:vMerge/>
          </w:tcPr>
          <w:p w14:paraId="3E1914D4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133" w:type="pct"/>
            <w:vMerge/>
          </w:tcPr>
          <w:p w14:paraId="3E1914D5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614" w:type="pct"/>
          </w:tcPr>
          <w:p w14:paraId="3E1914D6" w14:textId="77777777" w:rsidR="00976EA2" w:rsidRPr="00F33088" w:rsidRDefault="00976EA2" w:rsidP="008D132A">
            <w:pPr>
              <w:spacing w:line="216" w:lineRule="auto"/>
              <w:jc w:val="center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2.40</w:t>
            </w:r>
          </w:p>
        </w:tc>
        <w:tc>
          <w:tcPr>
            <w:tcW w:w="2499" w:type="pct"/>
          </w:tcPr>
          <w:p w14:paraId="3E1914D7" w14:textId="77777777" w:rsidR="00976EA2" w:rsidRPr="00F33088" w:rsidRDefault="00976EA2" w:rsidP="008D132A">
            <w:pPr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Zagađenje</w:t>
            </w:r>
          </w:p>
        </w:tc>
      </w:tr>
      <w:tr w:rsidR="00976EA2" w:rsidRPr="00F33088" w14:paraId="3E1914DD" w14:textId="77777777" w:rsidTr="008D132A">
        <w:trPr>
          <w:trHeight w:val="20"/>
        </w:trPr>
        <w:tc>
          <w:tcPr>
            <w:tcW w:w="755" w:type="pct"/>
            <w:vMerge/>
          </w:tcPr>
          <w:p w14:paraId="3E1914D9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133" w:type="pct"/>
            <w:vMerge/>
          </w:tcPr>
          <w:p w14:paraId="3E1914DA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614" w:type="pct"/>
          </w:tcPr>
          <w:p w14:paraId="3E1914DB" w14:textId="77777777" w:rsidR="00976EA2" w:rsidRPr="00F33088" w:rsidRDefault="00976EA2" w:rsidP="008D132A">
            <w:pPr>
              <w:spacing w:line="216" w:lineRule="auto"/>
              <w:jc w:val="center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2.05</w:t>
            </w:r>
          </w:p>
        </w:tc>
        <w:tc>
          <w:tcPr>
            <w:tcW w:w="2499" w:type="pct"/>
          </w:tcPr>
          <w:p w14:paraId="3E1914DC" w14:textId="77777777" w:rsidR="00976EA2" w:rsidRPr="00F33088" w:rsidRDefault="00976EA2" w:rsidP="008D132A">
            <w:pPr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Reforme</w:t>
            </w:r>
          </w:p>
        </w:tc>
      </w:tr>
      <w:tr w:rsidR="00976EA2" w:rsidRPr="00F33088" w14:paraId="3E1914E2" w14:textId="77777777" w:rsidTr="008D132A">
        <w:trPr>
          <w:trHeight w:val="20"/>
        </w:trPr>
        <w:tc>
          <w:tcPr>
            <w:tcW w:w="755" w:type="pct"/>
            <w:vMerge/>
          </w:tcPr>
          <w:p w14:paraId="3E1914DE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133" w:type="pct"/>
            <w:vMerge/>
          </w:tcPr>
          <w:p w14:paraId="3E1914DF" w14:textId="77777777" w:rsidR="00976EA2" w:rsidRPr="00F33088" w:rsidRDefault="00976EA2" w:rsidP="008D132A">
            <w:pPr>
              <w:spacing w:line="216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614" w:type="pct"/>
          </w:tcPr>
          <w:p w14:paraId="3E1914E0" w14:textId="77777777" w:rsidR="00976EA2" w:rsidRPr="00F33088" w:rsidRDefault="00976EA2" w:rsidP="008D132A">
            <w:pPr>
              <w:spacing w:line="216" w:lineRule="auto"/>
              <w:jc w:val="center"/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2.41</w:t>
            </w:r>
          </w:p>
        </w:tc>
        <w:tc>
          <w:tcPr>
            <w:tcW w:w="2499" w:type="pct"/>
          </w:tcPr>
          <w:p w14:paraId="3E1914E1" w14:textId="77777777" w:rsidR="00976EA2" w:rsidRPr="00F33088" w:rsidRDefault="00976EA2" w:rsidP="008D132A">
            <w:pPr>
              <w:rPr>
                <w:sz w:val="16"/>
                <w:szCs w:val="16"/>
                <w:lang w:val="sr-Latn-ME"/>
              </w:rPr>
            </w:pPr>
            <w:r w:rsidRPr="00F33088">
              <w:rPr>
                <w:sz w:val="16"/>
                <w:szCs w:val="16"/>
                <w:lang w:val="sr-Latn-ME"/>
              </w:rPr>
              <w:t>Vode</w:t>
            </w:r>
          </w:p>
        </w:tc>
      </w:tr>
    </w:tbl>
    <w:p w14:paraId="3E1914E3" w14:textId="77777777" w:rsidR="00976EA2" w:rsidRPr="00F33088" w:rsidRDefault="00976EA2" w:rsidP="00976EA2">
      <w:pPr>
        <w:pStyle w:val="Naslov1"/>
        <w:rPr>
          <w:rFonts w:eastAsia="Times New Roman"/>
          <w:lang w:val="sr-Latn-ME"/>
        </w:rPr>
      </w:pPr>
      <w:r w:rsidRPr="00F33088">
        <w:rPr>
          <w:rFonts w:eastAsia="Times New Roman"/>
          <w:lang w:val="sr-Latn-ME"/>
        </w:rPr>
        <w:t>Situaciona analiza</w:t>
      </w:r>
    </w:p>
    <w:p w14:paraId="3E1914E4" w14:textId="77777777" w:rsidR="00976EA2" w:rsidRPr="00F33088" w:rsidRDefault="00976EA2" w:rsidP="00976EA2">
      <w:pPr>
        <w:pStyle w:val="Naslov2"/>
        <w:rPr>
          <w:rFonts w:eastAsia="Times New Roman"/>
          <w:lang w:val="sr-Latn-ME"/>
        </w:rPr>
      </w:pPr>
      <w:r w:rsidRPr="00F33088">
        <w:rPr>
          <w:rFonts w:eastAsia="Times New Roman"/>
          <w:lang w:val="sr-Latn-ME"/>
        </w:rPr>
        <w:t xml:space="preserve">Životna sredina i klimatske promjene </w:t>
      </w:r>
    </w:p>
    <w:p w14:paraId="3E1914E5" w14:textId="77777777" w:rsidR="00976EA2" w:rsidRPr="00F33088" w:rsidRDefault="00976EA2" w:rsidP="00F8621C">
      <w:pPr>
        <w:rPr>
          <w:lang w:val="sr-Latn-ME"/>
        </w:rPr>
      </w:pPr>
      <w:r w:rsidRPr="00F33088">
        <w:rPr>
          <w:lang w:val="sr-Latn-ME"/>
        </w:rPr>
        <w:t xml:space="preserve">Oblast životne sredine i klimatskih promjena predstavlja najkompleksniju i investiciono </w:t>
      </w:r>
      <w:proofErr w:type="spellStart"/>
      <w:r w:rsidRPr="00F33088">
        <w:rPr>
          <w:lang w:val="sr-Latn-ME"/>
        </w:rPr>
        <w:t>najzahtjevniju</w:t>
      </w:r>
      <w:proofErr w:type="spellEnd"/>
      <w:r w:rsidRPr="00F33088">
        <w:rPr>
          <w:lang w:val="sr-Latn-ME"/>
        </w:rPr>
        <w:t xml:space="preserve"> politiku u procesu pristupanja Crne Gore Evropskoj uniji. Obuhvata kvalitet vazduha, upravljanje vodama, otpad i cirkularnu ekonomiju, zaštitu prirode, ublažavanje klimatskih promjena i adaptaciju, kao i horizontalno zakonodavstvo koje uređuje upravljanje u oblasti životne sredine. U okviru Poglavlja 27 pregovora o pristupanju, jedinog poglavlja sa osam završnih mjerila, Crna Gora je dostigla samo „određeni nivo pripremljenosti“, što je tek jedan nivo iznad najniže ocjene. Ovo ukazuje na trajne nedostatke u </w:t>
      </w:r>
      <w:proofErr w:type="spellStart"/>
      <w:r w:rsidRPr="00F33088">
        <w:rPr>
          <w:lang w:val="sr-Latn-ME"/>
        </w:rPr>
        <w:t>implementacionim</w:t>
      </w:r>
      <w:proofErr w:type="spellEnd"/>
      <w:r w:rsidRPr="00F33088">
        <w:rPr>
          <w:lang w:val="sr-Latn-ME"/>
        </w:rPr>
        <w:t xml:space="preserve"> kapacitetima, infrastrukturi i sprovođenju propisa, uprkos napretku u usklađivanju zakonodavstva. Istovremeno, ovo je oblast u kojoj su razvojni izazovi Crne Gore najizraženije udaljeni od prosjeka EU, naročito u pogledu reciklaže komunalnog otpada (ispod 5% u odnosu na oko 50% u EU</w:t>
      </w:r>
      <w:r w:rsidRPr="00F33088">
        <w:rPr>
          <w:rStyle w:val="Referencafusnote"/>
          <w:lang w:val="sr-Latn-ME"/>
        </w:rPr>
        <w:footnoteReference w:id="1"/>
      </w:r>
      <w:r w:rsidRPr="00F33088">
        <w:rPr>
          <w:lang w:val="sr-Latn-ME"/>
        </w:rPr>
        <w:t>), pokrivenosti tretmanom otpadnih voda i kvaliteta vazduha.</w:t>
      </w:r>
    </w:p>
    <w:p w14:paraId="3E1914E6" w14:textId="77777777" w:rsidR="00976EA2" w:rsidRPr="00F33088" w:rsidRDefault="00976EA2" w:rsidP="00F8621C">
      <w:pPr>
        <w:rPr>
          <w:lang w:val="sr-Latn-ME"/>
        </w:rPr>
      </w:pPr>
      <w:r w:rsidRPr="00F33088">
        <w:rPr>
          <w:lang w:val="sr-Latn-ME"/>
        </w:rPr>
        <w:t>Prema nacrtu Regulative o učinku u okviru MFF 2028-2034 (Aneks I)</w:t>
      </w:r>
      <w:r w:rsidRPr="00F33088">
        <w:rPr>
          <w:rStyle w:val="Referencafusnote"/>
          <w:lang w:val="sr-Latn-ME"/>
        </w:rPr>
        <w:footnoteReference w:id="2"/>
      </w:r>
      <w:r w:rsidRPr="00F33088">
        <w:rPr>
          <w:lang w:val="sr-Latn-ME"/>
        </w:rPr>
        <w:t xml:space="preserve">, politika 2 „Životna sredina i klimatske promjene“ obuhvata devet </w:t>
      </w:r>
      <w:proofErr w:type="spellStart"/>
      <w:r w:rsidRPr="00F33088">
        <w:rPr>
          <w:lang w:val="sr-Latn-ME"/>
        </w:rPr>
        <w:t>podoblasti</w:t>
      </w:r>
      <w:proofErr w:type="spellEnd"/>
      <w:r w:rsidRPr="00F33088">
        <w:rPr>
          <w:lang w:val="sr-Latn-ME"/>
        </w:rPr>
        <w:t xml:space="preserve"> na nivou 2: Poljoprivreda i šumarstvo (2.02, 1 tematska jedinica), Cirkularna ekonomija (2.35, 15 tematskih jedinica), Adaptacija na klimatske promjene (2.36), Digitalizacija u oblasti klime (2.37, 2 tematske jedinice), Zaštita i obnova prirode (2.38, 5 tematskih jedinica), Šumarstvo (2.39), Zagađenje (2.40, 5 tematskih jedinica), Vode (2.41, 8 tematskih jedinica) i Reforme (2.05, 2 tematske jedinice), što ukupno čini 46 intervencionih oblasti.</w:t>
      </w:r>
    </w:p>
    <w:p w14:paraId="3E1914E7" w14:textId="77777777" w:rsidR="00976EA2" w:rsidRPr="00F33088" w:rsidRDefault="00976EA2" w:rsidP="00976EA2">
      <w:pPr>
        <w:pStyle w:val="Naslov3"/>
        <w:rPr>
          <w:rFonts w:eastAsia="Times New Roman"/>
          <w:lang w:val="sr-Latn-ME"/>
        </w:rPr>
      </w:pPr>
      <w:r w:rsidRPr="00F33088">
        <w:rPr>
          <w:rFonts w:eastAsia="Times New Roman"/>
          <w:lang w:val="sr-Latn-ME"/>
        </w:rPr>
        <w:t>Međunarodni i EU strateški i pravni okvir</w:t>
      </w:r>
    </w:p>
    <w:p w14:paraId="3E1914E8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>Pravni okvir Evropske unije u oblasti životne sredine (</w:t>
      </w:r>
      <w:proofErr w:type="spellStart"/>
      <w:r w:rsidRPr="00F33088">
        <w:rPr>
          <w:lang w:val="sr-Latn-ME"/>
        </w:rPr>
        <w:t>environmental</w:t>
      </w:r>
      <w:proofErr w:type="spellEnd"/>
      <w:r w:rsidRPr="00F33088">
        <w:rPr>
          <w:lang w:val="sr-Latn-ME"/>
        </w:rPr>
        <w:t xml:space="preserve"> </w:t>
      </w:r>
      <w:proofErr w:type="spellStart"/>
      <w:r w:rsidRPr="00F33088">
        <w:rPr>
          <w:lang w:val="sr-Latn-ME"/>
        </w:rPr>
        <w:t>acquis</w:t>
      </w:r>
      <w:proofErr w:type="spellEnd"/>
      <w:r w:rsidRPr="00F33088">
        <w:rPr>
          <w:lang w:val="sr-Latn-ME"/>
        </w:rPr>
        <w:t>) predstavlja jednu od najobimnijih i najsloženijih oblasti prava EU. Obuhvata horizontalno zakonodavstvo (procjena uticaja na životnu sredinu, strateška procjena uticaja, pristup javnosti informacijama o životnoj sredini), kvalitet vazduha</w:t>
      </w:r>
      <w:r w:rsidR="002012B9" w:rsidRPr="00F33088">
        <w:rPr>
          <w:lang w:val="sr-Latn-ME"/>
        </w:rPr>
        <w:t xml:space="preserve"> (kvalitet ambijentalnog vazduha, monitoring i smanjenje emisija zagađujućih materija)</w:t>
      </w:r>
      <w:r w:rsidRPr="00F33088">
        <w:rPr>
          <w:lang w:val="sr-Latn-ME"/>
        </w:rPr>
        <w:t>, kvalitet voda</w:t>
      </w:r>
      <w:r w:rsidR="002012B9" w:rsidRPr="00F33088">
        <w:rPr>
          <w:lang w:val="sr-Latn-ME"/>
        </w:rPr>
        <w:t xml:space="preserve"> (upravljanje vodnim resursima, kvalitet voda, prečišćavanje komunalnih otpadnih voda i voda za piće)</w:t>
      </w:r>
      <w:r w:rsidRPr="00F33088">
        <w:rPr>
          <w:lang w:val="sr-Latn-ME"/>
        </w:rPr>
        <w:t>, upravljanje otpadom</w:t>
      </w:r>
      <w:r w:rsidR="002012B9" w:rsidRPr="00F33088">
        <w:rPr>
          <w:lang w:val="sr-Latn-ME"/>
        </w:rPr>
        <w:t xml:space="preserve"> (prevencija nastanka otpada, reciklaža, ponovna upotreba i proširena odgovornost proizvođača)</w:t>
      </w:r>
      <w:r w:rsidRPr="00F33088">
        <w:rPr>
          <w:lang w:val="sr-Latn-ME"/>
        </w:rPr>
        <w:t>, zaštitu prirode</w:t>
      </w:r>
      <w:r w:rsidR="002012B9" w:rsidRPr="00F33088">
        <w:rPr>
          <w:lang w:val="sr-Latn-ME"/>
        </w:rPr>
        <w:t xml:space="preserve"> (zaštićena područja, Natura 2000 i očuvanje biodiverziteta)</w:t>
      </w:r>
      <w:r w:rsidRPr="00F33088">
        <w:rPr>
          <w:lang w:val="sr-Latn-ME"/>
        </w:rPr>
        <w:t>, kontrolu industrijskog zagađenja</w:t>
      </w:r>
      <w:r w:rsidR="002012B9" w:rsidRPr="00F33088">
        <w:rPr>
          <w:lang w:val="sr-Latn-ME"/>
        </w:rPr>
        <w:t xml:space="preserve"> (industrijske emisije, najbolje dostupne tehnike i prevencija zagađenja)</w:t>
      </w:r>
      <w:r w:rsidRPr="00F33088">
        <w:rPr>
          <w:lang w:val="sr-Latn-ME"/>
        </w:rPr>
        <w:t>, hemikalije</w:t>
      </w:r>
      <w:r w:rsidR="002012B9" w:rsidRPr="00F33088">
        <w:rPr>
          <w:lang w:val="sr-Latn-ME"/>
        </w:rPr>
        <w:t xml:space="preserve"> (upravljanje hemikalijama i zaštita od opasnih supstanci)</w:t>
      </w:r>
      <w:r w:rsidRPr="00F33088">
        <w:rPr>
          <w:lang w:val="sr-Latn-ME"/>
        </w:rPr>
        <w:t>, buku, civilnu zaštitu i klimatske promjene</w:t>
      </w:r>
      <w:r w:rsidR="002012B9" w:rsidRPr="00F33088">
        <w:rPr>
          <w:lang w:val="sr-Latn-ME"/>
        </w:rPr>
        <w:t xml:space="preserve"> (smanjenje emisija gasova sa efektom staklene bašte, adaptacija i energetska tranzicija)</w:t>
      </w:r>
      <w:r w:rsidRPr="00F33088">
        <w:rPr>
          <w:lang w:val="sr-Latn-ME"/>
        </w:rPr>
        <w:t>.</w:t>
      </w:r>
    </w:p>
    <w:p w14:paraId="3E1914E9" w14:textId="77777777" w:rsidR="0015611C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lastRenderedPageBreak/>
        <w:t>Evropski zeleni dogovor (2019)</w:t>
      </w:r>
      <w:r w:rsidRPr="00F33088">
        <w:rPr>
          <w:rStyle w:val="Referencafusnote"/>
          <w:rFonts w:eastAsia="Times New Roman" w:cstheme="minorHAnsi"/>
          <w:lang w:val="sr-Latn-ME"/>
        </w:rPr>
        <w:footnoteReference w:id="3"/>
      </w:r>
      <w:r w:rsidRPr="00F33088">
        <w:rPr>
          <w:lang w:val="sr-Latn-ME"/>
        </w:rPr>
        <w:t xml:space="preserve"> predstavlja krovni politički okvir, sa ciljem da Evropa postane prvi klimatski neutralan kontinent do 2050. godine. </w:t>
      </w:r>
      <w:r w:rsidR="0015611C" w:rsidRPr="00F33088">
        <w:rPr>
          <w:lang w:val="sr-Latn-ME"/>
        </w:rPr>
        <w:t xml:space="preserve">EGD je svoju punu pravnu operacionalizaciju dobio kroz </w:t>
      </w:r>
      <w:r w:rsidR="00F66BC7" w:rsidRPr="00F33088">
        <w:rPr>
          <w:lang w:val="sr-Latn-ME"/>
        </w:rPr>
        <w:t xml:space="preserve">Regulativu (EU) 2021/1119, tzv. </w:t>
      </w:r>
      <w:r w:rsidR="00F66BC7" w:rsidRPr="00F33088">
        <w:rPr>
          <w:rStyle w:val="whitespace-normal"/>
          <w:lang w:val="sr-Latn-ME"/>
        </w:rPr>
        <w:t>Evropski zakon o klimi</w:t>
      </w:r>
      <w:r w:rsidR="0015611C" w:rsidRPr="00F33088">
        <w:rPr>
          <w:rStyle w:val="Referencafusnote"/>
          <w:lang w:val="sr-Latn-ME"/>
        </w:rPr>
        <w:footnoteReference w:id="4"/>
      </w:r>
      <w:r w:rsidR="0015611C" w:rsidRPr="00F33088">
        <w:rPr>
          <w:lang w:val="sr-Latn-ME"/>
        </w:rPr>
        <w:t xml:space="preserve">, kojim je cilj klimatske neutralnosti do 2050. godine postao zakonska obaveza EU. Ključni instrument za ostvarivanje ovih ciljeva predstavlja zakonodavni paket </w:t>
      </w:r>
      <w:r w:rsidR="00F66BC7" w:rsidRPr="00F33088">
        <w:rPr>
          <w:lang w:val="sr-Latn-ME"/>
        </w:rPr>
        <w:t>„</w:t>
      </w:r>
      <w:proofErr w:type="spellStart"/>
      <w:r w:rsidR="0015611C" w:rsidRPr="00F33088">
        <w:rPr>
          <w:rStyle w:val="whitespace-normal"/>
          <w:lang w:val="sr-Latn-ME"/>
        </w:rPr>
        <w:t>Fit</w:t>
      </w:r>
      <w:proofErr w:type="spellEnd"/>
      <w:r w:rsidR="0015611C" w:rsidRPr="00F33088">
        <w:rPr>
          <w:rStyle w:val="whitespace-normal"/>
          <w:lang w:val="sr-Latn-ME"/>
        </w:rPr>
        <w:t xml:space="preserve"> </w:t>
      </w:r>
      <w:proofErr w:type="spellStart"/>
      <w:r w:rsidR="0015611C" w:rsidRPr="00F33088">
        <w:rPr>
          <w:rStyle w:val="whitespace-normal"/>
          <w:lang w:val="sr-Latn-ME"/>
        </w:rPr>
        <w:t>for</w:t>
      </w:r>
      <w:proofErr w:type="spellEnd"/>
      <w:r w:rsidR="00F66BC7" w:rsidRPr="00F33088">
        <w:rPr>
          <w:rStyle w:val="whitespace-normal"/>
          <w:lang w:val="sr-Latn-ME"/>
        </w:rPr>
        <w:t xml:space="preserve"> 55“</w:t>
      </w:r>
      <w:r w:rsidR="0015611C" w:rsidRPr="00F33088">
        <w:rPr>
          <w:lang w:val="sr-Latn-ME"/>
        </w:rPr>
        <w:t xml:space="preserve">, kojim se revidiraju ključni propisi, uključujući </w:t>
      </w:r>
      <w:r w:rsidR="0015611C" w:rsidRPr="00F33088">
        <w:rPr>
          <w:rStyle w:val="whitespace-normal"/>
          <w:lang w:val="sr-Latn-ME"/>
        </w:rPr>
        <w:t xml:space="preserve">EU </w:t>
      </w:r>
      <w:r w:rsidR="00F66BC7" w:rsidRPr="00F33088">
        <w:rPr>
          <w:rStyle w:val="whitespace-normal"/>
          <w:lang w:val="sr-Latn-ME"/>
        </w:rPr>
        <w:t>ETS</w:t>
      </w:r>
      <w:r w:rsidR="0015611C" w:rsidRPr="00F33088">
        <w:rPr>
          <w:lang w:val="sr-Latn-ME"/>
        </w:rPr>
        <w:t xml:space="preserve">, te uvode novi mehanizmi direktno relevantni za reformske obaveze Crne Gore, posebno u kontekstu primjene </w:t>
      </w:r>
      <w:r w:rsidR="00F66BC7" w:rsidRPr="00F33088">
        <w:rPr>
          <w:rStyle w:val="whitespace-normal"/>
          <w:lang w:val="sr-Latn-ME"/>
        </w:rPr>
        <w:t>CBAM-a</w:t>
      </w:r>
      <w:r w:rsidR="0015611C" w:rsidRPr="00F33088">
        <w:rPr>
          <w:lang w:val="sr-Latn-ME"/>
        </w:rPr>
        <w:t xml:space="preserve"> od 2026. godine.</w:t>
      </w:r>
    </w:p>
    <w:p w14:paraId="3E1914EA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 xml:space="preserve">Ključni propisi </w:t>
      </w:r>
      <w:r w:rsidR="0015611C" w:rsidRPr="00F33088">
        <w:rPr>
          <w:lang w:val="sr-Latn-ME"/>
        </w:rPr>
        <w:t xml:space="preserve">nadalje </w:t>
      </w:r>
      <w:r w:rsidRPr="00F33088">
        <w:rPr>
          <w:lang w:val="sr-Latn-ME"/>
        </w:rPr>
        <w:t>uključuju Direktivu o sistemu trgovine emisijama EU (2003/87/EC</w:t>
      </w:r>
      <w:r w:rsidRPr="00F33088">
        <w:rPr>
          <w:rStyle w:val="Referencafusnote"/>
          <w:rFonts w:eastAsia="Times New Roman" w:cstheme="minorHAnsi"/>
          <w:lang w:val="sr-Latn-ME"/>
        </w:rPr>
        <w:footnoteReference w:id="5"/>
      </w:r>
      <w:r w:rsidRPr="00F33088">
        <w:rPr>
          <w:lang w:val="sr-Latn-ME"/>
        </w:rPr>
        <w:t>, sa izmjenama), Regulativu o raspodjeli napora za sektore van ETS-a, Strategiju EU za biodiverzitet do 2030. godine (sa ciljem zaštite 30% kopna i mora, od čega jedna trećina pod strogom zaštitom), Akcioni plan za cirkularnu ekonomiju i prateće zakonodavstvo - uključujući revidiranu Okvirnu direktivu o otpadu (EU) 2018/851</w:t>
      </w:r>
      <w:r w:rsidRPr="00F33088">
        <w:rPr>
          <w:rStyle w:val="Referencafusnote"/>
          <w:rFonts w:eastAsia="Times New Roman" w:cstheme="minorHAnsi"/>
          <w:lang w:val="sr-Latn-ME"/>
        </w:rPr>
        <w:footnoteReference w:id="6"/>
      </w:r>
      <w:r w:rsidRPr="00F33088">
        <w:rPr>
          <w:lang w:val="sr-Latn-ME"/>
        </w:rPr>
        <w:t xml:space="preserve"> (koja postavlja ciljeve reciklaže od 55% do 2025, 60% do 2030. i 65% do 2035. godine), revidiranu Direktivu o ambalaži i ambalažnom otpadu</w:t>
      </w:r>
      <w:r w:rsidRPr="00F33088">
        <w:rPr>
          <w:rStyle w:val="Referencafusnote"/>
          <w:rFonts w:eastAsia="Times New Roman" w:cstheme="minorHAnsi"/>
          <w:lang w:val="sr-Latn-ME"/>
        </w:rPr>
        <w:footnoteReference w:id="7"/>
      </w:r>
      <w:r w:rsidRPr="00F33088">
        <w:rPr>
          <w:lang w:val="sr-Latn-ME"/>
        </w:rPr>
        <w:t>, kao i Akcioni plan za nulto zagađenje</w:t>
      </w:r>
      <w:r w:rsidRPr="00F33088">
        <w:rPr>
          <w:rStyle w:val="Referencafusnote"/>
          <w:rFonts w:eastAsia="Times New Roman" w:cstheme="minorHAnsi"/>
          <w:lang w:val="sr-Latn-ME"/>
        </w:rPr>
        <w:footnoteReference w:id="8"/>
      </w:r>
      <w:r w:rsidRPr="00F33088">
        <w:rPr>
          <w:lang w:val="sr-Latn-ME"/>
        </w:rPr>
        <w:t>.</w:t>
      </w:r>
    </w:p>
    <w:p w14:paraId="3E1914EB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>Regulativa o obnovi prirode (EU) 2024/1991 uvodi pravno obavezujuće ciljeve za obnovu degradiranih ekosistema. Direktiva o pticama (2009/147/EC) i Direktiva o staništima (92/43/EEC) čine osnovu mreže Natura 2000. Okvirna direktiva o vodama (2000/60/EC) zahtijeva izradu planova upravljanja riječnim slivovima i postizanje dobrog ekološkog statusa svih voda, dok Okvirna direktiva o morskoj strategiji (2008/56/EC) cilja postizanje dobrog stanja morskog okruženja. Direktiva o industrijskim emisijama (2010/75/EU, revidirana 2024) uređuje integrisano sprječavanje i kontrolu zagađenja.</w:t>
      </w:r>
    </w:p>
    <w:p w14:paraId="3E1914EC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>Za zemlje kandidate, pravna tekovina EU u oblasti životne sredine prenosi se prvenstveno kroz pregovore o pristupanju (Poglavlje 27), dok se klimatska i energetska komponenta dodatno usklađuje kroz Ugovor o Energetskoj zajednici. Zelena agenda za Zapadni Balkan (Sofijska deklaracija, novembar 2020) obavezuje region na klimatsku neutralnost do 2050. godine i usklađivanje sa Evropskim zelenim dogovorom kroz pet stubova: klimatska akcija, cirkularna ekonomija, smanjenje zagađenja, održivi prehrambeni sistemi i biodiverzitet.</w:t>
      </w:r>
    </w:p>
    <w:p w14:paraId="3E1914ED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 xml:space="preserve">U okviru MFF 2028–2034, politika „Životna sredina i klimatske promjene“ iz Aneksa I nacrta Regulative o učinku obuhvata </w:t>
      </w:r>
      <w:proofErr w:type="spellStart"/>
      <w:r w:rsidRPr="00F33088">
        <w:rPr>
          <w:lang w:val="sr-Latn-ME"/>
        </w:rPr>
        <w:t>podoblasti</w:t>
      </w:r>
      <w:proofErr w:type="spellEnd"/>
      <w:r w:rsidRPr="00F33088">
        <w:rPr>
          <w:lang w:val="sr-Latn-ME"/>
        </w:rPr>
        <w:t xml:space="preserve"> kao što su: vazduh i buka, </w:t>
      </w:r>
      <w:proofErr w:type="spellStart"/>
      <w:r w:rsidRPr="00F33088">
        <w:rPr>
          <w:lang w:val="sr-Latn-ME"/>
        </w:rPr>
        <w:t>vodosnabdijevanje</w:t>
      </w:r>
      <w:proofErr w:type="spellEnd"/>
      <w:r w:rsidRPr="00F33088">
        <w:rPr>
          <w:lang w:val="sr-Latn-ME"/>
        </w:rPr>
        <w:t xml:space="preserve"> i sanitarna infrastruktura, priroda i biodiverzitet, cirkularna ekonomija i otpad, adaptacija na klimatske promjene, ublažavanje klimatskih promjena (djelimično preklapanje sa energetikom), upravljanje rizicima od katastrofa i reforme. Više ovih </w:t>
      </w:r>
      <w:proofErr w:type="spellStart"/>
      <w:r w:rsidRPr="00F33088">
        <w:rPr>
          <w:lang w:val="sr-Latn-ME"/>
        </w:rPr>
        <w:t>podoblasti</w:t>
      </w:r>
      <w:proofErr w:type="spellEnd"/>
      <w:r w:rsidRPr="00F33088">
        <w:rPr>
          <w:lang w:val="sr-Latn-ME"/>
        </w:rPr>
        <w:t xml:space="preserve"> nosi visoke stope </w:t>
      </w:r>
      <w:proofErr w:type="spellStart"/>
      <w:r w:rsidRPr="00F33088">
        <w:rPr>
          <w:lang w:val="sr-Latn-ME"/>
        </w:rPr>
        <w:t>kofinansiranja</w:t>
      </w:r>
      <w:proofErr w:type="spellEnd"/>
      <w:r w:rsidRPr="00F33088">
        <w:rPr>
          <w:lang w:val="sr-Latn-ME"/>
        </w:rPr>
        <w:t xml:space="preserve"> za klimatske (40–100%) i ekološke (40–100%) ciljeve.</w:t>
      </w:r>
    </w:p>
    <w:p w14:paraId="3E1914EE" w14:textId="77777777" w:rsidR="00976EA2" w:rsidRPr="00F33088" w:rsidRDefault="00976EA2" w:rsidP="00976EA2">
      <w:pPr>
        <w:pStyle w:val="Naslov3"/>
        <w:rPr>
          <w:rFonts w:eastAsia="Times New Roman"/>
          <w:lang w:val="sr-Latn-ME"/>
        </w:rPr>
      </w:pPr>
      <w:r w:rsidRPr="00F33088">
        <w:rPr>
          <w:rFonts w:eastAsia="Times New Roman"/>
          <w:lang w:val="sr-Latn-ME"/>
        </w:rPr>
        <w:t>Nacionalni strateški i pravni okvir Crne Gore</w:t>
      </w:r>
    </w:p>
    <w:p w14:paraId="3E1914EF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 xml:space="preserve">Crna Gora je dostigla </w:t>
      </w:r>
      <w:r w:rsidRPr="00F33088">
        <w:rPr>
          <w:b/>
          <w:lang w:val="sr-Latn-ME"/>
        </w:rPr>
        <w:t>određeni nivo pripremljenosti</w:t>
      </w:r>
      <w:r w:rsidRPr="00F33088">
        <w:rPr>
          <w:lang w:val="sr-Latn-ME"/>
        </w:rPr>
        <w:t xml:space="preserve"> u oblasti životne sredine i klimatskih promjena (Poglavlje 27</w:t>
      </w:r>
      <w:r w:rsidR="00F66BC7" w:rsidRPr="00F33088">
        <w:rPr>
          <w:lang w:val="sr-Latn-ME"/>
        </w:rPr>
        <w:t>, EK izvještaj 2025</w:t>
      </w:r>
      <w:r w:rsidRPr="00F33088">
        <w:rPr>
          <w:lang w:val="sr-Latn-ME"/>
        </w:rPr>
        <w:t xml:space="preserve">), </w:t>
      </w:r>
      <w:r w:rsidR="00786AA6" w:rsidRPr="00F33088">
        <w:rPr>
          <w:lang w:val="sr-Latn-ME"/>
        </w:rPr>
        <w:t>dok se reformski koraci ubrzavaju u finalnoj fazi pregovora</w:t>
      </w:r>
      <w:r w:rsidRPr="00F33088">
        <w:rPr>
          <w:lang w:val="sr-Latn-ME"/>
        </w:rPr>
        <w:t>. Poglavlje 27 otvoreno je 10. decembra 2018. godine, uz definisanih 8 završnih mjerila u Zajedničkoj poziciji EU.</w:t>
      </w:r>
    </w:p>
    <w:p w14:paraId="3E1914F0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>Ključni zakoni i strateški dokumenti uključuju:</w:t>
      </w:r>
    </w:p>
    <w:p w14:paraId="3E1914F1" w14:textId="77777777" w:rsidR="00976EA2" w:rsidRPr="00F33088" w:rsidRDefault="00976EA2" w:rsidP="00976EA2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lastRenderedPageBreak/>
        <w:t>Zakon o zaštiti životne sredine</w:t>
      </w:r>
      <w:r w:rsidRPr="00F33088">
        <w:rPr>
          <w:lang w:val="sr-Latn-ME"/>
        </w:rPr>
        <w:t xml:space="preserve"> (Sl. list CG br. 52/16, 73/19, 84/24) – krovni zakon, usklađen sa horizontalnim direktivama EU (EIA, SEA, pristup informacijama);</w:t>
      </w:r>
    </w:p>
    <w:p w14:paraId="3E1914F2" w14:textId="77777777" w:rsidR="002012B9" w:rsidRPr="00F33088" w:rsidRDefault="002012B9" w:rsidP="002012B9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Krivični zakonik Crne Gore</w:t>
      </w:r>
      <w:r w:rsidRPr="00F33088">
        <w:rPr>
          <w:lang w:val="sr-Latn-ME"/>
        </w:rPr>
        <w:t xml:space="preserve"> (Sl. list CG br. 70/03, 13/04, 47/06, 40/08, 25/10, 32/11, 64/11, 40/13, 56/13, 14/15, 42/15, 58/15, 44/17, 49/18, 3/20, 26/21, 144/21, 145/21, 110/23) – propisuje krivična djela protiv životne sredine, uključujući nezakonito postupanje sa otpadom, zagađenje životne sredine i uništavanje zaštićenih prirodnih dobara, čime obezbjeđuje krivičnopravnu zaštitu u skladu sa relevantnim EU standardima u oblasti ekološkog kriminala;</w:t>
      </w:r>
    </w:p>
    <w:p w14:paraId="3E1914F3" w14:textId="77777777" w:rsidR="002012B9" w:rsidRPr="00F33088" w:rsidRDefault="002012B9" w:rsidP="002012B9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procjeni uticaja na životnu sredinu</w:t>
      </w:r>
      <w:r w:rsidRPr="00F33088">
        <w:rPr>
          <w:lang w:val="sr-Latn-ME"/>
        </w:rPr>
        <w:t xml:space="preserve"> (Sl. list CG br. 75/18, 40/23) – uređuje postupak procjene uticaja projekata na životnu sredinu, uključujući identifikaciju, opis i procjenu direktnih i indirektnih uticaja, kao i učešće javnosti u procesu odlučivanja, u skladu sa Direktivom o procjeni uticaja na životnu sredinu (EIA);</w:t>
      </w:r>
    </w:p>
    <w:p w14:paraId="3E1914F4" w14:textId="77777777" w:rsidR="002012B9" w:rsidRPr="00F33088" w:rsidRDefault="002012B9" w:rsidP="002012B9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odgovornosti pravnih lica za krivična djela</w:t>
      </w:r>
      <w:r w:rsidRPr="00F33088">
        <w:rPr>
          <w:lang w:val="sr-Latn-ME"/>
        </w:rPr>
        <w:t xml:space="preserve"> (Sl. list CG br. 2/07, 13/07, 40/11, 32/14, 44/17) – uspostavlja pravni okvir za krivičnu odgovornost pravnih lica, uključujući i djela protiv životne sredine, čime se omogućava sankcionisanje kompanija za ekološke prekršaje i jača primjena principa „zagađivač plaća“;</w:t>
      </w:r>
    </w:p>
    <w:p w14:paraId="3E1914F5" w14:textId="77777777" w:rsidR="002012B9" w:rsidRPr="00F33088" w:rsidRDefault="002012B9" w:rsidP="002012B9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odgovornosti za štetu u životnoj sredini</w:t>
      </w:r>
      <w:r w:rsidRPr="00F33088">
        <w:rPr>
          <w:lang w:val="sr-Latn-ME"/>
        </w:rPr>
        <w:t xml:space="preserve"> (Sl. list CG br. 27/14, 55/16) – uređuje odgovornost operatera za sprječavanje i sanaciju štete u životnoj sredini, u skladu sa principima prevencije i „zagađivač plaća“, u skladu sa Direktivom o odgovornosti za štetu u životnoj sredini (ELD);</w:t>
      </w:r>
    </w:p>
    <w:p w14:paraId="3E1914F6" w14:textId="77777777" w:rsidR="00976EA2" w:rsidRPr="00F33088" w:rsidRDefault="00976EA2" w:rsidP="00976EA2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upravljanju otpadom</w:t>
      </w:r>
      <w:r w:rsidRPr="00F33088">
        <w:rPr>
          <w:lang w:val="sr-Latn-ME"/>
        </w:rPr>
        <w:t xml:space="preserve"> (Sl. list CG br. 3</w:t>
      </w:r>
      <w:r w:rsidR="001168FA" w:rsidRPr="00F33088">
        <w:rPr>
          <w:lang w:val="sr-Latn-ME"/>
        </w:rPr>
        <w:t>4</w:t>
      </w:r>
      <w:r w:rsidRPr="00F33088">
        <w:rPr>
          <w:lang w:val="sr-Latn-ME"/>
        </w:rPr>
        <w:t xml:space="preserve">/24, 92/24) – transponuje Okvirnu direktivu o otpadu, uvodi proširenu odgovornost proizvođača (EPR), zabranjuje lagane plastične kese za </w:t>
      </w:r>
      <w:r w:rsidR="00EC5488" w:rsidRPr="00F33088">
        <w:rPr>
          <w:lang w:val="sr-Latn-ME"/>
        </w:rPr>
        <w:t>nošenje određene debljine zida do 50 mikrona, kao i određene plastične proizvode za jednokratnu upotrebu, uspostavlja principe za odvojeno sakupljanje, ponovnu upotrebu i reciklažu otpada u skladu sa principima cirkularne ekonomije</w:t>
      </w:r>
      <w:r w:rsidRPr="00F33088">
        <w:rPr>
          <w:lang w:val="sr-Latn-ME"/>
        </w:rPr>
        <w:t>;</w:t>
      </w:r>
    </w:p>
    <w:p w14:paraId="3E1914F7" w14:textId="77777777" w:rsidR="00976EA2" w:rsidRPr="00F33088" w:rsidRDefault="00976EA2" w:rsidP="00976EA2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Državni plan upravljanja otpadom 2025–2029</w:t>
      </w:r>
      <w:r w:rsidRPr="00F33088">
        <w:rPr>
          <w:lang w:val="sr-Latn-ME"/>
        </w:rPr>
        <w:t xml:space="preserve"> (oktobar 2025, Sl. list CG br. 25/26) – zamjenjuje plan za period 2015–2020 i postavlja operativne ciljeve za razvoj infrastrukture za upravljanje otpadom. Plan postavlja temelje za prelazak sa linearnog ekonomskog modela na cirkularnu ekonomiju, u kojoj se otpad tretira kao resurs koji se ponovo koristi, reciklira i vraća u proizvodne cikluse. Njegov osnovni cilj je </w:t>
      </w:r>
      <w:proofErr w:type="spellStart"/>
      <w:r w:rsidRPr="00F33088">
        <w:rPr>
          <w:lang w:val="sr-Latn-ME"/>
        </w:rPr>
        <w:t>postepeno</w:t>
      </w:r>
      <w:proofErr w:type="spellEnd"/>
      <w:r w:rsidRPr="00F33088">
        <w:rPr>
          <w:lang w:val="sr-Latn-ME"/>
        </w:rPr>
        <w:t xml:space="preserve"> smanjenje odlaganja otpada na deponijama, uz značajno povećanje stope reciklaže, </w:t>
      </w:r>
      <w:proofErr w:type="spellStart"/>
      <w:r w:rsidRPr="00F33088">
        <w:rPr>
          <w:lang w:val="sr-Latn-ME"/>
        </w:rPr>
        <w:t>unapređenje</w:t>
      </w:r>
      <w:proofErr w:type="spellEnd"/>
      <w:r w:rsidRPr="00F33088">
        <w:rPr>
          <w:lang w:val="sr-Latn-ME"/>
        </w:rPr>
        <w:t xml:space="preserve"> zaštite javnog zdravlja i očuvanje životne sredine. Plan definiše jasne i mjerljive ciljeve, potpuno usklađene sa Okvirnom direktivom EU o otpadu i relevantnim zakonodavstvom EU. Predviđa povećanje stope reciklaže komunalnog otpada na 65% do 2035. godine, smanjenje količine </w:t>
      </w:r>
      <w:proofErr w:type="spellStart"/>
      <w:r w:rsidRPr="00F33088">
        <w:rPr>
          <w:lang w:val="sr-Latn-ME"/>
        </w:rPr>
        <w:t>biorazgradivog</w:t>
      </w:r>
      <w:proofErr w:type="spellEnd"/>
      <w:r w:rsidRPr="00F33088">
        <w:rPr>
          <w:lang w:val="sr-Latn-ME"/>
        </w:rPr>
        <w:t xml:space="preserve"> otpada koji se odlaže na deponijama, kao i zatvaranje i sanaciju svih </w:t>
      </w:r>
      <w:proofErr w:type="spellStart"/>
      <w:r w:rsidRPr="00F33088">
        <w:rPr>
          <w:lang w:val="sr-Latn-ME"/>
        </w:rPr>
        <w:t>nesanitarnih</w:t>
      </w:r>
      <w:proofErr w:type="spellEnd"/>
      <w:r w:rsidRPr="00F33088">
        <w:rPr>
          <w:lang w:val="sr-Latn-ME"/>
        </w:rPr>
        <w:t xml:space="preserve"> deponija do 2030. godine. Kao strukturnu osnovu novog sistema, plan predviđa uspostavljanje četiri regionalna centra za upravljanje otpadom u Podgorici, Nikšiću, Bijelom Polju i Baru, uz modernizaciju i proširenje infrastrukture za reciklažu i tretman otpada</w:t>
      </w:r>
      <w:r w:rsidR="00AC168E" w:rsidRPr="00F33088">
        <w:rPr>
          <w:rStyle w:val="Referencafusnote"/>
          <w:lang w:val="sr-Latn-ME"/>
        </w:rPr>
        <w:footnoteReference w:id="9"/>
      </w:r>
      <w:r w:rsidR="00AC168E" w:rsidRPr="00F33088">
        <w:rPr>
          <w:lang w:val="sr-Latn-ME"/>
        </w:rPr>
        <w:t xml:space="preserve"> ;</w:t>
      </w:r>
    </w:p>
    <w:p w14:paraId="3E1914F8" w14:textId="77777777" w:rsidR="00976EA2" w:rsidRPr="00F33088" w:rsidRDefault="00976EA2" w:rsidP="00976EA2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zaštiti prirode</w:t>
      </w:r>
      <w:r w:rsidRPr="00F33088">
        <w:rPr>
          <w:lang w:val="sr-Latn-ME"/>
        </w:rPr>
        <w:t xml:space="preserve"> (Sl. list CG br. 52/16, 18/19, 84/24) – uspostavlja pravni osnov za zaštićena područja i pripremu mreže Natura 2000;</w:t>
      </w:r>
    </w:p>
    <w:p w14:paraId="3E1914F9" w14:textId="77777777" w:rsidR="00976EA2" w:rsidRPr="00F33088" w:rsidRDefault="00976EA2" w:rsidP="00976EA2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 xml:space="preserve">Zakon o vodama </w:t>
      </w:r>
      <w:r w:rsidRPr="00F33088">
        <w:rPr>
          <w:lang w:val="sr-Latn-ME"/>
        </w:rPr>
        <w:t>(Sl. list RCG br. 27/07; Sl. list CG br. 73/10, 32/11, 47/11, 48/15, 52/16, 55/16, 2/17, 80/17, 84/18, 84/24) – uređuje upravljanje vodnim resursima, kvalitet voda, rizike od poplava i usklađivanje sa Okvirnom direktivom o vodama;</w:t>
      </w:r>
    </w:p>
    <w:p w14:paraId="3E1914FA" w14:textId="77777777" w:rsidR="00976EA2" w:rsidRPr="00F33088" w:rsidRDefault="00976EA2" w:rsidP="00976EA2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finansiranju upravljanja vodama</w:t>
      </w:r>
      <w:r w:rsidRPr="00F33088">
        <w:rPr>
          <w:lang w:val="sr-Latn-ME"/>
        </w:rPr>
        <w:t xml:space="preserve"> (Sl. list CG br. 65/08, 74/10, 40/11, 82/20) – definiše izvore finansiranja, način obračuna i plaćanja naknada za zaštitu i korišćenje voda i </w:t>
      </w:r>
      <w:proofErr w:type="spellStart"/>
      <w:r w:rsidRPr="00F33088">
        <w:rPr>
          <w:lang w:val="sr-Latn-ME"/>
        </w:rPr>
        <w:t>vodnih</w:t>
      </w:r>
      <w:proofErr w:type="spellEnd"/>
      <w:r w:rsidRPr="00F33088">
        <w:rPr>
          <w:lang w:val="sr-Latn-ME"/>
        </w:rPr>
        <w:t xml:space="preserve"> resursa, kao i druga pitanja od značaja za korišćenje tih sredstava;</w:t>
      </w:r>
    </w:p>
    <w:p w14:paraId="3E1914FB" w14:textId="77777777" w:rsidR="00976EA2" w:rsidRPr="00F33088" w:rsidRDefault="00976EA2" w:rsidP="000C63B1">
      <w:pPr>
        <w:pStyle w:val="Odlomakpopisa"/>
        <w:numPr>
          <w:ilvl w:val="0"/>
          <w:numId w:val="13"/>
        </w:numPr>
        <w:spacing w:after="0"/>
        <w:rPr>
          <w:lang w:val="sr-Latn-ME"/>
        </w:rPr>
      </w:pPr>
      <w:r w:rsidRPr="00F33088">
        <w:rPr>
          <w:b/>
          <w:lang w:val="sr-Latn-ME"/>
        </w:rPr>
        <w:t>Zakon o upravljanju komunalnim otpadnim vodama</w:t>
      </w:r>
      <w:r w:rsidRPr="00F33088">
        <w:rPr>
          <w:lang w:val="sr-Latn-ME"/>
        </w:rPr>
        <w:t xml:space="preserve"> (Sl. list CG br. 2/17, 84/24) – uređuje upravljanje komunalnim otpadnim vodama, uslove koje moraju ispunjavati sistemi za sakupljanje i postrojenja za prečišćavanje, kao i način sakupljanja, tretmana i ispuštanja;</w:t>
      </w:r>
    </w:p>
    <w:p w14:paraId="3E1914FC" w14:textId="77777777" w:rsidR="000C63B1" w:rsidRPr="00F33088" w:rsidRDefault="000C63B1" w:rsidP="000C63B1">
      <w:pPr>
        <w:pStyle w:val="N03Y"/>
        <w:numPr>
          <w:ilvl w:val="0"/>
          <w:numId w:val="13"/>
        </w:numPr>
        <w:spacing w:before="0" w:after="0"/>
        <w:jc w:val="both"/>
        <w:rPr>
          <w:rFonts w:ascii="Aptos" w:hAnsi="Aptos"/>
          <w:b w:val="0"/>
          <w:sz w:val="22"/>
          <w:szCs w:val="22"/>
        </w:rPr>
      </w:pPr>
      <w:r w:rsidRPr="00F33088">
        <w:rPr>
          <w:rFonts w:ascii="Aptos" w:hAnsi="Aptos"/>
          <w:sz w:val="22"/>
          <w:szCs w:val="22"/>
        </w:rPr>
        <w:lastRenderedPageBreak/>
        <w:t xml:space="preserve">Zakon o komunalnim djelatnostima, </w:t>
      </w:r>
      <w:r w:rsidRPr="00F33088">
        <w:rPr>
          <w:rFonts w:ascii="Aptos" w:hAnsi="Aptos"/>
          <w:b w:val="0"/>
          <w:sz w:val="22"/>
          <w:szCs w:val="22"/>
        </w:rPr>
        <w:t>(Sl. list CG, br. 55/16, 74/16, 2/18, 66/19, 14/22, 84/24)</w:t>
      </w:r>
    </w:p>
    <w:p w14:paraId="3E1914FD" w14:textId="77777777" w:rsidR="00B861C3" w:rsidRPr="00F33088" w:rsidRDefault="00B861C3" w:rsidP="000C63B1">
      <w:pPr>
        <w:pStyle w:val="Odlomakpopisa"/>
        <w:numPr>
          <w:ilvl w:val="0"/>
          <w:numId w:val="13"/>
        </w:numPr>
        <w:spacing w:after="0"/>
        <w:rPr>
          <w:lang w:val="sr-Latn-ME"/>
        </w:rPr>
      </w:pPr>
      <w:r w:rsidRPr="00F33088">
        <w:rPr>
          <w:b/>
          <w:lang w:val="sr-Latn-ME"/>
        </w:rPr>
        <w:t xml:space="preserve">Zakon o zaštiti morske sredine </w:t>
      </w:r>
      <w:r w:rsidRPr="00F33088">
        <w:rPr>
          <w:lang w:val="sr-Latn-ME"/>
        </w:rPr>
        <w:t>("Službeni list Crne Gore", br. 073/19 od 27.12.2019) – uređuje mjere za zaštitu morske sredine radi postizanja i održavanja dobrog stanja morske sredine u Crnoj Gori.</w:t>
      </w:r>
    </w:p>
    <w:p w14:paraId="3E1914FE" w14:textId="77777777" w:rsidR="00F84A9F" w:rsidRPr="00F33088" w:rsidRDefault="00F84A9F" w:rsidP="00B861C3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 xml:space="preserve">Zakon o moru </w:t>
      </w:r>
      <w:r w:rsidRPr="00F33088">
        <w:rPr>
          <w:lang w:val="sr-Latn-ME"/>
        </w:rPr>
        <w:t xml:space="preserve">(Sl. list CG, br. 17/07, 6/08, 40/11) - uređuje se morski i podmorski prostor Crne Gore, i to: unutrašnje morske vode, teritorijalno more, isključiva ekonomska zona, </w:t>
      </w:r>
      <w:proofErr w:type="spellStart"/>
      <w:r w:rsidRPr="00F33088">
        <w:rPr>
          <w:lang w:val="sr-Latn-ME"/>
        </w:rPr>
        <w:t>epikontinentalni</w:t>
      </w:r>
      <w:proofErr w:type="spellEnd"/>
      <w:r w:rsidRPr="00F33088">
        <w:rPr>
          <w:lang w:val="sr-Latn-ME"/>
        </w:rPr>
        <w:t xml:space="preserve"> pojas, zabrana uplovljenja, zaustavljanje i progon broda</w:t>
      </w:r>
      <w:r w:rsidR="0073054F" w:rsidRPr="00F33088">
        <w:rPr>
          <w:lang w:val="sr-Latn-ME"/>
        </w:rPr>
        <w:t>;</w:t>
      </w:r>
    </w:p>
    <w:p w14:paraId="3E1914FF" w14:textId="77777777" w:rsidR="0073054F" w:rsidRPr="00F33088" w:rsidRDefault="0073054F" w:rsidP="0073054F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potvrđivanju Protokola o integralnom upravljanju priobalnim područjem Sredozemlja</w:t>
      </w:r>
      <w:r w:rsidRPr="00F33088">
        <w:rPr>
          <w:lang w:val="sr-Latn-ME"/>
        </w:rPr>
        <w:t xml:space="preserve"> (Sl. List CG- MU, br. 16/11),</w:t>
      </w:r>
    </w:p>
    <w:p w14:paraId="3E191500" w14:textId="77777777" w:rsidR="00976EA2" w:rsidRPr="00F33088" w:rsidRDefault="00976EA2" w:rsidP="00976EA2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zaštiti vazduha</w:t>
      </w:r>
      <w:r w:rsidRPr="00F33088">
        <w:rPr>
          <w:lang w:val="sr-Latn-ME"/>
        </w:rPr>
        <w:t xml:space="preserve"> (Sl. list CG br. 25/10, 40/11, 43/15, 73/19, 84/24) – predstavlja pravni osnov za upravljanje kvalitetom vazduha, iako Nacionalna strategija upravljanja kvalitetom vazduha (u izradi od 2019) još nije usvojena. Zakon reguliše monitoring kvaliteta vazduha, mjere zaštite, procjenu i </w:t>
      </w:r>
      <w:proofErr w:type="spellStart"/>
      <w:r w:rsidRPr="00F33088">
        <w:rPr>
          <w:lang w:val="sr-Latn-ME"/>
        </w:rPr>
        <w:t>unapređenje</w:t>
      </w:r>
      <w:proofErr w:type="spellEnd"/>
      <w:r w:rsidRPr="00F33088">
        <w:rPr>
          <w:lang w:val="sr-Latn-ME"/>
        </w:rPr>
        <w:t xml:space="preserve"> kvaliteta vazduha, kao i planiranje i upravljanje. Vazduh, kao prirodno dobro od opšteg interesa, uživa posebnu zaštitu u Crnoj Gori;</w:t>
      </w:r>
    </w:p>
    <w:p w14:paraId="3E191501" w14:textId="77777777" w:rsidR="00786AA6" w:rsidRPr="00F33088" w:rsidRDefault="00786AA6" w:rsidP="00976EA2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zaštiti od buke u životnoj sredini</w:t>
      </w:r>
      <w:r w:rsidRPr="00F33088">
        <w:rPr>
          <w:lang w:val="sr-Latn-ME"/>
        </w:rPr>
        <w:t xml:space="preserve"> (Sl. list CG, br. 28/11, 1/14) - utvrđuju mjere za sprječavanje ili smanjivanje štetnog uticaja buke u životnoj sredini i druga pitanja od značaja za zaštitu životne sredine i zdravlja </w:t>
      </w:r>
      <w:proofErr w:type="spellStart"/>
      <w:r w:rsidRPr="00F33088">
        <w:rPr>
          <w:lang w:val="sr-Latn-ME"/>
        </w:rPr>
        <w:t>ljudi</w:t>
      </w:r>
      <w:proofErr w:type="spellEnd"/>
      <w:r w:rsidRPr="00F33088">
        <w:rPr>
          <w:lang w:val="sr-Latn-ME"/>
        </w:rPr>
        <w:t xml:space="preserve"> od uticaja buke.</w:t>
      </w:r>
    </w:p>
    <w:p w14:paraId="3E191502" w14:textId="77777777" w:rsidR="00E25CA0" w:rsidRPr="00F33088" w:rsidRDefault="00E25CA0" w:rsidP="00976EA2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 xml:space="preserve">Zakon o zelenim obveznicama i održivim obveznicama </w:t>
      </w:r>
      <w:r w:rsidRPr="00F33088">
        <w:rPr>
          <w:lang w:val="sr-Latn-ME"/>
        </w:rPr>
        <w:t>(Sl. list CB, br. 14/26) – uvodi okvir za usmjeravanje finansiranja ka održivim i ekološki prihvatljivim investicijama, u skladu sa EU zelenom agendom</w:t>
      </w:r>
      <w:r w:rsidR="008A4189" w:rsidRPr="00F33088">
        <w:rPr>
          <w:lang w:val="sr-Latn-ME"/>
        </w:rPr>
        <w:t>, jača</w:t>
      </w:r>
      <w:r w:rsidRPr="00F33088">
        <w:rPr>
          <w:lang w:val="sr-Latn-ME"/>
        </w:rPr>
        <w:t xml:space="preserve"> </w:t>
      </w:r>
      <w:r w:rsidR="008A4189" w:rsidRPr="00F33088">
        <w:rPr>
          <w:lang w:val="sr-Latn-ME"/>
        </w:rPr>
        <w:t>pristup</w:t>
      </w:r>
      <w:r w:rsidRPr="00F33088">
        <w:rPr>
          <w:lang w:val="sr-Latn-ME"/>
        </w:rPr>
        <w:t xml:space="preserve"> EU i međunarodnim fondovima</w:t>
      </w:r>
      <w:r w:rsidR="008A4189" w:rsidRPr="00F33088">
        <w:rPr>
          <w:lang w:val="sr-Latn-ME"/>
        </w:rPr>
        <w:t xml:space="preserve"> i</w:t>
      </w:r>
      <w:r w:rsidRPr="00F33088">
        <w:rPr>
          <w:lang w:val="sr-Latn-ME"/>
        </w:rPr>
        <w:t xml:space="preserve"> </w:t>
      </w:r>
      <w:r w:rsidR="008A4189" w:rsidRPr="00F33088">
        <w:rPr>
          <w:lang w:val="sr-Latn-ME"/>
        </w:rPr>
        <w:t>podstiče</w:t>
      </w:r>
      <w:r w:rsidRPr="00F33088">
        <w:rPr>
          <w:lang w:val="sr-Latn-ME"/>
        </w:rPr>
        <w:t xml:space="preserve"> </w:t>
      </w:r>
      <w:r w:rsidR="008A4189" w:rsidRPr="00F33088">
        <w:rPr>
          <w:lang w:val="sr-Latn-ME"/>
        </w:rPr>
        <w:t>zelene</w:t>
      </w:r>
      <w:r w:rsidRPr="00F33088">
        <w:rPr>
          <w:lang w:val="sr-Latn-ME"/>
        </w:rPr>
        <w:t xml:space="preserve"> </w:t>
      </w:r>
      <w:r w:rsidR="008A4189" w:rsidRPr="00F33088">
        <w:rPr>
          <w:lang w:val="sr-Latn-ME"/>
        </w:rPr>
        <w:t>investicije i uvođenje ESG standarda poslovanja</w:t>
      </w:r>
      <w:r w:rsidRPr="00F33088">
        <w:rPr>
          <w:lang w:val="sr-Latn-ME"/>
        </w:rPr>
        <w:t>.</w:t>
      </w:r>
    </w:p>
    <w:p w14:paraId="3E191503" w14:textId="77777777" w:rsidR="0015611C" w:rsidRPr="00F33088" w:rsidRDefault="0015611C" w:rsidP="0015611C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 xml:space="preserve">Prostorni plan Crne Gore do 2040. godine </w:t>
      </w:r>
      <w:proofErr w:type="spellStart"/>
      <w:r w:rsidRPr="00F33088">
        <w:rPr>
          <w:lang w:val="sr-Latn-ME"/>
        </w:rPr>
        <w:t>donijet</w:t>
      </w:r>
      <w:proofErr w:type="spellEnd"/>
      <w:r w:rsidRPr="00F33088">
        <w:rPr>
          <w:lang w:val="sr-Latn-ME"/>
        </w:rPr>
        <w:t xml:space="preserve"> je</w:t>
      </w:r>
      <w:r w:rsidRPr="00F33088">
        <w:rPr>
          <w:b/>
          <w:lang w:val="sr-Latn-ME"/>
        </w:rPr>
        <w:t xml:space="preserve"> </w:t>
      </w:r>
      <w:r w:rsidRPr="00F33088">
        <w:rPr>
          <w:lang w:val="sr-Latn-ME"/>
        </w:rPr>
        <w:t>juna 2025. godine (</w:t>
      </w:r>
      <w:proofErr w:type="spellStart"/>
      <w:r w:rsidRPr="00F33088">
        <w:rPr>
          <w:lang w:val="sr-Latn-ME"/>
        </w:rPr>
        <w:t>Sl.list</w:t>
      </w:r>
      <w:proofErr w:type="spellEnd"/>
      <w:r w:rsidRPr="00F33088">
        <w:rPr>
          <w:lang w:val="sr-Latn-ME"/>
        </w:rPr>
        <w:t xml:space="preserve"> CG br. 68/25); a zbog same specifičnosti opštine i zaliva Boke Kotorske </w:t>
      </w:r>
      <w:proofErr w:type="spellStart"/>
      <w:r w:rsidRPr="00F33088">
        <w:rPr>
          <w:lang w:val="sr-Latn-ME"/>
        </w:rPr>
        <w:t>donijet</w:t>
      </w:r>
      <w:proofErr w:type="spellEnd"/>
      <w:r w:rsidRPr="00F33088">
        <w:rPr>
          <w:lang w:val="sr-Latn-ME"/>
        </w:rPr>
        <w:t xml:space="preserve"> je i </w:t>
      </w:r>
      <w:r w:rsidRPr="00F33088">
        <w:rPr>
          <w:b/>
          <w:lang w:val="sr-Latn-ME"/>
        </w:rPr>
        <w:t xml:space="preserve">Zakon o </w:t>
      </w:r>
      <w:proofErr w:type="spellStart"/>
      <w:r w:rsidRPr="00F33088">
        <w:rPr>
          <w:b/>
          <w:lang w:val="sr-Latn-ME"/>
        </w:rPr>
        <w:t>o</w:t>
      </w:r>
      <w:proofErr w:type="spellEnd"/>
      <w:r w:rsidRPr="00F33088">
        <w:rPr>
          <w:b/>
          <w:lang w:val="sr-Latn-ME"/>
        </w:rPr>
        <w:t xml:space="preserve"> zaštiti prirodnog i kulturno istorijskog područja Kotora</w:t>
      </w:r>
      <w:r w:rsidRPr="00F33088">
        <w:rPr>
          <w:lang w:val="sr-Latn-ME"/>
        </w:rPr>
        <w:t xml:space="preserve"> ('Sl. list' CG, br.  56/13, 13/18, 67/19 i 33/26);</w:t>
      </w:r>
    </w:p>
    <w:p w14:paraId="3E191504" w14:textId="77777777" w:rsidR="000C63B1" w:rsidRPr="00F33088" w:rsidRDefault="000C63B1" w:rsidP="0015611C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 xml:space="preserve">Zakon o izgradnji objekata </w:t>
      </w:r>
      <w:r w:rsidRPr="00F33088">
        <w:rPr>
          <w:lang w:val="sr-Latn-ME"/>
        </w:rPr>
        <w:t>(</w:t>
      </w:r>
      <w:proofErr w:type="spellStart"/>
      <w:r w:rsidRPr="00F33088">
        <w:rPr>
          <w:lang w:val="sr-Latn-ME"/>
        </w:rPr>
        <w:t>Sl.list</w:t>
      </w:r>
      <w:proofErr w:type="spellEnd"/>
      <w:r w:rsidRPr="00F33088">
        <w:rPr>
          <w:lang w:val="sr-Latn-ME"/>
        </w:rPr>
        <w:t xml:space="preserve"> CG, br. 19/25, 92/25, 160/25);</w:t>
      </w:r>
    </w:p>
    <w:p w14:paraId="3E191505" w14:textId="77777777" w:rsidR="004D6456" w:rsidRPr="00F33088" w:rsidRDefault="004D6456" w:rsidP="004D6456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Nacionalna strategija održivog razvoja do 2030. godine</w:t>
      </w:r>
      <w:r w:rsidRPr="00F33088">
        <w:rPr>
          <w:lang w:val="sr-Latn-ME"/>
        </w:rPr>
        <w:t xml:space="preserve"> (usvojena 2016) - i dalje krovna, horizontalna, i dugoročna razvojna strategija Crne Gore, koja transponuje Ciljeve održivog razvoja UN u nacionalni kontekst i ne odnosi se samo na životnu sredinu i ekonomiju, već i na nezamjenljive ljudske resurse i dragocjeni društveni kapital koji treba da omoguće prosperitetan razvoj;</w:t>
      </w:r>
    </w:p>
    <w:p w14:paraId="3E191506" w14:textId="77777777" w:rsidR="004D6456" w:rsidRPr="00F33088" w:rsidRDefault="004D6456" w:rsidP="004D6456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rStyle w:val="Naglaeno"/>
          <w:lang w:val="sr-Latn-ME"/>
        </w:rPr>
        <w:t>Nacionalna strategija integralnog upravljanja obalnim područjem Crne Gore (NS IUOP, 2015)</w:t>
      </w:r>
      <w:r w:rsidRPr="00F33088">
        <w:rPr>
          <w:lang w:val="sr-Latn-ME"/>
        </w:rPr>
        <w:t xml:space="preserve"> predstavlja okvir za održivo, koordinisano i </w:t>
      </w:r>
      <w:proofErr w:type="spellStart"/>
      <w:r w:rsidRPr="00F33088">
        <w:rPr>
          <w:lang w:val="sr-Latn-ME"/>
        </w:rPr>
        <w:t>multisektorsko</w:t>
      </w:r>
      <w:proofErr w:type="spellEnd"/>
      <w:r w:rsidRPr="00F33088">
        <w:rPr>
          <w:lang w:val="sr-Latn-ME"/>
        </w:rPr>
        <w:t xml:space="preserve"> upravljanje obalnim područjem, uz povezivanje prostornog planiranja, zaštite životne sredine, turizma, infrastrukture, zaštite mora i obalnih resursa. Cilj Strategije je da se smanje pritisci na obalni prostor, unaprijedi koordinacija institucija i obezbijedi dugoročno očuvanje prirodnih, pejzažnih i razvojnih vrijednosti obale.</w:t>
      </w:r>
    </w:p>
    <w:p w14:paraId="3E191507" w14:textId="77777777" w:rsidR="0073054F" w:rsidRPr="00F33088" w:rsidRDefault="0073054F" w:rsidP="004D6456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rStyle w:val="Naglaeno"/>
          <w:lang w:val="sr-Latn-ME"/>
        </w:rPr>
        <w:t>Strategija zaštite morske sredine do 2036. godine (2026)</w:t>
      </w:r>
      <w:r w:rsidRPr="00F33088">
        <w:rPr>
          <w:rStyle w:val="Referencafusnote"/>
          <w:b/>
          <w:bCs/>
          <w:lang w:val="sr-Latn-ME"/>
        </w:rPr>
        <w:footnoteReference w:id="10"/>
      </w:r>
    </w:p>
    <w:p w14:paraId="3E191508" w14:textId="77777777" w:rsidR="004D6456" w:rsidRPr="00F33088" w:rsidRDefault="004D6456" w:rsidP="004D6456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Mapa puta ka cirkularnoj ekonomiji u Crnoj Gori</w:t>
      </w:r>
      <w:r w:rsidRPr="00F33088">
        <w:rPr>
          <w:lang w:val="sr-Latn-ME"/>
        </w:rPr>
        <w:t xml:space="preserve"> (UNDP, 2022);</w:t>
      </w:r>
    </w:p>
    <w:p w14:paraId="3E191509" w14:textId="77777777" w:rsidR="004D6456" w:rsidRPr="00F33088" w:rsidRDefault="004D6456" w:rsidP="004D6456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Nacionalna strategija cirkularne tranzicije do 2030. godine</w:t>
      </w:r>
      <w:r w:rsidRPr="00F33088">
        <w:rPr>
          <w:lang w:val="sr-Latn-ME"/>
        </w:rPr>
        <w:t xml:space="preserve"> (2022)</w:t>
      </w:r>
      <w:r w:rsidRPr="00F33088">
        <w:rPr>
          <w:rStyle w:val="Referencafusnote"/>
          <w:lang w:val="sr-Latn-ME"/>
        </w:rPr>
        <w:footnoteReference w:id="11"/>
      </w:r>
      <w:r w:rsidRPr="00F33088">
        <w:rPr>
          <w:lang w:val="sr-Latn-ME"/>
        </w:rPr>
        <w:t>. Sprovodi se Akcioni plan za period 2025-2026. godine</w:t>
      </w:r>
      <w:r w:rsidRPr="00F33088">
        <w:rPr>
          <w:rStyle w:val="Referencafusnote"/>
          <w:lang w:val="sr-Latn-ME"/>
        </w:rPr>
        <w:footnoteReference w:id="12"/>
      </w:r>
      <w:r w:rsidRPr="00F33088">
        <w:rPr>
          <w:lang w:val="sr-Latn-ME"/>
        </w:rPr>
        <w:t>;</w:t>
      </w:r>
    </w:p>
    <w:p w14:paraId="3E19150A" w14:textId="77777777" w:rsidR="004D6456" w:rsidRPr="00F33088" w:rsidRDefault="004D6456" w:rsidP="004D6456">
      <w:pPr>
        <w:pStyle w:val="Odlomakpopisa"/>
        <w:numPr>
          <w:ilvl w:val="0"/>
          <w:numId w:val="13"/>
        </w:numPr>
        <w:spacing w:after="0"/>
        <w:rPr>
          <w:rFonts w:ascii="Arial" w:eastAsia="Arial" w:hAnsi="Arial" w:cs="Arial"/>
          <w:bCs/>
          <w:szCs w:val="20"/>
          <w:lang w:val="sr-Latn-ME"/>
        </w:rPr>
      </w:pPr>
      <w:r w:rsidRPr="00F33088">
        <w:rPr>
          <w:rFonts w:ascii="Arial" w:eastAsia="Arial" w:hAnsi="Arial" w:cs="Arial"/>
          <w:b/>
          <w:bCs/>
          <w:szCs w:val="20"/>
          <w:lang w:val="sr-Latn-ME"/>
        </w:rPr>
        <w:t xml:space="preserve">Nacionalna </w:t>
      </w:r>
      <w:proofErr w:type="spellStart"/>
      <w:r w:rsidRPr="00F33088">
        <w:rPr>
          <w:rFonts w:ascii="Arial" w:eastAsia="Arial" w:hAnsi="Arial" w:cs="Arial"/>
          <w:b/>
          <w:bCs/>
          <w:szCs w:val="20"/>
          <w:lang w:val="sr-Latn-ME"/>
        </w:rPr>
        <w:t>stategija</w:t>
      </w:r>
      <w:proofErr w:type="spellEnd"/>
      <w:r w:rsidRPr="00F33088">
        <w:rPr>
          <w:rFonts w:ascii="Arial" w:eastAsia="Arial" w:hAnsi="Arial" w:cs="Arial"/>
          <w:b/>
          <w:bCs/>
          <w:szCs w:val="20"/>
          <w:lang w:val="sr-Latn-ME"/>
        </w:rPr>
        <w:t xml:space="preserve"> biodiverziteta 2026-2031. godine</w:t>
      </w:r>
      <w:r w:rsidRPr="00F33088">
        <w:rPr>
          <w:rFonts w:ascii="Arial" w:eastAsia="Arial" w:hAnsi="Arial" w:cs="Arial"/>
          <w:bCs/>
          <w:szCs w:val="20"/>
          <w:lang w:val="sr-Latn-ME"/>
        </w:rPr>
        <w:t xml:space="preserve"> (NSBAP 2026-2031) sa Akcionim planom 2026-2028. godine (u finalnoj fazi usvajanja).</w:t>
      </w:r>
    </w:p>
    <w:p w14:paraId="3E19150B" w14:textId="77777777" w:rsidR="00F66BC7" w:rsidRPr="00F33088" w:rsidRDefault="00F66BC7" w:rsidP="00F66BC7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klimatskim promjenama</w:t>
      </w:r>
      <w:r w:rsidRPr="00F33088">
        <w:rPr>
          <w:lang w:val="sr-Latn-ME"/>
        </w:rPr>
        <w:t xml:space="preserve"> (Sl. list CG br. 149/25) – uvodi obavezu izrade Strategije </w:t>
      </w:r>
      <w:proofErr w:type="spellStart"/>
      <w:r w:rsidRPr="00F33088">
        <w:rPr>
          <w:lang w:val="sr-Latn-ME"/>
        </w:rPr>
        <w:t>niskougljeničnog</w:t>
      </w:r>
      <w:proofErr w:type="spellEnd"/>
      <w:r w:rsidRPr="00F33088">
        <w:rPr>
          <w:lang w:val="sr-Latn-ME"/>
        </w:rPr>
        <w:t xml:space="preserve"> razvoja i uspostavlja pravni osnov za nacionalni sistem trgovine emisijama (ETS);</w:t>
      </w:r>
    </w:p>
    <w:p w14:paraId="3E19150C" w14:textId="77777777" w:rsidR="00976EA2" w:rsidRPr="00F33088" w:rsidRDefault="00976EA2" w:rsidP="00976EA2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lastRenderedPageBreak/>
        <w:t>Nacionalni plan adaptacije na klimatske promjene 2025–2035</w:t>
      </w:r>
      <w:r w:rsidRPr="00F33088">
        <w:rPr>
          <w:lang w:val="sr-Latn-ME"/>
        </w:rPr>
        <w:t xml:space="preserve"> (jul 2025);</w:t>
      </w:r>
    </w:p>
    <w:p w14:paraId="3E19150D" w14:textId="77777777" w:rsidR="00EC5488" w:rsidRPr="00F33088" w:rsidRDefault="00EC5488" w:rsidP="00EC5488">
      <w:pPr>
        <w:rPr>
          <w:rFonts w:ascii="Aptos" w:hAnsi="Aptos" w:cs="Times New Roman"/>
          <w:color w:val="000000"/>
          <w:shd w:val="clear" w:color="auto" w:fill="FFFFFF"/>
          <w:lang w:val="sr-Latn-ME"/>
        </w:rPr>
      </w:pPr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Ključni </w:t>
      </w: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>specifični planovi za implementaciju EU propisa</w:t>
      </w:r>
      <w:r w:rsidR="00C60123" w:rsidRPr="00F33088">
        <w:rPr>
          <w:rStyle w:val="Referencafusnote"/>
          <w:rFonts w:ascii="Aptos" w:hAnsi="Aptos" w:cs="Times New Roman"/>
          <w:color w:val="000000"/>
          <w:shd w:val="clear" w:color="auto" w:fill="FFFFFF"/>
          <w:lang w:val="sr-Latn-ME"/>
        </w:rPr>
        <w:footnoteReference w:id="13"/>
      </w:r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u oblasti životne sredine koje Crna Gora donosi prvenstveno obuhvataju:</w:t>
      </w:r>
    </w:p>
    <w:p w14:paraId="3E19150E" w14:textId="77777777" w:rsidR="002012B9" w:rsidRPr="00F33088" w:rsidRDefault="002012B9" w:rsidP="00EC5488">
      <w:pPr>
        <w:pStyle w:val="Odlomakpopisa"/>
        <w:numPr>
          <w:ilvl w:val="0"/>
          <w:numId w:val="18"/>
        </w:numPr>
        <w:spacing w:after="0"/>
        <w:rPr>
          <w:rFonts w:ascii="Aptos" w:hAnsi="Aptos" w:cs="Times New Roman"/>
          <w:color w:val="000000"/>
          <w:shd w:val="clear" w:color="auto" w:fill="FFFFFF"/>
          <w:lang w:val="sr-Latn-ME"/>
        </w:rPr>
      </w:pP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 xml:space="preserve">Specifični plan implementacije </w:t>
      </w:r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koji obuhvata sljedeće:</w:t>
      </w:r>
    </w:p>
    <w:p w14:paraId="3E19150F" w14:textId="77777777" w:rsidR="00EC5488" w:rsidRPr="00F33088" w:rsidRDefault="00EC5488" w:rsidP="002012B9">
      <w:pPr>
        <w:pStyle w:val="Odlomakpopisa"/>
        <w:numPr>
          <w:ilvl w:val="0"/>
          <w:numId w:val="18"/>
        </w:numPr>
        <w:spacing w:after="0"/>
        <w:ind w:left="1170"/>
        <w:rPr>
          <w:rFonts w:ascii="Aptos" w:hAnsi="Aptos" w:cs="Times New Roman"/>
          <w:color w:val="000000"/>
          <w:shd w:val="clear" w:color="auto" w:fill="FFFFFF"/>
          <w:lang w:val="sr-Latn-ME"/>
        </w:rPr>
      </w:pP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>Direktiva 94/62/EC</w:t>
      </w:r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>o ambalaži i ambalažnom otpadu</w:t>
      </w:r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je zamijenjena sa </w:t>
      </w:r>
      <w:hyperlink r:id="rId10" w:history="1">
        <w:proofErr w:type="spellStart"/>
        <w:r w:rsidRPr="00F33088">
          <w:rPr>
            <w:rStyle w:val="Hiperveza"/>
            <w:rFonts w:ascii="Aptos" w:hAnsi="Aptos" w:cs="Times New Roman"/>
            <w:b/>
            <w:shd w:val="clear" w:color="auto" w:fill="FFFFFF"/>
            <w:lang w:val="sr-Latn-ME"/>
          </w:rPr>
          <w:t>Regulation</w:t>
        </w:r>
        <w:proofErr w:type="spellEnd"/>
        <w:r w:rsidRPr="00F33088">
          <w:rPr>
            <w:rStyle w:val="Hiperveza"/>
            <w:rFonts w:ascii="Aptos" w:hAnsi="Aptos" w:cs="Times New Roman"/>
            <w:b/>
            <w:shd w:val="clear" w:color="auto" w:fill="FFFFFF"/>
            <w:lang w:val="sr-Latn-ME"/>
          </w:rPr>
          <w:t xml:space="preserve"> (EU) 2025/40</w:t>
        </w:r>
      </w:hyperlink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on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packaging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and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packaging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waste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(Regulativa o ambalaži i ambalažnom otpadu), gdje je fokus na dostizanje ciljeva za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ponovu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upotrebu i reciklažu ambalažnog otpada;</w:t>
      </w:r>
    </w:p>
    <w:p w14:paraId="3E191510" w14:textId="77777777" w:rsidR="00EC5488" w:rsidRPr="00F33088" w:rsidRDefault="00EC5488" w:rsidP="002012B9">
      <w:pPr>
        <w:pStyle w:val="Odlomakpopisa"/>
        <w:numPr>
          <w:ilvl w:val="0"/>
          <w:numId w:val="18"/>
        </w:numPr>
        <w:spacing w:after="0"/>
        <w:ind w:left="1170"/>
        <w:rPr>
          <w:rFonts w:ascii="Aptos" w:hAnsi="Aptos" w:cs="Times New Roman"/>
          <w:color w:val="000000"/>
          <w:shd w:val="clear" w:color="auto" w:fill="FFFFFF"/>
          <w:lang w:val="sr-Latn-ME"/>
        </w:rPr>
      </w:pP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>Direktiva o deponijama otpada</w:t>
      </w:r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(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Council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Directive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hyperlink r:id="rId11" w:history="1">
        <w:r w:rsidRPr="00F33088">
          <w:rPr>
            <w:rStyle w:val="Hiperveza"/>
            <w:rFonts w:ascii="Aptos" w:hAnsi="Aptos" w:cs="Times New Roman"/>
            <w:lang w:val="sr-Latn-ME"/>
          </w:rPr>
          <w:t>1999/31/EC</w:t>
        </w:r>
        <w:r w:rsidRPr="00F33088">
          <w:rPr>
            <w:rStyle w:val="Hiperveza"/>
            <w:rFonts w:ascii="Aptos" w:hAnsi="Aptos" w:cs="Times New Roman"/>
            <w:shd w:val="clear" w:color="auto" w:fill="FFFFFF"/>
            <w:lang w:val="sr-Latn-ME"/>
          </w:rPr>
          <w:t xml:space="preserve"> </w:t>
        </w:r>
        <w:proofErr w:type="spellStart"/>
        <w:r w:rsidRPr="00F33088">
          <w:rPr>
            <w:rStyle w:val="Hiperveza"/>
            <w:rFonts w:ascii="Aptos" w:hAnsi="Aptos" w:cs="Times New Roman"/>
            <w:shd w:val="clear" w:color="auto" w:fill="FFFFFF"/>
            <w:lang w:val="sr-Latn-ME"/>
          </w:rPr>
          <w:t>of</w:t>
        </w:r>
        <w:proofErr w:type="spellEnd"/>
        <w:r w:rsidRPr="00F33088">
          <w:rPr>
            <w:rStyle w:val="Hiperveza"/>
            <w:rFonts w:ascii="Aptos" w:hAnsi="Aptos" w:cs="Times New Roman"/>
            <w:shd w:val="clear" w:color="auto" w:fill="FFFFFF"/>
            <w:lang w:val="sr-Latn-ME"/>
          </w:rPr>
          <w:t xml:space="preserve"> 26 Apr</w:t>
        </w:r>
      </w:hyperlink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il 1999 on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the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landfill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waste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- fokus na značajno smanjenje broja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nesanitarnih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deponija, izgradnja regionalnih sanitarnih deponija i uspostavljanje sistema upravljanja otpadom;</w:t>
      </w:r>
    </w:p>
    <w:p w14:paraId="3E191511" w14:textId="77777777" w:rsidR="005C7D66" w:rsidRPr="00F33088" w:rsidRDefault="002012B9" w:rsidP="002012B9">
      <w:pPr>
        <w:pStyle w:val="Odlomakpopisa"/>
        <w:numPr>
          <w:ilvl w:val="0"/>
          <w:numId w:val="18"/>
        </w:numPr>
        <w:spacing w:after="0"/>
        <w:ind w:left="1170"/>
        <w:rPr>
          <w:rFonts w:ascii="Aptos" w:hAnsi="Aptos" w:cs="Calibri"/>
          <w:lang w:val="sr-Latn-ME"/>
        </w:rPr>
      </w:pP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>Okvirna d</w:t>
      </w:r>
      <w:r w:rsidR="00EC5488"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>irektiva o otpadu</w:t>
      </w:r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(</w:t>
      </w:r>
      <w:proofErr w:type="spellStart"/>
      <w:r w:rsidR="00EC5488" w:rsidRPr="00F33088">
        <w:rPr>
          <w:lang w:val="sr-Latn-ME"/>
        </w:rPr>
        <w:fldChar w:fldCharType="begin"/>
      </w:r>
      <w:r w:rsidR="00EC5488" w:rsidRPr="00F33088">
        <w:rPr>
          <w:lang w:val="sr-Latn-ME"/>
        </w:rPr>
        <w:instrText>HYPERLINK "https://eur-lex.europa.eu/eli/dir/2008/98/oj/eng"</w:instrText>
      </w:r>
      <w:r w:rsidR="00EC5488" w:rsidRPr="00F33088">
        <w:rPr>
          <w:lang w:val="sr-Latn-ME"/>
        </w:rPr>
      </w:r>
      <w:r w:rsidR="00EC5488" w:rsidRPr="00F33088">
        <w:rPr>
          <w:lang w:val="sr-Latn-ME"/>
        </w:rPr>
        <w:fldChar w:fldCharType="separate"/>
      </w:r>
      <w:r w:rsidR="00EC5488" w:rsidRPr="00F33088">
        <w:rPr>
          <w:rStyle w:val="Hiperveza"/>
          <w:lang w:val="sr-Latn-ME"/>
        </w:rPr>
        <w:t>Directive</w:t>
      </w:r>
      <w:proofErr w:type="spellEnd"/>
      <w:r w:rsidR="00EC5488" w:rsidRPr="00F33088">
        <w:rPr>
          <w:rStyle w:val="Hiperveza"/>
          <w:lang w:val="sr-Latn-ME"/>
        </w:rPr>
        <w:t xml:space="preserve"> 2008/98/EC</w:t>
      </w:r>
      <w:r w:rsidR="00EC5488" w:rsidRPr="00F33088">
        <w:rPr>
          <w:lang w:val="sr-Latn-ME"/>
        </w:rPr>
        <w:fldChar w:fldCharType="end"/>
      </w:r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of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the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European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Parliament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and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of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the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Council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of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19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November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2008 on </w:t>
      </w:r>
      <w:proofErr w:type="spellStart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waste</w:t>
      </w:r>
      <w:proofErr w:type="spellEnd"/>
      <w:r w:rsidR="00EC5488"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) sa fokusom na usklađivanje politika upravljanja otpadom sa EU ciljevima, uspostavljanje hijerarhije u upravljanju otpadom, povećanju stope reciklaže i ponovne upotrebe</w:t>
      </w:r>
      <w:r w:rsidR="00EC5488" w:rsidRPr="00F33088">
        <w:rPr>
          <w:rFonts w:ascii="Segoe UI" w:hAnsi="Segoe UI" w:cs="Segoe UI"/>
          <w:bCs/>
          <w:shd w:val="clear" w:color="auto" w:fill="FFFFFF"/>
          <w:lang w:val="sr-Latn-ME"/>
        </w:rPr>
        <w:t xml:space="preserve">; </w:t>
      </w:r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uključujući i</w:t>
      </w:r>
      <w:r w:rsidR="00EC5488" w:rsidRPr="00F33088">
        <w:rPr>
          <w:rFonts w:ascii="Segoe UI" w:hAnsi="Segoe UI" w:cs="Segoe UI"/>
          <w:bCs/>
          <w:shd w:val="clear" w:color="auto" w:fill="FFFFFF"/>
          <w:lang w:val="sr-Latn-ME"/>
        </w:rPr>
        <w:t xml:space="preserve"> </w:t>
      </w:r>
      <w:hyperlink r:id="rId12" w:history="1">
        <w:proofErr w:type="spellStart"/>
        <w:r w:rsidR="00EC5488" w:rsidRPr="00F33088">
          <w:rPr>
            <w:rStyle w:val="Hiperveza"/>
            <w:rFonts w:ascii="Aptos" w:hAnsi="Aptos" w:cs="Segoe UI"/>
            <w:bCs/>
            <w:shd w:val="clear" w:color="auto" w:fill="FFFFFF"/>
            <w:lang w:val="sr-Latn-ME"/>
          </w:rPr>
          <w:t>Directive</w:t>
        </w:r>
        <w:proofErr w:type="spellEnd"/>
        <w:r w:rsidR="00EC5488" w:rsidRPr="00F33088">
          <w:rPr>
            <w:rStyle w:val="Hiperveza"/>
            <w:rFonts w:ascii="Aptos" w:hAnsi="Aptos" w:cs="Segoe UI"/>
            <w:bCs/>
            <w:shd w:val="clear" w:color="auto" w:fill="FFFFFF"/>
            <w:lang w:val="sr-Latn-ME"/>
          </w:rPr>
          <w:t xml:space="preserve"> 2012/19/EU</w:t>
        </w:r>
      </w:hyperlink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of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the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European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Parliament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and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of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the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Council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of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4 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July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2012 on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waste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electrical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and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electronic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equipment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(WEEE) – o otpadnoj električnoj i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elektroničnoj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opremi, kao i </w:t>
      </w:r>
      <w:hyperlink r:id="rId13" w:history="1">
        <w:proofErr w:type="spellStart"/>
        <w:r w:rsidR="00EC5488" w:rsidRPr="00F33088">
          <w:rPr>
            <w:rStyle w:val="Hiperveza"/>
            <w:rFonts w:ascii="Aptos" w:hAnsi="Aptos" w:cs="Segoe UI"/>
            <w:bCs/>
            <w:shd w:val="clear" w:color="auto" w:fill="FFFFFF"/>
            <w:lang w:val="sr-Latn-ME"/>
          </w:rPr>
          <w:t>Directive</w:t>
        </w:r>
        <w:proofErr w:type="spellEnd"/>
        <w:r w:rsidR="00EC5488" w:rsidRPr="00F33088">
          <w:rPr>
            <w:rStyle w:val="Hiperveza"/>
            <w:rFonts w:ascii="Aptos" w:hAnsi="Aptos" w:cs="Segoe UI"/>
            <w:bCs/>
            <w:shd w:val="clear" w:color="auto" w:fill="FFFFFF"/>
            <w:lang w:val="sr-Latn-ME"/>
          </w:rPr>
          <w:t xml:space="preserve"> 2006/66/EC</w:t>
        </w:r>
      </w:hyperlink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of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the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European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Parliament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and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of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the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Council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of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6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September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2006 on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batteries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and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accumulators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and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waste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batteries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and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accumulators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and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repealing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>Directive</w:t>
      </w:r>
      <w:proofErr w:type="spellEnd"/>
      <w:r w:rsidR="00EC5488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91/157/EEC - o baterijama i akumulatorima i o otpadnim baterijama i akumulatorima)</w:t>
      </w:r>
      <w:r w:rsidR="009F771C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, koja je zamijenjena </w:t>
      </w:r>
      <w:proofErr w:type="spellStart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>Regulation</w:t>
      </w:r>
      <w:proofErr w:type="spellEnd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(EU) 2023/1542 </w:t>
      </w:r>
      <w:proofErr w:type="spellStart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>concerning</w:t>
      </w:r>
      <w:proofErr w:type="spellEnd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>batteries</w:t>
      </w:r>
      <w:proofErr w:type="spellEnd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>and</w:t>
      </w:r>
      <w:proofErr w:type="spellEnd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>waste</w:t>
      </w:r>
      <w:proofErr w:type="spellEnd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="005C7D66" w:rsidRPr="00F33088">
        <w:rPr>
          <w:rFonts w:ascii="Aptos" w:hAnsi="Aptos" w:cs="Segoe UI"/>
          <w:bCs/>
          <w:shd w:val="clear" w:color="auto" w:fill="FFFFFF"/>
          <w:lang w:val="sr-Latn-ME"/>
        </w:rPr>
        <w:t>batteries</w:t>
      </w:r>
      <w:proofErr w:type="spellEnd"/>
      <w:r w:rsidR="001C112E"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(o baterijama I otpadnim baterijama)</w:t>
      </w:r>
      <w:r w:rsidR="009F771C" w:rsidRPr="00F33088">
        <w:rPr>
          <w:rFonts w:ascii="Aptos" w:hAnsi="Aptos" w:cs="Segoe UI"/>
          <w:bCs/>
          <w:shd w:val="clear" w:color="auto" w:fill="FFFFFF"/>
          <w:lang w:val="sr-Latn-ME"/>
        </w:rPr>
        <w:t>.</w:t>
      </w:r>
    </w:p>
    <w:p w14:paraId="3E191512" w14:textId="77777777" w:rsidR="00EC5488" w:rsidRPr="00F33088" w:rsidRDefault="00EC5488" w:rsidP="00EC5488">
      <w:pPr>
        <w:pStyle w:val="Odlomakpopisa"/>
        <w:numPr>
          <w:ilvl w:val="0"/>
          <w:numId w:val="18"/>
        </w:numPr>
        <w:spacing w:after="0"/>
        <w:rPr>
          <w:rFonts w:ascii="Aptos" w:hAnsi="Aptos" w:cs="Times New Roman"/>
          <w:shd w:val="clear" w:color="auto" w:fill="FFFFFF"/>
          <w:lang w:val="sr-Latn-ME"/>
        </w:rPr>
      </w:pP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 xml:space="preserve">Direktiva o komunalnim otpadnim vodama </w:t>
      </w:r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(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Council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Directive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concerning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Urban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Waste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Water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Treatment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Directive</w:t>
      </w:r>
      <w:proofErr w:type="spellEnd"/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 xml:space="preserve">, </w:t>
      </w:r>
      <w:hyperlink r:id="rId14" w:history="1">
        <w:r w:rsidRPr="00F33088">
          <w:rPr>
            <w:rStyle w:val="Hiperveza"/>
            <w:rFonts w:ascii="Aptos" w:hAnsi="Aptos" w:cs="Times New Roman"/>
            <w:shd w:val="clear" w:color="auto" w:fill="FFFFFF"/>
            <w:lang w:val="sr-Latn-ME"/>
          </w:rPr>
          <w:t>91/271/EEC</w:t>
        </w:r>
      </w:hyperlink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, UWWTD) sa fokusom na izgradnju kanalizacione mreže i uređaja za prečišćavanje.</w:t>
      </w:r>
    </w:p>
    <w:p w14:paraId="3E191513" w14:textId="77777777" w:rsidR="00EC5488" w:rsidRPr="00F33088" w:rsidRDefault="00EC5488" w:rsidP="00EC5488">
      <w:pPr>
        <w:pStyle w:val="Odlomakpopisa"/>
        <w:numPr>
          <w:ilvl w:val="0"/>
          <w:numId w:val="18"/>
        </w:numPr>
        <w:spacing w:after="0"/>
        <w:rPr>
          <w:rFonts w:ascii="Aptos" w:hAnsi="Aptos" w:cs="Times New Roman"/>
          <w:shd w:val="clear" w:color="auto" w:fill="FFFFFF"/>
          <w:lang w:val="sr-Latn-ME"/>
        </w:rPr>
      </w:pP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 xml:space="preserve">Okvirna direktiva o vodama </w:t>
      </w:r>
      <w:r w:rsidRPr="00F33088">
        <w:rPr>
          <w:rFonts w:ascii="Aptos" w:hAnsi="Aptos" w:cs="Times New Roman"/>
          <w:shd w:val="clear" w:color="auto" w:fill="FFFFFF"/>
          <w:lang w:val="sr-Latn-ME"/>
        </w:rPr>
        <w:t>(</w:t>
      </w:r>
      <w:proofErr w:type="spellStart"/>
      <w:r w:rsidRPr="00F33088">
        <w:rPr>
          <w:lang w:val="sr-Latn-ME"/>
        </w:rPr>
        <w:fldChar w:fldCharType="begin"/>
      </w:r>
      <w:r w:rsidRPr="00F33088">
        <w:rPr>
          <w:lang w:val="sr-Latn-ME"/>
        </w:rPr>
        <w:instrText>HYPERLINK "https://eur-lex.europa.eu/eli/dir/2000/60/oj/eng"</w:instrText>
      </w:r>
      <w:r w:rsidRPr="00F33088">
        <w:rPr>
          <w:lang w:val="sr-Latn-ME"/>
        </w:rPr>
      </w:r>
      <w:r w:rsidRPr="00F33088">
        <w:rPr>
          <w:lang w:val="sr-Latn-ME"/>
        </w:rPr>
        <w:fldChar w:fldCharType="separate"/>
      </w:r>
      <w:r w:rsidRPr="00F33088">
        <w:rPr>
          <w:rStyle w:val="Hiperveza"/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Directive</w:t>
      </w:r>
      <w:proofErr w:type="spellEnd"/>
      <w:r w:rsidRPr="00F33088">
        <w:rPr>
          <w:rStyle w:val="Hiperveza"/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2000/60/EC</w:t>
      </w:r>
      <w:r w:rsidRPr="00F33088">
        <w:rPr>
          <w:lang w:val="sr-Latn-ME"/>
        </w:rPr>
        <w:fldChar w:fldCharType="end"/>
      </w:r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the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European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Parliament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and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the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Council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23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October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2000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establishing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a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framework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for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Community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action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in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the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field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water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policy</w:t>
      </w:r>
      <w:proofErr w:type="spellEnd"/>
      <w:r w:rsidRPr="00F33088">
        <w:rPr>
          <w:rFonts w:ascii="Aptos" w:hAnsi="Aptos" w:cs="Times New Roman"/>
          <w:shd w:val="clear" w:color="auto" w:fill="FFFFFF"/>
          <w:lang w:val="sr-Latn-ME"/>
        </w:rPr>
        <w:t>)</w:t>
      </w: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 xml:space="preserve"> </w:t>
      </w:r>
      <w:r w:rsidRPr="00F33088">
        <w:rPr>
          <w:rFonts w:ascii="Aptos" w:hAnsi="Aptos" w:cs="Times New Roman"/>
          <w:shd w:val="clear" w:color="auto" w:fill="FFFFFF"/>
          <w:lang w:val="sr-Latn-ME"/>
        </w:rPr>
        <w:t xml:space="preserve">sa fokusom na strateško </w:t>
      </w:r>
      <w:proofErr w:type="spellStart"/>
      <w:r w:rsidRPr="00F33088">
        <w:rPr>
          <w:rFonts w:ascii="Aptos" w:hAnsi="Aptos" w:cs="Times New Roman"/>
          <w:shd w:val="clear" w:color="auto" w:fill="FFFFFF"/>
          <w:lang w:val="sr-Latn-ME"/>
        </w:rPr>
        <w:t>upravjanje</w:t>
      </w:r>
      <w:proofErr w:type="spellEnd"/>
      <w:r w:rsidRPr="00F33088">
        <w:rPr>
          <w:rFonts w:ascii="Aptos" w:hAnsi="Aptos" w:cs="Times New Roman"/>
          <w:shd w:val="clear" w:color="auto" w:fill="FFFFFF"/>
          <w:lang w:val="sr-Latn-ME"/>
        </w:rPr>
        <w:t xml:space="preserve"> vodnim </w:t>
      </w:r>
      <w:proofErr w:type="spellStart"/>
      <w:r w:rsidRPr="00F33088">
        <w:rPr>
          <w:rFonts w:ascii="Aptos" w:hAnsi="Aptos" w:cs="Times New Roman"/>
          <w:shd w:val="clear" w:color="auto" w:fill="FFFFFF"/>
          <w:lang w:val="sr-Latn-ME"/>
        </w:rPr>
        <w:t>resuresima</w:t>
      </w:r>
      <w:proofErr w:type="spellEnd"/>
      <w:r w:rsidRPr="00F33088">
        <w:rPr>
          <w:rFonts w:ascii="Aptos" w:hAnsi="Aptos" w:cs="Times New Roman"/>
          <w:shd w:val="clear" w:color="auto" w:fill="FFFFFF"/>
          <w:lang w:val="sr-Latn-ME"/>
        </w:rPr>
        <w:t>;</w:t>
      </w:r>
    </w:p>
    <w:p w14:paraId="3E191514" w14:textId="77777777" w:rsidR="00EC5488" w:rsidRPr="00F33088" w:rsidRDefault="00EC5488" w:rsidP="00EC5488">
      <w:pPr>
        <w:pStyle w:val="Odlomakpopisa"/>
        <w:numPr>
          <w:ilvl w:val="0"/>
          <w:numId w:val="18"/>
        </w:numPr>
        <w:spacing w:after="0"/>
        <w:rPr>
          <w:rFonts w:ascii="Aptos" w:hAnsi="Aptos" w:cs="Times New Roman"/>
          <w:shd w:val="clear" w:color="auto" w:fill="FFFFFF"/>
          <w:lang w:val="sr-Latn-ME"/>
        </w:rPr>
      </w:pP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 xml:space="preserve">Direktiva o kvalitetu vode namijenjene za ljudsku potrošnju </w:t>
      </w:r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– Direktiva o vodi za piće,</w:t>
      </w: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 xml:space="preserve"> </w:t>
      </w:r>
      <w:hyperlink r:id="rId15" w:history="1">
        <w:proofErr w:type="spellStart"/>
        <w:r w:rsidRPr="00F33088">
          <w:rPr>
            <w:rStyle w:val="Hiperveza"/>
            <w:rFonts w:ascii="Aptos" w:hAnsi="Aptos"/>
            <w:lang w:val="sr-Latn-ME"/>
          </w:rPr>
          <w:t>Directive</w:t>
        </w:r>
        <w:proofErr w:type="spellEnd"/>
        <w:r w:rsidRPr="00F33088">
          <w:rPr>
            <w:rStyle w:val="Hiperveza"/>
            <w:rFonts w:ascii="Aptos" w:hAnsi="Aptos"/>
            <w:lang w:val="sr-Latn-ME"/>
          </w:rPr>
          <w:t xml:space="preserve"> (EU) 2020/2184</w:t>
        </w:r>
      </w:hyperlink>
      <w:r w:rsidRPr="00F33088">
        <w:rPr>
          <w:rStyle w:val="whitespace-normal"/>
          <w:rFonts w:ascii="Aptos" w:hAnsi="Aptos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the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European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Parliament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and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the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Council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16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December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2020 on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the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quality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water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intended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for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 xml:space="preserve"> human </w:t>
      </w:r>
      <w:proofErr w:type="spellStart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consumption</w:t>
      </w:r>
      <w:proofErr w:type="spellEnd"/>
      <w:r w:rsidRPr="00F33088">
        <w:rPr>
          <w:rFonts w:ascii="Aptos" w:hAnsi="Aptos" w:cs="Segoe UI"/>
          <w:bCs/>
          <w:sz w:val="21"/>
          <w:szCs w:val="21"/>
          <w:shd w:val="clear" w:color="auto" w:fill="FFFFFF"/>
          <w:lang w:val="sr-Latn-ME"/>
        </w:rPr>
        <w:t>, DWD</w:t>
      </w:r>
      <w:r w:rsidRPr="00F33088">
        <w:rPr>
          <w:rFonts w:ascii="Aptos" w:hAnsi="Aptos"/>
          <w:lang w:val="sr-Latn-ME"/>
        </w:rPr>
        <w:t>) koja je zamijenila 98/83/EC na nivou EU od 2021 (Nacrt DSIP</w:t>
      </w:r>
      <w:r w:rsidR="002012B9" w:rsidRPr="00F33088">
        <w:rPr>
          <w:rStyle w:val="Referencafusnote"/>
          <w:rFonts w:ascii="Aptos" w:hAnsi="Aptos"/>
          <w:lang w:val="sr-Latn-ME"/>
        </w:rPr>
        <w:footnoteReference w:id="14"/>
      </w:r>
      <w:r w:rsidRPr="00F33088">
        <w:rPr>
          <w:rFonts w:ascii="Aptos" w:hAnsi="Aptos"/>
          <w:lang w:val="sr-Latn-ME"/>
        </w:rPr>
        <w:t>);</w:t>
      </w:r>
    </w:p>
    <w:p w14:paraId="3E191515" w14:textId="77777777" w:rsidR="00EC5488" w:rsidRPr="00F33088" w:rsidRDefault="00EC5488" w:rsidP="00EC5488">
      <w:pPr>
        <w:pStyle w:val="Odlomakpopisa"/>
        <w:numPr>
          <w:ilvl w:val="0"/>
          <w:numId w:val="18"/>
        </w:numPr>
        <w:spacing w:after="0"/>
        <w:rPr>
          <w:rFonts w:ascii="Aptos" w:hAnsi="Aptos" w:cs="Times New Roman"/>
          <w:shd w:val="clear" w:color="auto" w:fill="FFFFFF"/>
          <w:lang w:val="sr-Latn-ME"/>
        </w:rPr>
      </w:pP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 xml:space="preserve">Direktiva o industrijskim emisijama </w:t>
      </w:r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(</w:t>
      </w:r>
      <w:proofErr w:type="spellStart"/>
      <w:r w:rsidRPr="00F33088">
        <w:rPr>
          <w:lang w:val="sr-Latn-ME"/>
        </w:rPr>
        <w:fldChar w:fldCharType="begin"/>
      </w:r>
      <w:r w:rsidRPr="00F33088">
        <w:rPr>
          <w:lang w:val="sr-Latn-ME"/>
        </w:rPr>
        <w:instrText>HYPERLINK "https://eur-lex.europa.eu/eli/dir/2010/75/oj/eng"</w:instrText>
      </w:r>
      <w:r w:rsidRPr="00F33088">
        <w:rPr>
          <w:lang w:val="sr-Latn-ME"/>
        </w:rPr>
      </w:r>
      <w:r w:rsidRPr="00F33088">
        <w:rPr>
          <w:lang w:val="sr-Latn-ME"/>
        </w:rPr>
        <w:fldChar w:fldCharType="separate"/>
      </w:r>
      <w:r w:rsidRPr="00F33088">
        <w:rPr>
          <w:rStyle w:val="Hiperveza"/>
          <w:rFonts w:ascii="Aptos" w:hAnsi="Aptos" w:cs="Segoe UI"/>
          <w:bCs/>
          <w:shd w:val="clear" w:color="auto" w:fill="FFFFFF"/>
          <w:lang w:val="sr-Latn-ME"/>
        </w:rPr>
        <w:t>Directive</w:t>
      </w:r>
      <w:proofErr w:type="spellEnd"/>
      <w:r w:rsidRPr="00F33088">
        <w:rPr>
          <w:rStyle w:val="Hiperveza"/>
          <w:rFonts w:ascii="Aptos" w:hAnsi="Aptos" w:cs="Segoe UI"/>
          <w:bCs/>
          <w:shd w:val="clear" w:color="auto" w:fill="FFFFFF"/>
          <w:lang w:val="sr-Latn-ME"/>
        </w:rPr>
        <w:t xml:space="preserve"> 2010/75/EU</w:t>
      </w:r>
      <w:r w:rsidRPr="00F33088">
        <w:rPr>
          <w:lang w:val="sr-Latn-ME"/>
        </w:rPr>
        <w:fldChar w:fldCharType="end"/>
      </w:r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the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European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Parliament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and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the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Council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of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24 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November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2010 on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industrial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emissions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- IED (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integrated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pollution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prevention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 xml:space="preserve"> 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and</w:t>
      </w:r>
      <w:proofErr w:type="spellEnd"/>
      <w:r w:rsidRPr="00F33088">
        <w:rPr>
          <w:rFonts w:ascii="Aptos" w:hAnsi="Aptos" w:cs="Segoe UI"/>
          <w:bCs/>
          <w:shd w:val="clear" w:color="auto" w:fill="FFFFFF"/>
          <w:lang w:val="sr-Latn-ME"/>
        </w:rPr>
        <w:t> </w:t>
      </w:r>
      <w:proofErr w:type="spellStart"/>
      <w:r w:rsidRPr="00F33088">
        <w:rPr>
          <w:rFonts w:ascii="Aptos" w:hAnsi="Aptos" w:cs="Segoe UI"/>
          <w:bCs/>
          <w:shd w:val="clear" w:color="auto" w:fill="FFFFFF"/>
          <w:lang w:val="sr-Latn-ME"/>
        </w:rPr>
        <w:t>control</w:t>
      </w:r>
      <w:proofErr w:type="spellEnd"/>
      <w:r w:rsidRPr="00F33088">
        <w:rPr>
          <w:rFonts w:ascii="Aptos" w:hAnsi="Aptos" w:cs="Times New Roman"/>
          <w:shd w:val="clear" w:color="auto" w:fill="FFFFFF"/>
          <w:lang w:val="sr-Latn-ME"/>
        </w:rPr>
        <w:t xml:space="preserve">) sa fokusom </w:t>
      </w:r>
      <w:r w:rsidRPr="00F33088">
        <w:rPr>
          <w:rFonts w:ascii="Aptos" w:eastAsia="Times New Roman" w:hAnsi="Aptos" w:cs="Times New Roman"/>
          <w:lang w:val="sr-Latn-ME"/>
        </w:rPr>
        <w:t>na u</w:t>
      </w:r>
      <w:r w:rsidRPr="00F33088">
        <w:rPr>
          <w:rFonts w:ascii="Aptos" w:eastAsia="Times New Roman" w:hAnsi="Aptos" w:cs="Arial"/>
          <w:lang w:val="sr-Latn-ME"/>
        </w:rPr>
        <w:t>sklađivanje sa najboljim dostupnim tehnikama (BAT) i smanjenje emisija iz velikih industrijskih postrojenja, kontrola zagađenja iz velikih industrijskih postrojenja;</w:t>
      </w:r>
    </w:p>
    <w:p w14:paraId="3E191516" w14:textId="77777777" w:rsidR="00EC5488" w:rsidRPr="00F33088" w:rsidRDefault="00EC5488" w:rsidP="00EC5488">
      <w:pPr>
        <w:pStyle w:val="Odlomakpopisa"/>
        <w:numPr>
          <w:ilvl w:val="0"/>
          <w:numId w:val="18"/>
        </w:numPr>
        <w:spacing w:after="0"/>
        <w:rPr>
          <w:rFonts w:ascii="Aptos" w:hAnsi="Aptos" w:cs="Times New Roman"/>
          <w:shd w:val="clear" w:color="auto" w:fill="FFFFFF"/>
          <w:lang w:val="sr-Latn-ME"/>
        </w:rPr>
      </w:pPr>
      <w:r w:rsidRPr="00F33088">
        <w:rPr>
          <w:rFonts w:ascii="Aptos" w:hAnsi="Aptos" w:cs="Times New Roman"/>
          <w:b/>
          <w:color w:val="000000"/>
          <w:shd w:val="clear" w:color="auto" w:fill="FFFFFF"/>
          <w:lang w:val="sr-Latn-ME"/>
        </w:rPr>
        <w:t xml:space="preserve">Direktiva o kvalitetu vazduha </w:t>
      </w:r>
      <w:r w:rsidRPr="00F33088">
        <w:rPr>
          <w:rFonts w:ascii="Aptos" w:hAnsi="Aptos" w:cs="Times New Roman"/>
          <w:color w:val="000000"/>
          <w:shd w:val="clear" w:color="auto" w:fill="FFFFFF"/>
          <w:lang w:val="sr-Latn-ME"/>
        </w:rPr>
        <w:t>(</w:t>
      </w:r>
      <w:proofErr w:type="spellStart"/>
      <w:r w:rsidRPr="00F33088">
        <w:rPr>
          <w:lang w:val="sr-Latn-ME"/>
        </w:rPr>
        <w:fldChar w:fldCharType="begin"/>
      </w:r>
      <w:r w:rsidRPr="00F33088">
        <w:rPr>
          <w:lang w:val="sr-Latn-ME"/>
        </w:rPr>
        <w:instrText>HYPERLINK "https://eur-lex.europa.eu/eli/dir/2024/2881/oj/eng"</w:instrText>
      </w:r>
      <w:r w:rsidRPr="00F33088">
        <w:rPr>
          <w:lang w:val="sr-Latn-ME"/>
        </w:rPr>
      </w:r>
      <w:r w:rsidRPr="00F33088">
        <w:rPr>
          <w:lang w:val="sr-Latn-ME"/>
        </w:rPr>
        <w:fldChar w:fldCharType="separate"/>
      </w:r>
      <w:r w:rsidRPr="00F33088">
        <w:rPr>
          <w:rStyle w:val="Hiperveza"/>
          <w:rFonts w:ascii="Aptos" w:eastAsia="Times New Roman" w:hAnsi="Aptos" w:cs="Arial"/>
          <w:lang w:val="sr-Latn-ME"/>
        </w:rPr>
        <w:t>Directive</w:t>
      </w:r>
      <w:proofErr w:type="spellEnd"/>
      <w:r w:rsidRPr="00F33088">
        <w:rPr>
          <w:rStyle w:val="Hiperveza"/>
          <w:rFonts w:ascii="Aptos" w:eastAsia="Times New Roman" w:hAnsi="Aptos" w:cs="Arial"/>
          <w:lang w:val="sr-Latn-ME"/>
        </w:rPr>
        <w:t xml:space="preserve"> (EU) 2024/2881</w:t>
      </w:r>
      <w:r w:rsidRPr="00F33088">
        <w:rPr>
          <w:lang w:val="sr-Latn-ME"/>
        </w:rPr>
        <w:fldChar w:fldCharType="end"/>
      </w:r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of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the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European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Parliament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and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of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the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Council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of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23 </w:t>
      </w:r>
      <w:proofErr w:type="spellStart"/>
      <w:r w:rsidRPr="00F33088">
        <w:rPr>
          <w:rFonts w:ascii="Aptos" w:eastAsia="Times New Roman" w:hAnsi="Aptos" w:cs="Arial"/>
          <w:lang w:val="sr-Latn-ME"/>
        </w:rPr>
        <w:t>October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2024 on </w:t>
      </w:r>
      <w:proofErr w:type="spellStart"/>
      <w:r w:rsidRPr="00F33088">
        <w:rPr>
          <w:rFonts w:ascii="Aptos" w:eastAsia="Times New Roman" w:hAnsi="Aptos" w:cs="Arial"/>
          <w:lang w:val="sr-Latn-ME"/>
        </w:rPr>
        <w:t>ambient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air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quality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and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cleaner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air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for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 </w:t>
      </w:r>
      <w:proofErr w:type="spellStart"/>
      <w:r w:rsidRPr="00F33088">
        <w:rPr>
          <w:rFonts w:ascii="Aptos" w:eastAsia="Times New Roman" w:hAnsi="Aptos" w:cs="Arial"/>
          <w:lang w:val="sr-Latn-ME"/>
        </w:rPr>
        <w:t>Europe</w:t>
      </w:r>
      <w:proofErr w:type="spellEnd"/>
      <w:r w:rsidRPr="00F33088">
        <w:rPr>
          <w:rFonts w:ascii="Aptos" w:eastAsia="Times New Roman" w:hAnsi="Aptos" w:cs="Arial"/>
          <w:lang w:val="sr-Latn-ME"/>
        </w:rPr>
        <w:t xml:space="preserve">) </w:t>
      </w:r>
      <w:r w:rsidRPr="00F33088">
        <w:rPr>
          <w:lang w:val="sr-Latn-ME"/>
        </w:rPr>
        <w:t xml:space="preserve">u fokusu ima </w:t>
      </w:r>
      <w:proofErr w:type="spellStart"/>
      <w:r w:rsidRPr="00F33088">
        <w:rPr>
          <w:lang w:val="sr-Latn-ME"/>
        </w:rPr>
        <w:t>unapređenje</w:t>
      </w:r>
      <w:proofErr w:type="spellEnd"/>
      <w:r w:rsidRPr="00F33088">
        <w:rPr>
          <w:lang w:val="sr-Latn-ME"/>
        </w:rPr>
        <w:t xml:space="preserve"> kvaliteta ambijentalnog vazduha i zaštitu zdravlja </w:t>
      </w:r>
      <w:proofErr w:type="spellStart"/>
      <w:r w:rsidRPr="00F33088">
        <w:rPr>
          <w:lang w:val="sr-Latn-ME"/>
        </w:rPr>
        <w:t>ljudi</w:t>
      </w:r>
      <w:proofErr w:type="spellEnd"/>
      <w:r w:rsidRPr="00F33088">
        <w:rPr>
          <w:lang w:val="sr-Latn-ME"/>
        </w:rPr>
        <w:t xml:space="preserve"> kroz usklađivanje sa </w:t>
      </w:r>
      <w:proofErr w:type="spellStart"/>
      <w:r w:rsidRPr="00F33088">
        <w:rPr>
          <w:lang w:val="sr-Latn-ME"/>
        </w:rPr>
        <w:t>strožijim</w:t>
      </w:r>
      <w:proofErr w:type="spellEnd"/>
      <w:r w:rsidRPr="00F33088">
        <w:rPr>
          <w:lang w:val="sr-Latn-ME"/>
        </w:rPr>
        <w:t xml:space="preserve"> standardima </w:t>
      </w:r>
      <w:proofErr w:type="spellStart"/>
      <w:r w:rsidRPr="00F33088">
        <w:rPr>
          <w:rStyle w:val="whitespace-normal"/>
          <w:lang w:val="sr-Latn-ME"/>
        </w:rPr>
        <w:t>World</w:t>
      </w:r>
      <w:proofErr w:type="spellEnd"/>
      <w:r w:rsidRPr="00F33088">
        <w:rPr>
          <w:rStyle w:val="whitespace-normal"/>
          <w:lang w:val="sr-Latn-ME"/>
        </w:rPr>
        <w:t xml:space="preserve"> </w:t>
      </w:r>
      <w:proofErr w:type="spellStart"/>
      <w:r w:rsidRPr="00F33088">
        <w:rPr>
          <w:rStyle w:val="whitespace-normal"/>
          <w:lang w:val="sr-Latn-ME"/>
        </w:rPr>
        <w:t>Health</w:t>
      </w:r>
      <w:proofErr w:type="spellEnd"/>
      <w:r w:rsidRPr="00F33088">
        <w:rPr>
          <w:rStyle w:val="whitespace-normal"/>
          <w:lang w:val="sr-Latn-ME"/>
        </w:rPr>
        <w:t xml:space="preserve"> </w:t>
      </w:r>
      <w:proofErr w:type="spellStart"/>
      <w:r w:rsidRPr="00F33088">
        <w:rPr>
          <w:rStyle w:val="whitespace-normal"/>
          <w:lang w:val="sr-Latn-ME"/>
        </w:rPr>
        <w:t>Organization</w:t>
      </w:r>
      <w:proofErr w:type="spellEnd"/>
      <w:r w:rsidRPr="00F33088">
        <w:rPr>
          <w:lang w:val="sr-Latn-ME"/>
        </w:rPr>
        <w:t>, smanjenje koncentracija ključnih zagađujućih materija (PM2.5, PM10, NO₂ i O₃), jačanje monitoringa i planova kvaliteta vazduha, kao i podršku cilju nultog zagađenja u EU;</w:t>
      </w:r>
    </w:p>
    <w:p w14:paraId="3E191518" w14:textId="77777777" w:rsidR="004D6456" w:rsidRPr="00F33088" w:rsidRDefault="004D6456" w:rsidP="00976EA2">
      <w:pPr>
        <w:rPr>
          <w:lang w:val="sr-Latn-ME"/>
        </w:rPr>
      </w:pPr>
      <w:r w:rsidRPr="00F33088">
        <w:rPr>
          <w:b/>
          <w:lang w:val="sr-Latn-ME"/>
        </w:rPr>
        <w:lastRenderedPageBreak/>
        <w:t>Klimatske promjene</w:t>
      </w:r>
      <w:r w:rsidRPr="00F33088">
        <w:rPr>
          <w:lang w:val="sr-Latn-ME"/>
        </w:rPr>
        <w:t xml:space="preserve"> - Crna Gora je u periodu 2025–2026. godine u potpunosti zaokružila ključni okvir klimatske politike, čime je stvorena čvrsta osnova za dalju usklađenost sa pravnom tekovinom EU i međunarodnim obavezama:</w:t>
      </w:r>
    </w:p>
    <w:p w14:paraId="3E191519" w14:textId="77777777" w:rsidR="004D6456" w:rsidRPr="00F33088" w:rsidRDefault="004D6456" w:rsidP="004D6456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Zakon o klimatskim promjenama</w:t>
      </w:r>
      <w:r w:rsidRPr="00F33088">
        <w:rPr>
          <w:lang w:val="sr-Latn-ME"/>
        </w:rPr>
        <w:t xml:space="preserve"> (Sl. list CG br. 149/25</w:t>
      </w:r>
      <w:r w:rsidR="005C0B84" w:rsidRPr="00F33088">
        <w:rPr>
          <w:lang w:val="sr-Latn-ME"/>
        </w:rPr>
        <w:t>, 70/26</w:t>
      </w:r>
      <w:r w:rsidRPr="00F33088">
        <w:rPr>
          <w:lang w:val="sr-Latn-ME"/>
        </w:rPr>
        <w:t xml:space="preserve">) – pravni osnov za napredni sistem monitoringa, izvještavanja i verifikacije (MRVA). Zakon </w:t>
      </w:r>
      <w:r w:rsidR="00842D87" w:rsidRPr="00F33088">
        <w:rPr>
          <w:lang w:val="sr-Latn-ME"/>
        </w:rPr>
        <w:t xml:space="preserve">uspostavlja pravni osnov za nacionalni sistem trgovine emisijama (ETS), uvodeći </w:t>
      </w:r>
      <w:r w:rsidRPr="00F33088">
        <w:rPr>
          <w:lang w:val="sr-Latn-ME"/>
        </w:rPr>
        <w:t>distinkciju između ETS 1 (energetika, industrija, avijacija i pomorstvo) i ETS 2 (zgrade, saobraćaj i mala preduzeća), te definiše obavezne ciljeve za sektore izvan trgovine emisijama (</w:t>
      </w:r>
      <w:proofErr w:type="spellStart"/>
      <w:r w:rsidRPr="00F33088">
        <w:rPr>
          <w:lang w:val="sr-Latn-ME"/>
        </w:rPr>
        <w:t>non</w:t>
      </w:r>
      <w:proofErr w:type="spellEnd"/>
      <w:r w:rsidRPr="00F33088">
        <w:rPr>
          <w:lang w:val="sr-Latn-ME"/>
        </w:rPr>
        <w:t xml:space="preserve">-ETS), uključujući LULUCF. </w:t>
      </w:r>
      <w:r w:rsidR="00842D87" w:rsidRPr="00F33088">
        <w:rPr>
          <w:lang w:val="sr-Latn-ME"/>
        </w:rPr>
        <w:t>U</w:t>
      </w:r>
      <w:r w:rsidRPr="00F33088">
        <w:rPr>
          <w:lang w:val="sr-Latn-ME"/>
        </w:rPr>
        <w:t>vodi</w:t>
      </w:r>
      <w:r w:rsidR="00481070" w:rsidRPr="00F33088">
        <w:rPr>
          <w:lang w:val="sr-Latn-ME"/>
        </w:rPr>
        <w:t xml:space="preserve"> se obaveza</w:t>
      </w:r>
      <w:r w:rsidRPr="00F33088">
        <w:rPr>
          <w:lang w:val="sr-Latn-ME"/>
        </w:rPr>
        <w:t xml:space="preserve"> izrade Strategije </w:t>
      </w:r>
      <w:proofErr w:type="spellStart"/>
      <w:r w:rsidRPr="00F33088">
        <w:rPr>
          <w:lang w:val="sr-Latn-ME"/>
        </w:rPr>
        <w:t>niskougljeničnog</w:t>
      </w:r>
      <w:proofErr w:type="spellEnd"/>
      <w:r w:rsidRPr="00F33088">
        <w:rPr>
          <w:lang w:val="sr-Latn-ME"/>
        </w:rPr>
        <w:t xml:space="preserve"> razvoja;</w:t>
      </w:r>
      <w:r w:rsidR="00481070" w:rsidRPr="00F33088">
        <w:rPr>
          <w:lang w:val="sr-Latn-ME"/>
        </w:rPr>
        <w:t xml:space="preserve"> Pripremljeni su i neophodni podzakonski akti za implementaciju zakona;</w:t>
      </w:r>
    </w:p>
    <w:p w14:paraId="3E19151A" w14:textId="77777777" w:rsidR="00842D87" w:rsidRPr="00F33088" w:rsidRDefault="00842D87" w:rsidP="004D6456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Nacionalno utvrđeni doprinos</w:t>
      </w:r>
      <w:r w:rsidRPr="00F33088">
        <w:rPr>
          <w:lang w:val="sr-Latn-ME"/>
        </w:rPr>
        <w:t xml:space="preserve"> (NDC) za smanjenje emisija gasova sa efektom staklene bašte (GHG) ažuriran je februara 2025. godine, čime se Crna Gora obavezala da do 2030. godine smanji emisiju GHG za 55%, odnosno 60% do 2035. godine u odnosu na 1990. godinu, obuhvatajući sve relevantne sektore;</w:t>
      </w:r>
    </w:p>
    <w:p w14:paraId="3E19151B" w14:textId="77777777" w:rsidR="00842D87" w:rsidRPr="00F33088" w:rsidRDefault="00842D87" w:rsidP="004D6456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Nacionalni energetski i klimatski plan (NECP)</w:t>
      </w:r>
      <w:r w:rsidRPr="00F33088">
        <w:rPr>
          <w:lang w:val="sr-Latn-ME"/>
        </w:rPr>
        <w:t xml:space="preserve"> (decembar 2025): Ključni integrisani dokument koji definiše pravac energetske tranzicije do 2030. godine, usklađen sa EU Regulativom 2018/1999 o upravljanju Energetskom unijom;</w:t>
      </w:r>
    </w:p>
    <w:p w14:paraId="3E19151C" w14:textId="77777777" w:rsidR="00842D87" w:rsidRPr="00F33088" w:rsidRDefault="004D6456" w:rsidP="00842D87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 xml:space="preserve">Nacionalni plan </w:t>
      </w:r>
      <w:r w:rsidR="00842D87" w:rsidRPr="00F33088">
        <w:rPr>
          <w:b/>
          <w:lang w:val="sr-Latn-ME"/>
        </w:rPr>
        <w:t>prilagođavanja</w:t>
      </w:r>
      <w:r w:rsidRPr="00F33088">
        <w:rPr>
          <w:b/>
          <w:lang w:val="sr-Latn-ME"/>
        </w:rPr>
        <w:t xml:space="preserve"> na klimatske promjene 2025–2035</w:t>
      </w:r>
      <w:r w:rsidR="00842D87" w:rsidRPr="00F33088">
        <w:rPr>
          <w:b/>
          <w:lang w:val="sr-Latn-ME"/>
        </w:rPr>
        <w:t xml:space="preserve"> sa akcionim planom 2025-2027</w:t>
      </w:r>
      <w:r w:rsidRPr="00F33088">
        <w:rPr>
          <w:lang w:val="sr-Latn-ME"/>
        </w:rPr>
        <w:t xml:space="preserve"> (jul 2025)</w:t>
      </w:r>
      <w:r w:rsidR="00842D87" w:rsidRPr="00F33088">
        <w:rPr>
          <w:lang w:val="sr-Latn-ME"/>
        </w:rPr>
        <w:t xml:space="preserve"> - definiše strateške mjere za smanjenje ranjivosti i jačanje otpornosti u sektorima poljoprivrede, voda, zdravstva, infrastrukture i biodiverziteta;</w:t>
      </w:r>
    </w:p>
    <w:p w14:paraId="3E19151D" w14:textId="77777777" w:rsidR="004D6456" w:rsidRPr="00F33088" w:rsidRDefault="00842D87" w:rsidP="00842D87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>Međunarodno izvještavanje (FNC/1BTR)</w:t>
      </w:r>
      <w:r w:rsidRPr="00F33088">
        <w:rPr>
          <w:lang w:val="sr-Latn-ME"/>
        </w:rPr>
        <w:t xml:space="preserve"> (februar 2025): Usvojen je objedinjeni Četvrti nacionalni izvještaj i Prvi dvogodišnji izvještaj o transparentnosti prema UNFCCC-u, koji uključuje ažurirane inventare emisija za 2016. i 2022. godinu</w:t>
      </w:r>
      <w:r w:rsidR="00B77051" w:rsidRPr="00F33088">
        <w:rPr>
          <w:lang w:val="sr-Latn-ME"/>
        </w:rPr>
        <w:t>;</w:t>
      </w:r>
    </w:p>
    <w:p w14:paraId="3E19151E" w14:textId="77777777" w:rsidR="00B77051" w:rsidRPr="00F33088" w:rsidRDefault="00B77051" w:rsidP="00B77051">
      <w:pPr>
        <w:pStyle w:val="Odlomakpopisa"/>
        <w:numPr>
          <w:ilvl w:val="0"/>
          <w:numId w:val="13"/>
        </w:numPr>
        <w:spacing w:after="240"/>
        <w:rPr>
          <w:lang w:val="sr-Latn-ME"/>
        </w:rPr>
      </w:pPr>
      <w:r w:rsidRPr="00F33088">
        <w:rPr>
          <w:b/>
          <w:lang w:val="sr-Latn-ME"/>
        </w:rPr>
        <w:t xml:space="preserve">Strategija </w:t>
      </w:r>
      <w:proofErr w:type="spellStart"/>
      <w:r w:rsidRPr="00F33088">
        <w:rPr>
          <w:b/>
          <w:lang w:val="sr-Latn-ME"/>
        </w:rPr>
        <w:t>niskougljeničnog</w:t>
      </w:r>
      <w:proofErr w:type="spellEnd"/>
      <w:r w:rsidRPr="00F33088">
        <w:rPr>
          <w:b/>
          <w:lang w:val="sr-Latn-ME"/>
        </w:rPr>
        <w:t xml:space="preserve"> razvoja (LCDS) sa Akcionim planom 2026-2030</w:t>
      </w:r>
      <w:r w:rsidRPr="00F33088">
        <w:rPr>
          <w:lang w:val="sr-Latn-ME"/>
        </w:rPr>
        <w:t xml:space="preserve">; (februar 2026): Pruža dosljedan put ka klimatskoj neutralnosti do 2050. godine, u potpunoj sinergiji sa ciljevima NECP-a i Zelenom agendom. </w:t>
      </w:r>
    </w:p>
    <w:p w14:paraId="3E19151F" w14:textId="77777777" w:rsidR="00976EA2" w:rsidRPr="00F33088" w:rsidRDefault="00976EA2" w:rsidP="00F8621C">
      <w:pPr>
        <w:rPr>
          <w:lang w:val="sr-Latn-ME"/>
        </w:rPr>
      </w:pPr>
      <w:r w:rsidRPr="00F33088">
        <w:rPr>
          <w:lang w:val="sr-Latn-ME"/>
        </w:rPr>
        <w:t>Zaštićena područja u Crnoj Gori obuhvataju 13,41% kopnene teritorije (185.270 ha), uključujući pet nacionalnih parkova (Durmitor, Skadarsko jezero, Lovćen, Biogradska gora i Prokletije), kao i više parkova prirode. Pokrivenost zaštićenih morskih područja ostaje vrlo niska, oko 1,79%. Proces uspostavljanja mreže Natura 2000 je u toku, ali još nije završen</w:t>
      </w:r>
      <w:r w:rsidR="00D56610" w:rsidRPr="00F33088">
        <w:rPr>
          <w:lang w:val="sr-Latn-ME"/>
        </w:rPr>
        <w:t xml:space="preserve"> (</w:t>
      </w:r>
      <w:proofErr w:type="spellStart"/>
      <w:r w:rsidR="00D56610" w:rsidRPr="00F33088">
        <w:rPr>
          <w:lang w:val="sr-Latn-ME"/>
        </w:rPr>
        <w:t>mapirano</w:t>
      </w:r>
      <w:proofErr w:type="spellEnd"/>
      <w:r w:rsidR="00D56610" w:rsidRPr="00F33088">
        <w:rPr>
          <w:lang w:val="sr-Latn-ME"/>
        </w:rPr>
        <w:t xml:space="preserve"> je 100% kopnene terit</w:t>
      </w:r>
      <w:r w:rsidR="0096123D" w:rsidRPr="00F33088">
        <w:rPr>
          <w:lang w:val="sr-Latn-ME"/>
        </w:rPr>
        <w:t>orije i 10% morske teritorije, u</w:t>
      </w:r>
      <w:r w:rsidR="00D56610" w:rsidRPr="00F33088">
        <w:rPr>
          <w:lang w:val="sr-Latn-ME"/>
        </w:rPr>
        <w:t xml:space="preserve"> toku je izrada liste zaštićenih područja</w:t>
      </w:r>
      <w:r w:rsidR="0096123D" w:rsidRPr="00F33088">
        <w:rPr>
          <w:lang w:val="sr-Latn-ME"/>
        </w:rPr>
        <w:t>, kako bi se sveobuhvatna lista predloženih lokaliteta dostavila EK, što je jedno od završnih mjerila u poglavlju 27</w:t>
      </w:r>
      <w:r w:rsidRPr="00F33088">
        <w:rPr>
          <w:lang w:val="sr-Latn-ME"/>
        </w:rPr>
        <w:t xml:space="preserve">. </w:t>
      </w:r>
      <w:r w:rsidR="00D56610" w:rsidRPr="00F33088">
        <w:rPr>
          <w:lang w:val="sr-Latn-ME"/>
        </w:rPr>
        <w:t xml:space="preserve">I dalje postoji značajan broj zaštićenih područja sa nedovoljno razvijenim sistemom upravljanja i neadekvatnom implementacijom planova upravljanja.  Za Solanu </w:t>
      </w:r>
      <w:proofErr w:type="spellStart"/>
      <w:r w:rsidR="00D56610" w:rsidRPr="00F33088">
        <w:rPr>
          <w:lang w:val="sr-Latn-ME"/>
        </w:rPr>
        <w:t>ulcinj</w:t>
      </w:r>
      <w:proofErr w:type="spellEnd"/>
      <w:r w:rsidR="00D56610" w:rsidRPr="00F33088">
        <w:rPr>
          <w:lang w:val="sr-Latn-ME"/>
        </w:rPr>
        <w:t xml:space="preserve">, koja ima status zaštićenog područja (Park prirode od 2019. godine) i </w:t>
      </w:r>
      <w:proofErr w:type="spellStart"/>
      <w:r w:rsidR="00D56610" w:rsidRPr="00F33088">
        <w:rPr>
          <w:lang w:val="sr-Latn-ME"/>
        </w:rPr>
        <w:t>Ramsar</w:t>
      </w:r>
      <w:proofErr w:type="spellEnd"/>
      <w:r w:rsidR="00D56610" w:rsidRPr="00F33088">
        <w:rPr>
          <w:lang w:val="sr-Latn-ME"/>
        </w:rPr>
        <w:t xml:space="preserve"> područja od međunarodnog značaja</w:t>
      </w:r>
      <w:r w:rsidR="0096123D" w:rsidRPr="00F33088">
        <w:rPr>
          <w:lang w:val="sr-Latn-ME"/>
        </w:rPr>
        <w:t xml:space="preserve">, kao ključno stanište za </w:t>
      </w:r>
      <w:proofErr w:type="spellStart"/>
      <w:r w:rsidR="0096123D" w:rsidRPr="00F33088">
        <w:rPr>
          <w:lang w:val="sr-Latn-ME"/>
        </w:rPr>
        <w:t>migratorne</w:t>
      </w:r>
      <w:proofErr w:type="spellEnd"/>
      <w:r w:rsidR="0096123D" w:rsidRPr="00F33088">
        <w:rPr>
          <w:lang w:val="sr-Latn-ME"/>
        </w:rPr>
        <w:t xml:space="preserve"> ptice, tek 2026. godine uspostavljena je upravljačka struktura i pripremljen plan upravljanja. </w:t>
      </w:r>
    </w:p>
    <w:p w14:paraId="3E191520" w14:textId="77777777" w:rsidR="00976EA2" w:rsidRPr="00F33088" w:rsidRDefault="0082176D" w:rsidP="00976EA2">
      <w:pPr>
        <w:rPr>
          <w:lang w:val="sr-Latn-ME"/>
        </w:rPr>
      </w:pPr>
      <w:r w:rsidRPr="00F33088">
        <w:rPr>
          <w:lang w:val="sr-Latn-ME"/>
        </w:rPr>
        <w:t xml:space="preserve">Tokom </w:t>
      </w:r>
      <w:r w:rsidR="00976EA2" w:rsidRPr="00F33088">
        <w:rPr>
          <w:lang w:val="sr-Latn-ME"/>
        </w:rPr>
        <w:t>202</w:t>
      </w:r>
      <w:r w:rsidRPr="00F33088">
        <w:rPr>
          <w:lang w:val="sr-Latn-ME"/>
        </w:rPr>
        <w:t>4</w:t>
      </w:r>
      <w:r w:rsidR="00976EA2" w:rsidRPr="00F33088">
        <w:rPr>
          <w:lang w:val="sr-Latn-ME"/>
        </w:rPr>
        <w:t>. godin</w:t>
      </w:r>
      <w:r w:rsidRPr="00F33088">
        <w:rPr>
          <w:lang w:val="sr-Latn-ME"/>
        </w:rPr>
        <w:t xml:space="preserve">e u </w:t>
      </w:r>
      <w:r w:rsidR="00976EA2" w:rsidRPr="00F33088">
        <w:rPr>
          <w:lang w:val="sr-Latn-ME"/>
        </w:rPr>
        <w:t>Crn</w:t>
      </w:r>
      <w:r w:rsidRPr="00F33088">
        <w:rPr>
          <w:lang w:val="sr-Latn-ME"/>
        </w:rPr>
        <w:t>oj</w:t>
      </w:r>
      <w:r w:rsidR="00976EA2" w:rsidRPr="00F33088">
        <w:rPr>
          <w:lang w:val="sr-Latn-ME"/>
        </w:rPr>
        <w:t xml:space="preserve"> Gor</w:t>
      </w:r>
      <w:r w:rsidRPr="00F33088">
        <w:rPr>
          <w:lang w:val="sr-Latn-ME"/>
        </w:rPr>
        <w:t>i je stvoreno</w:t>
      </w:r>
      <w:r w:rsidR="00976EA2" w:rsidRPr="00F33088">
        <w:rPr>
          <w:lang w:val="sr-Latn-ME"/>
        </w:rPr>
        <w:t xml:space="preserve"> </w:t>
      </w:r>
      <w:r w:rsidRPr="00F33088">
        <w:rPr>
          <w:lang w:val="sr-Latn-ME"/>
        </w:rPr>
        <w:t>1,38</w:t>
      </w:r>
      <w:r w:rsidR="00976EA2" w:rsidRPr="00F33088">
        <w:rPr>
          <w:lang w:val="sr-Latn-ME"/>
        </w:rPr>
        <w:t xml:space="preserve"> milion</w:t>
      </w:r>
      <w:r w:rsidRPr="00F33088">
        <w:rPr>
          <w:lang w:val="sr-Latn-ME"/>
        </w:rPr>
        <w:t>a</w:t>
      </w:r>
      <w:r w:rsidR="00976EA2" w:rsidRPr="00F33088">
        <w:rPr>
          <w:lang w:val="sr-Latn-ME"/>
        </w:rPr>
        <w:t xml:space="preserve"> tona otpada, od čega oko </w:t>
      </w:r>
      <w:r w:rsidRPr="00F33088">
        <w:rPr>
          <w:lang w:val="sr-Latn-ME"/>
        </w:rPr>
        <w:t>375</w:t>
      </w:r>
      <w:r w:rsidR="00976EA2" w:rsidRPr="00F33088">
        <w:rPr>
          <w:lang w:val="sr-Latn-ME"/>
        </w:rPr>
        <w:t>.</w:t>
      </w:r>
      <w:r w:rsidRPr="00F33088">
        <w:rPr>
          <w:lang w:val="sr-Latn-ME"/>
        </w:rPr>
        <w:t>460</w:t>
      </w:r>
      <w:r w:rsidR="00976EA2" w:rsidRPr="00F33088">
        <w:rPr>
          <w:lang w:val="sr-Latn-ME"/>
        </w:rPr>
        <w:t xml:space="preserve"> tona komunalnog otpada (</w:t>
      </w:r>
      <w:r w:rsidRPr="00F33088">
        <w:rPr>
          <w:lang w:val="sr-Latn-ME"/>
        </w:rPr>
        <w:t>602</w:t>
      </w:r>
      <w:r w:rsidR="00976EA2" w:rsidRPr="00F33088">
        <w:rPr>
          <w:lang w:val="sr-Latn-ME"/>
        </w:rPr>
        <w:t xml:space="preserve"> kg </w:t>
      </w:r>
      <w:r w:rsidRPr="00F33088">
        <w:rPr>
          <w:lang w:val="sr-Latn-ME"/>
        </w:rPr>
        <w:t xml:space="preserve">stvorenog komunalnog otpada </w:t>
      </w:r>
      <w:r w:rsidR="00976EA2" w:rsidRPr="00F33088">
        <w:rPr>
          <w:lang w:val="sr-Latn-ME"/>
        </w:rPr>
        <w:t>po stanovniku</w:t>
      </w:r>
      <w:r w:rsidRPr="00F33088">
        <w:rPr>
          <w:rStyle w:val="Referencafusnote"/>
          <w:lang w:val="sr-Latn-ME"/>
        </w:rPr>
        <w:footnoteReference w:id="15"/>
      </w:r>
      <w:r w:rsidR="00976EA2" w:rsidRPr="00F33088">
        <w:rPr>
          <w:lang w:val="sr-Latn-ME"/>
        </w:rPr>
        <w:t xml:space="preserve">, što je </w:t>
      </w:r>
      <w:r w:rsidRPr="00F33088">
        <w:rPr>
          <w:lang w:val="sr-Latn-ME"/>
        </w:rPr>
        <w:t xml:space="preserve">znatno više u odnosu na </w:t>
      </w:r>
      <w:r w:rsidR="00AC168E" w:rsidRPr="00F33088">
        <w:rPr>
          <w:lang w:val="sr-Latn-ME"/>
        </w:rPr>
        <w:t>p</w:t>
      </w:r>
      <w:r w:rsidR="00976EA2" w:rsidRPr="00F33088">
        <w:rPr>
          <w:lang w:val="sr-Latn-ME"/>
        </w:rPr>
        <w:t>rosjek EU od oko 5</w:t>
      </w:r>
      <w:r w:rsidRPr="00F33088">
        <w:rPr>
          <w:lang w:val="sr-Latn-ME"/>
        </w:rPr>
        <w:t>17</w:t>
      </w:r>
      <w:r w:rsidR="00976EA2" w:rsidRPr="00F33088">
        <w:rPr>
          <w:lang w:val="sr-Latn-ME"/>
        </w:rPr>
        <w:t xml:space="preserve"> kg</w:t>
      </w:r>
      <w:r w:rsidRPr="00F33088">
        <w:rPr>
          <w:rStyle w:val="Referencafusnote"/>
          <w:lang w:val="sr-Latn-ME"/>
        </w:rPr>
        <w:footnoteReference w:id="16"/>
      </w:r>
      <w:r w:rsidR="00976EA2" w:rsidRPr="00F33088">
        <w:rPr>
          <w:lang w:val="sr-Latn-ME"/>
        </w:rPr>
        <w:t xml:space="preserve">). Međutim, stopa reciklaže komunalnog otpada je među najnižima u Evropi, ispod 5% (uz procjene koje za pojedine godine idu i do svega 0,5%). U zemlji postoji više od 300 nekontrolisanih deponija. Infrastruktura za odvojeno prikupljanje i reciklažu praktično ne postoji izvan nekoliko pilot opština. Na nacionalnom nivou postoji svega 13 </w:t>
      </w:r>
      <w:proofErr w:type="spellStart"/>
      <w:r w:rsidR="00976EA2" w:rsidRPr="00F33088">
        <w:rPr>
          <w:lang w:val="sr-Latn-ME"/>
        </w:rPr>
        <w:t>reciklažnih</w:t>
      </w:r>
      <w:proofErr w:type="spellEnd"/>
      <w:r w:rsidR="00976EA2" w:rsidRPr="00F33088">
        <w:rPr>
          <w:lang w:val="sr-Latn-ME"/>
        </w:rPr>
        <w:t xml:space="preserve"> centara</w:t>
      </w:r>
      <w:r w:rsidRPr="00F33088">
        <w:rPr>
          <w:lang w:val="sr-Latn-ME"/>
        </w:rPr>
        <w:t>, a u funkciji su centri u Podgorici i Žabljaku.</w:t>
      </w:r>
      <w:r w:rsidR="00AC168E" w:rsidRPr="00F33088">
        <w:rPr>
          <w:lang w:val="sr-Latn-ME"/>
        </w:rPr>
        <w:t xml:space="preserve"> U okviru projekta „Upravljanje industrijskim otpadom i čišćenje“ sanirano je jalovište Gradac Pljevlja, jedna od velikih crnih ekoloških tačaka u Crnoj Gori.</w:t>
      </w:r>
    </w:p>
    <w:p w14:paraId="3E191521" w14:textId="77777777" w:rsidR="00976EA2" w:rsidRPr="00F33088" w:rsidRDefault="00F525E8" w:rsidP="00976EA2">
      <w:pPr>
        <w:rPr>
          <w:lang w:val="sr-Latn-ME"/>
        </w:rPr>
      </w:pPr>
      <w:r w:rsidRPr="00F33088">
        <w:rPr>
          <w:lang w:val="sr-Latn-ME"/>
        </w:rPr>
        <w:lastRenderedPageBreak/>
        <w:t xml:space="preserve">Veliki broj vodoizvorišta nema utvrđene zone sanitarne zaštite, pa čak ni zakonom propisana </w:t>
      </w:r>
      <w:proofErr w:type="spellStart"/>
      <w:r w:rsidRPr="00F33088">
        <w:rPr>
          <w:lang w:val="sr-Latn-ME"/>
        </w:rPr>
        <w:t>vodna</w:t>
      </w:r>
      <w:proofErr w:type="spellEnd"/>
      <w:r w:rsidRPr="00F33088">
        <w:rPr>
          <w:lang w:val="sr-Latn-ME"/>
        </w:rPr>
        <w:t xml:space="preserve"> akta. </w:t>
      </w:r>
      <w:r w:rsidR="00976EA2" w:rsidRPr="00F33088">
        <w:rPr>
          <w:lang w:val="sr-Latn-ME"/>
        </w:rPr>
        <w:t xml:space="preserve">Gubici vode u javnom </w:t>
      </w:r>
      <w:proofErr w:type="spellStart"/>
      <w:r w:rsidR="00976EA2" w:rsidRPr="00F33088">
        <w:rPr>
          <w:lang w:val="sr-Latn-ME"/>
        </w:rPr>
        <w:t>vodosnabdijevanju</w:t>
      </w:r>
      <w:proofErr w:type="spellEnd"/>
      <w:r w:rsidR="00976EA2" w:rsidRPr="00F33088">
        <w:rPr>
          <w:lang w:val="sr-Latn-ME"/>
        </w:rPr>
        <w:t xml:space="preserve"> su izuzetno visoki. Pokrivenost tretmanom otpadnih voda je i dalje niska, pri čemu se većina otpadnih voda ispušta bez tretmana ili uz djelimičan tretman. Planovi upravljanja riječnim slivovima su u izradi, ali još nijesu završeni za sve oblasti. Morski ekosistem je pod pritiskom </w:t>
      </w:r>
      <w:proofErr w:type="spellStart"/>
      <w:r w:rsidR="00976EA2" w:rsidRPr="00F33088">
        <w:rPr>
          <w:lang w:val="sr-Latn-ME"/>
        </w:rPr>
        <w:t>usljed</w:t>
      </w:r>
      <w:proofErr w:type="spellEnd"/>
      <w:r w:rsidR="00976EA2" w:rsidRPr="00F33088">
        <w:rPr>
          <w:lang w:val="sr-Latn-ME"/>
        </w:rPr>
        <w:t xml:space="preserve"> turizma, izgradnje na obali i neadekvatnog tretmana otpadnih voda.</w:t>
      </w:r>
    </w:p>
    <w:p w14:paraId="3E191522" w14:textId="77777777" w:rsidR="00786AA6" w:rsidRPr="00F33088" w:rsidRDefault="00976EA2" w:rsidP="00976EA2">
      <w:pPr>
        <w:rPr>
          <w:noProof/>
          <w:lang w:val="sr-Latn-ME"/>
        </w:rPr>
      </w:pPr>
      <w:r w:rsidRPr="00F33088">
        <w:rPr>
          <w:lang w:val="sr-Latn-ME"/>
        </w:rPr>
        <w:t xml:space="preserve">Kvalitet vazduha predstavlja ozbiljan problem javnog zdravlja, posebno u </w:t>
      </w:r>
      <w:proofErr w:type="spellStart"/>
      <w:r w:rsidRPr="00F33088">
        <w:rPr>
          <w:lang w:val="sr-Latn-ME"/>
        </w:rPr>
        <w:t>Pljevljima</w:t>
      </w:r>
      <w:proofErr w:type="spellEnd"/>
      <w:r w:rsidRPr="00F33088">
        <w:rPr>
          <w:lang w:val="sr-Latn-ME"/>
        </w:rPr>
        <w:t xml:space="preserve"> (zbog termoelektrane na ugalj i individualnog loženja čvrstih goriva), kao i u </w:t>
      </w:r>
      <w:r w:rsidR="001168FA" w:rsidRPr="00F33088">
        <w:rPr>
          <w:lang w:val="sr-Latn-ME"/>
        </w:rPr>
        <w:t xml:space="preserve">Bijelom Polju, </w:t>
      </w:r>
      <w:r w:rsidRPr="00F33088">
        <w:rPr>
          <w:lang w:val="sr-Latn-ME"/>
        </w:rPr>
        <w:t xml:space="preserve">Nikšiću i Podgorici. Nacionalna mreža za monitoring kvaliteta vazduha je unaprijeđena u skladu sa međunarodnim standardima, ali nepostojanje usvojene Strategije upravljanja kvalitetom vazduha ostaje značajan nedostatak. </w:t>
      </w:r>
      <w:r w:rsidR="00786AA6" w:rsidRPr="00F33088">
        <w:rPr>
          <w:noProof/>
          <w:lang w:val="sr-Latn-ME"/>
        </w:rPr>
        <w:t>Crna Gora je uspostavila PRTR (Registar ispuštanja i prenosa zagađujućih materija) kroz Agenciju za zaštitu životne sredine, u okviru šireg procesa harmonizacije sa EU standardima i obavezama iz Poglavlja 27. Sistem je razvijen kroz međunarodne projekte i od 2024. godine funkcioniše kao digitalna baza podataka dostupna javnosti.</w:t>
      </w:r>
    </w:p>
    <w:p w14:paraId="3E191523" w14:textId="77777777" w:rsidR="008732D9" w:rsidRPr="00F33088" w:rsidRDefault="008732D9" w:rsidP="00976EA2">
      <w:pPr>
        <w:rPr>
          <w:lang w:val="sr-Latn-ME"/>
        </w:rPr>
      </w:pPr>
      <w:r w:rsidRPr="00F33088">
        <w:rPr>
          <w:lang w:val="sr-Latn-ME"/>
        </w:rPr>
        <w:t xml:space="preserve">U oblasti klimatskih promjena, ukupne emisije gasova sa efektom staklene bašte (GHG), uključujući sektor korišćenja zemljišta, </w:t>
      </w:r>
      <w:proofErr w:type="spellStart"/>
      <w:r w:rsidRPr="00F33088">
        <w:rPr>
          <w:lang w:val="sr-Latn-ME"/>
        </w:rPr>
        <w:t>prenamjene</w:t>
      </w:r>
      <w:proofErr w:type="spellEnd"/>
      <w:r w:rsidRPr="00F33088">
        <w:rPr>
          <w:lang w:val="sr-Latn-ME"/>
        </w:rPr>
        <w:t xml:space="preserve"> zemljišta i šumarstva (LULUCF), u 2022. godini iznosile su 1.008,36 </w:t>
      </w:r>
      <w:proofErr w:type="spellStart"/>
      <w:r w:rsidRPr="00F33088">
        <w:rPr>
          <w:lang w:val="sr-Latn-ME"/>
        </w:rPr>
        <w:t>kt</w:t>
      </w:r>
      <w:proofErr w:type="spellEnd"/>
      <w:r w:rsidRPr="00F33088">
        <w:rPr>
          <w:lang w:val="sr-Latn-ME"/>
        </w:rPr>
        <w:t xml:space="preserve"> CO</w:t>
      </w:r>
      <w:r w:rsidRPr="00F33088">
        <w:rPr>
          <w:vertAlign w:val="subscript"/>
          <w:lang w:val="sr-Latn-ME"/>
        </w:rPr>
        <w:t>2eq</w:t>
      </w:r>
      <w:r w:rsidRPr="00F33088">
        <w:rPr>
          <w:lang w:val="sr-Latn-ME"/>
        </w:rPr>
        <w:t xml:space="preserve">. U odnosu na 1990. godinu, ukupne neto emisije smanjene su za 71,3%. Međutim, bez uključivanja LULUCF sektora, smanjenje emisija iznosi svega 27,6%, što potvrđuje značaj šumskog pokrivača i </w:t>
      </w:r>
      <w:proofErr w:type="spellStart"/>
      <w:r w:rsidRPr="00F33088">
        <w:rPr>
          <w:lang w:val="sr-Latn-ME"/>
        </w:rPr>
        <w:t>apsorpcionog</w:t>
      </w:r>
      <w:proofErr w:type="spellEnd"/>
      <w:r w:rsidRPr="00F33088">
        <w:rPr>
          <w:lang w:val="sr-Latn-ME"/>
        </w:rPr>
        <w:t xml:space="preserve"> kapa</w:t>
      </w:r>
      <w:r w:rsidR="00195318" w:rsidRPr="00F33088">
        <w:rPr>
          <w:lang w:val="sr-Latn-ME"/>
        </w:rPr>
        <w:t>citeta šuma kao ključnog ponora CO</w:t>
      </w:r>
      <w:r w:rsidR="00195318" w:rsidRPr="00F33088">
        <w:rPr>
          <w:vertAlign w:val="subscript"/>
          <w:lang w:val="sr-Latn-ME"/>
        </w:rPr>
        <w:t>2</w:t>
      </w:r>
      <w:r w:rsidR="00195318" w:rsidRPr="00F33088">
        <w:rPr>
          <w:lang w:val="sr-Latn-ME"/>
        </w:rPr>
        <w:t xml:space="preserve"> </w:t>
      </w:r>
      <w:r w:rsidRPr="00F33088">
        <w:rPr>
          <w:lang w:val="sr-Latn-ME"/>
        </w:rPr>
        <w:t>u Crnoj Gori.</w:t>
      </w:r>
    </w:p>
    <w:p w14:paraId="3E191524" w14:textId="77777777" w:rsidR="00976EA2" w:rsidRPr="00F33088" w:rsidRDefault="00976EA2" w:rsidP="00976EA2">
      <w:pPr>
        <w:pStyle w:val="Naslov3"/>
        <w:rPr>
          <w:rFonts w:eastAsia="Times New Roman"/>
          <w:lang w:val="sr-Latn-ME"/>
        </w:rPr>
      </w:pPr>
      <w:r w:rsidRPr="00F33088">
        <w:rPr>
          <w:rFonts w:eastAsia="Times New Roman"/>
          <w:lang w:val="sr-Latn-ME"/>
        </w:rPr>
        <w:t>Planirane i tekuće reforme</w:t>
      </w:r>
      <w:r w:rsidR="00585EC7" w:rsidRPr="00F33088">
        <w:rPr>
          <w:rFonts w:eastAsia="Times New Roman"/>
          <w:lang w:val="sr-Latn-ME"/>
        </w:rPr>
        <w:t xml:space="preserve"> i investicije</w:t>
      </w:r>
    </w:p>
    <w:p w14:paraId="3E191525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 xml:space="preserve">Akcioni plan za ispunjavanje završnih mjerila u Poglavlju 27, usvojen u februaru 2021. godine (uz naknadna ažuriranja), obuhvata 281 obavezu raspoređenu na 25 institucija. </w:t>
      </w:r>
      <w:r w:rsidR="002012B9" w:rsidRPr="00F33088">
        <w:rPr>
          <w:lang w:val="sr-Latn-ME"/>
        </w:rPr>
        <w:t xml:space="preserve">Međutim, imajući u vidu promijenjeni pristup upravljanju procesom, izvještavanje i praćenje realizacije više se ne vrši po ovom Akcionom planu, već po Mapi puta za realizaciju završnih mjerila u Poglavlju 27, kojom je uspostavljena nova, unaprijeđena i dinamičnija struktura praćenja obaveza u okviru pregovaračkog procesa. U skladu s tim, uvedena je potpuno nova dinamika rada, zasnovana na jasnijem </w:t>
      </w:r>
      <w:proofErr w:type="spellStart"/>
      <w:r w:rsidR="002012B9" w:rsidRPr="00F33088">
        <w:rPr>
          <w:lang w:val="sr-Latn-ME"/>
        </w:rPr>
        <w:t>prioritetizovanju</w:t>
      </w:r>
      <w:proofErr w:type="spellEnd"/>
      <w:r w:rsidR="002012B9" w:rsidRPr="00F33088">
        <w:rPr>
          <w:lang w:val="sr-Latn-ME"/>
        </w:rPr>
        <w:t xml:space="preserve"> mjera, redovnom izvještavanju i operativnijoj koordinaciji između nadležnih institucija.</w:t>
      </w:r>
      <w:r w:rsidRPr="00F33088">
        <w:rPr>
          <w:lang w:val="sr-Latn-ME"/>
        </w:rPr>
        <w:t>.</w:t>
      </w:r>
    </w:p>
    <w:p w14:paraId="3E191526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>Ključni prioriteti reformi uključuju:</w:t>
      </w:r>
    </w:p>
    <w:p w14:paraId="3E191527" w14:textId="77777777" w:rsidR="00976EA2" w:rsidRPr="00F33088" w:rsidRDefault="00976EA2" w:rsidP="00976EA2">
      <w:pPr>
        <w:pStyle w:val="Odlomakpopisa"/>
        <w:numPr>
          <w:ilvl w:val="0"/>
          <w:numId w:val="14"/>
        </w:numPr>
        <w:spacing w:after="240"/>
        <w:rPr>
          <w:rFonts w:eastAsia="Times New Roman" w:cstheme="minorHAnsi"/>
          <w:b/>
          <w:bCs/>
          <w:lang w:val="sr-Latn-ME"/>
        </w:rPr>
      </w:pPr>
      <w:r w:rsidRPr="00F33088">
        <w:rPr>
          <w:rFonts w:eastAsia="Times New Roman" w:cstheme="minorHAnsi"/>
          <w:b/>
          <w:bCs/>
          <w:lang w:val="sr-Latn-ME"/>
        </w:rPr>
        <w:t xml:space="preserve">Upravljanje otpadom: </w:t>
      </w:r>
      <w:r w:rsidRPr="00F33088">
        <w:rPr>
          <w:rFonts w:eastAsia="Times New Roman" w:cstheme="minorHAnsi"/>
          <w:bCs/>
          <w:lang w:val="sr-Latn-ME"/>
        </w:rPr>
        <w:t xml:space="preserve">sprovođenje novog Zakona o upravljanju otpadom i Državnog plana upravljanja otpadom; uspostavljanje regionalnih centara za upravljanje otpadom (projekat </w:t>
      </w:r>
      <w:proofErr w:type="spellStart"/>
      <w:r w:rsidRPr="00F33088">
        <w:rPr>
          <w:rFonts w:eastAsia="Times New Roman" w:cstheme="minorHAnsi"/>
          <w:bCs/>
          <w:lang w:val="sr-Latn-ME"/>
        </w:rPr>
        <w:t>unapređenja</w:t>
      </w:r>
      <w:proofErr w:type="spellEnd"/>
      <w:r w:rsidRPr="00F33088">
        <w:rPr>
          <w:rFonts w:eastAsia="Times New Roman" w:cstheme="minorHAnsi"/>
          <w:bCs/>
          <w:lang w:val="sr-Latn-ME"/>
        </w:rPr>
        <w:t xml:space="preserve"> sektora otpada uz podršku Svjetske banke je u pripremi); razvoj infrastrukture za odvojeno prikupljanje otpada i sistema proširene odgovornosti proizvođača (EPR); sanaciju preostalih lokacija opasnog industrijskog otpada (jalovište Gradac, pepeo iz TE </w:t>
      </w:r>
      <w:proofErr w:type="spellStart"/>
      <w:r w:rsidRPr="00F33088">
        <w:rPr>
          <w:rFonts w:eastAsia="Times New Roman" w:cstheme="minorHAnsi"/>
          <w:bCs/>
          <w:lang w:val="sr-Latn-ME"/>
        </w:rPr>
        <w:t>Maljevac</w:t>
      </w:r>
      <w:proofErr w:type="spellEnd"/>
      <w:r w:rsidRPr="00F33088">
        <w:rPr>
          <w:rFonts w:eastAsia="Times New Roman" w:cstheme="minorHAnsi"/>
          <w:bCs/>
          <w:lang w:val="sr-Latn-ME"/>
        </w:rPr>
        <w:t xml:space="preserve"> - djelimično realizovano)</w:t>
      </w:r>
      <w:r w:rsidR="0096123D" w:rsidRPr="00F33088">
        <w:rPr>
          <w:rFonts w:eastAsia="Times New Roman" w:cstheme="minorHAnsi"/>
          <w:bCs/>
          <w:lang w:val="sr-Latn-ME"/>
        </w:rPr>
        <w:t xml:space="preserve">, kao i sanacija </w:t>
      </w:r>
      <w:proofErr w:type="spellStart"/>
      <w:r w:rsidR="0096123D" w:rsidRPr="00F33088">
        <w:rPr>
          <w:rFonts w:eastAsia="Times New Roman" w:cstheme="minorHAnsi"/>
          <w:bCs/>
          <w:lang w:val="sr-Latn-ME"/>
        </w:rPr>
        <w:t>nelegalinih</w:t>
      </w:r>
      <w:proofErr w:type="spellEnd"/>
      <w:r w:rsidR="0096123D" w:rsidRPr="00F33088">
        <w:rPr>
          <w:rFonts w:eastAsia="Times New Roman" w:cstheme="minorHAnsi"/>
          <w:bCs/>
          <w:lang w:val="sr-Latn-ME"/>
        </w:rPr>
        <w:t xml:space="preserve"> odlagališta</w:t>
      </w:r>
      <w:r w:rsidRPr="00F33088">
        <w:rPr>
          <w:rFonts w:eastAsia="Times New Roman" w:cstheme="minorHAnsi"/>
          <w:bCs/>
          <w:lang w:val="sr-Latn-ME"/>
        </w:rPr>
        <w:t>;</w:t>
      </w:r>
      <w:r w:rsidR="00D56610" w:rsidRPr="00F33088">
        <w:rPr>
          <w:rFonts w:eastAsia="Times New Roman" w:cstheme="minorHAnsi"/>
          <w:bCs/>
          <w:lang w:val="sr-Latn-ME"/>
        </w:rPr>
        <w:t xml:space="preserve"> Neophodno je usvojiti i lokalne planove za upravljanje otpadom</w:t>
      </w:r>
      <w:r w:rsidR="00E25CA0" w:rsidRPr="00F33088">
        <w:rPr>
          <w:rFonts w:eastAsia="Times New Roman" w:cstheme="minorHAnsi"/>
          <w:bCs/>
          <w:lang w:val="sr-Latn-ME"/>
        </w:rPr>
        <w:t xml:space="preserve"> (upravljanje komunalnim i </w:t>
      </w:r>
      <w:proofErr w:type="spellStart"/>
      <w:r w:rsidR="00E25CA0" w:rsidRPr="00F33088">
        <w:rPr>
          <w:rFonts w:eastAsia="Times New Roman" w:cstheme="minorHAnsi"/>
          <w:bCs/>
          <w:lang w:val="sr-Latn-ME"/>
        </w:rPr>
        <w:t>neopasnim</w:t>
      </w:r>
      <w:proofErr w:type="spellEnd"/>
      <w:r w:rsidR="00E25CA0" w:rsidRPr="00F33088">
        <w:rPr>
          <w:rFonts w:eastAsia="Times New Roman" w:cstheme="minorHAnsi"/>
          <w:bCs/>
          <w:lang w:val="sr-Latn-ME"/>
        </w:rPr>
        <w:t xml:space="preserve"> građevinskim otpadom)</w:t>
      </w:r>
      <w:r w:rsidR="00D56610" w:rsidRPr="00F33088">
        <w:rPr>
          <w:rFonts w:eastAsia="Times New Roman" w:cstheme="minorHAnsi"/>
          <w:bCs/>
          <w:lang w:val="sr-Latn-ME"/>
        </w:rPr>
        <w:t>, kao i uspostaviti državnu komunalnu inspekciju u skladu sa Zakonom o upravljanju otpadom;</w:t>
      </w:r>
    </w:p>
    <w:p w14:paraId="3E191528" w14:textId="77777777" w:rsidR="00AC168E" w:rsidRPr="00F33088" w:rsidRDefault="00AC168E" w:rsidP="00976EA2">
      <w:pPr>
        <w:pStyle w:val="Odlomakpopisa"/>
        <w:numPr>
          <w:ilvl w:val="0"/>
          <w:numId w:val="14"/>
        </w:numPr>
        <w:spacing w:after="240"/>
        <w:rPr>
          <w:rFonts w:eastAsia="Times New Roman" w:cstheme="minorHAnsi"/>
          <w:b/>
          <w:bCs/>
          <w:lang w:val="sr-Latn-ME"/>
        </w:rPr>
      </w:pPr>
      <w:r w:rsidRPr="00F33088">
        <w:rPr>
          <w:lang w:val="sr-Latn-ME"/>
        </w:rPr>
        <w:t xml:space="preserve">Izgradnja </w:t>
      </w:r>
      <w:r w:rsidRPr="00F33088">
        <w:rPr>
          <w:b/>
          <w:lang w:val="sr-Latn-ME"/>
        </w:rPr>
        <w:t>regionalnog centra za upravljanje otpadom u opštini Nikšić</w:t>
      </w:r>
      <w:r w:rsidRPr="00F33088">
        <w:rPr>
          <w:lang w:val="sr-Latn-ME"/>
        </w:rPr>
        <w:t xml:space="preserve"> planirana je kroz projekat Svjetske banke „</w:t>
      </w:r>
      <w:r w:rsidRPr="00F33088">
        <w:rPr>
          <w:b/>
          <w:lang w:val="sr-Latn-ME"/>
        </w:rPr>
        <w:t>Reforma u oblasti upravljanja otpadom u Crnoj Gori</w:t>
      </w:r>
      <w:r w:rsidRPr="00F33088">
        <w:rPr>
          <w:lang w:val="sr-Latn-ME"/>
        </w:rPr>
        <w:t xml:space="preserve">“, za koji je u toku izrada Studije izvodljivosti. Odbor izvršnih direktora Svjetske banke odobrio je 27. marta 2026. godine zajam u iznosu od 40 miliona eura Crnoj Gori, s ciljem </w:t>
      </w:r>
      <w:proofErr w:type="spellStart"/>
      <w:r w:rsidRPr="00F33088">
        <w:rPr>
          <w:lang w:val="sr-Latn-ME"/>
        </w:rPr>
        <w:t>unapređenja</w:t>
      </w:r>
      <w:proofErr w:type="spellEnd"/>
      <w:r w:rsidRPr="00F33088">
        <w:rPr>
          <w:lang w:val="sr-Latn-ME"/>
        </w:rPr>
        <w:t xml:space="preserve"> u oblasti upravljanja otpadom. Projekat je usmjeren na jačanje institucionalnih kapaciteta i </w:t>
      </w:r>
      <w:proofErr w:type="spellStart"/>
      <w:r w:rsidRPr="00F33088">
        <w:rPr>
          <w:lang w:val="sr-Latn-ME"/>
        </w:rPr>
        <w:t>unapređenje</w:t>
      </w:r>
      <w:proofErr w:type="spellEnd"/>
      <w:r w:rsidRPr="00F33088">
        <w:rPr>
          <w:lang w:val="sr-Latn-ME"/>
        </w:rPr>
        <w:t xml:space="preserve"> usluga upravljanja otpadom u određenim opštinama, izgradnju regionalnog centra za upravljanje otpadom u Nikšiću i sanaciju neuređenog odlagališta na lokaciji bivšeg aluminijumskog kombinata KAP u Podgorici. Vlada Crne Gore je za izgradnju Regionalnog centra za upravljanje otpadom u Bijelom Polju, </w:t>
      </w:r>
      <w:proofErr w:type="spellStart"/>
      <w:r w:rsidRPr="00F33088">
        <w:rPr>
          <w:lang w:val="sr-Latn-ME"/>
        </w:rPr>
        <w:t>Predlogom</w:t>
      </w:r>
      <w:proofErr w:type="spellEnd"/>
      <w:r w:rsidRPr="00F33088">
        <w:rPr>
          <w:lang w:val="sr-Latn-ME"/>
        </w:rPr>
        <w:t xml:space="preserve"> zakona o budžetu za 2026. godinu, predvidjela kreditno zaduženje kod Agencije za razvoj iz Francuske (AFD), u iznosu od 20 miliona eura, kako bi se obezbijedila potrebna finansijska podrška za realizaciju ovog strateški važnog projekta za održivi razvoj sjevera Crne Gore;</w:t>
      </w:r>
    </w:p>
    <w:p w14:paraId="3E191529" w14:textId="77777777" w:rsidR="00EC5488" w:rsidRPr="00F33088" w:rsidRDefault="00EC5488" w:rsidP="00976EA2">
      <w:pPr>
        <w:pStyle w:val="Odlomakpopisa"/>
        <w:numPr>
          <w:ilvl w:val="0"/>
          <w:numId w:val="14"/>
        </w:numPr>
        <w:spacing w:after="240"/>
        <w:rPr>
          <w:rFonts w:eastAsia="Times New Roman" w:cstheme="minorHAnsi"/>
          <w:b/>
          <w:bCs/>
          <w:lang w:val="sr-Latn-ME"/>
        </w:rPr>
      </w:pPr>
      <w:r w:rsidRPr="00F33088">
        <w:rPr>
          <w:lang w:val="sr-Latn-ME"/>
        </w:rPr>
        <w:lastRenderedPageBreak/>
        <w:t xml:space="preserve">Izrada </w:t>
      </w:r>
      <w:r w:rsidRPr="00F33088">
        <w:rPr>
          <w:b/>
          <w:lang w:val="sr-Latn-ME"/>
        </w:rPr>
        <w:t>Nacionalnog plana upravljanja medicinskim otpadom</w:t>
      </w:r>
      <w:r w:rsidRPr="00F33088">
        <w:rPr>
          <w:lang w:val="sr-Latn-ME"/>
        </w:rPr>
        <w:t xml:space="preserve">, u skladu sa  EU standardima i ISO 14001/45001 zahtjevima, </w:t>
      </w:r>
      <w:proofErr w:type="spellStart"/>
      <w:r w:rsidRPr="00F33088">
        <w:rPr>
          <w:lang w:val="sr-Latn-ME"/>
        </w:rPr>
        <w:t>unapređenje</w:t>
      </w:r>
      <w:proofErr w:type="spellEnd"/>
      <w:r w:rsidRPr="00F33088">
        <w:rPr>
          <w:lang w:val="sr-Latn-ME"/>
        </w:rPr>
        <w:t xml:space="preserve"> institucionalnih i tehničkih kapaciteta, kao i planiranje izgradnje infrastrukture za njegov tretman;</w:t>
      </w:r>
    </w:p>
    <w:p w14:paraId="3E19152A" w14:textId="77777777" w:rsidR="00976EA2" w:rsidRPr="00F33088" w:rsidRDefault="00976EA2" w:rsidP="0096123D">
      <w:pPr>
        <w:pStyle w:val="Odlomakpopisa"/>
        <w:numPr>
          <w:ilvl w:val="0"/>
          <w:numId w:val="14"/>
        </w:numPr>
        <w:spacing w:after="240"/>
        <w:rPr>
          <w:rFonts w:eastAsia="Times New Roman" w:cstheme="minorHAnsi"/>
          <w:b/>
          <w:bCs/>
          <w:lang w:val="sr-Latn-ME"/>
        </w:rPr>
      </w:pPr>
      <w:r w:rsidRPr="00F33088">
        <w:rPr>
          <w:rFonts w:eastAsia="Times New Roman" w:cstheme="minorHAnsi"/>
          <w:b/>
          <w:bCs/>
          <w:lang w:val="sr-Latn-ME"/>
        </w:rPr>
        <w:t xml:space="preserve">Kvalitet voda: </w:t>
      </w:r>
      <w:r w:rsidRPr="00F33088">
        <w:rPr>
          <w:rFonts w:eastAsia="Times New Roman" w:cstheme="minorHAnsi"/>
          <w:bCs/>
          <w:lang w:val="sr-Latn-ME"/>
        </w:rPr>
        <w:t xml:space="preserve">završetak planova upravljanja riječnim slivovima; određivanje nadležnih organa za </w:t>
      </w:r>
      <w:proofErr w:type="spellStart"/>
      <w:r w:rsidRPr="00F33088">
        <w:rPr>
          <w:rFonts w:eastAsia="Times New Roman" w:cstheme="minorHAnsi"/>
          <w:bCs/>
          <w:lang w:val="sr-Latn-ME"/>
        </w:rPr>
        <w:t>vodosnabdijevanje</w:t>
      </w:r>
      <w:proofErr w:type="spellEnd"/>
      <w:r w:rsidRPr="00F33088">
        <w:rPr>
          <w:rFonts w:eastAsia="Times New Roman" w:cstheme="minorHAnsi"/>
          <w:bCs/>
          <w:lang w:val="sr-Latn-ME"/>
        </w:rPr>
        <w:t>; ulaganja u infrastrukturu za tretman otpadnih voda (velike investicione potrebe procijenjene na milijarde eura u periodu pristupanja); smanjenje gubitaka u vodovodnoj mreži;</w:t>
      </w:r>
      <w:r w:rsidR="0096123D" w:rsidRPr="00F33088">
        <w:rPr>
          <w:rFonts w:eastAsia="Times New Roman" w:cstheme="minorHAnsi"/>
          <w:bCs/>
          <w:lang w:val="sr-Latn-ME"/>
        </w:rPr>
        <w:t xml:space="preserve"> zaštita vodoizvorišta (određivanje i zaštita zona sanitarne zaštite);</w:t>
      </w:r>
    </w:p>
    <w:p w14:paraId="3E19152B" w14:textId="77777777" w:rsidR="00976EA2" w:rsidRPr="00F33088" w:rsidRDefault="00976EA2" w:rsidP="00786AA6">
      <w:pPr>
        <w:pStyle w:val="Odlomakpopisa"/>
        <w:numPr>
          <w:ilvl w:val="0"/>
          <w:numId w:val="14"/>
        </w:numPr>
        <w:spacing w:after="240"/>
        <w:rPr>
          <w:rFonts w:eastAsia="Times New Roman" w:cstheme="minorHAnsi"/>
          <w:b/>
          <w:bCs/>
          <w:lang w:val="sr-Latn-ME"/>
        </w:rPr>
      </w:pPr>
      <w:r w:rsidRPr="00F33088">
        <w:rPr>
          <w:rFonts w:eastAsia="Times New Roman" w:cstheme="minorHAnsi"/>
          <w:b/>
          <w:bCs/>
          <w:lang w:val="sr-Latn-ME"/>
        </w:rPr>
        <w:t xml:space="preserve">Kvalitet vazduha: </w:t>
      </w:r>
      <w:r w:rsidRPr="00F33088">
        <w:rPr>
          <w:rFonts w:eastAsia="Times New Roman" w:cstheme="minorHAnsi"/>
          <w:bCs/>
          <w:lang w:val="sr-Latn-ME"/>
        </w:rPr>
        <w:t>usvajanje i sprovođenje Strategije upravljanja kvalitetom vazduha</w:t>
      </w:r>
      <w:r w:rsidR="00786AA6" w:rsidRPr="00F33088">
        <w:rPr>
          <w:rFonts w:eastAsia="Times New Roman" w:cstheme="minorHAnsi"/>
          <w:bCs/>
          <w:lang w:val="sr-Latn-ME"/>
        </w:rPr>
        <w:t xml:space="preserve"> za period 2026-2029.</w:t>
      </w:r>
      <w:r w:rsidRPr="00F33088">
        <w:rPr>
          <w:rFonts w:eastAsia="Times New Roman" w:cstheme="minorHAnsi"/>
          <w:bCs/>
          <w:lang w:val="sr-Latn-ME"/>
        </w:rPr>
        <w:t>; rješavanje problema individualnog loženja čvrstih goriva kao ključnog izvora urbanog zagađenja;</w:t>
      </w:r>
      <w:r w:rsidR="00786AA6" w:rsidRPr="00F33088">
        <w:rPr>
          <w:rFonts w:eastAsia="Times New Roman" w:cstheme="minorHAnsi"/>
          <w:bCs/>
          <w:lang w:val="sr-Latn-ME"/>
        </w:rPr>
        <w:t xml:space="preserve"> usvajanje novog Zakona o zaštiti vazduha, koji će obezbijediti punu harmonizaciju sa  Direktivom (EU) 2024/2881 o kvalitetu ambijentalnog vazduha i čistijem vazduhu za Evropu, koja predstavlja najnoviji okvir EU za kvalitet vazduha;</w:t>
      </w:r>
    </w:p>
    <w:p w14:paraId="3E19152C" w14:textId="77777777" w:rsidR="00976EA2" w:rsidRPr="00F33088" w:rsidRDefault="00976EA2" w:rsidP="0096123D">
      <w:pPr>
        <w:pStyle w:val="Odlomakpopisa"/>
        <w:numPr>
          <w:ilvl w:val="0"/>
          <w:numId w:val="14"/>
        </w:numPr>
        <w:spacing w:after="240"/>
        <w:rPr>
          <w:rFonts w:eastAsia="Times New Roman" w:cstheme="minorHAnsi"/>
          <w:bCs/>
          <w:lang w:val="sr-Latn-ME"/>
        </w:rPr>
      </w:pPr>
      <w:r w:rsidRPr="00F33088">
        <w:rPr>
          <w:rFonts w:eastAsia="Times New Roman" w:cstheme="minorHAnsi"/>
          <w:b/>
          <w:bCs/>
          <w:lang w:val="sr-Latn-ME"/>
        </w:rPr>
        <w:t xml:space="preserve">Zaštita prirode: </w:t>
      </w:r>
      <w:r w:rsidRPr="00F33088">
        <w:rPr>
          <w:rFonts w:eastAsia="Times New Roman" w:cstheme="minorHAnsi"/>
          <w:bCs/>
          <w:lang w:val="sr-Latn-ME"/>
        </w:rPr>
        <w:t xml:space="preserve">završetak procesa određivanja Natura 2000 područja i dokazivanje upravljačkih kapaciteta; </w:t>
      </w:r>
      <w:r w:rsidR="0096123D" w:rsidRPr="00F33088">
        <w:rPr>
          <w:rFonts w:eastAsia="Times New Roman" w:cstheme="minorHAnsi"/>
          <w:bCs/>
          <w:lang w:val="sr-Latn-ME"/>
        </w:rPr>
        <w:t xml:space="preserve">izrada i sprovođenje planova upravljanja za sva zaštićena prirodna dobra, kao i pojačan inspekcijski nadzor; </w:t>
      </w:r>
      <w:r w:rsidRPr="00F33088">
        <w:rPr>
          <w:rFonts w:eastAsia="Times New Roman" w:cstheme="minorHAnsi"/>
          <w:bCs/>
          <w:lang w:val="sr-Latn-ME"/>
        </w:rPr>
        <w:t>rješavanje institucionalnog zastoja u upravljanju Solanom Ulcinj; ažuriranje i sprovođenje planova upravljanja nacionalnim parkovima; jačanje sistema monitoringa biodiverziteta;</w:t>
      </w:r>
      <w:r w:rsidR="0096123D" w:rsidRPr="00F33088">
        <w:rPr>
          <w:rFonts w:eastAsia="Times New Roman" w:cstheme="minorHAnsi"/>
          <w:bCs/>
          <w:lang w:val="sr-Latn-ME"/>
        </w:rPr>
        <w:t xml:space="preserve"> </w:t>
      </w:r>
    </w:p>
    <w:p w14:paraId="3E19152D" w14:textId="77777777" w:rsidR="00976EA2" w:rsidRPr="00F33088" w:rsidRDefault="00976EA2" w:rsidP="00976EA2">
      <w:pPr>
        <w:pStyle w:val="Odlomakpopisa"/>
        <w:numPr>
          <w:ilvl w:val="0"/>
          <w:numId w:val="14"/>
        </w:numPr>
        <w:spacing w:after="240"/>
        <w:rPr>
          <w:rFonts w:eastAsia="Times New Roman" w:cstheme="minorHAnsi"/>
          <w:bCs/>
          <w:lang w:val="sr-Latn-ME"/>
        </w:rPr>
      </w:pPr>
      <w:r w:rsidRPr="00F33088">
        <w:rPr>
          <w:rFonts w:eastAsia="Times New Roman" w:cstheme="minorHAnsi"/>
          <w:b/>
          <w:bCs/>
          <w:lang w:val="sr-Latn-ME"/>
        </w:rPr>
        <w:t xml:space="preserve">Klimatske promjene: </w:t>
      </w:r>
      <w:r w:rsidRPr="00F33088">
        <w:rPr>
          <w:rFonts w:eastAsia="Times New Roman" w:cstheme="minorHAnsi"/>
          <w:bCs/>
          <w:lang w:val="sr-Latn-ME"/>
        </w:rPr>
        <w:t xml:space="preserve">usklađivanje nacionalnog ETS-a sa EU ETS-om (posebno važno zbog primjene CBAM-a od januara 2026); </w:t>
      </w:r>
      <w:r w:rsidR="00D94659" w:rsidRPr="00F33088">
        <w:rPr>
          <w:rFonts w:eastAsia="Times New Roman" w:cstheme="minorHAnsi"/>
          <w:bCs/>
          <w:lang w:val="sr-Latn-ME"/>
        </w:rPr>
        <w:t xml:space="preserve">implementacija </w:t>
      </w:r>
      <w:r w:rsidRPr="00F33088">
        <w:rPr>
          <w:rFonts w:eastAsia="Times New Roman" w:cstheme="minorHAnsi"/>
          <w:bCs/>
          <w:lang w:val="sr-Latn-ME"/>
        </w:rPr>
        <w:t xml:space="preserve">Strategije </w:t>
      </w:r>
      <w:proofErr w:type="spellStart"/>
      <w:r w:rsidRPr="00F33088">
        <w:rPr>
          <w:rFonts w:eastAsia="Times New Roman" w:cstheme="minorHAnsi"/>
          <w:bCs/>
          <w:lang w:val="sr-Latn-ME"/>
        </w:rPr>
        <w:t>niskougljeničnog</w:t>
      </w:r>
      <w:proofErr w:type="spellEnd"/>
      <w:r w:rsidRPr="00F33088">
        <w:rPr>
          <w:rFonts w:eastAsia="Times New Roman" w:cstheme="minorHAnsi"/>
          <w:bCs/>
          <w:lang w:val="sr-Latn-ME"/>
        </w:rPr>
        <w:t xml:space="preserve"> razvoja; sprovođenje Plana </w:t>
      </w:r>
      <w:r w:rsidR="00D94659" w:rsidRPr="00F33088">
        <w:rPr>
          <w:rFonts w:eastAsia="Times New Roman" w:cstheme="minorHAnsi"/>
          <w:bCs/>
          <w:lang w:val="sr-Latn-ME"/>
        </w:rPr>
        <w:t xml:space="preserve">prilagođavanja </w:t>
      </w:r>
      <w:r w:rsidRPr="00F33088">
        <w:rPr>
          <w:rFonts w:eastAsia="Times New Roman" w:cstheme="minorHAnsi"/>
          <w:bCs/>
          <w:lang w:val="sr-Latn-ME"/>
        </w:rPr>
        <w:t>na klimatske promjene</w:t>
      </w:r>
      <w:r w:rsidR="00D94659" w:rsidRPr="00F33088">
        <w:rPr>
          <w:rFonts w:eastAsia="Times New Roman" w:cstheme="minorHAnsi"/>
          <w:bCs/>
          <w:lang w:val="sr-Latn-ME"/>
        </w:rPr>
        <w:t xml:space="preserve"> 2025-2035</w:t>
      </w:r>
      <w:r w:rsidRPr="00F33088">
        <w:rPr>
          <w:rFonts w:eastAsia="Times New Roman" w:cstheme="minorHAnsi"/>
          <w:bCs/>
          <w:lang w:val="sr-Latn-ME"/>
        </w:rPr>
        <w:t>; jačanje MRV sistema (monitoring, izvještavanje i verifikacija) za emisije gasova sa efektom staklene bašte;</w:t>
      </w:r>
    </w:p>
    <w:p w14:paraId="3E19152E" w14:textId="77777777" w:rsidR="00786AA6" w:rsidRPr="00F33088" w:rsidRDefault="00976EA2" w:rsidP="00976EA2">
      <w:pPr>
        <w:pStyle w:val="Odlomakpopisa"/>
        <w:numPr>
          <w:ilvl w:val="0"/>
          <w:numId w:val="14"/>
        </w:numPr>
        <w:spacing w:after="240"/>
        <w:rPr>
          <w:lang w:val="sr-Latn-ME"/>
        </w:rPr>
      </w:pPr>
      <w:r w:rsidRPr="00F33088">
        <w:rPr>
          <w:rFonts w:eastAsia="Times New Roman" w:cstheme="minorHAnsi"/>
          <w:b/>
          <w:bCs/>
          <w:lang w:val="sr-Latn-ME"/>
        </w:rPr>
        <w:t xml:space="preserve">Cirkularna ekonomija: </w:t>
      </w:r>
      <w:r w:rsidRPr="00F33088">
        <w:rPr>
          <w:rFonts w:eastAsia="Times New Roman" w:cstheme="minorHAnsi"/>
          <w:bCs/>
          <w:lang w:val="sr-Latn-ME"/>
        </w:rPr>
        <w:t xml:space="preserve">prelazak sa pristupa fokusiranog isključivo na upravljanje otpadom ka punoj primjeni principa cirkularne ekonomije (efikasnost resursa, </w:t>
      </w:r>
      <w:proofErr w:type="spellStart"/>
      <w:r w:rsidRPr="00F33088">
        <w:rPr>
          <w:rFonts w:eastAsia="Times New Roman" w:cstheme="minorHAnsi"/>
          <w:bCs/>
          <w:lang w:val="sr-Latn-ME"/>
        </w:rPr>
        <w:t>eko</w:t>
      </w:r>
      <w:proofErr w:type="spellEnd"/>
      <w:r w:rsidRPr="00F33088">
        <w:rPr>
          <w:rFonts w:eastAsia="Times New Roman" w:cstheme="minorHAnsi"/>
          <w:bCs/>
          <w:lang w:val="sr-Latn-ME"/>
        </w:rPr>
        <w:t>-dizajn, zelene javne nabavke); sprovođenje Mape puta za cirkularnu ekonomiju</w:t>
      </w:r>
      <w:r w:rsidR="00786AA6" w:rsidRPr="00F33088">
        <w:rPr>
          <w:rFonts w:eastAsia="Times New Roman" w:cstheme="minorHAnsi"/>
          <w:bCs/>
          <w:lang w:val="sr-Latn-ME"/>
        </w:rPr>
        <w:t>;</w:t>
      </w:r>
    </w:p>
    <w:p w14:paraId="3E19152F" w14:textId="77777777" w:rsidR="00976EA2" w:rsidRPr="00F33088" w:rsidRDefault="00786AA6" w:rsidP="00976EA2">
      <w:pPr>
        <w:pStyle w:val="Odlomakpopisa"/>
        <w:numPr>
          <w:ilvl w:val="0"/>
          <w:numId w:val="14"/>
        </w:numPr>
        <w:spacing w:after="240"/>
        <w:rPr>
          <w:rFonts w:eastAsia="Times New Roman" w:cstheme="minorHAnsi"/>
          <w:bCs/>
          <w:lang w:val="sr-Latn-ME"/>
        </w:rPr>
      </w:pPr>
      <w:r w:rsidRPr="00F33088">
        <w:rPr>
          <w:rFonts w:eastAsia="Times New Roman" w:cstheme="minorHAnsi"/>
          <w:b/>
          <w:bCs/>
          <w:lang w:val="sr-Latn-ME"/>
        </w:rPr>
        <w:t>Buka</w:t>
      </w:r>
      <w:r w:rsidRPr="00F33088">
        <w:rPr>
          <w:rFonts w:eastAsia="Times New Roman" w:cstheme="minorHAnsi"/>
          <w:bCs/>
          <w:lang w:val="sr-Latn-ME"/>
        </w:rPr>
        <w:t xml:space="preserve">: Usvajanje novog Zakona o zaštiti od buke u životnoj sredini. Ovim </w:t>
      </w:r>
      <w:proofErr w:type="spellStart"/>
      <w:r w:rsidRPr="00F33088">
        <w:rPr>
          <w:rFonts w:eastAsia="Times New Roman" w:cstheme="minorHAnsi"/>
          <w:bCs/>
          <w:lang w:val="sr-Latn-ME"/>
        </w:rPr>
        <w:t>Predlogom</w:t>
      </w:r>
      <w:proofErr w:type="spellEnd"/>
      <w:r w:rsidRPr="00F33088">
        <w:rPr>
          <w:rFonts w:eastAsia="Times New Roman" w:cstheme="minorHAnsi"/>
          <w:bCs/>
          <w:lang w:val="sr-Latn-ME"/>
        </w:rPr>
        <w:t xml:space="preserve"> zakona  urediće se djelatnosti i aktivnosti koje se tiču zaštite zdravlja </w:t>
      </w:r>
      <w:proofErr w:type="spellStart"/>
      <w:r w:rsidRPr="00F33088">
        <w:rPr>
          <w:rFonts w:eastAsia="Times New Roman" w:cstheme="minorHAnsi"/>
          <w:bCs/>
          <w:lang w:val="sr-Latn-ME"/>
        </w:rPr>
        <w:t>ljudi</w:t>
      </w:r>
      <w:proofErr w:type="spellEnd"/>
      <w:r w:rsidRPr="00F33088">
        <w:rPr>
          <w:rFonts w:eastAsia="Times New Roman" w:cstheme="minorHAnsi"/>
          <w:bCs/>
          <w:lang w:val="sr-Latn-ME"/>
        </w:rPr>
        <w:t xml:space="preserve"> i stanja životne sredine od štetnog dejstva buke u životnoj sredini, uključujući stavljanje u promet i korišćenje izvora buke, mjerenje i monitoring buke, izradu strateških karata buke i akcionih planova</w:t>
      </w:r>
      <w:r w:rsidR="00D56610" w:rsidRPr="00F33088">
        <w:rPr>
          <w:rFonts w:eastAsia="Times New Roman" w:cstheme="minorHAnsi"/>
          <w:bCs/>
          <w:lang w:val="sr-Latn-ME"/>
        </w:rPr>
        <w:t xml:space="preserve"> (za četiri putna pravca)</w:t>
      </w:r>
      <w:r w:rsidRPr="00F33088">
        <w:rPr>
          <w:rFonts w:eastAsia="Times New Roman" w:cstheme="minorHAnsi"/>
          <w:bCs/>
          <w:lang w:val="sr-Latn-ME"/>
        </w:rPr>
        <w:t xml:space="preserve">, izvještavanje i upravljanje bukom u cilju izbjegavanja, </w:t>
      </w:r>
      <w:proofErr w:type="spellStart"/>
      <w:r w:rsidRPr="00F33088">
        <w:rPr>
          <w:rFonts w:eastAsia="Times New Roman" w:cstheme="minorHAnsi"/>
          <w:bCs/>
          <w:lang w:val="sr-Latn-ME"/>
        </w:rPr>
        <w:t>sprečavanja</w:t>
      </w:r>
      <w:proofErr w:type="spellEnd"/>
      <w:r w:rsidRPr="00F33088">
        <w:rPr>
          <w:rFonts w:eastAsia="Times New Roman" w:cstheme="minorHAnsi"/>
          <w:bCs/>
          <w:lang w:val="sr-Latn-ME"/>
        </w:rPr>
        <w:t xml:space="preserve"> ili smanjivanja štetnog uticaja buke u životnoj sredini, uključujući i uznemiravanje, koje nastaje </w:t>
      </w:r>
      <w:proofErr w:type="spellStart"/>
      <w:r w:rsidRPr="00F33088">
        <w:rPr>
          <w:rFonts w:eastAsia="Times New Roman" w:cstheme="minorHAnsi"/>
          <w:bCs/>
          <w:lang w:val="sr-Latn-ME"/>
        </w:rPr>
        <w:t>usljed</w:t>
      </w:r>
      <w:proofErr w:type="spellEnd"/>
      <w:r w:rsidRPr="00F33088">
        <w:rPr>
          <w:rFonts w:eastAsia="Times New Roman" w:cstheme="minorHAnsi"/>
          <w:bCs/>
          <w:lang w:val="sr-Latn-ME"/>
        </w:rPr>
        <w:t xml:space="preserve"> izloženosti buci u životnoj sredini.</w:t>
      </w:r>
    </w:p>
    <w:p w14:paraId="3E191530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 xml:space="preserve">Četvrti </w:t>
      </w:r>
      <w:proofErr w:type="spellStart"/>
      <w:r w:rsidRPr="00F33088">
        <w:rPr>
          <w:lang w:val="sr-Latn-ME"/>
        </w:rPr>
        <w:t>pregled</w:t>
      </w:r>
      <w:proofErr w:type="spellEnd"/>
      <w:r w:rsidRPr="00F33088">
        <w:rPr>
          <w:lang w:val="sr-Latn-ME"/>
        </w:rPr>
        <w:t xml:space="preserve"> učinka u oblasti životne sredine za Crnu Goru (</w:t>
      </w:r>
      <w:r w:rsidRPr="00F33088">
        <w:rPr>
          <w:b/>
          <w:lang w:val="sr-Latn-ME"/>
        </w:rPr>
        <w:t>UNECE</w:t>
      </w:r>
      <w:r w:rsidRPr="00F33088">
        <w:rPr>
          <w:lang w:val="sr-Latn-ME"/>
        </w:rPr>
        <w:t xml:space="preserve">, oktobar 2025) dao je 58 preporuka koje pokrivaju sve </w:t>
      </w:r>
      <w:proofErr w:type="spellStart"/>
      <w:r w:rsidRPr="00F33088">
        <w:rPr>
          <w:lang w:val="sr-Latn-ME"/>
        </w:rPr>
        <w:t>podoblasti</w:t>
      </w:r>
      <w:proofErr w:type="spellEnd"/>
      <w:r w:rsidRPr="00F33088">
        <w:rPr>
          <w:lang w:val="sr-Latn-ME"/>
        </w:rPr>
        <w:t>, uključujući usvajanje nacionalne strategije kvaliteta vazduha, sprovođenje održive rudarske politike, primjenu zelenih javnih nabavki, modernizaciju sistema monitoringa životne sredine i razvoj integrisanog nacionalnog informacionog sistema za životnu sredinu.</w:t>
      </w:r>
    </w:p>
    <w:p w14:paraId="3E191531" w14:textId="77777777" w:rsidR="00976EA2" w:rsidRPr="00F33088" w:rsidRDefault="00976EA2" w:rsidP="00976EA2">
      <w:pPr>
        <w:rPr>
          <w:lang w:val="sr-Latn-ME"/>
        </w:rPr>
      </w:pPr>
      <w:r w:rsidRPr="00F33088">
        <w:rPr>
          <w:b/>
          <w:lang w:val="sr-Latn-ME"/>
        </w:rPr>
        <w:t>Reformska agenda 2024-2027</w:t>
      </w:r>
      <w:r w:rsidRPr="00F33088">
        <w:rPr>
          <w:lang w:val="sr-Latn-ME"/>
        </w:rPr>
        <w:t xml:space="preserve"> u okviru EU Instrumenta za reformu i rast uključuje mjerila u oblasti životne sredine i zelene tranzicije, međutim procjena </w:t>
      </w:r>
      <w:proofErr w:type="spellStart"/>
      <w:r w:rsidRPr="00F33088">
        <w:rPr>
          <w:lang w:val="sr-Latn-ME"/>
        </w:rPr>
        <w:t>Climate</w:t>
      </w:r>
      <w:proofErr w:type="spellEnd"/>
      <w:r w:rsidRPr="00F33088">
        <w:rPr>
          <w:lang w:val="sr-Latn-ME"/>
        </w:rPr>
        <w:t xml:space="preserve"> </w:t>
      </w:r>
      <w:proofErr w:type="spellStart"/>
      <w:r w:rsidRPr="00F33088">
        <w:rPr>
          <w:lang w:val="sr-Latn-ME"/>
        </w:rPr>
        <w:t>Action</w:t>
      </w:r>
      <w:proofErr w:type="spellEnd"/>
      <w:r w:rsidRPr="00F33088">
        <w:rPr>
          <w:lang w:val="sr-Latn-ME"/>
        </w:rPr>
        <w:t xml:space="preserve"> </w:t>
      </w:r>
      <w:proofErr w:type="spellStart"/>
      <w:r w:rsidRPr="00F33088">
        <w:rPr>
          <w:lang w:val="sr-Latn-ME"/>
        </w:rPr>
        <w:t>Network</w:t>
      </w:r>
      <w:proofErr w:type="spellEnd"/>
      <w:r w:rsidRPr="00F33088">
        <w:rPr>
          <w:lang w:val="sr-Latn-ME"/>
        </w:rPr>
        <w:t xml:space="preserve"> </w:t>
      </w:r>
      <w:proofErr w:type="spellStart"/>
      <w:r w:rsidRPr="00F33088">
        <w:rPr>
          <w:lang w:val="sr-Latn-ME"/>
        </w:rPr>
        <w:t>Europe</w:t>
      </w:r>
      <w:proofErr w:type="spellEnd"/>
      <w:r w:rsidRPr="00F33088">
        <w:rPr>
          <w:lang w:val="sr-Latn-ME"/>
        </w:rPr>
        <w:t xml:space="preserve"> iz decembra 2025. pokazuje da je implementacija neujednačena i da je većina aktivnosti odložena za period 2026–2029.</w:t>
      </w:r>
    </w:p>
    <w:p w14:paraId="3E191532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>Turizam, koji generiše oko 25% BDP-a Crne Gore, stvara disproporcionalan sezonski pritisak na otpad, vodne resurse i obalne ekosisteme. Nelegalna gradnja u zaštićenim i obalnim zonama i dalje predstavlja ozbiljan problem u sprovođenju propisa. Šumarstvo je dodatno ugroženo nelegalnom sječom i sve učestalijim požarima povezanim sa klimatskim promjenama.</w:t>
      </w:r>
    </w:p>
    <w:p w14:paraId="3E191533" w14:textId="77777777" w:rsidR="00976EA2" w:rsidRPr="00F33088" w:rsidRDefault="00976EA2" w:rsidP="00976EA2">
      <w:pPr>
        <w:rPr>
          <w:lang w:val="sr-Latn-ME"/>
        </w:rPr>
      </w:pPr>
      <w:r w:rsidRPr="00F33088">
        <w:rPr>
          <w:lang w:val="sr-Latn-ME"/>
        </w:rPr>
        <w:t xml:space="preserve">Pregovori u okviru Poglavlja 27 - Životna sredina i klimatske promjene u posljednjim godinama se prvenstveno prate kroz Program pristupanja Crne Gore Evropskoj uniji i kroz napredak u ispunjavanju završnih mjerila. Dodatna podrška obezbijeđena je kroz IPA 2024 Godišnji akcioni program za podršku EU Crnoj Gori u oblasti životne sredine i klimatskih promjena (5,5 miliona eura), kao i kroz Višegodišnji operativni program za životnu sredinu i klimatske promjene za period 2024-2027, ukupne vrijednosti </w:t>
      </w:r>
      <w:proofErr w:type="spellStart"/>
      <w:r w:rsidRPr="00F33088">
        <w:rPr>
          <w:lang w:val="sr-Latn-ME"/>
        </w:rPr>
        <w:t>preko</w:t>
      </w:r>
      <w:proofErr w:type="spellEnd"/>
      <w:r w:rsidRPr="00F33088">
        <w:rPr>
          <w:lang w:val="sr-Latn-ME"/>
        </w:rPr>
        <w:t xml:space="preserve"> 38,7 miliona eura. Program je fokusiran na ključne oblasti kao što su upravljanje vodama, upravljanje otpadom, zaštita prirode i klimatske promjene, kao i horizontalne prioritete poput jačanja upravljanja u oblasti životne sredine i institucionalnih </w:t>
      </w:r>
      <w:r w:rsidRPr="00F33088">
        <w:rPr>
          <w:lang w:val="sr-Latn-ME"/>
        </w:rPr>
        <w:lastRenderedPageBreak/>
        <w:t xml:space="preserve">kapaciteta. IPA III MOP za životnu sredinu i klimatske promjene obezbjeđuje namjenska sredstva za jačanje administrativnih kapaciteta u </w:t>
      </w:r>
      <w:proofErr w:type="spellStart"/>
      <w:r w:rsidRPr="00F33088">
        <w:rPr>
          <w:lang w:val="sr-Latn-ME"/>
        </w:rPr>
        <w:t>podoblastima</w:t>
      </w:r>
      <w:proofErr w:type="spellEnd"/>
      <w:r w:rsidRPr="00F33088">
        <w:rPr>
          <w:lang w:val="sr-Latn-ME"/>
        </w:rPr>
        <w:t xml:space="preserve"> Poglavlja 27.</w:t>
      </w:r>
    </w:p>
    <w:p w14:paraId="3E191534" w14:textId="77777777" w:rsidR="00585EC7" w:rsidRPr="00F33088" w:rsidRDefault="00585EC7" w:rsidP="00976EA2">
      <w:pPr>
        <w:rPr>
          <w:lang w:val="sr-Latn-ME"/>
        </w:rPr>
      </w:pPr>
    </w:p>
    <w:p w14:paraId="3E191535" w14:textId="77777777" w:rsidR="00976EA2" w:rsidRPr="00F33088" w:rsidRDefault="00976EA2" w:rsidP="00976EA2">
      <w:pPr>
        <w:pStyle w:val="Naslov2"/>
        <w:rPr>
          <w:lang w:val="sr-Latn-ME"/>
        </w:rPr>
      </w:pPr>
      <w:r w:rsidRPr="00F33088">
        <w:rPr>
          <w:lang w:val="sr-Latn-ME"/>
        </w:rPr>
        <w:t>Ključni indikatori</w:t>
      </w:r>
    </w:p>
    <w:tbl>
      <w:tblPr>
        <w:tblStyle w:val="Svijetlatablicareetke1-isticanje4"/>
        <w:tblW w:w="5000" w:type="pct"/>
        <w:tblLook w:val="04A0" w:firstRow="1" w:lastRow="0" w:firstColumn="1" w:lastColumn="0" w:noHBand="0" w:noVBand="1"/>
      </w:tblPr>
      <w:tblGrid>
        <w:gridCol w:w="2043"/>
        <w:gridCol w:w="1876"/>
        <w:gridCol w:w="1791"/>
        <w:gridCol w:w="1791"/>
        <w:gridCol w:w="1849"/>
      </w:tblGrid>
      <w:tr w:rsidR="00976EA2" w:rsidRPr="00F33088" w14:paraId="3E19153B" w14:textId="77777777" w:rsidTr="00680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36" w14:textId="77777777" w:rsidR="00976EA2" w:rsidRPr="00F33088" w:rsidRDefault="00976EA2" w:rsidP="008D132A">
            <w:pPr>
              <w:jc w:val="center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b w:val="0"/>
                <w:bCs w:val="0"/>
                <w:sz w:val="16"/>
                <w:szCs w:val="16"/>
                <w:lang w:val="sr-Latn-ME"/>
              </w:rPr>
              <w:t>Indikator</w:t>
            </w:r>
          </w:p>
        </w:tc>
        <w:tc>
          <w:tcPr>
            <w:tcW w:w="1003" w:type="pct"/>
            <w:hideMark/>
          </w:tcPr>
          <w:p w14:paraId="3E191537" w14:textId="77777777" w:rsidR="00976EA2" w:rsidRPr="00F33088" w:rsidRDefault="00976EA2" w:rsidP="008D1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b w:val="0"/>
                <w:bCs w:val="0"/>
                <w:sz w:val="16"/>
                <w:szCs w:val="16"/>
                <w:lang w:val="sr-Latn-ME"/>
              </w:rPr>
              <w:t>Crna Gora</w:t>
            </w:r>
          </w:p>
        </w:tc>
        <w:tc>
          <w:tcPr>
            <w:tcW w:w="958" w:type="pct"/>
            <w:hideMark/>
          </w:tcPr>
          <w:p w14:paraId="3E191538" w14:textId="77777777" w:rsidR="00976EA2" w:rsidRPr="00F33088" w:rsidRDefault="00976EA2" w:rsidP="008D1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b w:val="0"/>
                <w:bCs w:val="0"/>
                <w:sz w:val="16"/>
                <w:szCs w:val="16"/>
                <w:lang w:val="sr-Latn-ME"/>
              </w:rPr>
              <w:t>Prosjek EU-27</w:t>
            </w:r>
          </w:p>
        </w:tc>
        <w:tc>
          <w:tcPr>
            <w:tcW w:w="958" w:type="pct"/>
            <w:hideMark/>
          </w:tcPr>
          <w:p w14:paraId="3E191539" w14:textId="77777777" w:rsidR="00976EA2" w:rsidRPr="00F33088" w:rsidRDefault="00976EA2" w:rsidP="008D1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b w:val="0"/>
                <w:bCs w:val="0"/>
                <w:sz w:val="16"/>
                <w:szCs w:val="16"/>
                <w:lang w:val="sr-Latn-ME"/>
              </w:rPr>
              <w:t>Cilj/Referentna vrijednost</w:t>
            </w:r>
          </w:p>
        </w:tc>
        <w:tc>
          <w:tcPr>
            <w:tcW w:w="990" w:type="pct"/>
            <w:hideMark/>
          </w:tcPr>
          <w:p w14:paraId="3E19153A" w14:textId="77777777" w:rsidR="00976EA2" w:rsidRPr="00F33088" w:rsidRDefault="00976EA2" w:rsidP="008D13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b w:val="0"/>
                <w:bCs w:val="0"/>
                <w:sz w:val="16"/>
                <w:szCs w:val="16"/>
                <w:lang w:val="sr-Latn-ME"/>
              </w:rPr>
              <w:t>Godina/Izvor</w:t>
            </w:r>
          </w:p>
        </w:tc>
      </w:tr>
      <w:tr w:rsidR="00976EA2" w:rsidRPr="00F33088" w14:paraId="3E19153D" w14:textId="77777777" w:rsidTr="0068031E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3E19153C" w14:textId="77777777" w:rsidR="00976EA2" w:rsidRPr="00F33088" w:rsidRDefault="00976EA2" w:rsidP="008D132A">
            <w:pPr>
              <w:jc w:val="left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Životna sredina i klimatske promjene</w:t>
            </w:r>
          </w:p>
        </w:tc>
      </w:tr>
      <w:tr w:rsidR="00976EA2" w:rsidRPr="00F33088" w14:paraId="3E191543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3E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Smanjenje emisija GHG u odnosu na 1990 (bez LULUCF)</w:t>
            </w:r>
          </w:p>
        </w:tc>
        <w:tc>
          <w:tcPr>
            <w:tcW w:w="1003" w:type="pct"/>
            <w:hideMark/>
          </w:tcPr>
          <w:p w14:paraId="3E19153F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-27.6%</w:t>
            </w:r>
          </w:p>
        </w:tc>
        <w:tc>
          <w:tcPr>
            <w:tcW w:w="958" w:type="pct"/>
            <w:hideMark/>
          </w:tcPr>
          <w:p w14:paraId="3E191540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-32.5%</w:t>
            </w:r>
          </w:p>
        </w:tc>
        <w:tc>
          <w:tcPr>
            <w:tcW w:w="958" w:type="pct"/>
            <w:hideMark/>
          </w:tcPr>
          <w:p w14:paraId="3E191541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-55% do 2030 (</w:t>
            </w:r>
            <w:proofErr w:type="spellStart"/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EnC</w:t>
            </w:r>
            <w:proofErr w:type="spellEnd"/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 xml:space="preserve"> target)</w:t>
            </w:r>
          </w:p>
        </w:tc>
        <w:tc>
          <w:tcPr>
            <w:tcW w:w="990" w:type="pct"/>
            <w:hideMark/>
          </w:tcPr>
          <w:p w14:paraId="3E191542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2022, EEA/NDC</w:t>
            </w:r>
          </w:p>
        </w:tc>
      </w:tr>
      <w:tr w:rsidR="00976EA2" w:rsidRPr="00F33088" w14:paraId="3E19154A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44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Smanjenje emisija GHG u odnosu na 1990 (sa LULUCF)</w:t>
            </w:r>
          </w:p>
        </w:tc>
        <w:tc>
          <w:tcPr>
            <w:tcW w:w="1003" w:type="pct"/>
            <w:hideMark/>
          </w:tcPr>
          <w:p w14:paraId="3E191545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-71.3%</w:t>
            </w:r>
          </w:p>
        </w:tc>
        <w:tc>
          <w:tcPr>
            <w:tcW w:w="958" w:type="pct"/>
            <w:hideMark/>
          </w:tcPr>
          <w:p w14:paraId="3E191546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</w:t>
            </w:r>
          </w:p>
        </w:tc>
        <w:tc>
          <w:tcPr>
            <w:tcW w:w="958" w:type="pct"/>
            <w:hideMark/>
          </w:tcPr>
          <w:p w14:paraId="3E191547" w14:textId="77777777" w:rsidR="00D94659" w:rsidRPr="00F33088" w:rsidRDefault="00D94659" w:rsidP="00D946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-55% do 2030 (NDC)</w:t>
            </w:r>
          </w:p>
          <w:p w14:paraId="3E191548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-60% do 2035 (NDC)</w:t>
            </w:r>
          </w:p>
        </w:tc>
        <w:tc>
          <w:tcPr>
            <w:tcW w:w="990" w:type="pct"/>
            <w:hideMark/>
          </w:tcPr>
          <w:p w14:paraId="3E191549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2022, EEA</w:t>
            </w:r>
          </w:p>
        </w:tc>
      </w:tr>
      <w:tr w:rsidR="00976EA2" w:rsidRPr="00F33088" w14:paraId="3E191550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4B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Stopa reciklaže komunalnog otpada</w:t>
            </w:r>
          </w:p>
        </w:tc>
        <w:tc>
          <w:tcPr>
            <w:tcW w:w="1003" w:type="pct"/>
            <w:hideMark/>
          </w:tcPr>
          <w:p w14:paraId="3E19154C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&lt;5%</w:t>
            </w:r>
          </w:p>
        </w:tc>
        <w:tc>
          <w:tcPr>
            <w:tcW w:w="958" w:type="pct"/>
            <w:hideMark/>
          </w:tcPr>
          <w:p w14:paraId="3E19154D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~49.8%</w:t>
            </w:r>
          </w:p>
        </w:tc>
        <w:tc>
          <w:tcPr>
            <w:tcW w:w="958" w:type="pct"/>
            <w:hideMark/>
          </w:tcPr>
          <w:p w14:paraId="3E19154E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50% do 2030 (Poglavlje 27)</w:t>
            </w:r>
          </w:p>
        </w:tc>
        <w:tc>
          <w:tcPr>
            <w:tcW w:w="990" w:type="pct"/>
            <w:hideMark/>
          </w:tcPr>
          <w:p w14:paraId="3E19154F" w14:textId="77777777" w:rsidR="00976EA2" w:rsidRPr="00F33088" w:rsidRDefault="00976EA2" w:rsidP="009612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2022, MONSTAT/</w:t>
            </w:r>
            <w:r w:rsidR="0096123D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EUROSTAT</w:t>
            </w:r>
          </w:p>
        </w:tc>
      </w:tr>
      <w:tr w:rsidR="00976EA2" w:rsidRPr="00F33088" w14:paraId="3E191557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51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Komunalni otpad po stanovniku (kg)</w:t>
            </w:r>
          </w:p>
        </w:tc>
        <w:tc>
          <w:tcPr>
            <w:tcW w:w="1003" w:type="pct"/>
            <w:hideMark/>
          </w:tcPr>
          <w:p w14:paraId="3E191552" w14:textId="77777777" w:rsidR="00976EA2" w:rsidRPr="00F33088" w:rsidRDefault="00AC168E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602</w:t>
            </w:r>
          </w:p>
        </w:tc>
        <w:tc>
          <w:tcPr>
            <w:tcW w:w="958" w:type="pct"/>
            <w:hideMark/>
          </w:tcPr>
          <w:p w14:paraId="3E191553" w14:textId="77777777" w:rsidR="00976EA2" w:rsidRPr="00F33088" w:rsidRDefault="00AC168E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517</w:t>
            </w:r>
          </w:p>
        </w:tc>
        <w:tc>
          <w:tcPr>
            <w:tcW w:w="958" w:type="pct"/>
            <w:hideMark/>
          </w:tcPr>
          <w:p w14:paraId="3E191554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</w:t>
            </w:r>
          </w:p>
        </w:tc>
        <w:tc>
          <w:tcPr>
            <w:tcW w:w="990" w:type="pct"/>
            <w:hideMark/>
          </w:tcPr>
          <w:p w14:paraId="3E191555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</w:t>
            </w:r>
            <w:r w:rsidR="00AC168E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4</w:t>
            </w: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, MONSTAT</w:t>
            </w:r>
          </w:p>
          <w:p w14:paraId="3E191556" w14:textId="77777777" w:rsidR="00AC168E" w:rsidRPr="00F33088" w:rsidRDefault="00AC168E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2024, EUROSTAT</w:t>
            </w:r>
          </w:p>
        </w:tc>
      </w:tr>
      <w:tr w:rsidR="00976EA2" w:rsidRPr="00F33088" w14:paraId="3E19155D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58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Zaštićena kopnena područja (% teritorije)</w:t>
            </w:r>
          </w:p>
        </w:tc>
        <w:tc>
          <w:tcPr>
            <w:tcW w:w="1003" w:type="pct"/>
            <w:hideMark/>
          </w:tcPr>
          <w:p w14:paraId="3E191559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13.41%</w:t>
            </w:r>
          </w:p>
        </w:tc>
        <w:tc>
          <w:tcPr>
            <w:tcW w:w="958" w:type="pct"/>
            <w:hideMark/>
          </w:tcPr>
          <w:p w14:paraId="3E19155A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~26% (Natura 2000)</w:t>
            </w:r>
          </w:p>
        </w:tc>
        <w:tc>
          <w:tcPr>
            <w:tcW w:w="958" w:type="pct"/>
            <w:hideMark/>
          </w:tcPr>
          <w:p w14:paraId="3E19155B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30% do 2030 (EU target)</w:t>
            </w:r>
          </w:p>
        </w:tc>
        <w:tc>
          <w:tcPr>
            <w:tcW w:w="990" w:type="pct"/>
            <w:hideMark/>
          </w:tcPr>
          <w:p w14:paraId="3E19155C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2024, EEA</w:t>
            </w:r>
          </w:p>
        </w:tc>
      </w:tr>
      <w:tr w:rsidR="00976EA2" w:rsidRPr="00F33088" w14:paraId="3E191563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5E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Zaštićena morska područja (% morskog teritorija)</w:t>
            </w:r>
          </w:p>
        </w:tc>
        <w:tc>
          <w:tcPr>
            <w:tcW w:w="1003" w:type="pct"/>
            <w:hideMark/>
          </w:tcPr>
          <w:p w14:paraId="3E19155F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~1.79%</w:t>
            </w:r>
          </w:p>
        </w:tc>
        <w:tc>
          <w:tcPr>
            <w:tcW w:w="958" w:type="pct"/>
            <w:hideMark/>
          </w:tcPr>
          <w:p w14:paraId="3E191560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~12%</w:t>
            </w:r>
          </w:p>
        </w:tc>
        <w:tc>
          <w:tcPr>
            <w:tcW w:w="958" w:type="pct"/>
            <w:hideMark/>
          </w:tcPr>
          <w:p w14:paraId="3E191561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30% do 2030 (EU target)</w:t>
            </w:r>
          </w:p>
        </w:tc>
        <w:tc>
          <w:tcPr>
            <w:tcW w:w="990" w:type="pct"/>
            <w:hideMark/>
          </w:tcPr>
          <w:p w14:paraId="3E191562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2024, EEA</w:t>
            </w:r>
          </w:p>
        </w:tc>
      </w:tr>
      <w:tr w:rsidR="00976EA2" w:rsidRPr="00F33088" w14:paraId="3E19156A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64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Natura 2000 lokaliteti dostavljeni EK</w:t>
            </w:r>
          </w:p>
        </w:tc>
        <w:tc>
          <w:tcPr>
            <w:tcW w:w="1003" w:type="pct"/>
            <w:hideMark/>
          </w:tcPr>
          <w:p w14:paraId="3E191565" w14:textId="77777777" w:rsidR="00976EA2" w:rsidRPr="00F33088" w:rsidRDefault="00CA7AAD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U finalnoj fazi pripreme (maj 2026)</w:t>
            </w:r>
            <w:r w:rsidR="00976EA2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 xml:space="preserve"> </w:t>
            </w:r>
          </w:p>
        </w:tc>
        <w:tc>
          <w:tcPr>
            <w:tcW w:w="958" w:type="pct"/>
            <w:hideMark/>
          </w:tcPr>
          <w:p w14:paraId="3E191566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</w:t>
            </w:r>
          </w:p>
        </w:tc>
        <w:tc>
          <w:tcPr>
            <w:tcW w:w="958" w:type="pct"/>
            <w:hideMark/>
          </w:tcPr>
          <w:p w14:paraId="3E191567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Završno mjerilo</w:t>
            </w:r>
          </w:p>
        </w:tc>
        <w:tc>
          <w:tcPr>
            <w:tcW w:w="990" w:type="pct"/>
            <w:hideMark/>
          </w:tcPr>
          <w:p w14:paraId="3E191568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 xml:space="preserve">2025, EC </w:t>
            </w:r>
            <w:proofErr w:type="spellStart"/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Report</w:t>
            </w:r>
            <w:proofErr w:type="spellEnd"/>
          </w:p>
          <w:p w14:paraId="3E191569" w14:textId="77777777" w:rsidR="00CA7AAD" w:rsidRPr="00F33088" w:rsidRDefault="00CA7AAD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MERS podaci</w:t>
            </w:r>
          </w:p>
        </w:tc>
      </w:tr>
      <w:tr w:rsidR="00976EA2" w:rsidRPr="00F33088" w14:paraId="3E191570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6B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Obuhvat tretmana otpadnih voda</w:t>
            </w:r>
          </w:p>
        </w:tc>
        <w:tc>
          <w:tcPr>
            <w:tcW w:w="1003" w:type="pct"/>
            <w:hideMark/>
          </w:tcPr>
          <w:p w14:paraId="3E19156C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 xml:space="preserve">Nizak (većinom bez tretmana) </w:t>
            </w:r>
          </w:p>
        </w:tc>
        <w:tc>
          <w:tcPr>
            <w:tcW w:w="958" w:type="pct"/>
            <w:hideMark/>
          </w:tcPr>
          <w:p w14:paraId="3E19156D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~80%+ sekundarni/tercijarni tretman</w:t>
            </w:r>
          </w:p>
        </w:tc>
        <w:tc>
          <w:tcPr>
            <w:tcW w:w="958" w:type="pct"/>
            <w:hideMark/>
          </w:tcPr>
          <w:p w14:paraId="3E19156E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Usklađenost sa UWWTD)</w:t>
            </w:r>
          </w:p>
        </w:tc>
        <w:tc>
          <w:tcPr>
            <w:tcW w:w="990" w:type="pct"/>
            <w:hideMark/>
          </w:tcPr>
          <w:p w14:paraId="3E19156F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2023, UNECE EPR</w:t>
            </w:r>
          </w:p>
        </w:tc>
      </w:tr>
      <w:tr w:rsidR="00976EA2" w:rsidRPr="00F33088" w14:paraId="3E191577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71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Gubici u vodovodnoj mreži</w:t>
            </w:r>
          </w:p>
        </w:tc>
        <w:tc>
          <w:tcPr>
            <w:tcW w:w="1003" w:type="pct"/>
            <w:hideMark/>
          </w:tcPr>
          <w:p w14:paraId="3E191572" w14:textId="77777777" w:rsidR="00976EA2" w:rsidRPr="00F33088" w:rsidRDefault="00976EA2" w:rsidP="00912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Veoma visoki</w:t>
            </w:r>
            <w:r w:rsidR="0091270C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, prosječno 66.93% u 2024</w:t>
            </w:r>
            <w:r w:rsidR="0091270C" w:rsidRPr="00F33088">
              <w:rPr>
                <w:rStyle w:val="Referencafusnote"/>
                <w:rFonts w:eastAsia="Times New Roman" w:cstheme="minorHAnsi"/>
                <w:sz w:val="16"/>
                <w:szCs w:val="16"/>
                <w:lang w:val="sr-Latn-ME"/>
              </w:rPr>
              <w:footnoteReference w:id="17"/>
            </w: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 xml:space="preserve"> (&gt;50% u nekim područjima)</w:t>
            </w:r>
          </w:p>
        </w:tc>
        <w:tc>
          <w:tcPr>
            <w:tcW w:w="958" w:type="pct"/>
            <w:hideMark/>
          </w:tcPr>
          <w:p w14:paraId="3E191573" w14:textId="77777777" w:rsidR="00976EA2" w:rsidRPr="00F33088" w:rsidRDefault="00976EA2" w:rsidP="009127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~25% EU avg</w:t>
            </w:r>
            <w:r w:rsidR="0091270C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.</w:t>
            </w:r>
          </w:p>
        </w:tc>
        <w:tc>
          <w:tcPr>
            <w:tcW w:w="958" w:type="pct"/>
            <w:hideMark/>
          </w:tcPr>
          <w:p w14:paraId="3E191574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</w:t>
            </w:r>
          </w:p>
        </w:tc>
        <w:tc>
          <w:tcPr>
            <w:tcW w:w="990" w:type="pct"/>
            <w:hideMark/>
          </w:tcPr>
          <w:p w14:paraId="3E191575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2025, UNECE EPR</w:t>
            </w:r>
          </w:p>
          <w:p w14:paraId="3E191576" w14:textId="77777777" w:rsidR="0091270C" w:rsidRPr="00F33088" w:rsidRDefault="0091270C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2024, REGAGEN</w:t>
            </w:r>
          </w:p>
        </w:tc>
      </w:tr>
      <w:tr w:rsidR="00976EA2" w:rsidRPr="00F33088" w14:paraId="3E19157D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78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Kvalitet vazduha – prekoračenja PM2.5</w:t>
            </w:r>
          </w:p>
        </w:tc>
        <w:tc>
          <w:tcPr>
            <w:tcW w:w="1003" w:type="pct"/>
            <w:hideMark/>
          </w:tcPr>
          <w:p w14:paraId="3E191579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Česta (Pljevlja, Nikšić</w:t>
            </w:r>
            <w:r w:rsidR="001168FA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, Bijelo Polje</w:t>
            </w: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)</w:t>
            </w:r>
          </w:p>
        </w:tc>
        <w:tc>
          <w:tcPr>
            <w:tcW w:w="958" w:type="pct"/>
            <w:hideMark/>
          </w:tcPr>
          <w:p w14:paraId="3E19157A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Trend opadanja</w:t>
            </w:r>
          </w:p>
        </w:tc>
        <w:tc>
          <w:tcPr>
            <w:tcW w:w="958" w:type="pct"/>
            <w:hideMark/>
          </w:tcPr>
          <w:p w14:paraId="3E19157B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WHO/EU granične vrijednosti</w:t>
            </w:r>
          </w:p>
        </w:tc>
        <w:tc>
          <w:tcPr>
            <w:tcW w:w="990" w:type="pct"/>
            <w:hideMark/>
          </w:tcPr>
          <w:p w14:paraId="3E19157C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2023, EPA Montenegro</w:t>
            </w:r>
          </w:p>
        </w:tc>
      </w:tr>
      <w:tr w:rsidR="00976EA2" w:rsidRPr="00F33088" w14:paraId="3E191583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7E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Broj neuređenih odlagališta otpada</w:t>
            </w:r>
          </w:p>
        </w:tc>
        <w:tc>
          <w:tcPr>
            <w:tcW w:w="1003" w:type="pct"/>
            <w:hideMark/>
          </w:tcPr>
          <w:p w14:paraId="3E19157F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&gt;3</w:t>
            </w:r>
            <w:r w:rsidR="00CA7AAD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46</w:t>
            </w:r>
          </w:p>
        </w:tc>
        <w:tc>
          <w:tcPr>
            <w:tcW w:w="958" w:type="pct"/>
            <w:hideMark/>
          </w:tcPr>
          <w:p w14:paraId="3E191580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Gotovo nula</w:t>
            </w:r>
          </w:p>
        </w:tc>
        <w:tc>
          <w:tcPr>
            <w:tcW w:w="958" w:type="pct"/>
            <w:hideMark/>
          </w:tcPr>
          <w:p w14:paraId="3E191581" w14:textId="77777777" w:rsidR="00976EA2" w:rsidRPr="00F33088" w:rsidRDefault="00CA7AAD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Cilj - p</w:t>
            </w:r>
            <w:r w:rsidR="00976EA2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otpuna sanacija</w:t>
            </w:r>
          </w:p>
        </w:tc>
        <w:tc>
          <w:tcPr>
            <w:tcW w:w="990" w:type="pct"/>
            <w:hideMark/>
          </w:tcPr>
          <w:p w14:paraId="3E191582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</w:t>
            </w:r>
            <w:r w:rsidR="00CA7AAD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5</w:t>
            </w: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, MONSTAT</w:t>
            </w:r>
          </w:p>
        </w:tc>
      </w:tr>
      <w:tr w:rsidR="00976EA2" w:rsidRPr="00F33088" w14:paraId="3E191589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84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Stopa cirkularne upotrebe materijala</w:t>
            </w:r>
            <w:r w:rsidR="00CA7AAD"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 xml:space="preserve">/ </w:t>
            </w:r>
            <w:proofErr w:type="spellStart"/>
            <w:r w:rsidR="00CA7AAD"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Circular</w:t>
            </w:r>
            <w:proofErr w:type="spellEnd"/>
            <w:r w:rsidR="00CA7AAD"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 xml:space="preserve"> </w:t>
            </w:r>
            <w:proofErr w:type="spellStart"/>
            <w:r w:rsidR="00CA7AAD"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Material</w:t>
            </w:r>
            <w:proofErr w:type="spellEnd"/>
            <w:r w:rsidR="00CA7AAD"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 xml:space="preserve"> </w:t>
            </w:r>
            <w:proofErr w:type="spellStart"/>
            <w:r w:rsidR="00CA7AAD"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Use</w:t>
            </w:r>
            <w:proofErr w:type="spellEnd"/>
            <w:r w:rsidR="00CA7AAD"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 xml:space="preserve"> Rate – CMUR</w:t>
            </w:r>
          </w:p>
        </w:tc>
        <w:tc>
          <w:tcPr>
            <w:tcW w:w="1003" w:type="pct"/>
            <w:hideMark/>
          </w:tcPr>
          <w:p w14:paraId="3E191585" w14:textId="77777777" w:rsidR="00976EA2" w:rsidRPr="00F33088" w:rsidRDefault="00CA7AAD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Veoma niska (1-2%)</w:t>
            </w:r>
          </w:p>
        </w:tc>
        <w:tc>
          <w:tcPr>
            <w:tcW w:w="958" w:type="pct"/>
            <w:hideMark/>
          </w:tcPr>
          <w:p w14:paraId="3E191586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~</w:t>
            </w:r>
            <w:r w:rsidR="00CA7AAD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12.2</w:t>
            </w: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%</w:t>
            </w:r>
          </w:p>
        </w:tc>
        <w:tc>
          <w:tcPr>
            <w:tcW w:w="958" w:type="pct"/>
            <w:hideMark/>
          </w:tcPr>
          <w:p w14:paraId="3E191587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</w:t>
            </w:r>
          </w:p>
        </w:tc>
        <w:tc>
          <w:tcPr>
            <w:tcW w:w="990" w:type="pct"/>
            <w:hideMark/>
          </w:tcPr>
          <w:p w14:paraId="3E191588" w14:textId="77777777" w:rsidR="00976EA2" w:rsidRPr="00F33088" w:rsidRDefault="00976EA2" w:rsidP="00CA7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</w:t>
            </w:r>
            <w:r w:rsidR="00CA7AAD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5</w:t>
            </w: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 xml:space="preserve">, </w:t>
            </w:r>
            <w:r w:rsidR="00CA7AAD"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EUROSTAT</w:t>
            </w:r>
            <w:r w:rsidR="00CA7AAD" w:rsidRPr="00F33088">
              <w:rPr>
                <w:rStyle w:val="Referencafusnote"/>
                <w:rFonts w:eastAsia="Times New Roman" w:cstheme="minorHAnsi"/>
                <w:sz w:val="16"/>
                <w:szCs w:val="16"/>
                <w:lang w:val="sr-Latn-ME"/>
              </w:rPr>
              <w:footnoteReference w:id="18"/>
            </w:r>
          </w:p>
        </w:tc>
      </w:tr>
      <w:tr w:rsidR="00976EA2" w:rsidRPr="00F33088" w14:paraId="3E19158F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hideMark/>
          </w:tcPr>
          <w:p w14:paraId="3E19158A" w14:textId="77777777" w:rsidR="00976EA2" w:rsidRPr="00F33088" w:rsidRDefault="00976EA2" w:rsidP="008D132A">
            <w:pPr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Šumska pokrivenost (% teritorije)</w:t>
            </w:r>
          </w:p>
        </w:tc>
        <w:tc>
          <w:tcPr>
            <w:tcW w:w="1003" w:type="pct"/>
            <w:hideMark/>
          </w:tcPr>
          <w:p w14:paraId="3E19158B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~61%</w:t>
            </w:r>
          </w:p>
        </w:tc>
        <w:tc>
          <w:tcPr>
            <w:tcW w:w="958" w:type="pct"/>
            <w:hideMark/>
          </w:tcPr>
          <w:p w14:paraId="3E19158C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~44%</w:t>
            </w:r>
          </w:p>
        </w:tc>
        <w:tc>
          <w:tcPr>
            <w:tcW w:w="958" w:type="pct"/>
            <w:hideMark/>
          </w:tcPr>
          <w:p w14:paraId="3E19158D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-</w:t>
            </w:r>
          </w:p>
        </w:tc>
        <w:tc>
          <w:tcPr>
            <w:tcW w:w="990" w:type="pct"/>
            <w:hideMark/>
          </w:tcPr>
          <w:p w14:paraId="3E19158E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2023, MONSTAT</w:t>
            </w:r>
          </w:p>
        </w:tc>
      </w:tr>
      <w:tr w:rsidR="00976EA2" w:rsidRPr="00F33088" w14:paraId="3E191591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3E191590" w14:textId="77777777" w:rsidR="00976EA2" w:rsidRPr="00F33088" w:rsidRDefault="00976EA2" w:rsidP="008D132A">
            <w:pPr>
              <w:jc w:val="left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proofErr w:type="spellStart"/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lastRenderedPageBreak/>
              <w:t>Agrošumski</w:t>
            </w:r>
            <w:proofErr w:type="spellEnd"/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 xml:space="preserve"> sistemi, uključujući mjere klimatske otpornosti</w:t>
            </w:r>
          </w:p>
        </w:tc>
      </w:tr>
      <w:tr w:rsidR="00976EA2" w:rsidRPr="00F33088" w14:paraId="3E19159A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14:paraId="3E191592" w14:textId="77777777" w:rsidR="00976EA2" w:rsidRPr="00F33088" w:rsidRDefault="00976EA2" w:rsidP="008D132A">
            <w:pPr>
              <w:jc w:val="left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 xml:space="preserve">Broj operacija </w:t>
            </w:r>
          </w:p>
          <w:p w14:paraId="3E191593" w14:textId="77777777" w:rsidR="00976EA2" w:rsidRPr="00F33088" w:rsidRDefault="00976EA2" w:rsidP="008D132A">
            <w:pPr>
              <w:jc w:val="left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 xml:space="preserve">(ha zemljišta pod </w:t>
            </w:r>
            <w:proofErr w:type="spellStart"/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agrošumarstvom</w:t>
            </w:r>
            <w:proofErr w:type="spellEnd"/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)</w:t>
            </w:r>
          </w:p>
        </w:tc>
        <w:tc>
          <w:tcPr>
            <w:tcW w:w="1003" w:type="pct"/>
          </w:tcPr>
          <w:p w14:paraId="3E191594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248 279.6 ha</w:t>
            </w:r>
            <w:r w:rsidRPr="00F33088">
              <w:rPr>
                <w:rStyle w:val="Referencafusnote"/>
                <w:rFonts w:eastAsia="Times New Roman" w:cstheme="minorHAnsi"/>
                <w:sz w:val="16"/>
                <w:szCs w:val="16"/>
                <w:lang w:val="sr-Latn-ME"/>
              </w:rPr>
              <w:footnoteReference w:id="19"/>
            </w: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 xml:space="preserve"> </w:t>
            </w:r>
          </w:p>
          <w:p w14:paraId="3E191595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Korišćeno poljoprivredno zemljište sa zajedničkim zemljištem i bez njega: 126.658,4 ha</w:t>
            </w:r>
            <w:r w:rsidRPr="00F33088">
              <w:rPr>
                <w:rStyle w:val="Referencafusnote"/>
                <w:rFonts w:eastAsia="Times New Roman" w:cstheme="minorHAnsi"/>
                <w:sz w:val="16"/>
                <w:szCs w:val="16"/>
                <w:lang w:val="sr-Latn-ME"/>
              </w:rPr>
              <w:footnoteReference w:id="20"/>
            </w:r>
          </w:p>
        </w:tc>
        <w:tc>
          <w:tcPr>
            <w:tcW w:w="958" w:type="pct"/>
          </w:tcPr>
          <w:p w14:paraId="3E191596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Oko 15,4 miliona hektara u EU (27), što predstavlja ~8,8% korišćenog poljoprivrednog zemljišta (UAA)</w:t>
            </w:r>
            <w:r w:rsidRPr="00F33088">
              <w:rPr>
                <w:rStyle w:val="Referencafusnote"/>
                <w:rFonts w:eastAsia="Times New Roman" w:cstheme="minorHAnsi"/>
                <w:sz w:val="16"/>
                <w:szCs w:val="16"/>
                <w:lang w:val="sr-Latn-ME"/>
              </w:rPr>
              <w:footnoteReference w:id="21"/>
            </w:r>
          </w:p>
        </w:tc>
        <w:tc>
          <w:tcPr>
            <w:tcW w:w="958" w:type="pct"/>
          </w:tcPr>
          <w:p w14:paraId="3E191597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Usklađivanje sa EU kriterijumima i proširenje obuhvata periodičnih istraživanja</w:t>
            </w:r>
          </w:p>
        </w:tc>
        <w:tc>
          <w:tcPr>
            <w:tcW w:w="990" w:type="pct"/>
          </w:tcPr>
          <w:p w14:paraId="3E191598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22222"/>
                <w:sz w:val="16"/>
                <w:szCs w:val="16"/>
                <w:shd w:val="clear" w:color="auto" w:fill="FFFFFF"/>
                <w:lang w:val="sr-Latn-ME"/>
              </w:rPr>
            </w:pPr>
          </w:p>
          <w:p w14:paraId="3E191599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color w:val="222222"/>
                <w:sz w:val="16"/>
                <w:szCs w:val="16"/>
                <w:shd w:val="clear" w:color="auto" w:fill="FFFFFF"/>
                <w:lang w:val="sr-Latn-ME"/>
              </w:rPr>
              <w:t>EU baza podataka LUCAS; Popis poljoprivrede 2024, MONSTAT</w:t>
            </w:r>
            <w:r w:rsidRPr="00F33088">
              <w:rPr>
                <w:rStyle w:val="Referencafusnote"/>
                <w:rFonts w:cstheme="minorHAnsi"/>
                <w:color w:val="222222"/>
                <w:sz w:val="16"/>
                <w:szCs w:val="16"/>
                <w:shd w:val="clear" w:color="auto" w:fill="FFFFFF"/>
                <w:lang w:val="sr-Latn-ME"/>
              </w:rPr>
              <w:footnoteReference w:id="22"/>
            </w:r>
          </w:p>
        </w:tc>
      </w:tr>
      <w:tr w:rsidR="00976EA2" w:rsidRPr="00F33088" w14:paraId="3E1915A0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14:paraId="3E19159B" w14:textId="77777777" w:rsidR="00976EA2" w:rsidRPr="00F33088" w:rsidRDefault="00976EA2" w:rsidP="008D132A">
            <w:pPr>
              <w:jc w:val="left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  <w:t>Broj malih poljoprivrednih gazdinstava u trećim zemljama</w:t>
            </w:r>
          </w:p>
        </w:tc>
        <w:tc>
          <w:tcPr>
            <w:tcW w:w="1003" w:type="pct"/>
          </w:tcPr>
          <w:p w14:paraId="3E19159C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26.711 (nacionalni kriterijumi), odnosno 18.774 prema EU kriterijumima</w:t>
            </w:r>
          </w:p>
        </w:tc>
        <w:tc>
          <w:tcPr>
            <w:tcW w:w="958" w:type="pct"/>
          </w:tcPr>
          <w:p w14:paraId="3E19159D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</w:p>
        </w:tc>
        <w:tc>
          <w:tcPr>
            <w:tcW w:w="958" w:type="pct"/>
          </w:tcPr>
          <w:p w14:paraId="3E19159E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</w:p>
        </w:tc>
        <w:tc>
          <w:tcPr>
            <w:tcW w:w="990" w:type="pct"/>
          </w:tcPr>
          <w:p w14:paraId="3E19159F" w14:textId="77777777" w:rsidR="00976EA2" w:rsidRPr="00F33088" w:rsidRDefault="00976EA2" w:rsidP="008D13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color w:val="222222"/>
                <w:sz w:val="16"/>
                <w:szCs w:val="16"/>
                <w:shd w:val="clear" w:color="auto" w:fill="FFFFFF"/>
                <w:lang w:val="sr-Latn-ME"/>
              </w:rPr>
              <w:t>Popis poljoprivrede 2024, MONSTAT</w:t>
            </w:r>
          </w:p>
        </w:tc>
      </w:tr>
    </w:tbl>
    <w:p w14:paraId="3E1915A1" w14:textId="77777777" w:rsidR="00976EA2" w:rsidRPr="00F33088" w:rsidRDefault="00976EA2" w:rsidP="00976EA2">
      <w:pPr>
        <w:rPr>
          <w:lang w:val="sr-Latn-ME"/>
        </w:rPr>
      </w:pPr>
      <w:r w:rsidRPr="00F33088">
        <w:rPr>
          <w:b/>
          <w:lang w:val="sr-Latn-ME"/>
        </w:rPr>
        <w:t>Napomena</w:t>
      </w:r>
      <w:r w:rsidRPr="00F33088">
        <w:rPr>
          <w:lang w:val="sr-Latn-ME"/>
        </w:rPr>
        <w:t xml:space="preserve">: Podaci o stopi reciklaže variraju u zavisnosti od izvora i metodologije – MONSTAT navodi &lt;0,5% za 2022. godinu, dok prema metodologiji </w:t>
      </w:r>
      <w:proofErr w:type="spellStart"/>
      <w:r w:rsidRPr="00F33088">
        <w:rPr>
          <w:lang w:val="sr-Latn-ME"/>
        </w:rPr>
        <w:t>Eurostat</w:t>
      </w:r>
      <w:proofErr w:type="spellEnd"/>
      <w:r w:rsidRPr="00F33088">
        <w:rPr>
          <w:lang w:val="sr-Latn-ME"/>
        </w:rPr>
        <w:t xml:space="preserve"> iznosi približno 4,7%. Veliki jaz u odnosu na prosjek EU u oblasti upravljanja otpadom i tretmana otpadnih voda predstavlja najveću pojedinačnu investicionu potrebu za usklađivanje u okviru Poglavlja 27.</w:t>
      </w:r>
    </w:p>
    <w:p w14:paraId="3E1915A2" w14:textId="77777777" w:rsidR="00976EA2" w:rsidRPr="00F33088" w:rsidRDefault="00976EA2" w:rsidP="00976EA2">
      <w:pPr>
        <w:pStyle w:val="Naslov2"/>
        <w:rPr>
          <w:rFonts w:eastAsia="Times New Roman"/>
          <w:lang w:val="sr-Latn-ME"/>
        </w:rPr>
      </w:pPr>
      <w:r w:rsidRPr="00F33088">
        <w:rPr>
          <w:rFonts w:eastAsia="Times New Roman"/>
          <w:lang w:val="sr-Latn-ME"/>
        </w:rPr>
        <w:t>Tematske jedinice</w:t>
      </w:r>
    </w:p>
    <w:tbl>
      <w:tblPr>
        <w:tblStyle w:val="Svijetlatablicareetke1-isticanje4"/>
        <w:tblW w:w="5000" w:type="pct"/>
        <w:tblLook w:val="04A0" w:firstRow="1" w:lastRow="0" w:firstColumn="1" w:lastColumn="0" w:noHBand="0" w:noVBand="1"/>
      </w:tblPr>
      <w:tblGrid>
        <w:gridCol w:w="1672"/>
        <w:gridCol w:w="7678"/>
      </w:tblGrid>
      <w:tr w:rsidR="00976EA2" w:rsidRPr="00F33088" w14:paraId="3E1915A5" w14:textId="77777777" w:rsidTr="00680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A3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Kod tematske oblasti</w:t>
            </w:r>
          </w:p>
        </w:tc>
        <w:tc>
          <w:tcPr>
            <w:tcW w:w="4106" w:type="pct"/>
          </w:tcPr>
          <w:p w14:paraId="3E1915A4" w14:textId="77777777" w:rsidR="00976EA2" w:rsidRPr="00F33088" w:rsidRDefault="00976EA2" w:rsidP="008D1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Naziv tematskih jedinica</w:t>
            </w:r>
          </w:p>
        </w:tc>
      </w:tr>
      <w:tr w:rsidR="00976EA2" w:rsidRPr="00F33088" w14:paraId="3E1915A8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A6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</w:p>
        </w:tc>
        <w:tc>
          <w:tcPr>
            <w:tcW w:w="4106" w:type="pct"/>
          </w:tcPr>
          <w:p w14:paraId="3E1915A7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b/>
                <w:sz w:val="16"/>
                <w:szCs w:val="16"/>
                <w:lang w:val="sr-Latn-ME"/>
              </w:rPr>
              <w:t>2.02 Poljoprivreda i šumarstvo</w:t>
            </w:r>
          </w:p>
        </w:tc>
      </w:tr>
      <w:tr w:rsidR="00976EA2" w:rsidRPr="00F33088" w14:paraId="3E1915AB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A9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34</w:t>
            </w:r>
          </w:p>
        </w:tc>
        <w:tc>
          <w:tcPr>
            <w:tcW w:w="4106" w:type="pct"/>
          </w:tcPr>
          <w:p w14:paraId="3E1915AA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Agrošumarski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sistemi, uključujući mjere klimatske otpornosti</w:t>
            </w:r>
          </w:p>
        </w:tc>
      </w:tr>
      <w:tr w:rsidR="00976EA2" w:rsidRPr="00F33088" w14:paraId="3E1915AE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AC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</w:p>
        </w:tc>
        <w:tc>
          <w:tcPr>
            <w:tcW w:w="4106" w:type="pct"/>
          </w:tcPr>
          <w:p w14:paraId="3E1915AD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b/>
                <w:sz w:val="16"/>
                <w:szCs w:val="16"/>
                <w:lang w:val="sr-Latn-ME"/>
              </w:rPr>
              <w:t>2.35 Cirkularna ekonomija</w:t>
            </w:r>
          </w:p>
        </w:tc>
      </w:tr>
      <w:tr w:rsidR="00976EA2" w:rsidRPr="00F33088" w14:paraId="3E1915B1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AF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257</w:t>
            </w:r>
          </w:p>
        </w:tc>
        <w:tc>
          <w:tcPr>
            <w:tcW w:w="4106" w:type="pct"/>
          </w:tcPr>
          <w:p w14:paraId="3E1915B0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Usluge cirkularne ekonomije (npr. popravka, obnova i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remanufaktura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>; prodaja rezervnih djelova; priprema za ponovnu upotrebu proizvoda na kraju životnog vijeka i njihovih komponenti; prodaja polovne robe; modeli „proizvod kao usluga“ i drugi cirkularni modeli zasnovani na rezultatima; platforme za trgovinu polovnom robom)</w:t>
            </w:r>
          </w:p>
        </w:tc>
      </w:tr>
      <w:tr w:rsidR="00976EA2" w:rsidRPr="00F33088" w14:paraId="3E1915B4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B2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258</w:t>
            </w:r>
          </w:p>
        </w:tc>
        <w:tc>
          <w:tcPr>
            <w:tcW w:w="4106" w:type="pct"/>
          </w:tcPr>
          <w:p w14:paraId="3E1915B3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Upravljanje komercijalnim i industrijskim otpadom: mjere koje značajno doprinose prevenciji otpada, odvojenom sakupljanju, sortiranju, pripremi za ponovnu upotrebu i reciklaži (osim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biootpada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>)</w:t>
            </w:r>
          </w:p>
        </w:tc>
      </w:tr>
      <w:tr w:rsidR="00976EA2" w:rsidRPr="00F33088" w14:paraId="3E1915B7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B5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259</w:t>
            </w:r>
          </w:p>
        </w:tc>
        <w:tc>
          <w:tcPr>
            <w:tcW w:w="4106" w:type="pct"/>
          </w:tcPr>
          <w:p w14:paraId="3E1915B6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Dekontaminacija i demontaža proizvoda na kraju životnog vijeka</w:t>
            </w:r>
          </w:p>
        </w:tc>
      </w:tr>
      <w:tr w:rsidR="00976EA2" w:rsidRPr="00F33088" w14:paraId="3E1915BA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B8" w14:textId="77777777" w:rsidR="00976EA2" w:rsidRPr="00F33088" w:rsidRDefault="00976EA2" w:rsidP="00506600">
            <w:pPr>
              <w:spacing w:after="0"/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260</w:t>
            </w:r>
          </w:p>
        </w:tc>
        <w:tc>
          <w:tcPr>
            <w:tcW w:w="4106" w:type="pct"/>
          </w:tcPr>
          <w:p w14:paraId="3E1915B9" w14:textId="77777777" w:rsidR="00976EA2" w:rsidRPr="00F33088" w:rsidRDefault="00976EA2" w:rsidP="0050660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Reciklaža kritičnih sirovina</w:t>
            </w:r>
          </w:p>
        </w:tc>
      </w:tr>
      <w:tr w:rsidR="00976EA2" w:rsidRPr="00F33088" w14:paraId="3E1915BD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BB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261</w:t>
            </w:r>
          </w:p>
        </w:tc>
        <w:tc>
          <w:tcPr>
            <w:tcW w:w="4106" w:type="pct"/>
          </w:tcPr>
          <w:p w14:paraId="3E1915BC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Upravljanje komunalnim otpadom: mjere koje značajno doprinose prevenciji otpada, odvojenom sakupljanju, sortiranju, pripremi za ponovnu upotrebu i reciklaži (osim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biootpada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>)</w:t>
            </w:r>
          </w:p>
        </w:tc>
      </w:tr>
      <w:tr w:rsidR="00976EA2" w:rsidRPr="00F33088" w14:paraId="3E1915C0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BE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lastRenderedPageBreak/>
              <w:t>262</w:t>
            </w:r>
          </w:p>
        </w:tc>
        <w:tc>
          <w:tcPr>
            <w:tcW w:w="4106" w:type="pct"/>
          </w:tcPr>
          <w:p w14:paraId="3E1915BF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Investicije u prakse cirkularne ekonomije (npr. reciklirani sadržaj, industrijska simbioza, dizajn proizvoda, ponovna upotreba,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remanufaktura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>)</w:t>
            </w:r>
          </w:p>
        </w:tc>
      </w:tr>
      <w:tr w:rsidR="00976EA2" w:rsidRPr="00F33088" w14:paraId="3E1915C3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C1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263</w:t>
            </w:r>
          </w:p>
        </w:tc>
        <w:tc>
          <w:tcPr>
            <w:tcW w:w="4106" w:type="pct"/>
          </w:tcPr>
          <w:p w14:paraId="3E1915C2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Hvatanje i korišćenje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deponijskog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gasa</w:t>
            </w:r>
          </w:p>
        </w:tc>
      </w:tr>
      <w:tr w:rsidR="00976EA2" w:rsidRPr="00F33088" w14:paraId="3E1915C6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C4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264</w:t>
            </w:r>
          </w:p>
        </w:tc>
        <w:tc>
          <w:tcPr>
            <w:tcW w:w="4106" w:type="pct"/>
          </w:tcPr>
          <w:p w14:paraId="3E1915C5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Promovisanje upotrebe recikliranih materijala kao sirovina – u skladu sa kriterijumima energetske efikasnosti</w:t>
            </w:r>
          </w:p>
        </w:tc>
      </w:tr>
      <w:tr w:rsidR="00976EA2" w:rsidRPr="00F33088" w14:paraId="3E1915C9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C7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265</w:t>
            </w:r>
          </w:p>
        </w:tc>
        <w:tc>
          <w:tcPr>
            <w:tcW w:w="4106" w:type="pct"/>
          </w:tcPr>
          <w:p w14:paraId="3E1915C8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Obrada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biootpada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anaerobnom digestijom ili kompostiranjem</w:t>
            </w:r>
          </w:p>
        </w:tc>
      </w:tr>
      <w:tr w:rsidR="00976EA2" w:rsidRPr="00F33088" w14:paraId="3E1915CC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CA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266</w:t>
            </w:r>
          </w:p>
        </w:tc>
        <w:tc>
          <w:tcPr>
            <w:tcW w:w="4106" w:type="pct"/>
          </w:tcPr>
          <w:p w14:paraId="3E1915CB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Sanacija industrijskih lokacija i kontaminiranog zemljišta za namjene koje nijesu obnova prirode</w:t>
            </w:r>
          </w:p>
        </w:tc>
      </w:tr>
      <w:tr w:rsidR="00976EA2" w:rsidRPr="00F33088" w14:paraId="3E1915CF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CD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267</w:t>
            </w:r>
          </w:p>
        </w:tc>
        <w:tc>
          <w:tcPr>
            <w:tcW w:w="4106" w:type="pct"/>
          </w:tcPr>
          <w:p w14:paraId="3E1915CE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Odvojeno sakupljanje, sortiranje, priprema za ponovnu upotrebu ili reciklažu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neopasnog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otpada (bez biomase)</w:t>
            </w:r>
          </w:p>
        </w:tc>
      </w:tr>
      <w:tr w:rsidR="00976EA2" w:rsidRPr="00F33088" w14:paraId="3E1915D2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D0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268</w:t>
            </w:r>
          </w:p>
        </w:tc>
        <w:tc>
          <w:tcPr>
            <w:tcW w:w="4106" w:type="pct"/>
          </w:tcPr>
          <w:p w14:paraId="3E1915D1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Sanacija neusklađenih deponija i napuštenih ili ilegalnih odlagališta u trećim zemljama</w:t>
            </w:r>
          </w:p>
        </w:tc>
      </w:tr>
      <w:tr w:rsidR="00976EA2" w:rsidRPr="00F33088" w14:paraId="3E1915D5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D3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269</w:t>
            </w:r>
          </w:p>
        </w:tc>
        <w:tc>
          <w:tcPr>
            <w:tcW w:w="4106" w:type="pct"/>
          </w:tcPr>
          <w:p w14:paraId="3E1915D4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Postrojenja za energetsko iskorišćenje otpada za tretman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nereciklabilnog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opasnog otpada</w:t>
            </w:r>
            <w:r w:rsidR="00AC168E" w:rsidRPr="00F33088">
              <w:rPr>
                <w:rStyle w:val="Referencafusnote"/>
                <w:rFonts w:cstheme="minorHAnsi"/>
                <w:sz w:val="16"/>
                <w:szCs w:val="16"/>
                <w:lang w:val="sr-Latn-ME"/>
              </w:rPr>
              <w:footnoteReference w:id="23"/>
            </w:r>
          </w:p>
        </w:tc>
      </w:tr>
      <w:tr w:rsidR="00976EA2" w:rsidRPr="00F33088" w14:paraId="3E1915D8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D6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270</w:t>
            </w:r>
          </w:p>
        </w:tc>
        <w:tc>
          <w:tcPr>
            <w:tcW w:w="4106" w:type="pct"/>
          </w:tcPr>
          <w:p w14:paraId="3E1915D7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Postrojenja za mehaničko-biološki tretman (MBT) – u poljoprivrednom sektoru</w:t>
            </w:r>
          </w:p>
        </w:tc>
      </w:tr>
      <w:tr w:rsidR="00976EA2" w:rsidRPr="00F33088" w14:paraId="3E1915DB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D9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271</w:t>
            </w:r>
          </w:p>
        </w:tc>
        <w:tc>
          <w:tcPr>
            <w:tcW w:w="4106" w:type="pct"/>
          </w:tcPr>
          <w:p w14:paraId="3E1915DA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Tretman opasnog otpada</w:t>
            </w:r>
          </w:p>
        </w:tc>
      </w:tr>
      <w:tr w:rsidR="00976EA2" w:rsidRPr="00F33088" w14:paraId="3E1915DE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DC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</w:p>
        </w:tc>
        <w:tc>
          <w:tcPr>
            <w:tcW w:w="4106" w:type="pct"/>
          </w:tcPr>
          <w:p w14:paraId="3E1915DD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b/>
                <w:sz w:val="16"/>
                <w:szCs w:val="16"/>
                <w:lang w:val="sr-Latn-ME"/>
              </w:rPr>
              <w:t>2.36 Prilagođavanje klimatskim promjenama</w:t>
            </w:r>
          </w:p>
        </w:tc>
      </w:tr>
      <w:tr w:rsidR="00976EA2" w:rsidRPr="00F33088" w14:paraId="3E1915E1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DF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272</w:t>
            </w:r>
          </w:p>
        </w:tc>
        <w:tc>
          <w:tcPr>
            <w:tcW w:w="4106" w:type="pct"/>
          </w:tcPr>
          <w:p w14:paraId="3E1915E0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Sive mjere prilagođavanja</w:t>
            </w:r>
          </w:p>
        </w:tc>
      </w:tr>
      <w:tr w:rsidR="00976EA2" w:rsidRPr="00F33088" w14:paraId="3E1915E4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E2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273</w:t>
            </w:r>
          </w:p>
        </w:tc>
        <w:tc>
          <w:tcPr>
            <w:tcW w:w="4106" w:type="pct"/>
          </w:tcPr>
          <w:p w14:paraId="3E1915E3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Osiguranje od klimatskih rizika</w:t>
            </w:r>
          </w:p>
        </w:tc>
      </w:tr>
      <w:tr w:rsidR="00976EA2" w:rsidRPr="00F33088" w14:paraId="3E1915E7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E5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274</w:t>
            </w:r>
          </w:p>
        </w:tc>
        <w:tc>
          <w:tcPr>
            <w:tcW w:w="4106" w:type="pct"/>
          </w:tcPr>
          <w:p w14:paraId="3E1915E6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Kombinovane sive i prirodno zasnovane mjere otpornosti</w:t>
            </w:r>
          </w:p>
        </w:tc>
      </w:tr>
      <w:tr w:rsidR="00976EA2" w:rsidRPr="00F33088" w14:paraId="3E1915EA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E8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275</w:t>
            </w:r>
          </w:p>
        </w:tc>
        <w:tc>
          <w:tcPr>
            <w:tcW w:w="4106" w:type="pct"/>
          </w:tcPr>
          <w:p w14:paraId="3E1915E9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Prirodno zasnovane mjere klimatske otpornosti</w:t>
            </w:r>
          </w:p>
        </w:tc>
      </w:tr>
      <w:tr w:rsidR="00976EA2" w:rsidRPr="00F33088" w14:paraId="3E1915ED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EB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276</w:t>
            </w:r>
          </w:p>
        </w:tc>
        <w:tc>
          <w:tcPr>
            <w:tcW w:w="4106" w:type="pct"/>
          </w:tcPr>
          <w:p w14:paraId="3E1915EC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Preventivne mjere za smanjenje rizika od šumskih požara</w:t>
            </w:r>
          </w:p>
        </w:tc>
      </w:tr>
      <w:tr w:rsidR="00976EA2" w:rsidRPr="00F33088" w14:paraId="3E1915F0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EE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277</w:t>
            </w:r>
          </w:p>
        </w:tc>
        <w:tc>
          <w:tcPr>
            <w:tcW w:w="4106" w:type="pct"/>
          </w:tcPr>
          <w:p w14:paraId="3E1915EF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Preventivne mjere za smanjenje rizika od suše</w:t>
            </w:r>
          </w:p>
        </w:tc>
      </w:tr>
      <w:tr w:rsidR="00976EA2" w:rsidRPr="00F33088" w14:paraId="3E1915F3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F1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278</w:t>
            </w:r>
          </w:p>
        </w:tc>
        <w:tc>
          <w:tcPr>
            <w:tcW w:w="4106" w:type="pct"/>
          </w:tcPr>
          <w:p w14:paraId="3E1915F2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Preventivne mjere za smanjenje rizika od poplava</w:t>
            </w:r>
          </w:p>
        </w:tc>
      </w:tr>
      <w:tr w:rsidR="00976EA2" w:rsidRPr="00F33088" w14:paraId="3E1915F6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F4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</w:p>
        </w:tc>
        <w:tc>
          <w:tcPr>
            <w:tcW w:w="4106" w:type="pct"/>
          </w:tcPr>
          <w:p w14:paraId="3E1915F5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b/>
                <w:sz w:val="16"/>
                <w:szCs w:val="16"/>
                <w:lang w:val="sr-Latn-ME"/>
              </w:rPr>
              <w:t>2.37 Digital za klimu</w:t>
            </w:r>
          </w:p>
        </w:tc>
      </w:tr>
      <w:tr w:rsidR="00976EA2" w:rsidRPr="00F33088" w14:paraId="3E1915F9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F7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279</w:t>
            </w:r>
          </w:p>
        </w:tc>
        <w:tc>
          <w:tcPr>
            <w:tcW w:w="4106" w:type="pct"/>
          </w:tcPr>
          <w:p w14:paraId="3E1915F8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Digitalne tehnologije i usluge za klimatsku adaptaciju</w:t>
            </w:r>
          </w:p>
        </w:tc>
      </w:tr>
      <w:tr w:rsidR="00976EA2" w:rsidRPr="00F33088" w14:paraId="3E1915FC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FA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280</w:t>
            </w:r>
          </w:p>
        </w:tc>
        <w:tc>
          <w:tcPr>
            <w:tcW w:w="4106" w:type="pct"/>
          </w:tcPr>
          <w:p w14:paraId="3E1915FB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Digitalne tehnologije i usluge za ublažavanje klimatskih promjena</w:t>
            </w:r>
          </w:p>
        </w:tc>
      </w:tr>
      <w:tr w:rsidR="00976EA2" w:rsidRPr="00F33088" w14:paraId="3E1915FF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5FD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</w:p>
        </w:tc>
        <w:tc>
          <w:tcPr>
            <w:tcW w:w="4106" w:type="pct"/>
          </w:tcPr>
          <w:p w14:paraId="3E1915FE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b/>
                <w:sz w:val="16"/>
                <w:szCs w:val="16"/>
                <w:lang w:val="sr-Latn-ME"/>
              </w:rPr>
              <w:t>2.38 Zaštita i obnova prirode</w:t>
            </w:r>
          </w:p>
        </w:tc>
      </w:tr>
      <w:tr w:rsidR="00976EA2" w:rsidRPr="00F33088" w14:paraId="3E191602" w14:textId="77777777" w:rsidTr="0068031E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00" w14:textId="77777777" w:rsidR="00976EA2" w:rsidRPr="00F33088" w:rsidRDefault="00976EA2" w:rsidP="00506600">
            <w:pPr>
              <w:spacing w:after="0"/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281</w:t>
            </w:r>
          </w:p>
        </w:tc>
        <w:tc>
          <w:tcPr>
            <w:tcW w:w="4106" w:type="pct"/>
          </w:tcPr>
          <w:p w14:paraId="3E191601" w14:textId="77777777" w:rsidR="00976EA2" w:rsidRPr="00F33088" w:rsidRDefault="00976EA2" w:rsidP="0050660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Horizontalne mjere zaštite i obnove prirode (uključujući monitoring, izvještavanje, popunjavanje praznina u znanju, jačanje kapaciteta, informisanje i edukaciju itd.)</w:t>
            </w:r>
          </w:p>
        </w:tc>
      </w:tr>
      <w:tr w:rsidR="00976EA2" w:rsidRPr="00F33088" w14:paraId="3E191605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03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282</w:t>
            </w:r>
          </w:p>
        </w:tc>
        <w:tc>
          <w:tcPr>
            <w:tcW w:w="4106" w:type="pct"/>
          </w:tcPr>
          <w:p w14:paraId="3E191604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Ostale mjere koje nijesu vezane za specifične ekosisteme (uključujući prevenciju, ublažavanje ili kompenzaciju štete uzrokovane zaštićenim vrstama)</w:t>
            </w:r>
          </w:p>
        </w:tc>
      </w:tr>
      <w:tr w:rsidR="00976EA2" w:rsidRPr="00F33088" w14:paraId="3E191608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06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283</w:t>
            </w:r>
          </w:p>
        </w:tc>
        <w:tc>
          <w:tcPr>
            <w:tcW w:w="4106" w:type="pct"/>
          </w:tcPr>
          <w:p w14:paraId="3E191607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2.38 Zaštita i obnova prirode</w:t>
            </w:r>
          </w:p>
        </w:tc>
      </w:tr>
      <w:tr w:rsidR="00976EA2" w:rsidRPr="00F33088" w14:paraId="3E19160B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09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284</w:t>
            </w:r>
          </w:p>
        </w:tc>
        <w:tc>
          <w:tcPr>
            <w:tcW w:w="4106" w:type="pct"/>
          </w:tcPr>
          <w:p w14:paraId="3E19160A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Horizontalne mjere zaštite i obnove prirode (uključujući monitoring, izvještavanje, popunjavanje praznina u znanju, jačanje kapaciteta, informisanje i edukaciju itd.)</w:t>
            </w:r>
          </w:p>
        </w:tc>
      </w:tr>
      <w:tr w:rsidR="00976EA2" w:rsidRPr="00F33088" w14:paraId="3E19160E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0C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287</w:t>
            </w:r>
          </w:p>
        </w:tc>
        <w:tc>
          <w:tcPr>
            <w:tcW w:w="4106" w:type="pct"/>
          </w:tcPr>
          <w:p w14:paraId="3E19160D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Ostale mjere koje nijesu vezane za specifične ekosisteme (uključujući prevenciju, ublažavanje ili kompenzaciju štete uzrokovane zaštićenim vrstama)</w:t>
            </w:r>
          </w:p>
        </w:tc>
      </w:tr>
      <w:tr w:rsidR="00976EA2" w:rsidRPr="00F33088" w14:paraId="3E191611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0F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</w:p>
        </w:tc>
        <w:tc>
          <w:tcPr>
            <w:tcW w:w="4106" w:type="pct"/>
          </w:tcPr>
          <w:p w14:paraId="3E191610" w14:textId="77777777" w:rsidR="00976EA2" w:rsidRPr="00F33088" w:rsidRDefault="00976EA2" w:rsidP="008D132A">
            <w:pPr>
              <w:tabs>
                <w:tab w:val="left" w:pos="164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b/>
                <w:sz w:val="16"/>
                <w:szCs w:val="16"/>
                <w:lang w:val="sr-Latn-ME"/>
              </w:rPr>
              <w:t>2.39 Šumarstvo</w:t>
            </w:r>
            <w:r w:rsidRPr="00F33088">
              <w:rPr>
                <w:rFonts w:cstheme="minorHAnsi"/>
                <w:b/>
                <w:sz w:val="16"/>
                <w:szCs w:val="16"/>
                <w:lang w:val="sr-Latn-ME"/>
              </w:rPr>
              <w:tab/>
            </w:r>
          </w:p>
        </w:tc>
      </w:tr>
      <w:tr w:rsidR="00976EA2" w:rsidRPr="00F33088" w14:paraId="3E191614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12" w14:textId="77777777" w:rsidR="00976EA2" w:rsidRPr="00F33088" w:rsidRDefault="00976EA2" w:rsidP="008D132A">
            <w:pPr>
              <w:jc w:val="center"/>
              <w:rPr>
                <w:rFonts w:cstheme="minorHAnsi"/>
                <w:color w:val="00000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288</w:t>
            </w:r>
          </w:p>
        </w:tc>
        <w:tc>
          <w:tcPr>
            <w:tcW w:w="4106" w:type="pct"/>
          </w:tcPr>
          <w:p w14:paraId="3E191613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Održivo pošumljavanje i obnova šuma</w:t>
            </w:r>
          </w:p>
        </w:tc>
      </w:tr>
      <w:tr w:rsidR="00976EA2" w:rsidRPr="00F33088" w14:paraId="3E191617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15" w14:textId="77777777" w:rsidR="00976EA2" w:rsidRPr="00F33088" w:rsidRDefault="00976EA2" w:rsidP="008D132A">
            <w:pPr>
              <w:jc w:val="center"/>
              <w:rPr>
                <w:rFonts w:cstheme="minorHAnsi"/>
                <w:color w:val="000000"/>
                <w:sz w:val="16"/>
                <w:szCs w:val="16"/>
                <w:lang w:val="sr-Latn-ME"/>
              </w:rPr>
            </w:pPr>
          </w:p>
        </w:tc>
        <w:tc>
          <w:tcPr>
            <w:tcW w:w="4106" w:type="pct"/>
          </w:tcPr>
          <w:p w14:paraId="3E191616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b/>
                <w:sz w:val="16"/>
                <w:szCs w:val="16"/>
                <w:lang w:val="sr-Latn-ME"/>
              </w:rPr>
              <w:t>2.40 Zagađenje</w:t>
            </w:r>
          </w:p>
        </w:tc>
      </w:tr>
      <w:tr w:rsidR="00976EA2" w:rsidRPr="00F33088" w14:paraId="3E19161A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18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289</w:t>
            </w:r>
          </w:p>
        </w:tc>
        <w:tc>
          <w:tcPr>
            <w:tcW w:w="4106" w:type="pct"/>
          </w:tcPr>
          <w:p w14:paraId="3E191619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Aktivnosti za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unapređenje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monitoringa i modeliranja kvaliteta vazduha</w:t>
            </w:r>
          </w:p>
        </w:tc>
      </w:tr>
      <w:tr w:rsidR="00976EA2" w:rsidRPr="00F33088" w14:paraId="3E19161D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1B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lastRenderedPageBreak/>
              <w:t>290</w:t>
            </w:r>
          </w:p>
        </w:tc>
        <w:tc>
          <w:tcPr>
            <w:tcW w:w="4106" w:type="pct"/>
          </w:tcPr>
          <w:p w14:paraId="3E19161C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Mjere za smanjenje zagađenja vazduha</w:t>
            </w:r>
          </w:p>
        </w:tc>
      </w:tr>
      <w:tr w:rsidR="00976EA2" w:rsidRPr="00F33088" w14:paraId="3E191620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1E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291</w:t>
            </w:r>
          </w:p>
        </w:tc>
        <w:tc>
          <w:tcPr>
            <w:tcW w:w="4106" w:type="pct"/>
          </w:tcPr>
          <w:p w14:paraId="3E19161F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Mjere za smanjenje buke na izvoru i izloženosti buci</w:t>
            </w:r>
          </w:p>
        </w:tc>
      </w:tr>
      <w:tr w:rsidR="00976EA2" w:rsidRPr="00F33088" w14:paraId="3E191623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21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292</w:t>
            </w:r>
          </w:p>
        </w:tc>
        <w:tc>
          <w:tcPr>
            <w:tcW w:w="4106" w:type="pct"/>
          </w:tcPr>
          <w:p w14:paraId="3E191622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Mjere za smanjenje industrijskih emisija, uključujući ulaganja u čistije proizvodne tehnologije i kontrolu emisija</w:t>
            </w:r>
          </w:p>
        </w:tc>
      </w:tr>
      <w:tr w:rsidR="00976EA2" w:rsidRPr="00F33088" w14:paraId="3E191626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24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293</w:t>
            </w:r>
          </w:p>
        </w:tc>
        <w:tc>
          <w:tcPr>
            <w:tcW w:w="4106" w:type="pct"/>
          </w:tcPr>
          <w:p w14:paraId="3E191625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Sanacija zagađenja voda (npr.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nutrijenti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>, pesticidi, farmaceutski proizvodi, PFAS, plastika, hemikalije)</w:t>
            </w:r>
          </w:p>
        </w:tc>
      </w:tr>
      <w:tr w:rsidR="00976EA2" w:rsidRPr="00F33088" w14:paraId="3E191629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27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</w:p>
        </w:tc>
        <w:tc>
          <w:tcPr>
            <w:tcW w:w="4106" w:type="pct"/>
          </w:tcPr>
          <w:p w14:paraId="3E191628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b/>
                <w:sz w:val="16"/>
                <w:szCs w:val="16"/>
                <w:lang w:val="sr-Latn-ME"/>
              </w:rPr>
              <w:t>2.05 Reforme</w:t>
            </w:r>
          </w:p>
        </w:tc>
      </w:tr>
      <w:tr w:rsidR="00976EA2" w:rsidRPr="00F33088" w14:paraId="3E19162C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2A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294</w:t>
            </w:r>
          </w:p>
        </w:tc>
        <w:tc>
          <w:tcPr>
            <w:tcW w:w="4106" w:type="pct"/>
          </w:tcPr>
          <w:p w14:paraId="3E19162B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Prilagođavanje klimatskim promjenama i otpornost</w:t>
            </w:r>
          </w:p>
        </w:tc>
      </w:tr>
      <w:tr w:rsidR="00976EA2" w:rsidRPr="00F33088" w14:paraId="3E19162F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2D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295</w:t>
            </w:r>
          </w:p>
        </w:tc>
        <w:tc>
          <w:tcPr>
            <w:tcW w:w="4106" w:type="pct"/>
          </w:tcPr>
          <w:p w14:paraId="3E19162E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Politike i regulatorni okvir u oblasti životne sredine i upravljanja resursima, uključujući održivo finansiranje</w:t>
            </w:r>
          </w:p>
        </w:tc>
      </w:tr>
      <w:tr w:rsidR="00976EA2" w:rsidRPr="00F33088" w14:paraId="3E191632" w14:textId="77777777" w:rsidTr="0068031E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30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</w:p>
        </w:tc>
        <w:tc>
          <w:tcPr>
            <w:tcW w:w="4106" w:type="pct"/>
          </w:tcPr>
          <w:p w14:paraId="3E191631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b/>
                <w:sz w:val="16"/>
                <w:szCs w:val="16"/>
                <w:lang w:val="sr-Latn-ME"/>
              </w:rPr>
              <w:t>2.41 Voda</w:t>
            </w:r>
          </w:p>
        </w:tc>
      </w:tr>
      <w:tr w:rsidR="00976EA2" w:rsidRPr="00F33088" w14:paraId="3E191635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33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296</w:t>
            </w:r>
          </w:p>
        </w:tc>
        <w:tc>
          <w:tcPr>
            <w:tcW w:w="4106" w:type="pct"/>
          </w:tcPr>
          <w:p w14:paraId="3E191634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Smanjenje pritisaka na morski ekosistem</w:t>
            </w:r>
          </w:p>
        </w:tc>
      </w:tr>
      <w:tr w:rsidR="00976EA2" w:rsidRPr="00F33088" w14:paraId="3E191638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36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297</w:t>
            </w:r>
          </w:p>
        </w:tc>
        <w:tc>
          <w:tcPr>
            <w:tcW w:w="4106" w:type="pct"/>
          </w:tcPr>
          <w:p w14:paraId="3E191637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Izgradnja, obnova ili proširenje sistema za prikupljanje i/ili tretman otpadnih voda, uz očuvanje i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unapređenje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pristupa sanitaciji</w:t>
            </w:r>
          </w:p>
        </w:tc>
      </w:tr>
      <w:tr w:rsidR="00976EA2" w:rsidRPr="00F33088" w14:paraId="3E19163B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39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298</w:t>
            </w:r>
          </w:p>
        </w:tc>
        <w:tc>
          <w:tcPr>
            <w:tcW w:w="4106" w:type="pct"/>
          </w:tcPr>
          <w:p w14:paraId="3E19163A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Mjere digitalizacije u sektoru voda i otpadnih voda (npr. mjerenje potrošnje)</w:t>
            </w:r>
          </w:p>
        </w:tc>
      </w:tr>
      <w:tr w:rsidR="00976EA2" w:rsidRPr="00F33088" w14:paraId="3E19163E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3C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299</w:t>
            </w:r>
          </w:p>
        </w:tc>
        <w:tc>
          <w:tcPr>
            <w:tcW w:w="4106" w:type="pct"/>
          </w:tcPr>
          <w:p w14:paraId="3E19163D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Mjere energetske efikasnosti u sektoru voda i otpadnih voda (npr.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vodosnabdijevanje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>, upravljanje, tretman otpadnih voda)</w:t>
            </w:r>
          </w:p>
        </w:tc>
      </w:tr>
      <w:tr w:rsidR="00976EA2" w:rsidRPr="00F33088" w14:paraId="3E191641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3F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300</w:t>
            </w:r>
          </w:p>
        </w:tc>
        <w:tc>
          <w:tcPr>
            <w:tcW w:w="4106" w:type="pct"/>
          </w:tcPr>
          <w:p w14:paraId="3E191640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Prirodno zasnovana rješenja za povećanje kapaciteta zadržavanja vode u zemljištu; prikupljanje kišnice bez zahvatanja podzemnih voda; uklanjanje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prepreka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slobodnom toku rijeka; prečišćavanje vode</w:t>
            </w:r>
          </w:p>
        </w:tc>
      </w:tr>
      <w:tr w:rsidR="00976EA2" w:rsidRPr="00F33088" w14:paraId="3E191644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42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301</w:t>
            </w:r>
          </w:p>
        </w:tc>
        <w:tc>
          <w:tcPr>
            <w:tcW w:w="4106" w:type="pct"/>
          </w:tcPr>
          <w:p w14:paraId="3E191643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Obezbjeđivanje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vodosnabdijevanja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za ljudsku potrošnju (zahvatanje, tretman, skladištenje i distribucija), uključujući mjere usklađenosti kvaliteta, povećanje efikasnosti (npr. smanjenje gubitaka vode), obnovu i </w:t>
            </w:r>
            <w:proofErr w:type="spellStart"/>
            <w:r w:rsidRPr="00F33088">
              <w:rPr>
                <w:rFonts w:cstheme="minorHAnsi"/>
                <w:sz w:val="16"/>
                <w:szCs w:val="16"/>
                <w:lang w:val="sr-Latn-ME"/>
              </w:rPr>
              <w:t>unapređenje</w:t>
            </w:r>
            <w:proofErr w:type="spellEnd"/>
            <w:r w:rsidRPr="00F33088">
              <w:rPr>
                <w:rFonts w:cstheme="minorHAnsi"/>
                <w:sz w:val="16"/>
                <w:szCs w:val="16"/>
                <w:lang w:val="sr-Latn-ME"/>
              </w:rPr>
              <w:t xml:space="preserve"> pristupa vodi</w:t>
            </w:r>
          </w:p>
        </w:tc>
      </w:tr>
      <w:tr w:rsidR="00976EA2" w:rsidRPr="00F33088" w14:paraId="3E191647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45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302</w:t>
            </w:r>
          </w:p>
        </w:tc>
        <w:tc>
          <w:tcPr>
            <w:tcW w:w="4106" w:type="pct"/>
          </w:tcPr>
          <w:p w14:paraId="3E191646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Efikasnost korišćenja vode, uštede i ponovna upotreba</w:t>
            </w:r>
          </w:p>
        </w:tc>
      </w:tr>
      <w:tr w:rsidR="00976EA2" w:rsidRPr="00F33088" w14:paraId="3E19164A" w14:textId="77777777" w:rsidTr="00680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pct"/>
          </w:tcPr>
          <w:p w14:paraId="3E191648" w14:textId="77777777" w:rsidR="00976EA2" w:rsidRPr="00F33088" w:rsidRDefault="00976EA2" w:rsidP="008D132A">
            <w:pPr>
              <w:jc w:val="center"/>
              <w:rPr>
                <w:rFonts w:eastAsia="Times New Roman" w:cstheme="minorHAnsi"/>
                <w:b w:val="0"/>
                <w:bCs w:val="0"/>
                <w:sz w:val="16"/>
                <w:szCs w:val="16"/>
                <w:lang w:val="sr-Latn-ME"/>
              </w:rPr>
            </w:pPr>
            <w:r w:rsidRPr="00F33088">
              <w:rPr>
                <w:rFonts w:eastAsia="Times New Roman" w:cstheme="minorHAnsi"/>
                <w:sz w:val="16"/>
                <w:szCs w:val="16"/>
                <w:lang w:val="sr-Latn-ME"/>
              </w:rPr>
              <w:t>303</w:t>
            </w:r>
          </w:p>
        </w:tc>
        <w:tc>
          <w:tcPr>
            <w:tcW w:w="4106" w:type="pct"/>
          </w:tcPr>
          <w:p w14:paraId="3E191649" w14:textId="77777777" w:rsidR="00976EA2" w:rsidRPr="00F33088" w:rsidRDefault="00976EA2" w:rsidP="008D1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sr-Latn-ME"/>
              </w:rPr>
            </w:pPr>
            <w:r w:rsidRPr="00F33088">
              <w:rPr>
                <w:rFonts w:cstheme="minorHAnsi"/>
                <w:sz w:val="16"/>
                <w:szCs w:val="16"/>
                <w:lang w:val="sr-Latn-ME"/>
              </w:rPr>
              <w:t>Planiranje, monitoring i upravljanje vodama (uključujući digitalizaciju)</w:t>
            </w:r>
          </w:p>
        </w:tc>
      </w:tr>
    </w:tbl>
    <w:p w14:paraId="3E19164B" w14:textId="56AEDFFE" w:rsidR="00976EA2" w:rsidRPr="00F33088" w:rsidRDefault="00F8621C" w:rsidP="00976EA2">
      <w:pPr>
        <w:pStyle w:val="Naslov2"/>
        <w:rPr>
          <w:rFonts w:eastAsia="Times New Roman"/>
          <w:lang w:val="sr-Latn-ME"/>
        </w:rPr>
      </w:pPr>
      <w:r w:rsidRPr="00F33088">
        <w:rPr>
          <w:rFonts w:eastAsia="Times New Roman"/>
          <w:lang w:val="sr-Latn-ME"/>
        </w:rPr>
        <w:t>L</w:t>
      </w:r>
      <w:r w:rsidR="00976EA2" w:rsidRPr="00F33088">
        <w:rPr>
          <w:rFonts w:eastAsia="Times New Roman"/>
          <w:lang w:val="sr-Latn-ME"/>
        </w:rPr>
        <w:t>ista razvojnih izazova</w:t>
      </w:r>
    </w:p>
    <w:tbl>
      <w:tblPr>
        <w:tblStyle w:val="Svijetlatablicareetke1-isticanje4"/>
        <w:tblW w:w="5000" w:type="pct"/>
        <w:tblLook w:val="04A0" w:firstRow="1" w:lastRow="0" w:firstColumn="1" w:lastColumn="0" w:noHBand="0" w:noVBand="1"/>
      </w:tblPr>
      <w:tblGrid>
        <w:gridCol w:w="554"/>
        <w:gridCol w:w="879"/>
        <w:gridCol w:w="2223"/>
        <w:gridCol w:w="5694"/>
      </w:tblGrid>
      <w:tr w:rsidR="00F8621C" w:rsidRPr="00187762" w14:paraId="19AB1B48" w14:textId="77777777" w:rsidTr="001877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49EC0DD1" w14:textId="77777777" w:rsidR="00F8621C" w:rsidRPr="00187762" w:rsidRDefault="00F8621C" w:rsidP="00153572">
            <w:pPr>
              <w:spacing w:after="0"/>
              <w:rPr>
                <w:rFonts w:ascii="Aptos Narrow" w:eastAsia="Times New Roman" w:hAnsi="Aptos Narrow" w:cs="Times New Roman"/>
                <w:sz w:val="16"/>
                <w:szCs w:val="16"/>
                <w:lang w:val="sr-Latn-ME" w:eastAsia="en-GB"/>
              </w:rPr>
            </w:pPr>
            <w:r w:rsidRPr="00187762">
              <w:rPr>
                <w:rFonts w:ascii="Aptos Narrow" w:eastAsia="Times New Roman" w:hAnsi="Aptos Narrow" w:cs="Times New Roman"/>
                <w:sz w:val="16"/>
                <w:szCs w:val="16"/>
                <w:lang w:val="sr-Latn-ME" w:eastAsia="en-GB"/>
              </w:rPr>
              <w:t>R.Br.</w:t>
            </w:r>
          </w:p>
        </w:tc>
        <w:tc>
          <w:tcPr>
            <w:tcW w:w="470" w:type="pct"/>
            <w:hideMark/>
          </w:tcPr>
          <w:p w14:paraId="7FDAE7C2" w14:textId="77777777" w:rsidR="00F8621C" w:rsidRPr="00187762" w:rsidRDefault="00F8621C" w:rsidP="00153572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sz w:val="16"/>
                <w:szCs w:val="16"/>
                <w:lang w:val="sr-Latn-ME" w:eastAsia="en-GB"/>
              </w:rPr>
            </w:pPr>
            <w:r w:rsidRPr="00187762">
              <w:rPr>
                <w:rFonts w:ascii="Aptos Narrow" w:eastAsia="Times New Roman" w:hAnsi="Aptos Narrow" w:cs="Times New Roman"/>
                <w:sz w:val="16"/>
                <w:szCs w:val="16"/>
                <w:lang w:val="sr-Latn-ME" w:eastAsia="en-GB"/>
              </w:rPr>
              <w:t>Kod razvojnog izazova</w:t>
            </w:r>
          </w:p>
        </w:tc>
        <w:tc>
          <w:tcPr>
            <w:tcW w:w="1189" w:type="pct"/>
            <w:hideMark/>
          </w:tcPr>
          <w:p w14:paraId="0BF9FFB5" w14:textId="77777777" w:rsidR="00F8621C" w:rsidRPr="00187762" w:rsidRDefault="00F8621C" w:rsidP="00153572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sz w:val="16"/>
                <w:szCs w:val="16"/>
                <w:lang w:val="sr-Latn-ME" w:eastAsia="en-GB"/>
              </w:rPr>
            </w:pPr>
            <w:r w:rsidRPr="00187762">
              <w:rPr>
                <w:rFonts w:ascii="Aptos Narrow" w:eastAsia="Times New Roman" w:hAnsi="Aptos Narrow" w:cs="Times New Roman"/>
                <w:sz w:val="16"/>
                <w:szCs w:val="16"/>
                <w:lang w:val="sr-Latn-ME" w:eastAsia="en-GB"/>
              </w:rPr>
              <w:t>Naziv razvojnog izazova</w:t>
            </w:r>
          </w:p>
        </w:tc>
        <w:tc>
          <w:tcPr>
            <w:tcW w:w="3046" w:type="pct"/>
            <w:hideMark/>
          </w:tcPr>
          <w:p w14:paraId="10D36A8B" w14:textId="77777777" w:rsidR="00F8621C" w:rsidRPr="00187762" w:rsidRDefault="00F8621C" w:rsidP="00153572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sz w:val="16"/>
                <w:szCs w:val="16"/>
                <w:lang w:val="sr-Latn-ME" w:eastAsia="en-GB"/>
              </w:rPr>
            </w:pPr>
            <w:r w:rsidRPr="00187762">
              <w:rPr>
                <w:rFonts w:ascii="Aptos Narrow" w:eastAsia="Times New Roman" w:hAnsi="Aptos Narrow" w:cs="Times New Roman"/>
                <w:sz w:val="16"/>
                <w:szCs w:val="16"/>
                <w:lang w:val="sr-Latn-ME" w:eastAsia="en-GB"/>
              </w:rPr>
              <w:t>Obrazloženje</w:t>
            </w:r>
          </w:p>
        </w:tc>
      </w:tr>
      <w:tr w:rsidR="00F8621C" w:rsidRPr="00F33088" w14:paraId="108B6BEA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54426941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1</w:t>
            </w:r>
          </w:p>
        </w:tc>
        <w:tc>
          <w:tcPr>
            <w:tcW w:w="470" w:type="pct"/>
            <w:hideMark/>
          </w:tcPr>
          <w:p w14:paraId="12CCC320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PA02-01</w:t>
            </w:r>
          </w:p>
        </w:tc>
        <w:tc>
          <w:tcPr>
            <w:tcW w:w="1189" w:type="pct"/>
            <w:hideMark/>
          </w:tcPr>
          <w:p w14:paraId="5466544D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Nizak nivo implementacije cirkularne ekonomije</w:t>
            </w:r>
          </w:p>
        </w:tc>
        <w:tc>
          <w:tcPr>
            <w:tcW w:w="3046" w:type="pct"/>
            <w:hideMark/>
          </w:tcPr>
          <w:p w14:paraId="74BCF838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Cirkularna ekonomija je još u ranoj fazi razvoja, sa ograničenom primjenom popravke, ponovne upotrebe i cirkularnih usluga. Politike su dominantno fokusirane na upravljanje otpadom, a ne na cjelokupne cirkularne lance vrijednosti i pristup životnom ciklusu proizvoda.</w:t>
            </w:r>
          </w:p>
        </w:tc>
      </w:tr>
      <w:tr w:rsidR="00F8621C" w:rsidRPr="00F33088" w14:paraId="0F0FE4E8" w14:textId="77777777" w:rsidTr="0018776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4FB7B551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2</w:t>
            </w:r>
          </w:p>
        </w:tc>
        <w:tc>
          <w:tcPr>
            <w:tcW w:w="470" w:type="pct"/>
            <w:hideMark/>
          </w:tcPr>
          <w:p w14:paraId="55B3BEF0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PA02-02</w:t>
            </w:r>
          </w:p>
        </w:tc>
        <w:tc>
          <w:tcPr>
            <w:tcW w:w="1189" w:type="pct"/>
            <w:hideMark/>
          </w:tcPr>
          <w:p w14:paraId="6BB0E735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Slaba infrastruktura za upravljanje otpadom</w:t>
            </w:r>
          </w:p>
        </w:tc>
        <w:tc>
          <w:tcPr>
            <w:tcW w:w="3046" w:type="pct"/>
            <w:hideMark/>
          </w:tcPr>
          <w:p w14:paraId="7CA2DD47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Nedovoljna infrastruktura za odvojeno sakupljanje, reciklažu i tretman otpada dovodi do niskih stopa reciklaže i oslanjanja na deponije, znatno ispod standarda EU.</w:t>
            </w:r>
          </w:p>
        </w:tc>
      </w:tr>
      <w:tr w:rsidR="00F8621C" w:rsidRPr="00F33088" w14:paraId="2D811256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6FCD5259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3</w:t>
            </w:r>
          </w:p>
        </w:tc>
        <w:tc>
          <w:tcPr>
            <w:tcW w:w="470" w:type="pct"/>
            <w:hideMark/>
          </w:tcPr>
          <w:p w14:paraId="32DD17C5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PA02-03</w:t>
            </w:r>
          </w:p>
        </w:tc>
        <w:tc>
          <w:tcPr>
            <w:tcW w:w="1189" w:type="pct"/>
            <w:hideMark/>
          </w:tcPr>
          <w:p w14:paraId="66E5A8B8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Ograničena primjena cirkularnih poslovnih modela 2.35 (257, 262, 264)</w:t>
            </w:r>
          </w:p>
        </w:tc>
        <w:tc>
          <w:tcPr>
            <w:tcW w:w="3046" w:type="pct"/>
            <w:hideMark/>
          </w:tcPr>
          <w:p w14:paraId="138697FA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Preduzeća, posebno MSP, suočavaju se sa finansijskim, tehničkim i znanjem ograničenjima u primjeni cirkularnih modela, uključujući ponovnu upotrebu,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remanufakturu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i korišćenje sekundarnih sirovina.</w:t>
            </w:r>
          </w:p>
        </w:tc>
      </w:tr>
      <w:tr w:rsidR="00F8621C" w:rsidRPr="00F33088" w14:paraId="58DB2615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4BA92FC7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4</w:t>
            </w:r>
          </w:p>
        </w:tc>
        <w:tc>
          <w:tcPr>
            <w:tcW w:w="470" w:type="pct"/>
            <w:hideMark/>
          </w:tcPr>
          <w:p w14:paraId="349ACA86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PA02-04</w:t>
            </w:r>
          </w:p>
        </w:tc>
        <w:tc>
          <w:tcPr>
            <w:tcW w:w="1189" w:type="pct"/>
            <w:hideMark/>
          </w:tcPr>
          <w:p w14:paraId="3158395E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Visoka zavisnost od uvoza i niska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resursna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efikasnost</w:t>
            </w:r>
          </w:p>
        </w:tc>
        <w:tc>
          <w:tcPr>
            <w:tcW w:w="3046" w:type="pct"/>
            <w:hideMark/>
          </w:tcPr>
          <w:p w14:paraId="209D97F4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Izražena zavisnost od uvoza sirovina i izvoz resursa niske dodate vrijednosti ukazuju na slabo razvijene cirkularne lance vrijednosti i nisku efikasnost korišćenja resursa u zemlji.</w:t>
            </w:r>
          </w:p>
        </w:tc>
      </w:tr>
      <w:tr w:rsidR="00F8621C" w:rsidRPr="00F33088" w14:paraId="1C9C1A15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6A50E78A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5</w:t>
            </w:r>
          </w:p>
        </w:tc>
        <w:tc>
          <w:tcPr>
            <w:tcW w:w="470" w:type="pct"/>
            <w:hideMark/>
          </w:tcPr>
          <w:p w14:paraId="3CCF9943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PA02-05</w:t>
            </w:r>
          </w:p>
        </w:tc>
        <w:tc>
          <w:tcPr>
            <w:tcW w:w="1189" w:type="pct"/>
            <w:hideMark/>
          </w:tcPr>
          <w:p w14:paraId="03376A0C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Nedovoljna inovacija i tehnološka modernizacija 2.35 (262), 2.37 (279–280)</w:t>
            </w:r>
          </w:p>
        </w:tc>
        <w:tc>
          <w:tcPr>
            <w:tcW w:w="3046" w:type="pct"/>
            <w:hideMark/>
          </w:tcPr>
          <w:p w14:paraId="7FEC0581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Nizak nivo digitalizacije i inovacija ograničava primjenu cirkularnih praksi kao što su praćenje tokova materijala,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resursna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efikasnost i industrijska simbioza. </w:t>
            </w:r>
          </w:p>
        </w:tc>
      </w:tr>
      <w:tr w:rsidR="00F8621C" w:rsidRPr="00F33088" w14:paraId="696623FE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2BA1578B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6</w:t>
            </w:r>
          </w:p>
        </w:tc>
        <w:tc>
          <w:tcPr>
            <w:tcW w:w="470" w:type="pct"/>
            <w:hideMark/>
          </w:tcPr>
          <w:p w14:paraId="67A84703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PA02-06</w:t>
            </w:r>
          </w:p>
        </w:tc>
        <w:tc>
          <w:tcPr>
            <w:tcW w:w="1189" w:type="pct"/>
            <w:hideMark/>
          </w:tcPr>
          <w:p w14:paraId="3DB91DEC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Slaba institucionalna koordinacija i upravljanje 2.05 (294–295)</w:t>
            </w:r>
          </w:p>
        </w:tc>
        <w:tc>
          <w:tcPr>
            <w:tcW w:w="3046" w:type="pct"/>
            <w:hideMark/>
          </w:tcPr>
          <w:p w14:paraId="01BDCCCA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Nedostatak integrisanog,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međusektorskog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upravljanja i ograničeni administrativni kapaciteti usporavaju sprovođenje politika cirkularne ekonomije i zaštite životne sredine.</w:t>
            </w:r>
          </w:p>
        </w:tc>
      </w:tr>
      <w:tr w:rsidR="00F8621C" w:rsidRPr="00F33088" w14:paraId="06EBCE08" w14:textId="77777777" w:rsidTr="00187762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0E7FB37A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lastRenderedPageBreak/>
              <w:t>7</w:t>
            </w:r>
          </w:p>
        </w:tc>
        <w:tc>
          <w:tcPr>
            <w:tcW w:w="470" w:type="pct"/>
            <w:hideMark/>
          </w:tcPr>
          <w:p w14:paraId="5414FE86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PA02-07</w:t>
            </w:r>
          </w:p>
        </w:tc>
        <w:tc>
          <w:tcPr>
            <w:tcW w:w="1189" w:type="pct"/>
            <w:hideMark/>
          </w:tcPr>
          <w:p w14:paraId="44754527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Nedostaci u infrastrukturi za vodu i otpadne vode 2.41 (297–303)</w:t>
            </w:r>
          </w:p>
        </w:tc>
        <w:tc>
          <w:tcPr>
            <w:tcW w:w="3046" w:type="pct"/>
            <w:hideMark/>
          </w:tcPr>
          <w:p w14:paraId="61EAC747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Ograničen obuhvat tretmana otpadnih voda, neefikasni vodovodni sistemi i infrastrukturni nedostaci otežavaju usklađivanje sa standardima EU i zaštitu životne sredine. Zaštita vodoizvorišta ostaje značajan izazov u Crnoj Gori, jer veliki broj izvorišta nema potpuno uspostavljene zone sanitarne zaštite, posebno u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krškim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područjima i urbanim zonama pod pritiskom urbanizacije i infrastrukture.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Neopodno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je utvrditi izdašnost vodoizvorišta,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idenitfikaciju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, upis u katastar voda i razviti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geoportale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opština. </w:t>
            </w:r>
          </w:p>
        </w:tc>
      </w:tr>
      <w:tr w:rsidR="00F8621C" w:rsidRPr="00F33088" w14:paraId="49DA7C3F" w14:textId="77777777" w:rsidTr="00187762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1F4BB737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8</w:t>
            </w:r>
          </w:p>
        </w:tc>
        <w:tc>
          <w:tcPr>
            <w:tcW w:w="470" w:type="pct"/>
            <w:hideMark/>
          </w:tcPr>
          <w:p w14:paraId="36C07633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PA02-08</w:t>
            </w:r>
          </w:p>
        </w:tc>
        <w:tc>
          <w:tcPr>
            <w:tcW w:w="1189" w:type="pct"/>
            <w:hideMark/>
          </w:tcPr>
          <w:p w14:paraId="1083455E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Nizak nivo svijesti i kapaciteta za zelene vještine</w:t>
            </w:r>
          </w:p>
        </w:tc>
        <w:tc>
          <w:tcPr>
            <w:tcW w:w="3046" w:type="pct"/>
            <w:hideMark/>
          </w:tcPr>
          <w:p w14:paraId="1708DB87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Nedostatak svijesti, obrazovanja i ljudskih kapaciteta među akterima ograničava primjenu cirkularne ekonomije i klimatskih politika.</w:t>
            </w:r>
          </w:p>
        </w:tc>
      </w:tr>
      <w:tr w:rsidR="00F8621C" w:rsidRPr="00F33088" w14:paraId="776B63DF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5DDD4B2F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9</w:t>
            </w:r>
          </w:p>
        </w:tc>
        <w:tc>
          <w:tcPr>
            <w:tcW w:w="470" w:type="pct"/>
            <w:hideMark/>
          </w:tcPr>
          <w:p w14:paraId="0D9A4329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PA02-09</w:t>
            </w:r>
          </w:p>
        </w:tc>
        <w:tc>
          <w:tcPr>
            <w:tcW w:w="1189" w:type="pct"/>
            <w:hideMark/>
          </w:tcPr>
          <w:p w14:paraId="720F43BF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Nedovoljno iskorišćen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bioekonomski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i prirodni potencijal 2.02 (34), 2.39 (288), 2.35 (265)</w:t>
            </w:r>
          </w:p>
        </w:tc>
        <w:tc>
          <w:tcPr>
            <w:tcW w:w="3046" w:type="pct"/>
            <w:hideMark/>
          </w:tcPr>
          <w:p w14:paraId="4EA6FE02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Potencijal u šumarstvu, poljoprivredi i valorizaciji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biootpada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ostaje nedovoljno iskorišćen zbog slabo razvijenih cirkularnih lanaca vrijednosti i nedostatka investicija u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biobazirana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rješenja.</w:t>
            </w:r>
          </w:p>
        </w:tc>
      </w:tr>
      <w:tr w:rsidR="00F8621C" w:rsidRPr="00F33088" w14:paraId="11A0AC65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6DE35759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10</w:t>
            </w:r>
          </w:p>
        </w:tc>
        <w:tc>
          <w:tcPr>
            <w:tcW w:w="470" w:type="pct"/>
            <w:hideMark/>
          </w:tcPr>
          <w:p w14:paraId="459ADC8E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PA02-10</w:t>
            </w:r>
          </w:p>
        </w:tc>
        <w:tc>
          <w:tcPr>
            <w:tcW w:w="1189" w:type="pct"/>
            <w:hideMark/>
          </w:tcPr>
          <w:p w14:paraId="610C0ABA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Zagađenje životne sredine i degradacija ekosistema 2.40 (289–293), 2.38 (283–284)</w:t>
            </w:r>
          </w:p>
        </w:tc>
        <w:tc>
          <w:tcPr>
            <w:tcW w:w="3046" w:type="pct"/>
            <w:hideMark/>
          </w:tcPr>
          <w:p w14:paraId="260464ED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Trajno prisutno zagađenje vazduha, voda i zemljišta, uz slabu primjenu propisa, ugrožava ekosisteme, biodiverzitet i javno zdravlje.</w:t>
            </w:r>
          </w:p>
        </w:tc>
      </w:tr>
      <w:tr w:rsidR="00F8621C" w:rsidRPr="00F33088" w14:paraId="255D991E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5C025F6E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11</w:t>
            </w:r>
          </w:p>
        </w:tc>
        <w:tc>
          <w:tcPr>
            <w:tcW w:w="470" w:type="pct"/>
            <w:hideMark/>
          </w:tcPr>
          <w:p w14:paraId="6213D667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PA02-11</w:t>
            </w:r>
          </w:p>
        </w:tc>
        <w:tc>
          <w:tcPr>
            <w:tcW w:w="1189" w:type="pct"/>
            <w:hideMark/>
          </w:tcPr>
          <w:p w14:paraId="2E150649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Nedostaci u prilagođavanju klimatskim promjenama i otpornosti</w:t>
            </w:r>
          </w:p>
        </w:tc>
        <w:tc>
          <w:tcPr>
            <w:tcW w:w="3046" w:type="pct"/>
            <w:hideMark/>
          </w:tcPr>
          <w:p w14:paraId="779EE254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Ograničena primjena mjera prilagođavanja, upravljanja rizicima i planiranja otpornosti povećava ranjivost na ekstremne vremenske događaje i klimatske promjene.</w:t>
            </w:r>
          </w:p>
        </w:tc>
      </w:tr>
      <w:tr w:rsidR="00F8621C" w:rsidRPr="00F33088" w14:paraId="021B5BD3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12C7DD42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12</w:t>
            </w:r>
          </w:p>
        </w:tc>
        <w:tc>
          <w:tcPr>
            <w:tcW w:w="470" w:type="pct"/>
            <w:hideMark/>
          </w:tcPr>
          <w:p w14:paraId="187FD9C9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PA02-12</w:t>
            </w:r>
          </w:p>
        </w:tc>
        <w:tc>
          <w:tcPr>
            <w:tcW w:w="1189" w:type="pct"/>
            <w:hideMark/>
          </w:tcPr>
          <w:p w14:paraId="7BD2BF52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Ograničena apsorpcija zelenog finansiranja i projektni kapaciteti</w:t>
            </w:r>
          </w:p>
        </w:tc>
        <w:tc>
          <w:tcPr>
            <w:tcW w:w="3046" w:type="pct"/>
            <w:hideMark/>
          </w:tcPr>
          <w:p w14:paraId="5F029BAE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Iako postoje dostupni izvori finansiranja, slabi kapaciteti javnog i privatnog sektora za pripremu i implementaciju „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bankabilnih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“ projekata ograničavaju pristup zelenim finansijama.</w:t>
            </w:r>
          </w:p>
        </w:tc>
      </w:tr>
      <w:tr w:rsidR="00F8621C" w:rsidRPr="00F33088" w14:paraId="1651E5CF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6E9E598F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13</w:t>
            </w:r>
          </w:p>
        </w:tc>
        <w:tc>
          <w:tcPr>
            <w:tcW w:w="470" w:type="pct"/>
            <w:hideMark/>
          </w:tcPr>
          <w:p w14:paraId="4BDEADB9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PA02-13</w:t>
            </w:r>
          </w:p>
        </w:tc>
        <w:tc>
          <w:tcPr>
            <w:tcW w:w="1189" w:type="pct"/>
            <w:hideMark/>
          </w:tcPr>
          <w:p w14:paraId="38BB7CD5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Nedovoljno upravljanje kvalitetom vazduha i urbano zagađenje</w:t>
            </w:r>
          </w:p>
        </w:tc>
        <w:tc>
          <w:tcPr>
            <w:tcW w:w="3046" w:type="pct"/>
            <w:hideMark/>
          </w:tcPr>
          <w:p w14:paraId="0BB0BD11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Visok nivo zagađenja vazduha u urbanim i industrijskim zonama, posebno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usljed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individualnog loženja i emisija iz energetike i saobraćaja, uz ograničene kapacitete za monitoring, modeliranje i sprovođenje mjera kvaliteta vazduha.</w:t>
            </w:r>
          </w:p>
        </w:tc>
      </w:tr>
      <w:tr w:rsidR="00F8621C" w:rsidRPr="00F33088" w14:paraId="775F0D2A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5EE9E541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14</w:t>
            </w:r>
          </w:p>
        </w:tc>
        <w:tc>
          <w:tcPr>
            <w:tcW w:w="470" w:type="pct"/>
            <w:hideMark/>
          </w:tcPr>
          <w:p w14:paraId="4E0CCB26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PA02-14</w:t>
            </w:r>
          </w:p>
        </w:tc>
        <w:tc>
          <w:tcPr>
            <w:tcW w:w="1189" w:type="pct"/>
            <w:hideMark/>
          </w:tcPr>
          <w:p w14:paraId="5BDA5728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Nedovoljna zaštita biodiverziteta i upravljanje zaštićenim područjima</w:t>
            </w:r>
          </w:p>
        </w:tc>
        <w:tc>
          <w:tcPr>
            <w:tcW w:w="3046" w:type="pct"/>
            <w:hideMark/>
          </w:tcPr>
          <w:p w14:paraId="624E7804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Nepotpuna Natura 2000 mreža, ograničeni upravljački kapaciteti i kontinuirani pritisci urbanizacije, turizma i nelegalne gradnje ugrožavaju biodiverzitet i dugoročnu zaštitu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ekosistema.Bilo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bi potrebno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restaurirari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degradirana prirodna područja, te finalizovati započeti proces revizije zaštićenih područja iz 1968. godine.</w:t>
            </w:r>
          </w:p>
        </w:tc>
      </w:tr>
      <w:tr w:rsidR="00F8621C" w:rsidRPr="00F33088" w14:paraId="79E7564C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1488EAB0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15</w:t>
            </w:r>
          </w:p>
        </w:tc>
        <w:tc>
          <w:tcPr>
            <w:tcW w:w="470" w:type="pct"/>
            <w:hideMark/>
          </w:tcPr>
          <w:p w14:paraId="63A0211A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PA02-15</w:t>
            </w:r>
          </w:p>
        </w:tc>
        <w:tc>
          <w:tcPr>
            <w:tcW w:w="1189" w:type="pct"/>
            <w:hideMark/>
          </w:tcPr>
          <w:p w14:paraId="1122C102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Slabi sistemi monitoringa, podataka i digitalizacije u oblasti životne sredine</w:t>
            </w:r>
          </w:p>
        </w:tc>
        <w:tc>
          <w:tcPr>
            <w:tcW w:w="3046" w:type="pct"/>
            <w:hideMark/>
          </w:tcPr>
          <w:p w14:paraId="7D53260A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Nedovoljno razvijeni informacioni sistemi, monitoring i razmjena podataka otežavaju planiranje, sprovođenje i praćenje politika u oblasti životne sredine i klimatskih promjena.</w:t>
            </w:r>
          </w:p>
        </w:tc>
      </w:tr>
      <w:tr w:rsidR="00F8621C" w:rsidRPr="00F33088" w14:paraId="4B8C04C1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3AE6ADCD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16</w:t>
            </w:r>
          </w:p>
        </w:tc>
        <w:tc>
          <w:tcPr>
            <w:tcW w:w="470" w:type="pct"/>
            <w:hideMark/>
          </w:tcPr>
          <w:p w14:paraId="3EA6659E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PA02-16</w:t>
            </w:r>
          </w:p>
        </w:tc>
        <w:tc>
          <w:tcPr>
            <w:tcW w:w="1189" w:type="pct"/>
            <w:hideMark/>
          </w:tcPr>
          <w:p w14:paraId="10953791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Nedovoljna spremnost za primjenu ETS/CBAM 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dekarbonizaciju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privrede</w:t>
            </w:r>
          </w:p>
        </w:tc>
        <w:tc>
          <w:tcPr>
            <w:tcW w:w="3046" w:type="pct"/>
            <w:hideMark/>
          </w:tcPr>
          <w:p w14:paraId="47816EFF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Privreda i institucionalni sistem još nijesu dovoljno pripremljeni za punu primjenu EU sistema trgovine emisijama (ETS), CBAM mehanizma i zahtjeva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dekarbonizacije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, što može povećati troškove poslovanja i smanjiti konkurentnost izvoznog sektora. </w:t>
            </w:r>
          </w:p>
        </w:tc>
      </w:tr>
      <w:tr w:rsidR="00F8621C" w:rsidRPr="00F33088" w14:paraId="027B891B" w14:textId="77777777" w:rsidTr="00187762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559F2AF7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17</w:t>
            </w:r>
          </w:p>
        </w:tc>
        <w:tc>
          <w:tcPr>
            <w:tcW w:w="470" w:type="pct"/>
            <w:hideMark/>
          </w:tcPr>
          <w:p w14:paraId="5640312D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PA02-17</w:t>
            </w:r>
          </w:p>
        </w:tc>
        <w:tc>
          <w:tcPr>
            <w:tcW w:w="1189" w:type="pct"/>
            <w:hideMark/>
          </w:tcPr>
          <w:p w14:paraId="77AB7751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Pritisci turizma, urbanizacije i nelegalne gradnje na obalne i prirodne ekosisteme</w:t>
            </w:r>
          </w:p>
        </w:tc>
        <w:tc>
          <w:tcPr>
            <w:tcW w:w="3046" w:type="pct"/>
            <w:hideMark/>
          </w:tcPr>
          <w:p w14:paraId="080D54D1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Intenzivna urbanizacija, sezonski turistički pritisci i nelegalna gradnja ugrožavaju biodiverzitet, obalne ekosisteme, vodne resurse i dugoročnu održivost prostora, posebno u obalnom području.</w:t>
            </w:r>
          </w:p>
        </w:tc>
      </w:tr>
      <w:tr w:rsidR="00F8621C" w:rsidRPr="00F33088" w14:paraId="0A7BBE52" w14:textId="77777777" w:rsidTr="00187762">
        <w:trPr>
          <w:trHeight w:val="1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" w:type="pct"/>
            <w:hideMark/>
          </w:tcPr>
          <w:p w14:paraId="5847869B" w14:textId="77777777" w:rsidR="00F8621C" w:rsidRPr="00F33088" w:rsidRDefault="00F8621C" w:rsidP="00153572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18</w:t>
            </w:r>
          </w:p>
        </w:tc>
        <w:tc>
          <w:tcPr>
            <w:tcW w:w="470" w:type="pct"/>
            <w:hideMark/>
          </w:tcPr>
          <w:p w14:paraId="4B03D22F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PA02-18</w:t>
            </w:r>
          </w:p>
        </w:tc>
        <w:tc>
          <w:tcPr>
            <w:tcW w:w="1189" w:type="pct"/>
            <w:hideMark/>
          </w:tcPr>
          <w:p w14:paraId="6CA338CD" w14:textId="77777777" w:rsidR="00F8621C" w:rsidRPr="00F33088" w:rsidRDefault="00F8621C" w:rsidP="00153572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Nedovoljna otpornost šumskih i obalnih ekosistema na klimatske rizike</w:t>
            </w:r>
          </w:p>
        </w:tc>
        <w:tc>
          <w:tcPr>
            <w:tcW w:w="3046" w:type="pct"/>
            <w:hideMark/>
          </w:tcPr>
          <w:p w14:paraId="4CC7079C" w14:textId="77777777" w:rsidR="00F8621C" w:rsidRPr="00F33088" w:rsidRDefault="00F8621C" w:rsidP="0015357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Sve učestaliji požari, suše, poplave i degradacija ekosistema povećavaju ranjivost šumskih i obalnih područja, dok preventivni 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adaptacioni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kapaciteti ostaju ograničeni. Poseban izazov predstavljaju nedovoljno razvijeni sistemi ranog upozoravanja, ograničeni kapaciteti za monitoring i upravljanje rizicima, nedostatak opreme i ljudskih resursa za intervencije na terenu, kao i nedovoljna integracija klimatskih rizika u planove upravljanja šumama i obalnim područjima. Dodatno, potrebno je unaprijediti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međuinstitucionalnu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koordinaciju i operativnu saradnju između sistema zaštite i spašavanja, lokalnih samouprava, uključenja Vojske Crne Gore i akcije, a posebno unaprijediti saradnju u oblasti prevencije, zajedničkog odgovora na požare i druge ekstremne klimatske događaje, korišćenja vazduhoplovnih i logističkih kapaciteta, kao i razvoja zajedničkih planova pripravnosti i otpornosti.</w:t>
            </w:r>
          </w:p>
        </w:tc>
      </w:tr>
    </w:tbl>
    <w:p w14:paraId="6F8B3201" w14:textId="77777777" w:rsidR="00095509" w:rsidRPr="00F33088" w:rsidRDefault="00095509" w:rsidP="00095509">
      <w:pPr>
        <w:rPr>
          <w:lang w:val="sr-Latn-ME"/>
        </w:rPr>
      </w:pPr>
    </w:p>
    <w:p w14:paraId="06EFF161" w14:textId="3E0BB94E" w:rsidR="00095509" w:rsidRPr="00F33088" w:rsidRDefault="00095509">
      <w:pPr>
        <w:spacing w:after="160" w:line="278" w:lineRule="auto"/>
        <w:jc w:val="left"/>
        <w:rPr>
          <w:lang w:val="sr-Latn-ME"/>
        </w:rPr>
      </w:pPr>
      <w:r w:rsidRPr="00F33088">
        <w:rPr>
          <w:lang w:val="sr-Latn-ME"/>
        </w:rPr>
        <w:br w:type="page"/>
      </w:r>
    </w:p>
    <w:p w14:paraId="3E1916A3" w14:textId="16239EAE" w:rsidR="00976EA2" w:rsidRPr="00F33088" w:rsidRDefault="00976EA2" w:rsidP="00976EA2">
      <w:pPr>
        <w:pStyle w:val="Naslov1"/>
        <w:rPr>
          <w:rFonts w:eastAsia="Times New Roman"/>
          <w:lang w:val="sr-Latn-ME"/>
        </w:rPr>
      </w:pPr>
      <w:r w:rsidRPr="00F33088">
        <w:rPr>
          <w:rFonts w:eastAsia="Times New Roman"/>
          <w:lang w:val="sr-Latn-ME"/>
        </w:rPr>
        <w:lastRenderedPageBreak/>
        <w:t>SWOT analiza</w:t>
      </w:r>
    </w:p>
    <w:p w14:paraId="3E1916DE" w14:textId="4289F4FD" w:rsidR="002062AD" w:rsidRPr="00F33088" w:rsidRDefault="0091270C" w:rsidP="0091270C">
      <w:pPr>
        <w:rPr>
          <w:lang w:val="sr-Latn-ME"/>
        </w:rPr>
      </w:pPr>
      <w:r w:rsidRPr="00F33088">
        <w:rPr>
          <w:b/>
          <w:lang w:val="sr-Latn-ME"/>
        </w:rPr>
        <w:t>SWOT analiza</w:t>
      </w:r>
      <w:r w:rsidRPr="00F33088">
        <w:rPr>
          <w:lang w:val="sr-Latn-ME"/>
        </w:rPr>
        <w:t xml:space="preserve"> se zasniva na podjeli faktora na interne i eksterne: </w:t>
      </w:r>
      <w:r w:rsidRPr="00F33088">
        <w:rPr>
          <w:b/>
          <w:bCs/>
          <w:lang w:val="sr-Latn-ME"/>
        </w:rPr>
        <w:t>snage (S)</w:t>
      </w:r>
      <w:r w:rsidRPr="00F33088">
        <w:rPr>
          <w:lang w:val="sr-Latn-ME"/>
        </w:rPr>
        <w:t xml:space="preserve"> i </w:t>
      </w:r>
      <w:r w:rsidRPr="00F33088">
        <w:rPr>
          <w:b/>
          <w:bCs/>
          <w:lang w:val="sr-Latn-ME"/>
        </w:rPr>
        <w:t>slabosti (W)</w:t>
      </w:r>
      <w:r w:rsidRPr="00F33088">
        <w:rPr>
          <w:lang w:val="sr-Latn-ME"/>
        </w:rPr>
        <w:t xml:space="preserve"> predstavljaju interne karakteristike sistema, odnosno njegove </w:t>
      </w:r>
      <w:proofErr w:type="spellStart"/>
      <w:r w:rsidRPr="00F33088">
        <w:rPr>
          <w:lang w:val="sr-Latn-ME"/>
        </w:rPr>
        <w:t>prednosti</w:t>
      </w:r>
      <w:proofErr w:type="spellEnd"/>
      <w:r w:rsidRPr="00F33088">
        <w:rPr>
          <w:lang w:val="sr-Latn-ME"/>
        </w:rPr>
        <w:t xml:space="preserve"> i nedostatke na koje je moguće direktno uticati (npr. institucionalni kapaciteti, infrastruktura, zakonodavni okvir, ljudski resursi, sistemi upravljanja i nivo tehnološke razvijenosti), dok </w:t>
      </w:r>
      <w:r w:rsidRPr="00F33088">
        <w:rPr>
          <w:b/>
          <w:bCs/>
          <w:lang w:val="sr-Latn-ME"/>
        </w:rPr>
        <w:t>prilike (O)</w:t>
      </w:r>
      <w:r w:rsidRPr="00F33088">
        <w:rPr>
          <w:lang w:val="sr-Latn-ME"/>
        </w:rPr>
        <w:t xml:space="preserve"> i </w:t>
      </w:r>
      <w:r w:rsidRPr="00F33088">
        <w:rPr>
          <w:b/>
          <w:bCs/>
          <w:lang w:val="sr-Latn-ME"/>
        </w:rPr>
        <w:t>prijetnje (T)</w:t>
      </w:r>
      <w:r w:rsidRPr="00F33088">
        <w:rPr>
          <w:lang w:val="sr-Latn-ME"/>
        </w:rPr>
        <w:t xml:space="preserve"> predstavljaju eksterne faktore iz okruženja koji utiču na sektor, ali su van direktne kontrole (npr. EU politike i regulatorni zahtjevi, dostupnost međunarodnog finansiranja, klimatske promjene, tržišni trendovi i geopolitički rizici); pri tome prilike označavaju potencijalne spoljne koristi koje se mogu iskoristiti, a prijetnje spoljne rizike koji mogu negativno uticati na razvoj sektora.</w:t>
      </w:r>
    </w:p>
    <w:tbl>
      <w:tblPr>
        <w:tblStyle w:val="Svijetlatablicareetke1-isticanje4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6663"/>
        <w:gridCol w:w="1558"/>
      </w:tblGrid>
      <w:tr w:rsidR="00C627E7" w:rsidRPr="00F33088" w14:paraId="5EDEC631" w14:textId="77777777" w:rsidTr="00C62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noWrap/>
            <w:hideMark/>
          </w:tcPr>
          <w:p w14:paraId="7AD82C68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  <w:t>S-W-O-T</w:t>
            </w:r>
          </w:p>
        </w:tc>
        <w:tc>
          <w:tcPr>
            <w:tcW w:w="3563" w:type="pct"/>
            <w:noWrap/>
            <w:hideMark/>
          </w:tcPr>
          <w:p w14:paraId="522C853F" w14:textId="77777777" w:rsidR="00C627E7" w:rsidRPr="00F33088" w:rsidRDefault="00C627E7" w:rsidP="00C627E7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  <w:t>IZJAVA</w:t>
            </w:r>
          </w:p>
        </w:tc>
        <w:tc>
          <w:tcPr>
            <w:tcW w:w="833" w:type="pct"/>
            <w:noWrap/>
            <w:hideMark/>
          </w:tcPr>
          <w:p w14:paraId="11009848" w14:textId="77777777" w:rsidR="00C627E7" w:rsidRPr="00F33088" w:rsidRDefault="00C627E7" w:rsidP="00C627E7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  <w:t>Povezani izazovi</w:t>
            </w:r>
          </w:p>
        </w:tc>
      </w:tr>
      <w:tr w:rsidR="00C627E7" w:rsidRPr="00F33088" w14:paraId="1D54B282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 w:val="restart"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3661CF2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  <w:t>SNAGE</w:t>
            </w:r>
          </w:p>
        </w:tc>
        <w:tc>
          <w:tcPr>
            <w:tcW w:w="3563" w:type="pct"/>
            <w:shd w:val="clear" w:color="auto" w:fill="D9F2D0" w:themeFill="accent6" w:themeFillTint="33"/>
            <w:noWrap/>
            <w:hideMark/>
          </w:tcPr>
          <w:p w14:paraId="1F712CE8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Bogat prirodni kapital i biodiverzitet, sa visokim procentom šumskog pokrivača (~61%) i značajnim potencijalom za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ekosistemske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usluge i apsorpciju CO2</w:t>
            </w:r>
          </w:p>
        </w:tc>
        <w:tc>
          <w:tcPr>
            <w:tcW w:w="833" w:type="pct"/>
            <w:shd w:val="clear" w:color="auto" w:fill="D9F2D0" w:themeFill="accent6" w:themeFillTint="33"/>
            <w:noWrap/>
            <w:hideMark/>
          </w:tcPr>
          <w:p w14:paraId="53D49493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PA02-14</w:t>
            </w:r>
          </w:p>
        </w:tc>
      </w:tr>
      <w:tr w:rsidR="00C627E7" w:rsidRPr="00F33088" w14:paraId="4CE010A0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5550D64E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D9F2D0" w:themeFill="accent6" w:themeFillTint="33"/>
            <w:noWrap/>
            <w:hideMark/>
          </w:tcPr>
          <w:p w14:paraId="193A4734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Dostupnost EU IPA III fondova i drugih međunarodnih finansijskih instrumenata za investicije u životnu sredinu i klimatske promjene</w:t>
            </w:r>
          </w:p>
        </w:tc>
        <w:tc>
          <w:tcPr>
            <w:tcW w:w="833" w:type="pct"/>
            <w:shd w:val="clear" w:color="auto" w:fill="D9F2D0" w:themeFill="accent6" w:themeFillTint="33"/>
            <w:noWrap/>
            <w:hideMark/>
          </w:tcPr>
          <w:p w14:paraId="6BCA59B3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PA02-12</w:t>
            </w:r>
          </w:p>
        </w:tc>
      </w:tr>
      <w:tr w:rsidR="00C627E7" w:rsidRPr="00F33088" w14:paraId="187BE2A3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4AEAB9D8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D9F2D0" w:themeFill="accent6" w:themeFillTint="33"/>
            <w:noWrap/>
            <w:hideMark/>
          </w:tcPr>
          <w:p w14:paraId="29E866A4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Postignuto značajno smanjenje emisija GHG (posebno uključujući LULUCF), što ukazuje na visok prirodni kapacitet za ublažavanje klimatskih promjena i značajan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apsorpcioni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kapacitet šumskih ekosistema</w:t>
            </w:r>
          </w:p>
        </w:tc>
        <w:tc>
          <w:tcPr>
            <w:tcW w:w="833" w:type="pct"/>
            <w:shd w:val="clear" w:color="auto" w:fill="D9F2D0" w:themeFill="accent6" w:themeFillTint="33"/>
            <w:noWrap/>
            <w:hideMark/>
          </w:tcPr>
          <w:p w14:paraId="53B66CE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PA02-18, PA02-14</w:t>
            </w:r>
          </w:p>
        </w:tc>
      </w:tr>
      <w:tr w:rsidR="00C627E7" w:rsidRPr="00F33088" w14:paraId="102A1738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63B23418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D9F2D0" w:themeFill="accent6" w:themeFillTint="33"/>
            <w:noWrap/>
            <w:hideMark/>
          </w:tcPr>
          <w:p w14:paraId="4685755A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Postojeća mreža zaštićenih područja i kontinuirani proces uspostavljanja Natura 2000 mreže predstavljaju osnovu za jačanje zaštite biodiverziteta</w:t>
            </w:r>
          </w:p>
        </w:tc>
        <w:tc>
          <w:tcPr>
            <w:tcW w:w="833" w:type="pct"/>
            <w:shd w:val="clear" w:color="auto" w:fill="D9F2D0" w:themeFill="accent6" w:themeFillTint="33"/>
            <w:noWrap/>
            <w:hideMark/>
          </w:tcPr>
          <w:p w14:paraId="08F3E87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PA02-14</w:t>
            </w:r>
          </w:p>
        </w:tc>
      </w:tr>
      <w:tr w:rsidR="00C627E7" w:rsidRPr="00F33088" w14:paraId="6BC82BC4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39C967BB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D9F2D0" w:themeFill="accent6" w:themeFillTint="33"/>
            <w:noWrap/>
            <w:hideMark/>
          </w:tcPr>
          <w:p w14:paraId="7E9D471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Rast svijesti o održivosti i zelenim praksama u akademskoj zajednici, civilnom sektoru, turizmu i dijelu privatnog sektora</w:t>
            </w:r>
          </w:p>
        </w:tc>
        <w:tc>
          <w:tcPr>
            <w:tcW w:w="833" w:type="pct"/>
            <w:shd w:val="clear" w:color="auto" w:fill="D9F2D0" w:themeFill="accent6" w:themeFillTint="33"/>
            <w:noWrap/>
            <w:hideMark/>
          </w:tcPr>
          <w:p w14:paraId="72BD85F0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PA02-08</w:t>
            </w:r>
          </w:p>
        </w:tc>
      </w:tr>
      <w:tr w:rsidR="00C627E7" w:rsidRPr="00F33088" w14:paraId="600BDF58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7943E779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D9F2D0" w:themeFill="accent6" w:themeFillTint="33"/>
            <w:noWrap/>
            <w:hideMark/>
          </w:tcPr>
          <w:p w14:paraId="3D14151A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Rastuće prepoznavanje značaja cirkularne ekonomije, zelene tranzicije i održivog upravljanja resursima u javnim politikama i razvojnim strategijama</w:t>
            </w:r>
          </w:p>
        </w:tc>
        <w:tc>
          <w:tcPr>
            <w:tcW w:w="833" w:type="pct"/>
            <w:shd w:val="clear" w:color="auto" w:fill="D9F2D0" w:themeFill="accent6" w:themeFillTint="33"/>
            <w:noWrap/>
            <w:hideMark/>
          </w:tcPr>
          <w:p w14:paraId="467A61EF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PA02-01, PA02-04</w:t>
            </w:r>
          </w:p>
        </w:tc>
      </w:tr>
      <w:tr w:rsidR="00C627E7" w:rsidRPr="00F33088" w14:paraId="2EC47488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428424C9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D9F2D0" w:themeFill="accent6" w:themeFillTint="33"/>
            <w:noWrap/>
            <w:hideMark/>
          </w:tcPr>
          <w:p w14:paraId="6284097C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Unaprijeđena nacionalna mreža za monitoring kvaliteta vazduha i uspostavljen institucionalni okvir za klimatsko upravljanje i ETS sistem</w:t>
            </w:r>
          </w:p>
        </w:tc>
        <w:tc>
          <w:tcPr>
            <w:tcW w:w="833" w:type="pct"/>
            <w:shd w:val="clear" w:color="auto" w:fill="D9F2D0" w:themeFill="accent6" w:themeFillTint="33"/>
            <w:noWrap/>
            <w:hideMark/>
          </w:tcPr>
          <w:p w14:paraId="7E6CCB6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PA02-15</w:t>
            </w:r>
          </w:p>
        </w:tc>
      </w:tr>
      <w:tr w:rsidR="00C627E7" w:rsidRPr="00F33088" w14:paraId="70D142C7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41B742C6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D9F2D0" w:themeFill="accent6" w:themeFillTint="33"/>
            <w:noWrap/>
            <w:hideMark/>
          </w:tcPr>
          <w:p w14:paraId="2E8976B4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Uspostavljen zakonodavni okvir značajno usklađen sa pravnom tekovinom EU u oblastima otpada, voda, zaštite prirode, kvaliteta vazduha i klimatskih promjena</w:t>
            </w:r>
          </w:p>
        </w:tc>
        <w:tc>
          <w:tcPr>
            <w:tcW w:w="833" w:type="pct"/>
            <w:shd w:val="clear" w:color="auto" w:fill="D9F2D0" w:themeFill="accent6" w:themeFillTint="33"/>
            <w:noWrap/>
            <w:hideMark/>
          </w:tcPr>
          <w:p w14:paraId="6A9BA9E2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PA02-06</w:t>
            </w:r>
          </w:p>
        </w:tc>
      </w:tr>
      <w:tr w:rsidR="00C627E7" w:rsidRPr="00F33088" w14:paraId="0DE129B0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26FBB9EA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D9F2D0" w:themeFill="accent6" w:themeFillTint="33"/>
            <w:noWrap/>
            <w:hideMark/>
          </w:tcPr>
          <w:p w14:paraId="221815F5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Usvojeni ključni strateški i planski dokumenti za zelenu tranziciju, uključujući planove upravljanja otpadom, klimatsko prilagođavanje i cirkularnu ekonomiju</w:t>
            </w:r>
          </w:p>
        </w:tc>
        <w:tc>
          <w:tcPr>
            <w:tcW w:w="833" w:type="pct"/>
            <w:shd w:val="clear" w:color="auto" w:fill="D9F2D0" w:themeFill="accent6" w:themeFillTint="33"/>
            <w:noWrap/>
            <w:hideMark/>
          </w:tcPr>
          <w:p w14:paraId="110F2A94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PA02-02, PA02-01</w:t>
            </w:r>
          </w:p>
        </w:tc>
      </w:tr>
      <w:tr w:rsidR="00C627E7" w:rsidRPr="00F33088" w14:paraId="1B186033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D9F2D0" w:themeFill="accent6" w:themeFillTint="33"/>
            <w:noWrap/>
            <w:textDirection w:val="btLr"/>
            <w:vAlign w:val="center"/>
            <w:hideMark/>
          </w:tcPr>
          <w:p w14:paraId="12090814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D9F2D0" w:themeFill="accent6" w:themeFillTint="33"/>
            <w:noWrap/>
            <w:hideMark/>
          </w:tcPr>
          <w:p w14:paraId="7F879126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Visok potencijal za razvoj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bioekonomije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,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agrošumarskih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sistema i prirodno zasnovanih rješenja za klimatsku otpornost</w:t>
            </w:r>
          </w:p>
        </w:tc>
        <w:tc>
          <w:tcPr>
            <w:tcW w:w="833" w:type="pct"/>
            <w:shd w:val="clear" w:color="auto" w:fill="D9F2D0" w:themeFill="accent6" w:themeFillTint="33"/>
            <w:noWrap/>
            <w:hideMark/>
          </w:tcPr>
          <w:p w14:paraId="0ED84D4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PA02-09</w:t>
            </w:r>
          </w:p>
        </w:tc>
      </w:tr>
      <w:tr w:rsidR="00C627E7" w:rsidRPr="00F33088" w14:paraId="1D631FC5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 w:val="restart"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112F571A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  <w:t>SLABOSTI</w:t>
            </w: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602D3A5D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Izraženi pritisci turizma, urbanizacije i nelegalne gradnje na obalna i zaštićena područja, dodatno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optetećuju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prirodne resurse, biodiverzitet i održivo upravljanje prostorom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4224EB4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PA02-17, PA02-14, PA02-18, PA02-10</w:t>
            </w:r>
          </w:p>
        </w:tc>
      </w:tr>
      <w:tr w:rsidR="00C627E7" w:rsidRPr="00F33088" w14:paraId="2D044773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EC690A5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22A8001B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Loš kvalitet vazduha u urbanim i industrijskim centrima, uz nedovoljno razvijene strateške i institucionalne mehanizme za upravljanje kvalitetom vazduha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2218D085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PA02-13, PA02-10</w:t>
            </w:r>
          </w:p>
        </w:tc>
      </w:tr>
      <w:tr w:rsidR="00C627E7" w:rsidRPr="00F33088" w14:paraId="333CC412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1835C50C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61D50EA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Nedovoljan nivo inovacija, digitalizacije i tehnološke modernizacije u oblasti životne sredine i klimatskih politika ograničavaju efikasno upravljanje resursima i primjenu naprednih rješenja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45A0572A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PA02-15, PA02-05</w:t>
            </w:r>
          </w:p>
        </w:tc>
      </w:tr>
      <w:tr w:rsidR="00C627E7" w:rsidRPr="00F33088" w14:paraId="2D23C8AB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3D3AA9E6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0E94C1B6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Nedovoljno iskorišćen potencijal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bioekonomije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,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agrošumarstva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i održivog korišćenja prirodnih resursa zbog slabih investicija i nedovoljno razvijenih lanaca vrijednosti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7BD81ED5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PA02-09, PA02-11</w:t>
            </w:r>
          </w:p>
        </w:tc>
      </w:tr>
      <w:tr w:rsidR="00C627E7" w:rsidRPr="00F33088" w14:paraId="44413F6F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0D60231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3D1EE2E0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Nedovoljno razvijena infrastruktura za upravljanje otpadom, uključujući odvojeno sakupljanje, reciklažu i tretman svih vrsta otpada, uz veliki broj neuređenih odlagališta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64F2736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PA02-02</w:t>
            </w:r>
          </w:p>
        </w:tc>
      </w:tr>
      <w:tr w:rsidR="00C627E7" w:rsidRPr="00F33088" w14:paraId="1F057931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162B4E15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165F3D6B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Nedovoljno razvijeni sistemi monitoringa, razmjene podataka i informacioni sistemi otežavaju planiranje, praćenje i izvještavanje u oblasti životne sredine i klime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5EC3F7C7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PA02-15</w:t>
            </w:r>
          </w:p>
        </w:tc>
      </w:tr>
      <w:tr w:rsidR="00C627E7" w:rsidRPr="00F33088" w14:paraId="02E6EF63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300715DB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1ADE503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Nije uspostavljena Natura 2000 mreža i ograničeni su kapaciteti za upravljanje zaštićenim područjima, što smanjuje efikasnost zaštite biodiverziteta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5DB8502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PA02-14</w:t>
            </w:r>
          </w:p>
        </w:tc>
      </w:tr>
      <w:tr w:rsidR="00C627E7" w:rsidRPr="00F33088" w14:paraId="6B30FE40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707A63EE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22589FCB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Ograničen nivo znanja, svijesti i zelenih vještina među institucijama, privredom i građanima otežava sprovođenje zelene tranzicije i cirkularnih praksi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3CF702BE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PA02-08</w:t>
            </w:r>
          </w:p>
        </w:tc>
      </w:tr>
      <w:tr w:rsidR="00C627E7" w:rsidRPr="00F33088" w14:paraId="036F1710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196C52D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201726CB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Ograničen obuhvat tretmana otpadnih voda i visoki gubici u vodovodnoj mreži ukazuju na značajne infrastrukturne i upravljačke nedostatke u sektoru voda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3337EC40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PA02-07</w:t>
            </w:r>
          </w:p>
        </w:tc>
      </w:tr>
      <w:tr w:rsidR="00C627E7" w:rsidRPr="00F33088" w14:paraId="62E508FD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57D4830C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0EB45315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Ograničeni institucionalni i tehnički kapaciteti za sprovođenje ETS/CBAM sistema, MRV obaveza 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zatjeva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dekarbonizacije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, mogu povećati troškove prilagođavanja EU klimatskoj politici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36E3F970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PA02-16, PA02-11, PA02-13</w:t>
            </w:r>
          </w:p>
        </w:tc>
      </w:tr>
      <w:tr w:rsidR="00C627E7" w:rsidRPr="00F33088" w14:paraId="60509F53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796C0CF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3D6F7215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Ograničeni kapaciteti za pripremu i sprovođenje „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bankabilnih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“ zelenih projekata smanjuju iskorišćenost dostupnih EU i međunarodnih fondova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777861E6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PA02-12</w:t>
            </w:r>
          </w:p>
        </w:tc>
      </w:tr>
      <w:tr w:rsidR="00C627E7" w:rsidRPr="00F33088" w14:paraId="7FCDA3D2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FFD2D37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7EBC4655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Postojanje istorijskih ekoloških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hot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-spot lokacija nastalih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usljed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bivših rudarskih i industrijskih aktivnosti zahtijeva dugoročnu sanaciju 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remedijaciju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zemljišta i voda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17E3234B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PA02-10, PA02-14</w:t>
            </w:r>
          </w:p>
        </w:tc>
      </w:tr>
      <w:tr w:rsidR="00C627E7" w:rsidRPr="00F33088" w14:paraId="6536C053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F12BC9B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5CDA4FF6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Slabi administrativni kapaciteti, nedovoljna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međusektorska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koordinacija i ograničena implementacija propisa usporavaju sprovođenje EU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acquis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-a i reformi u okviru Poglavlja 27; posebno nedovoljni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administratini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i operativni kapaciteti za upravljanje zaštićenim područjima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3E3A7F6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PA02-06, PA02-14</w:t>
            </w:r>
          </w:p>
        </w:tc>
      </w:tr>
      <w:tr w:rsidR="00C627E7" w:rsidRPr="00F33088" w14:paraId="0D813610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007D208D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5B566004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Veoma niska stopa reciklaže i ograničena primjena principa cirkularne ekonomije, uz dominantno oslanjanje na linearni model upravljanja resursima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1BAE6C66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PA02-01, PA02-03, PA02-02</w:t>
            </w:r>
          </w:p>
        </w:tc>
      </w:tr>
      <w:tr w:rsidR="00C627E7" w:rsidRPr="00F33088" w14:paraId="5ED66AA0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AE2D5" w:themeFill="accent2" w:themeFillTint="33"/>
            <w:noWrap/>
            <w:textDirection w:val="btLr"/>
            <w:vAlign w:val="center"/>
            <w:hideMark/>
          </w:tcPr>
          <w:p w14:paraId="3103AF59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AE2D5" w:themeFill="accent2" w:themeFillTint="33"/>
            <w:noWrap/>
            <w:hideMark/>
          </w:tcPr>
          <w:p w14:paraId="756AB143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Visoka zavisnost od uvoza sirovina i niska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resursna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produktivnost ukazuju na slabu otpornost i ograničenu konkurentnost ekonomije</w:t>
            </w:r>
          </w:p>
        </w:tc>
        <w:tc>
          <w:tcPr>
            <w:tcW w:w="833" w:type="pct"/>
            <w:shd w:val="clear" w:color="auto" w:fill="FAE2D5" w:themeFill="accent2" w:themeFillTint="33"/>
            <w:noWrap/>
            <w:hideMark/>
          </w:tcPr>
          <w:p w14:paraId="191F3F9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PA02-04</w:t>
            </w:r>
          </w:p>
        </w:tc>
      </w:tr>
      <w:tr w:rsidR="00C627E7" w:rsidRPr="00F33088" w14:paraId="75F149FE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 w:val="restart"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2C56ADE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  <w:t>PRILIKE</w:t>
            </w: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4AA1B252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Digitalizacija i razvoj informacionih sistema omogućavaju efikasnije upravljanje resursima, monitoring životne sredine i klimatsko izvještavanje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3842CE4E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PA02-15</w:t>
            </w:r>
          </w:p>
        </w:tc>
      </w:tr>
      <w:tr w:rsidR="00C627E7" w:rsidRPr="00F33088" w14:paraId="0EC9BCFF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44B0964D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4582D9B8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Jačanje regionalne saradnje i integracije u evropske sisteme za upravljanje životnom sredinom, klimom i civilnom zaštitom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47E74834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PA02-15</w:t>
            </w:r>
          </w:p>
        </w:tc>
      </w:tr>
      <w:tr w:rsidR="00C627E7" w:rsidRPr="00F33088" w14:paraId="7165E4BF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C644EC3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5F2E7DA8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Potencijal za razvoj obnovljivih izvora energije 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dekarbonizaciju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ekonomije u skladu sa evropskim klimatskim politikama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159788C0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PA02-16</w:t>
            </w:r>
          </w:p>
        </w:tc>
      </w:tr>
      <w:tr w:rsidR="00C627E7" w:rsidRPr="00F33088" w14:paraId="0C305928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D0559A9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014DA65A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Potreba za održivim upravljanjem Natura 2000 područjima u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skadu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sa EU standardima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1AF38B36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PA02-14</w:t>
            </w:r>
          </w:p>
        </w:tc>
      </w:tr>
      <w:tr w:rsidR="00C627E7" w:rsidRPr="00F33088" w14:paraId="7F1A34A5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35D91DE6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655CD1E3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Prelazak na cirkularnu ekonomiju otvara mogućnosti za ekonomsku diverzifikaciju, razvoj novih tržišta, inovacija i zelenih radnih mjesta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34ECE50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PA02-03, PA02-01</w:t>
            </w:r>
          </w:p>
        </w:tc>
      </w:tr>
      <w:tr w:rsidR="00C627E7" w:rsidRPr="00F33088" w14:paraId="3FE91921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2B62A39D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022B99AD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Proces pristupanja EU i poglavlje 27predstavljaju snažan podsticaj za reforme, institucionalno jačanje i investicije u životnu sredinu i klimatske promjene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5DB33AF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PA02-06</w:t>
            </w:r>
          </w:p>
        </w:tc>
      </w:tr>
      <w:tr w:rsidR="00C627E7" w:rsidRPr="00F33088" w14:paraId="3356CEE5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6C75CED8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7E8D15B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Rastuća globalna i evropska potražnja za održivim turizmom, zelenim proizvodima i uslugama sa niskim ugljeničnim otiskom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058751B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PA02-17, PA02-14</w:t>
            </w:r>
          </w:p>
        </w:tc>
      </w:tr>
      <w:tr w:rsidR="00C627E7" w:rsidRPr="00F33088" w14:paraId="36B84A6F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244BF2DF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10B11A06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Razvoj cirkularnih lanaca vrijednosti u oblastima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bioekonomije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, šumarstva, poljoprivrede, građevinarstva i turizma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754016D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PA02-09</w:t>
            </w:r>
          </w:p>
        </w:tc>
      </w:tr>
      <w:tr w:rsidR="00C627E7" w:rsidRPr="00F33088" w14:paraId="2D3760CD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570C5D90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106E43F8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Razvoj zelenih instrumenata, uključujući zelene i održive obveznice, može unaprijediti finansiranje klimatskih i ekoloških investicija i povećati pristup međunarodnim fondovima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71322EB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PA02-12</w:t>
            </w:r>
          </w:p>
        </w:tc>
      </w:tr>
      <w:tr w:rsidR="00C627E7" w:rsidRPr="00F33088" w14:paraId="4585758B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40895A09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704FE2A2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Razvoj zelenih vještina, istraživanja, inovacija i saradnje između univerziteta, privrede i javnog sektora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43B6591D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PA02-05</w:t>
            </w:r>
          </w:p>
        </w:tc>
      </w:tr>
      <w:tr w:rsidR="00C627E7" w:rsidRPr="00F33088" w14:paraId="0E473A41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2BFB1E54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5BC74545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Usklađivanje sa novim EU politikama kvaliteta vazduha, obnove prirode i cirkularne ekonomije može podstaći modernizaciju infrastrukture i industrije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06B95038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PA02-13</w:t>
            </w:r>
          </w:p>
        </w:tc>
      </w:tr>
      <w:tr w:rsidR="00C627E7" w:rsidRPr="00F33088" w14:paraId="5B4043EA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5D929525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5B709BDC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Uvođenje ETS/CBAM sistema i usklađivanje sa EU klimatskim politikama mogu podstaći modernizaciju industrije, energetsku efikasnost 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dekarbonizaciju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transporta, uključujući pomorski sektor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0A182496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PA02-16</w:t>
            </w:r>
          </w:p>
        </w:tc>
      </w:tr>
      <w:tr w:rsidR="00C627E7" w:rsidRPr="00F33088" w14:paraId="21AAD1C3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CAEDFB" w:themeFill="accent4" w:themeFillTint="33"/>
            <w:noWrap/>
            <w:textDirection w:val="btLr"/>
            <w:vAlign w:val="center"/>
            <w:hideMark/>
          </w:tcPr>
          <w:p w14:paraId="4B7A5567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CAEDFB" w:themeFill="accent4" w:themeFillTint="33"/>
            <w:noWrap/>
            <w:hideMark/>
          </w:tcPr>
          <w:p w14:paraId="2F2B31C0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Značajna dostupnost EU i međunarodnih fondova za zelenu tranziciju, uključujući IPA III, WBIF, Zelenu agendu za Zapadni Balkan i klimatske fondove</w:t>
            </w:r>
          </w:p>
        </w:tc>
        <w:tc>
          <w:tcPr>
            <w:tcW w:w="833" w:type="pct"/>
            <w:shd w:val="clear" w:color="auto" w:fill="CAEDFB" w:themeFill="accent4" w:themeFillTint="33"/>
            <w:noWrap/>
            <w:hideMark/>
          </w:tcPr>
          <w:p w14:paraId="27206AB8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PA02-12</w:t>
            </w:r>
          </w:p>
        </w:tc>
      </w:tr>
      <w:tr w:rsidR="00C627E7" w:rsidRPr="00F33088" w14:paraId="79C4D822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 w:val="restart"/>
            <w:shd w:val="clear" w:color="auto" w:fill="FFFFCC"/>
            <w:noWrap/>
            <w:textDirection w:val="btLr"/>
            <w:vAlign w:val="center"/>
            <w:hideMark/>
          </w:tcPr>
          <w:p w14:paraId="313DF32B" w14:textId="77777777" w:rsidR="00C627E7" w:rsidRPr="00F33088" w:rsidRDefault="00C627E7" w:rsidP="00F33088">
            <w:pPr>
              <w:spacing w:after="0"/>
              <w:ind w:left="113" w:right="113"/>
              <w:jc w:val="center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36"/>
                <w:szCs w:val="36"/>
                <w:lang w:val="sr-Latn-ME" w:eastAsia="en-GB"/>
              </w:rPr>
              <w:t>PRIJETNJE</w:t>
            </w:r>
          </w:p>
        </w:tc>
        <w:tc>
          <w:tcPr>
            <w:tcW w:w="3563" w:type="pct"/>
            <w:shd w:val="clear" w:color="auto" w:fill="FFFFCC"/>
            <w:noWrap/>
            <w:hideMark/>
          </w:tcPr>
          <w:p w14:paraId="30A67D7B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Klimatske promjene povećavaju učestalost i intenzitet suša, požara, poplava i ekstremnih vremenskih događaja, uz rastuće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socio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-ekonomske troškove i pritiske na infrastrukturu, poljoprivredu, šumarstvo i vodne resurse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7E28AEBF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PA02-11</w:t>
            </w:r>
          </w:p>
        </w:tc>
      </w:tr>
      <w:tr w:rsidR="00C627E7" w:rsidRPr="00F33088" w14:paraId="3545C49E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0FA48F35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3716ABA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Nastavak degradacije biodiverziteta i ekosistema može dovesti do gubitka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ekosistemskih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usluga, smanjenja prirodne otpornosti i većih klimatskih i ekonomskih rizika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7BC45034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PA02-10, PA02-14, PA02-11, PA02-09</w:t>
            </w:r>
          </w:p>
        </w:tc>
      </w:tr>
      <w:tr w:rsidR="00C627E7" w:rsidRPr="00F33088" w14:paraId="2752C2DF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5094A043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70D51363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Nedovoljno uključivanje privatnog sektora i spor razvoj zelenih investicija mogu ograničiti tranziciju ka održivom 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niskougljeničnom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razvoju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3955B02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PA02-12, PA02-03</w:t>
            </w:r>
          </w:p>
        </w:tc>
      </w:tr>
      <w:tr w:rsidR="00C627E7" w:rsidRPr="00F33088" w14:paraId="38010776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2D0AB988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0F7C6C0D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Nestabilnost međunarodnih tržišta sirovina i energije povećava ranjivost ekonomije sa niskom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resursnom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efikasnošću i visokom uvoznom zavisnošću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3349F9CD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PA02-04</w:t>
            </w:r>
          </w:p>
        </w:tc>
      </w:tr>
      <w:tr w:rsidR="00C627E7" w:rsidRPr="00F33088" w14:paraId="625E25E5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1A88197A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72462E77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Ograničeni institucionalni i tehnički kapaciteti za monitoring, digitalizaciju i upravljanje podacima mogu otežati efikasno sprovođenje klimatskih i ekoloških politika i ispunjavanje međunarodnih obaveza izvještavanja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09718092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PA02-15, PA02-06</w:t>
            </w:r>
          </w:p>
        </w:tc>
      </w:tr>
      <w:tr w:rsidR="00C627E7" w:rsidRPr="00F33088" w14:paraId="7DA75811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50E0BF9F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59241326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Povećani rizici od šumskih požara, degradacije zemljišta i nestašice vode mogu dugoročno ugroziti prirodni kapital i razvoj sektora koji zavise od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ekosistemskih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usluga, posebno turizma i poljoprivrede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57FF7138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PA02-09, PA02-11</w:t>
            </w:r>
          </w:p>
        </w:tc>
      </w:tr>
      <w:tr w:rsidR="00C627E7" w:rsidRPr="00F33088" w14:paraId="3B262051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17EA8581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1B106D1F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Rizik kašnjenja u ispunjavanju završnih mjerila Poglavlja 27 može negativno uticati na dinamiku pristupanja EU i pristup evropskim fondovima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60370E22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PA02-06, PA02-14, PA02-15</w:t>
            </w:r>
          </w:p>
        </w:tc>
      </w:tr>
      <w:tr w:rsidR="00C627E7" w:rsidRPr="00F33088" w14:paraId="449B9A85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40B2A7D4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20DD5924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Rizik od nastavka zagađenja vazduha, voda i zemljišta može dodatno pogoršati javno zdravlje, kvalitet života i atraktivnost turističkih i urbanih područja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66B18DD9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PA02-10, PA02-13</w:t>
            </w:r>
          </w:p>
        </w:tc>
      </w:tr>
      <w:tr w:rsidR="00C627E7" w:rsidRPr="00F33088" w14:paraId="24C14E4B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2083AE3E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76C056C3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Spore promjene potrošačkih i društvenih obrazaca ponašanja mogu ograničiti efekte politika cirkularne ekonomije, upravljanja otpadom i održive potrošnje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4BCD79AA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PA02-01, PA02-08</w:t>
            </w:r>
          </w:p>
        </w:tc>
      </w:tr>
      <w:tr w:rsidR="00C627E7" w:rsidRPr="00F33088" w14:paraId="15B612A8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26E55D6D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483DF1B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Strožiji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EU klimatski i ekološki standardi, uključujući ETS, CBAM i zahtjeve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dekarbonizacije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, mogu povećati troškove prilagođavanja i usporiti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tranziciiju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ka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niskougljeničnom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razvoju, ukoliko se kapaciteti institucija i privrede ne budu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pravovremeno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jačali za privredu, energetiku i izvozno orijentisane sektore ukoliko tranzicija ne bude </w:t>
            </w:r>
            <w:proofErr w:type="spellStart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pravovremena</w:t>
            </w:r>
            <w:proofErr w:type="spellEnd"/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 xml:space="preserve"> i adekvatno podržana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0B6DFE01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PA02-11, PA02-13, PA02-04, PA02-03, PA02-06</w:t>
            </w:r>
          </w:p>
        </w:tc>
      </w:tr>
      <w:tr w:rsidR="00C627E7" w:rsidRPr="00F33088" w14:paraId="209FBD49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04F6638B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7B557AEC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Sve izraženiji pritisci turizma, urbanizacije i nelegalne gradnje dodatno ugrožavaju biodiverzitet, obalne ekosisteme, vodne resurse i obalna područja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1959AF1D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PA02-14, PA02-10</w:t>
            </w:r>
          </w:p>
        </w:tc>
      </w:tr>
      <w:tr w:rsidR="00C627E7" w:rsidRPr="00F33088" w14:paraId="1B533639" w14:textId="77777777" w:rsidTr="00F3308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vMerge/>
            <w:shd w:val="clear" w:color="auto" w:fill="FFFFCC"/>
            <w:noWrap/>
            <w:hideMark/>
          </w:tcPr>
          <w:p w14:paraId="2B2D5384" w14:textId="77777777" w:rsidR="00C627E7" w:rsidRPr="00F33088" w:rsidRDefault="00C627E7" w:rsidP="00C627E7">
            <w:pPr>
              <w:spacing w:after="0"/>
              <w:jc w:val="left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6"/>
                <w:szCs w:val="16"/>
                <w:lang w:val="sr-Latn-ME" w:eastAsia="en-GB"/>
              </w:rPr>
            </w:pPr>
          </w:p>
        </w:tc>
        <w:tc>
          <w:tcPr>
            <w:tcW w:w="3563" w:type="pct"/>
            <w:shd w:val="clear" w:color="auto" w:fill="FFFFCC"/>
            <w:noWrap/>
            <w:hideMark/>
          </w:tcPr>
          <w:p w14:paraId="04E9B910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Veoma visoke investicione potrebe za usklađivanje sa EU standardima u sektorima voda, otpada, kvaliteta vazduha i klimatskih promjena mogu opteretiti javne finansije i usporiti reforme</w:t>
            </w:r>
          </w:p>
        </w:tc>
        <w:tc>
          <w:tcPr>
            <w:tcW w:w="833" w:type="pct"/>
            <w:shd w:val="clear" w:color="auto" w:fill="FFFFCC"/>
            <w:noWrap/>
            <w:hideMark/>
          </w:tcPr>
          <w:p w14:paraId="156D4094" w14:textId="77777777" w:rsidR="00C627E7" w:rsidRPr="00F33088" w:rsidRDefault="00C627E7" w:rsidP="00C627E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</w:pPr>
            <w:r w:rsidRPr="00F33088"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val="sr-Latn-ME" w:eastAsia="en-GB"/>
              </w:rPr>
              <w:t>PA02-07, PA02-02, PA02-12</w:t>
            </w:r>
          </w:p>
        </w:tc>
      </w:tr>
    </w:tbl>
    <w:p w14:paraId="3E1916E0" w14:textId="74A24711" w:rsidR="00976EA2" w:rsidRPr="00F33088" w:rsidRDefault="00976EA2" w:rsidP="00187762">
      <w:pPr>
        <w:pStyle w:val="Naslov1"/>
        <w:rPr>
          <w:rFonts w:eastAsia="Times New Roman"/>
          <w:lang w:val="sr-Latn-ME"/>
        </w:rPr>
      </w:pPr>
      <w:r w:rsidRPr="00F33088">
        <w:rPr>
          <w:rFonts w:eastAsia="Times New Roman"/>
          <w:lang w:val="sr-Latn-ME"/>
        </w:rPr>
        <w:lastRenderedPageBreak/>
        <w:t>Reference</w:t>
      </w:r>
    </w:p>
    <w:p w14:paraId="3E1916E1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>Agencija za zaštitu životne sredine. (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n.d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.). Izvještaji o stanju životne sredine. https://epa.org.me/izvjestaj-o-stanju-zivotne-sredine-na-bazi-indikatora/</w:t>
      </w:r>
    </w:p>
    <w:p w14:paraId="3E1916E2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Climate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Action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Network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Europe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Assessment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of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Western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Balkans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reform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agendas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 https://caneurope.org/new-can-europe-assessment-report-reform-agendas-can-accelerate-progress-on-national-energy-and-climate-plans-necps-but-timely-implementation-and-public-participation-remain-critical/</w:t>
      </w:r>
    </w:p>
    <w:p w14:paraId="3E1916E3" w14:textId="77777777" w:rsidR="00A04D67" w:rsidRPr="00F33088" w:rsidRDefault="00A04D67" w:rsidP="00A04D67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>COWI-CESTRA (2025), Izvještaj o strateškoj procjeni uticaja na životnu sredinu za državni plan upravljanja otpadom za period 2025-2029</w:t>
      </w:r>
      <w:r w:rsidRPr="00F33088">
        <w:rPr>
          <w:lang w:val="sr-Latn-ME"/>
        </w:rPr>
        <w:t xml:space="preserve"> (</w:t>
      </w:r>
      <w:proofErr w:type="spellStart"/>
      <w:r w:rsidRPr="00F33088">
        <w:rPr>
          <w:lang w:val="sr-Latn-ME"/>
        </w:rPr>
        <w:t>EuropeAid</w:t>
      </w:r>
      <w:proofErr w:type="spellEnd"/>
      <w:r w:rsidRPr="00F33088">
        <w:rPr>
          <w:lang w:val="sr-Latn-ME"/>
        </w:rPr>
        <w:t>/139893/IH/SER/ME)</w:t>
      </w:r>
    </w:p>
    <w:p w14:paraId="3E1916E4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 xml:space="preserve">Državni plan upravljanja otpadom 2025–2029 (oktobar 2025, Sl. list CG br. 25/26) </w:t>
      </w:r>
    </w:p>
    <w:p w14:paraId="3E1916E5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Energy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Community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Annual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implementation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report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– Montenegro. https://www.energy-community.org/dam/jcr:0a70ae6d-921a-4544-a98c-0ff3db9e8214/Montenegro_IR25CP.pdf</w:t>
      </w:r>
    </w:p>
    <w:p w14:paraId="3E1916E6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Energy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Community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National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Energy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and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Climate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Plan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of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Montenegro. https://www.energy-community.org/dam/jcr:d02417a9-03e2-4764-ab58-38763ca800d0/NECP%20Montenegro%20FINAL%20ENG.pdf</w:t>
      </w:r>
    </w:p>
    <w:p w14:paraId="3E1916E7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Commission</w:t>
      </w:r>
      <w:proofErr w:type="spellEnd"/>
      <w:r w:rsidRPr="00F33088">
        <w:rPr>
          <w:szCs w:val="20"/>
          <w:lang w:val="sr-Latn-ME"/>
        </w:rPr>
        <w:t xml:space="preserve">. (2019). </w:t>
      </w:r>
      <w:proofErr w:type="spellStart"/>
      <w:r w:rsidRPr="00F33088">
        <w:rPr>
          <w:i/>
          <w:iCs/>
          <w:szCs w:val="20"/>
          <w:lang w:val="sr-Latn-ME"/>
        </w:rPr>
        <w:t>The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European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Green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Deal</w:t>
      </w:r>
      <w:proofErr w:type="spellEnd"/>
      <w:r w:rsidRPr="00F33088">
        <w:rPr>
          <w:szCs w:val="20"/>
          <w:lang w:val="sr-Latn-ME"/>
        </w:rPr>
        <w:t xml:space="preserve">. </w:t>
      </w:r>
      <w:hyperlink r:id="rId16" w:tgtFrame="_new" w:history="1">
        <w:r w:rsidRPr="00F33088">
          <w:rPr>
            <w:szCs w:val="20"/>
            <w:lang w:val="sr-Latn-ME"/>
          </w:rPr>
          <w:t>https://commission.europa.eu/strategy-and-policy/priorities-2019-2024/european-green-deal_en</w:t>
        </w:r>
      </w:hyperlink>
    </w:p>
    <w:p w14:paraId="3E1916E8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Commission</w:t>
      </w:r>
      <w:proofErr w:type="spellEnd"/>
      <w:r w:rsidRPr="00F33088">
        <w:rPr>
          <w:szCs w:val="20"/>
          <w:lang w:val="sr-Latn-ME"/>
        </w:rPr>
        <w:t xml:space="preserve">. (2020). </w:t>
      </w:r>
      <w:r w:rsidRPr="00F33088">
        <w:rPr>
          <w:i/>
          <w:iCs/>
          <w:szCs w:val="20"/>
          <w:lang w:val="sr-Latn-ME"/>
        </w:rPr>
        <w:t xml:space="preserve">A </w:t>
      </w:r>
      <w:proofErr w:type="spellStart"/>
      <w:r w:rsidRPr="00F33088">
        <w:rPr>
          <w:i/>
          <w:iCs/>
          <w:szCs w:val="20"/>
          <w:lang w:val="sr-Latn-ME"/>
        </w:rPr>
        <w:t>new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circular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economy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action</w:t>
      </w:r>
      <w:proofErr w:type="spellEnd"/>
      <w:r w:rsidRPr="00F33088">
        <w:rPr>
          <w:i/>
          <w:iCs/>
          <w:szCs w:val="20"/>
          <w:lang w:val="sr-Latn-ME"/>
        </w:rPr>
        <w:t xml:space="preserve"> plan</w:t>
      </w:r>
      <w:r w:rsidRPr="00F33088">
        <w:rPr>
          <w:szCs w:val="20"/>
          <w:lang w:val="sr-Latn-ME"/>
        </w:rPr>
        <w:t>.</w:t>
      </w:r>
    </w:p>
    <w:p w14:paraId="3E1916E9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Commission</w:t>
      </w:r>
      <w:proofErr w:type="spellEnd"/>
      <w:r w:rsidRPr="00F33088">
        <w:rPr>
          <w:szCs w:val="20"/>
          <w:lang w:val="sr-Latn-ME"/>
        </w:rPr>
        <w:t xml:space="preserve">. (2020). </w:t>
      </w:r>
      <w:r w:rsidRPr="00F33088">
        <w:rPr>
          <w:i/>
          <w:iCs/>
          <w:szCs w:val="20"/>
          <w:lang w:val="sr-Latn-ME"/>
        </w:rPr>
        <w:t xml:space="preserve">EU </w:t>
      </w:r>
      <w:proofErr w:type="spellStart"/>
      <w:r w:rsidRPr="00F33088">
        <w:rPr>
          <w:i/>
          <w:iCs/>
          <w:szCs w:val="20"/>
          <w:lang w:val="sr-Latn-ME"/>
        </w:rPr>
        <w:t>biodiversity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strategy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for</w:t>
      </w:r>
      <w:proofErr w:type="spellEnd"/>
      <w:r w:rsidRPr="00F33088">
        <w:rPr>
          <w:i/>
          <w:iCs/>
          <w:szCs w:val="20"/>
          <w:lang w:val="sr-Latn-ME"/>
        </w:rPr>
        <w:t xml:space="preserve"> 2030</w:t>
      </w:r>
      <w:r w:rsidRPr="00F33088">
        <w:rPr>
          <w:szCs w:val="20"/>
          <w:lang w:val="sr-Latn-ME"/>
        </w:rPr>
        <w:t>.</w:t>
      </w:r>
    </w:p>
    <w:p w14:paraId="3E1916EA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Commission</w:t>
      </w:r>
      <w:proofErr w:type="spellEnd"/>
      <w:r w:rsidRPr="00F33088">
        <w:rPr>
          <w:szCs w:val="20"/>
          <w:lang w:val="sr-Latn-ME"/>
        </w:rPr>
        <w:t xml:space="preserve">. (2021). </w:t>
      </w:r>
      <w:r w:rsidRPr="00F33088">
        <w:rPr>
          <w:i/>
          <w:iCs/>
          <w:szCs w:val="20"/>
          <w:lang w:val="sr-Latn-ME"/>
        </w:rPr>
        <w:t xml:space="preserve">EU </w:t>
      </w:r>
      <w:proofErr w:type="spellStart"/>
      <w:r w:rsidRPr="00F33088">
        <w:rPr>
          <w:i/>
          <w:iCs/>
          <w:szCs w:val="20"/>
          <w:lang w:val="sr-Latn-ME"/>
        </w:rPr>
        <w:t>action</w:t>
      </w:r>
      <w:proofErr w:type="spellEnd"/>
      <w:r w:rsidRPr="00F33088">
        <w:rPr>
          <w:i/>
          <w:iCs/>
          <w:szCs w:val="20"/>
          <w:lang w:val="sr-Latn-ME"/>
        </w:rPr>
        <w:t xml:space="preserve"> plan: </w:t>
      </w:r>
      <w:proofErr w:type="spellStart"/>
      <w:r w:rsidRPr="00F33088">
        <w:rPr>
          <w:i/>
          <w:iCs/>
          <w:szCs w:val="20"/>
          <w:lang w:val="sr-Latn-ME"/>
        </w:rPr>
        <w:t>Towards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zero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pollution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for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air</w:t>
      </w:r>
      <w:proofErr w:type="spellEnd"/>
      <w:r w:rsidRPr="00F33088">
        <w:rPr>
          <w:i/>
          <w:iCs/>
          <w:szCs w:val="20"/>
          <w:lang w:val="sr-Latn-ME"/>
        </w:rPr>
        <w:t xml:space="preserve">, </w:t>
      </w:r>
      <w:proofErr w:type="spellStart"/>
      <w:r w:rsidRPr="00F33088">
        <w:rPr>
          <w:i/>
          <w:iCs/>
          <w:szCs w:val="20"/>
          <w:lang w:val="sr-Latn-ME"/>
        </w:rPr>
        <w:t>water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and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soil</w:t>
      </w:r>
      <w:proofErr w:type="spellEnd"/>
      <w:r w:rsidRPr="00F33088">
        <w:rPr>
          <w:szCs w:val="20"/>
          <w:lang w:val="sr-Latn-ME"/>
        </w:rPr>
        <w:t xml:space="preserve">. </w:t>
      </w:r>
      <w:hyperlink r:id="rId17" w:tgtFrame="_new" w:history="1">
        <w:r w:rsidRPr="00F33088">
          <w:rPr>
            <w:szCs w:val="20"/>
            <w:lang w:val="sr-Latn-ME"/>
          </w:rPr>
          <w:t>https://environment.ec.europa.eu/strategy/zero-pollution-action-plan_en</w:t>
        </w:r>
      </w:hyperlink>
    </w:p>
    <w:p w14:paraId="3E1916EB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European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Commission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Montenegro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Report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2025. https://enlargement.ec.europa.eu/montenegro-report-2025_en</w:t>
      </w:r>
    </w:p>
    <w:p w14:paraId="3E1916EC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European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Commission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Moving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towards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circularity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: Montenegro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path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 https://www.switchtogreen.eu/wp-content/uploads/2025/10/250930_Montenegro_factsheet.pdf</w:t>
      </w:r>
    </w:p>
    <w:p w14:paraId="3E1916ED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Commission</w:t>
      </w:r>
      <w:proofErr w:type="spellEnd"/>
      <w:r w:rsidRPr="00F33088">
        <w:rPr>
          <w:szCs w:val="20"/>
          <w:lang w:val="sr-Latn-ME"/>
        </w:rPr>
        <w:t xml:space="preserve">. (2025). </w:t>
      </w:r>
      <w:proofErr w:type="spellStart"/>
      <w:r w:rsidRPr="00F33088">
        <w:rPr>
          <w:rStyle w:val="Istaknuto"/>
          <w:szCs w:val="20"/>
          <w:lang w:val="sr-Latn-ME"/>
        </w:rPr>
        <w:t>Proposal</w:t>
      </w:r>
      <w:proofErr w:type="spellEnd"/>
      <w:r w:rsidRPr="00F33088">
        <w:rPr>
          <w:rStyle w:val="Istaknuto"/>
          <w:szCs w:val="20"/>
          <w:lang w:val="sr-Latn-ME"/>
        </w:rPr>
        <w:t xml:space="preserve"> </w:t>
      </w:r>
      <w:proofErr w:type="spellStart"/>
      <w:r w:rsidRPr="00F33088">
        <w:rPr>
          <w:rStyle w:val="Istaknuto"/>
          <w:szCs w:val="20"/>
          <w:lang w:val="sr-Latn-ME"/>
        </w:rPr>
        <w:t>for</w:t>
      </w:r>
      <w:proofErr w:type="spellEnd"/>
      <w:r w:rsidRPr="00F33088">
        <w:rPr>
          <w:rStyle w:val="Istaknuto"/>
          <w:szCs w:val="20"/>
          <w:lang w:val="sr-Latn-ME"/>
        </w:rPr>
        <w:t xml:space="preserve"> a </w:t>
      </w:r>
      <w:proofErr w:type="spellStart"/>
      <w:r w:rsidRPr="00F33088">
        <w:rPr>
          <w:rStyle w:val="Istaknuto"/>
          <w:szCs w:val="20"/>
          <w:lang w:val="sr-Latn-ME"/>
        </w:rPr>
        <w:t>regulation</w:t>
      </w:r>
      <w:proofErr w:type="spellEnd"/>
      <w:r w:rsidRPr="00F33088">
        <w:rPr>
          <w:rStyle w:val="Istaknuto"/>
          <w:szCs w:val="20"/>
          <w:lang w:val="sr-Latn-ME"/>
        </w:rPr>
        <w:t xml:space="preserve"> </w:t>
      </w:r>
      <w:proofErr w:type="spellStart"/>
      <w:r w:rsidRPr="00F33088">
        <w:rPr>
          <w:rStyle w:val="Istaknuto"/>
          <w:szCs w:val="20"/>
          <w:lang w:val="sr-Latn-ME"/>
        </w:rPr>
        <w:t>establishing</w:t>
      </w:r>
      <w:proofErr w:type="spellEnd"/>
      <w:r w:rsidRPr="00F33088">
        <w:rPr>
          <w:rStyle w:val="Istaknuto"/>
          <w:szCs w:val="20"/>
          <w:lang w:val="sr-Latn-ME"/>
        </w:rPr>
        <w:t xml:space="preserve"> a </w:t>
      </w:r>
      <w:proofErr w:type="spellStart"/>
      <w:r w:rsidRPr="00F33088">
        <w:rPr>
          <w:rStyle w:val="Istaknuto"/>
          <w:szCs w:val="20"/>
          <w:lang w:val="sr-Latn-ME"/>
        </w:rPr>
        <w:t>budget</w:t>
      </w:r>
      <w:proofErr w:type="spellEnd"/>
      <w:r w:rsidRPr="00F33088">
        <w:rPr>
          <w:rStyle w:val="Istaknuto"/>
          <w:szCs w:val="20"/>
          <w:lang w:val="sr-Latn-ME"/>
        </w:rPr>
        <w:t xml:space="preserve"> </w:t>
      </w:r>
      <w:proofErr w:type="spellStart"/>
      <w:r w:rsidRPr="00F33088">
        <w:rPr>
          <w:rStyle w:val="Istaknuto"/>
          <w:szCs w:val="20"/>
          <w:lang w:val="sr-Latn-ME"/>
        </w:rPr>
        <w:t>expenditure</w:t>
      </w:r>
      <w:proofErr w:type="spellEnd"/>
      <w:r w:rsidRPr="00F33088">
        <w:rPr>
          <w:rStyle w:val="Istaknuto"/>
          <w:szCs w:val="20"/>
          <w:lang w:val="sr-Latn-ME"/>
        </w:rPr>
        <w:t xml:space="preserve"> </w:t>
      </w:r>
      <w:proofErr w:type="spellStart"/>
      <w:r w:rsidRPr="00F33088">
        <w:rPr>
          <w:rStyle w:val="Istaknuto"/>
          <w:szCs w:val="20"/>
          <w:lang w:val="sr-Latn-ME"/>
        </w:rPr>
        <w:t>tracking</w:t>
      </w:r>
      <w:proofErr w:type="spellEnd"/>
      <w:r w:rsidRPr="00F33088">
        <w:rPr>
          <w:rStyle w:val="Istaknuto"/>
          <w:szCs w:val="20"/>
          <w:lang w:val="sr-Latn-ME"/>
        </w:rPr>
        <w:t xml:space="preserve"> </w:t>
      </w:r>
      <w:proofErr w:type="spellStart"/>
      <w:r w:rsidRPr="00F33088">
        <w:rPr>
          <w:rStyle w:val="Istaknuto"/>
          <w:szCs w:val="20"/>
          <w:lang w:val="sr-Latn-ME"/>
        </w:rPr>
        <w:t>and</w:t>
      </w:r>
      <w:proofErr w:type="spellEnd"/>
      <w:r w:rsidRPr="00F33088">
        <w:rPr>
          <w:rStyle w:val="Istaknuto"/>
          <w:szCs w:val="20"/>
          <w:lang w:val="sr-Latn-ME"/>
        </w:rPr>
        <w:t xml:space="preserve"> </w:t>
      </w:r>
      <w:proofErr w:type="spellStart"/>
      <w:r w:rsidRPr="00F33088">
        <w:rPr>
          <w:rStyle w:val="Istaknuto"/>
          <w:szCs w:val="20"/>
          <w:lang w:val="sr-Latn-ME"/>
        </w:rPr>
        <w:t>performance</w:t>
      </w:r>
      <w:proofErr w:type="spellEnd"/>
      <w:r w:rsidRPr="00F33088">
        <w:rPr>
          <w:rStyle w:val="Istaknuto"/>
          <w:szCs w:val="20"/>
          <w:lang w:val="sr-Latn-ME"/>
        </w:rPr>
        <w:t xml:space="preserve"> </w:t>
      </w:r>
      <w:proofErr w:type="spellStart"/>
      <w:r w:rsidRPr="00F33088">
        <w:rPr>
          <w:rStyle w:val="Istaknuto"/>
          <w:szCs w:val="20"/>
          <w:lang w:val="sr-Latn-ME"/>
        </w:rPr>
        <w:t>framework</w:t>
      </w:r>
      <w:proofErr w:type="spellEnd"/>
      <w:r w:rsidRPr="00F33088">
        <w:rPr>
          <w:szCs w:val="20"/>
          <w:lang w:val="sr-Latn-ME"/>
        </w:rPr>
        <w:t xml:space="preserve"> (COM(2025) 545 </w:t>
      </w:r>
      <w:proofErr w:type="spellStart"/>
      <w:r w:rsidRPr="00F33088">
        <w:rPr>
          <w:szCs w:val="20"/>
          <w:lang w:val="sr-Latn-ME"/>
        </w:rPr>
        <w:t>final</w:t>
      </w:r>
      <w:proofErr w:type="spellEnd"/>
      <w:r w:rsidRPr="00F33088">
        <w:rPr>
          <w:szCs w:val="20"/>
          <w:lang w:val="sr-Latn-ME"/>
        </w:rPr>
        <w:t xml:space="preserve">, </w:t>
      </w:r>
      <w:proofErr w:type="spellStart"/>
      <w:r w:rsidRPr="00F33088">
        <w:rPr>
          <w:szCs w:val="20"/>
          <w:lang w:val="sr-Latn-ME"/>
        </w:rPr>
        <w:t>Annex</w:t>
      </w:r>
      <w:proofErr w:type="spellEnd"/>
      <w:r w:rsidRPr="00F33088">
        <w:rPr>
          <w:szCs w:val="20"/>
          <w:lang w:val="sr-Latn-ME"/>
        </w:rPr>
        <w:t xml:space="preserve"> I). EUR-</w:t>
      </w:r>
      <w:proofErr w:type="spellStart"/>
      <w:r w:rsidRPr="00F33088">
        <w:rPr>
          <w:szCs w:val="20"/>
          <w:lang w:val="sr-Latn-ME"/>
        </w:rPr>
        <w:t>Lex</w:t>
      </w:r>
      <w:proofErr w:type="spellEnd"/>
      <w:r w:rsidRPr="00F33088">
        <w:rPr>
          <w:szCs w:val="20"/>
          <w:lang w:val="sr-Latn-ME"/>
        </w:rPr>
        <w:t xml:space="preserve">. </w:t>
      </w:r>
      <w:hyperlink r:id="rId18" w:tgtFrame="_new" w:history="1">
        <w:r w:rsidRPr="00F33088">
          <w:rPr>
            <w:rStyle w:val="Hiperveza"/>
            <w:szCs w:val="20"/>
            <w:lang w:val="sr-Latn-ME"/>
          </w:rPr>
          <w:t>https://eur-lex.europa.eu/legal-content/EN/TXT/?uri=CELEX%3A52025PC0545</w:t>
        </w:r>
      </w:hyperlink>
    </w:p>
    <w:p w14:paraId="3E1916EE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Commission</w:t>
      </w:r>
      <w:proofErr w:type="spellEnd"/>
      <w:r w:rsidRPr="00F33088">
        <w:rPr>
          <w:szCs w:val="20"/>
          <w:lang w:val="sr-Latn-ME"/>
        </w:rPr>
        <w:t>. (</w:t>
      </w:r>
      <w:proofErr w:type="spellStart"/>
      <w:r w:rsidRPr="00F33088">
        <w:rPr>
          <w:szCs w:val="20"/>
          <w:lang w:val="sr-Latn-ME"/>
        </w:rPr>
        <w:t>n.d</w:t>
      </w:r>
      <w:proofErr w:type="spellEnd"/>
      <w:r w:rsidRPr="00F33088">
        <w:rPr>
          <w:szCs w:val="20"/>
          <w:lang w:val="sr-Latn-ME"/>
        </w:rPr>
        <w:t xml:space="preserve">.). </w:t>
      </w:r>
      <w:proofErr w:type="spellStart"/>
      <w:r w:rsidRPr="00F33088">
        <w:rPr>
          <w:i/>
          <w:iCs/>
          <w:szCs w:val="20"/>
          <w:lang w:val="sr-Latn-ME"/>
        </w:rPr>
        <w:t>Effort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sharing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regulation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for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sectors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outside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the</w:t>
      </w:r>
      <w:proofErr w:type="spellEnd"/>
      <w:r w:rsidRPr="00F33088">
        <w:rPr>
          <w:i/>
          <w:iCs/>
          <w:szCs w:val="20"/>
          <w:lang w:val="sr-Latn-ME"/>
        </w:rPr>
        <w:t xml:space="preserve"> EU ETS</w:t>
      </w:r>
      <w:r w:rsidRPr="00F33088">
        <w:rPr>
          <w:szCs w:val="20"/>
          <w:lang w:val="sr-Latn-ME"/>
        </w:rPr>
        <w:t>.</w:t>
      </w:r>
    </w:p>
    <w:p w14:paraId="3E1916EF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European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Environment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Agency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Circular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material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use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rate – Montenegro. https://www.eea.europa.eu/en/europe-environment-2025/countries/montenegro/circular-material-use-rate</w:t>
      </w:r>
    </w:p>
    <w:p w14:paraId="3E1916F0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European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Environment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Agency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Europe’s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environment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2025: Montenegro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country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profile. https://www.eea.europa.eu/en/europe-environment-2025/countries/montenegro</w:t>
      </w:r>
    </w:p>
    <w:p w14:paraId="3E1916F1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European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Environment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Agency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Total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greenhouse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gas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emissions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– Montenegro. https://www.eea.europa.eu/en/europe-environment-2025/countries/montenegro/total-greenhouse-gas-emissions</w:t>
      </w:r>
    </w:p>
    <w:p w14:paraId="3E1916F2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Parliament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Council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of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the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Union. (1994). </w:t>
      </w:r>
      <w:proofErr w:type="spellStart"/>
      <w:r w:rsidRPr="00F33088">
        <w:rPr>
          <w:i/>
          <w:iCs/>
          <w:szCs w:val="20"/>
          <w:lang w:val="sr-Latn-ME"/>
        </w:rPr>
        <w:t>Directive</w:t>
      </w:r>
      <w:proofErr w:type="spellEnd"/>
      <w:r w:rsidRPr="00F33088">
        <w:rPr>
          <w:i/>
          <w:iCs/>
          <w:szCs w:val="20"/>
          <w:lang w:val="sr-Latn-ME"/>
        </w:rPr>
        <w:t xml:space="preserve"> 94/62/EC on </w:t>
      </w:r>
      <w:proofErr w:type="spellStart"/>
      <w:r w:rsidRPr="00F33088">
        <w:rPr>
          <w:i/>
          <w:iCs/>
          <w:szCs w:val="20"/>
          <w:lang w:val="sr-Latn-ME"/>
        </w:rPr>
        <w:t>packaging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and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packaging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waste</w:t>
      </w:r>
      <w:proofErr w:type="spellEnd"/>
      <w:r w:rsidRPr="00F33088">
        <w:rPr>
          <w:szCs w:val="20"/>
          <w:lang w:val="sr-Latn-ME"/>
        </w:rPr>
        <w:t xml:space="preserve">. </w:t>
      </w:r>
      <w:hyperlink r:id="rId19" w:tgtFrame="_new" w:history="1">
        <w:r w:rsidRPr="00F33088">
          <w:rPr>
            <w:szCs w:val="20"/>
            <w:lang w:val="sr-Latn-ME"/>
          </w:rPr>
          <w:t>https://eur-lex.europa.eu/eli/dir/1994/62/oj/eng</w:t>
        </w:r>
      </w:hyperlink>
    </w:p>
    <w:p w14:paraId="3E1916F3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Parliament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Council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of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the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Union. (2003). </w:t>
      </w:r>
      <w:proofErr w:type="spellStart"/>
      <w:r w:rsidRPr="00F33088">
        <w:rPr>
          <w:i/>
          <w:iCs/>
          <w:szCs w:val="20"/>
          <w:lang w:val="sr-Latn-ME"/>
        </w:rPr>
        <w:t>Directive</w:t>
      </w:r>
      <w:proofErr w:type="spellEnd"/>
      <w:r w:rsidRPr="00F33088">
        <w:rPr>
          <w:i/>
          <w:iCs/>
          <w:szCs w:val="20"/>
          <w:lang w:val="sr-Latn-ME"/>
        </w:rPr>
        <w:t xml:space="preserve"> 2003/87/EC </w:t>
      </w:r>
      <w:proofErr w:type="spellStart"/>
      <w:r w:rsidRPr="00F33088">
        <w:rPr>
          <w:i/>
          <w:iCs/>
          <w:szCs w:val="20"/>
          <w:lang w:val="sr-Latn-ME"/>
        </w:rPr>
        <w:t>establishing</w:t>
      </w:r>
      <w:proofErr w:type="spellEnd"/>
      <w:r w:rsidRPr="00F33088">
        <w:rPr>
          <w:i/>
          <w:iCs/>
          <w:szCs w:val="20"/>
          <w:lang w:val="sr-Latn-ME"/>
        </w:rPr>
        <w:t xml:space="preserve"> a </w:t>
      </w:r>
      <w:proofErr w:type="spellStart"/>
      <w:r w:rsidRPr="00F33088">
        <w:rPr>
          <w:i/>
          <w:iCs/>
          <w:szCs w:val="20"/>
          <w:lang w:val="sr-Latn-ME"/>
        </w:rPr>
        <w:t>system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for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greenhouse</w:t>
      </w:r>
      <w:proofErr w:type="spellEnd"/>
      <w:r w:rsidRPr="00F33088">
        <w:rPr>
          <w:i/>
          <w:iCs/>
          <w:szCs w:val="20"/>
          <w:lang w:val="sr-Latn-ME"/>
        </w:rPr>
        <w:t xml:space="preserve"> gas </w:t>
      </w:r>
      <w:proofErr w:type="spellStart"/>
      <w:r w:rsidRPr="00F33088">
        <w:rPr>
          <w:i/>
          <w:iCs/>
          <w:szCs w:val="20"/>
          <w:lang w:val="sr-Latn-ME"/>
        </w:rPr>
        <w:t>emission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allowance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trading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within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the</w:t>
      </w:r>
      <w:proofErr w:type="spellEnd"/>
      <w:r w:rsidRPr="00F33088">
        <w:rPr>
          <w:i/>
          <w:iCs/>
          <w:szCs w:val="20"/>
          <w:lang w:val="sr-Latn-ME"/>
        </w:rPr>
        <w:t xml:space="preserve"> Union (as </w:t>
      </w:r>
      <w:proofErr w:type="spellStart"/>
      <w:r w:rsidRPr="00F33088">
        <w:rPr>
          <w:i/>
          <w:iCs/>
          <w:szCs w:val="20"/>
          <w:lang w:val="sr-Latn-ME"/>
        </w:rPr>
        <w:t>amended</w:t>
      </w:r>
      <w:proofErr w:type="spellEnd"/>
      <w:r w:rsidRPr="00F33088">
        <w:rPr>
          <w:i/>
          <w:iCs/>
          <w:szCs w:val="20"/>
          <w:lang w:val="sr-Latn-ME"/>
        </w:rPr>
        <w:t>)</w:t>
      </w:r>
      <w:r w:rsidRPr="00F33088">
        <w:rPr>
          <w:szCs w:val="20"/>
          <w:lang w:val="sr-Latn-ME"/>
        </w:rPr>
        <w:t xml:space="preserve">. </w:t>
      </w:r>
      <w:hyperlink r:id="rId20" w:tgtFrame="_new" w:history="1">
        <w:r w:rsidRPr="00F33088">
          <w:rPr>
            <w:szCs w:val="20"/>
            <w:lang w:val="sr-Latn-ME"/>
          </w:rPr>
          <w:t>https://eur-lex.europa.eu/legal-content/EN/TXT/PDF/?uri=CELEX:02003L0087-20240301</w:t>
        </w:r>
      </w:hyperlink>
    </w:p>
    <w:p w14:paraId="3E1916F4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Parliament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Council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of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the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Union. (2018). </w:t>
      </w:r>
      <w:proofErr w:type="spellStart"/>
      <w:r w:rsidRPr="00F33088">
        <w:rPr>
          <w:i/>
          <w:iCs/>
          <w:szCs w:val="20"/>
          <w:lang w:val="sr-Latn-ME"/>
        </w:rPr>
        <w:t>Directive</w:t>
      </w:r>
      <w:proofErr w:type="spellEnd"/>
      <w:r w:rsidRPr="00F33088">
        <w:rPr>
          <w:i/>
          <w:iCs/>
          <w:szCs w:val="20"/>
          <w:lang w:val="sr-Latn-ME"/>
        </w:rPr>
        <w:t xml:space="preserve"> (EU) 2018/851 </w:t>
      </w:r>
      <w:proofErr w:type="spellStart"/>
      <w:r w:rsidRPr="00F33088">
        <w:rPr>
          <w:i/>
          <w:iCs/>
          <w:szCs w:val="20"/>
          <w:lang w:val="sr-Latn-ME"/>
        </w:rPr>
        <w:t>amending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Directive</w:t>
      </w:r>
      <w:proofErr w:type="spellEnd"/>
      <w:r w:rsidRPr="00F33088">
        <w:rPr>
          <w:i/>
          <w:iCs/>
          <w:szCs w:val="20"/>
          <w:lang w:val="sr-Latn-ME"/>
        </w:rPr>
        <w:t xml:space="preserve"> 2008/98/EC on </w:t>
      </w:r>
      <w:proofErr w:type="spellStart"/>
      <w:r w:rsidRPr="00F33088">
        <w:rPr>
          <w:i/>
          <w:iCs/>
          <w:szCs w:val="20"/>
          <w:lang w:val="sr-Latn-ME"/>
        </w:rPr>
        <w:t>waste</w:t>
      </w:r>
      <w:proofErr w:type="spellEnd"/>
      <w:r w:rsidRPr="00F33088">
        <w:rPr>
          <w:szCs w:val="20"/>
          <w:lang w:val="sr-Latn-ME"/>
        </w:rPr>
        <w:t xml:space="preserve">. </w:t>
      </w:r>
      <w:hyperlink r:id="rId21" w:tgtFrame="_new" w:history="1">
        <w:r w:rsidRPr="00F33088">
          <w:rPr>
            <w:szCs w:val="20"/>
            <w:lang w:val="sr-Latn-ME"/>
          </w:rPr>
          <w:t>https://eur-lex.europa.eu/eli/dir/2018/851/oj/eng</w:t>
        </w:r>
      </w:hyperlink>
    </w:p>
    <w:p w14:paraId="3E1916F5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Parliament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Council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of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the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Union. (2021). </w:t>
      </w:r>
      <w:proofErr w:type="spellStart"/>
      <w:r w:rsidRPr="00F33088">
        <w:rPr>
          <w:szCs w:val="20"/>
          <w:lang w:val="sr-Latn-ME"/>
        </w:rPr>
        <w:t>Regulation</w:t>
      </w:r>
      <w:proofErr w:type="spellEnd"/>
      <w:r w:rsidRPr="00F33088">
        <w:rPr>
          <w:szCs w:val="20"/>
          <w:lang w:val="sr-Latn-ME"/>
        </w:rPr>
        <w:t xml:space="preserve"> (EU) 2021/1119 </w:t>
      </w:r>
      <w:proofErr w:type="spellStart"/>
      <w:r w:rsidRPr="00F33088">
        <w:rPr>
          <w:szCs w:val="20"/>
          <w:lang w:val="sr-Latn-ME"/>
        </w:rPr>
        <w:t>of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the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Parliament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of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the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Council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of</w:t>
      </w:r>
      <w:proofErr w:type="spellEnd"/>
      <w:r w:rsidRPr="00F33088">
        <w:rPr>
          <w:szCs w:val="20"/>
          <w:lang w:val="sr-Latn-ME"/>
        </w:rPr>
        <w:t xml:space="preserve"> 30 June 2021 </w:t>
      </w:r>
      <w:proofErr w:type="spellStart"/>
      <w:r w:rsidRPr="00F33088">
        <w:rPr>
          <w:szCs w:val="20"/>
          <w:lang w:val="sr-Latn-ME"/>
        </w:rPr>
        <w:t>establishing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the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framework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for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achieving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lastRenderedPageBreak/>
        <w:t>climate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neutrality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amending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Regulations</w:t>
      </w:r>
      <w:proofErr w:type="spellEnd"/>
      <w:r w:rsidRPr="00F33088">
        <w:rPr>
          <w:szCs w:val="20"/>
          <w:lang w:val="sr-Latn-ME"/>
        </w:rPr>
        <w:t xml:space="preserve"> (EC) No 401/2009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(EU) 2018/1999 (“</w:t>
      </w: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Climate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Law</w:t>
      </w:r>
      <w:proofErr w:type="spellEnd"/>
      <w:r w:rsidRPr="00F33088">
        <w:rPr>
          <w:szCs w:val="20"/>
          <w:lang w:val="sr-Latn-ME"/>
        </w:rPr>
        <w:t>”)</w:t>
      </w:r>
    </w:p>
    <w:p w14:paraId="3E1916F6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proofErr w:type="spellStart"/>
      <w:r w:rsidRPr="00F33088">
        <w:rPr>
          <w:i/>
          <w:iCs/>
          <w:szCs w:val="20"/>
          <w:lang w:val="sr-Latn-ME"/>
        </w:rPr>
        <w:t>European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Parliament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and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Council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of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the</w:t>
      </w:r>
      <w:proofErr w:type="spellEnd"/>
      <w:r w:rsidRPr="00F33088">
        <w:rPr>
          <w:i/>
          <w:iCs/>
          <w:szCs w:val="20"/>
          <w:lang w:val="sr-Latn-ME"/>
        </w:rPr>
        <w:t xml:space="preserve"> </w:t>
      </w:r>
      <w:proofErr w:type="spellStart"/>
      <w:r w:rsidRPr="00F33088">
        <w:rPr>
          <w:i/>
          <w:iCs/>
          <w:szCs w:val="20"/>
          <w:lang w:val="sr-Latn-ME"/>
        </w:rPr>
        <w:t>European</w:t>
      </w:r>
      <w:proofErr w:type="spellEnd"/>
      <w:r w:rsidRPr="00F33088">
        <w:rPr>
          <w:i/>
          <w:iCs/>
          <w:szCs w:val="20"/>
          <w:lang w:val="sr-Latn-ME"/>
        </w:rPr>
        <w:t xml:space="preserve"> Union. (2024). </w:t>
      </w:r>
      <w:proofErr w:type="spellStart"/>
      <w:r w:rsidRPr="00F33088">
        <w:rPr>
          <w:szCs w:val="20"/>
          <w:lang w:val="sr-Latn-ME"/>
        </w:rPr>
        <w:t>Regulation</w:t>
      </w:r>
      <w:proofErr w:type="spellEnd"/>
      <w:r w:rsidRPr="00F33088">
        <w:rPr>
          <w:szCs w:val="20"/>
          <w:lang w:val="sr-Latn-ME"/>
        </w:rPr>
        <w:t xml:space="preserve"> (EU) 2025/40 </w:t>
      </w:r>
      <w:proofErr w:type="spellStart"/>
      <w:r w:rsidRPr="00F33088">
        <w:rPr>
          <w:szCs w:val="20"/>
          <w:lang w:val="sr-Latn-ME"/>
        </w:rPr>
        <w:t>of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the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European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Parliament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of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the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Council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of</w:t>
      </w:r>
      <w:proofErr w:type="spellEnd"/>
      <w:r w:rsidRPr="00F33088">
        <w:rPr>
          <w:szCs w:val="20"/>
          <w:lang w:val="sr-Latn-ME"/>
        </w:rPr>
        <w:t xml:space="preserve"> 19 </w:t>
      </w:r>
      <w:proofErr w:type="spellStart"/>
      <w:r w:rsidRPr="00F33088">
        <w:rPr>
          <w:szCs w:val="20"/>
          <w:lang w:val="sr-Latn-ME"/>
        </w:rPr>
        <w:t>December</w:t>
      </w:r>
      <w:proofErr w:type="spellEnd"/>
      <w:r w:rsidRPr="00F33088">
        <w:rPr>
          <w:szCs w:val="20"/>
          <w:lang w:val="sr-Latn-ME"/>
        </w:rPr>
        <w:t xml:space="preserve"> 2024 on </w:t>
      </w:r>
      <w:proofErr w:type="spellStart"/>
      <w:r w:rsidRPr="00F33088">
        <w:rPr>
          <w:szCs w:val="20"/>
          <w:lang w:val="sr-Latn-ME"/>
        </w:rPr>
        <w:t>packaging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packaging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waste</w:t>
      </w:r>
      <w:proofErr w:type="spellEnd"/>
      <w:r w:rsidRPr="00F33088">
        <w:rPr>
          <w:szCs w:val="20"/>
          <w:lang w:val="sr-Latn-ME"/>
        </w:rPr>
        <w:t xml:space="preserve">, </w:t>
      </w:r>
      <w:proofErr w:type="spellStart"/>
      <w:r w:rsidRPr="00F33088">
        <w:rPr>
          <w:szCs w:val="20"/>
          <w:lang w:val="sr-Latn-ME"/>
        </w:rPr>
        <w:t>amending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Regulation</w:t>
      </w:r>
      <w:proofErr w:type="spellEnd"/>
      <w:r w:rsidRPr="00F33088">
        <w:rPr>
          <w:szCs w:val="20"/>
          <w:lang w:val="sr-Latn-ME"/>
        </w:rPr>
        <w:t xml:space="preserve"> (EU) 2019/1020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Directive</w:t>
      </w:r>
      <w:proofErr w:type="spellEnd"/>
      <w:r w:rsidRPr="00F33088">
        <w:rPr>
          <w:szCs w:val="20"/>
          <w:lang w:val="sr-Latn-ME"/>
        </w:rPr>
        <w:t xml:space="preserve"> (EU) 2019/904, </w:t>
      </w:r>
      <w:proofErr w:type="spellStart"/>
      <w:r w:rsidRPr="00F33088">
        <w:rPr>
          <w:szCs w:val="20"/>
          <w:lang w:val="sr-Latn-ME"/>
        </w:rPr>
        <w:t>and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repealing</w:t>
      </w:r>
      <w:proofErr w:type="spellEnd"/>
      <w:r w:rsidRPr="00F33088">
        <w:rPr>
          <w:szCs w:val="20"/>
          <w:lang w:val="sr-Latn-ME"/>
        </w:rPr>
        <w:t xml:space="preserve"> </w:t>
      </w:r>
      <w:proofErr w:type="spellStart"/>
      <w:r w:rsidRPr="00F33088">
        <w:rPr>
          <w:szCs w:val="20"/>
          <w:lang w:val="sr-Latn-ME"/>
        </w:rPr>
        <w:t>Directive</w:t>
      </w:r>
      <w:proofErr w:type="spellEnd"/>
      <w:r w:rsidRPr="00F33088">
        <w:rPr>
          <w:szCs w:val="20"/>
          <w:lang w:val="sr-Latn-ME"/>
        </w:rPr>
        <w:t xml:space="preserve"> 94/62/EC</w:t>
      </w:r>
      <w:r w:rsidRPr="00F33088">
        <w:rPr>
          <w:i/>
          <w:iCs/>
          <w:szCs w:val="20"/>
          <w:lang w:val="sr-Latn-ME"/>
        </w:rPr>
        <w:t>. EUR-</w:t>
      </w:r>
      <w:proofErr w:type="spellStart"/>
      <w:r w:rsidRPr="00F33088">
        <w:rPr>
          <w:i/>
          <w:iCs/>
          <w:szCs w:val="20"/>
          <w:lang w:val="sr-Latn-ME"/>
        </w:rPr>
        <w:t>Lex</w:t>
      </w:r>
      <w:proofErr w:type="spellEnd"/>
      <w:r w:rsidRPr="00F33088">
        <w:rPr>
          <w:i/>
          <w:iCs/>
          <w:szCs w:val="20"/>
          <w:lang w:val="sr-Latn-ME"/>
        </w:rPr>
        <w:t xml:space="preserve">. </w:t>
      </w:r>
      <w:hyperlink r:id="rId22" w:tgtFrame="_new" w:history="1">
        <w:r w:rsidRPr="00F33088">
          <w:rPr>
            <w:i/>
            <w:iCs/>
            <w:szCs w:val="20"/>
            <w:lang w:val="sr-Latn-ME"/>
          </w:rPr>
          <w:t>https://eur-lex.europa.eu/eli/reg/2025/40/oj</w:t>
        </w:r>
      </w:hyperlink>
      <w:r w:rsidRPr="00F33088">
        <w:rPr>
          <w:i/>
          <w:iCs/>
          <w:szCs w:val="20"/>
          <w:lang w:val="sr-Latn-ME"/>
        </w:rPr>
        <w:t xml:space="preserve"> (</w:t>
      </w:r>
      <w:r w:rsidRPr="00F33088">
        <w:rPr>
          <w:szCs w:val="20"/>
          <w:lang w:val="sr-Latn-ME"/>
        </w:rPr>
        <w:t>Regulativa o ambalaži i ambalažnom otpadu, kojom se mijenja Regulativa (EU) 2019/1020 i Direktiva (EU) 2019/904, te stavlja van snage Direktiva 94/62/EC);</w:t>
      </w:r>
    </w:p>
    <w:p w14:paraId="3E1916F7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Eurostat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 (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n.d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Municipal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waste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generation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</w:t>
      </w:r>
    </w:p>
    <w:p w14:paraId="3E1916F8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Eurostat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 (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n.d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Recycling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rate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of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municipal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waste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 https://ec.europa.eu/eurostat/databrowser/view/cei_wm011/default/table?lang=en</w:t>
      </w:r>
    </w:p>
    <w:p w14:paraId="3E1916F9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Green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Home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Shadow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report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for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Chapter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27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and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Chapter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15. https://www.greenhome.co.me/en/limited-progress-in-chapter-27-and-chapter-15</w:t>
      </w:r>
    </w:p>
    <w:p w14:paraId="3E1916FA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>https://ec.europa.eu/eurostat/databrowser/view/sdg_11_60/default/table?lang=en</w:t>
      </w:r>
    </w:p>
    <w:p w14:paraId="3E1916FB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 xml:space="preserve">MONSTAT. (2025).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Statistical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yearbook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2025. https://www.monstat.org/eng/novosti.php?id=4270</w:t>
      </w:r>
    </w:p>
    <w:p w14:paraId="3E1916FC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Organisation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for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Economic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Co-operation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and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Development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(2024).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Western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Balkans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competitiveness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outlook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2024: Montenegro. https://doi.org/10.1787/ead1588e-en</w:t>
      </w:r>
    </w:p>
    <w:p w14:paraId="3E1916FD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>REGAGEN (2025), godišnji izvještaj o poređenju indikatora poslovanja vršilaca regulisanih komunalnih djelatnosti za 2024. godinu, https://regagen.co.me/wp-content/uploads/2025/10/20251031_AK_Godisnji-izvjestaj-o-bencmarkingu-za-2024.-godinu_RKD_BM.pdf</w:t>
      </w:r>
    </w:p>
    <w:p w14:paraId="3E1916FE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 xml:space="preserve">UNDP. (2022).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Roadmap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towards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the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circular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economy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in Montenegro. https://circulareconomy.europa.eu/platform/sites/default/files/roadmap_to_circular_economy_-web-_single.pdf</w:t>
      </w:r>
    </w:p>
    <w:p w14:paraId="3E1916FF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>Unija poslodavaca Crne Gore. (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n.d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.). Spremnost privatnog sektora za klimatsku akciju u Crnoj Gori. https://www.poslodavci.org/biblioteka/publikacije/spremnost-privatnog-sektora-za-klimatsku-akciju-u-crnoj-gori</w:t>
      </w:r>
    </w:p>
    <w:p w14:paraId="3E191700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United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Nations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Economic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Commission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for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Europe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4th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Environmental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Performance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Review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of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Montenegro. https://unece.org/environment-policy/publications/4th-environmental-performance-review-montenegro</w:t>
      </w:r>
    </w:p>
    <w:p w14:paraId="3E191701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United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Nations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Framework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Convention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on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Climate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Change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Updated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nationally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determined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contribution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of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Montenegro. </w:t>
      </w:r>
      <w:hyperlink r:id="rId23" w:history="1">
        <w:r w:rsidRPr="00F33088">
          <w:rPr>
            <w:rStyle w:val="Hiperveza"/>
            <w:rFonts w:eastAsia="Times New Roman" w:cstheme="minorHAnsi"/>
            <w:bCs/>
            <w:szCs w:val="20"/>
            <w:lang w:val="sr-Latn-ME"/>
          </w:rPr>
          <w:t>https://unfccc.int/sites/default/files/2025-02/001_eng_NDC_Montenegro.pdf</w:t>
        </w:r>
      </w:hyperlink>
    </w:p>
    <w:p w14:paraId="3E191702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r w:rsidRPr="00F33088">
        <w:rPr>
          <w:lang w:val="sr-Latn-ME"/>
        </w:rPr>
        <w:t>U</w:t>
      </w:r>
      <w:r w:rsidRPr="00F33088">
        <w:rPr>
          <w:rFonts w:eastAsia="Times New Roman" w:cstheme="minorHAnsi"/>
          <w:bCs/>
          <w:szCs w:val="20"/>
          <w:lang w:val="sr-Latn-ME"/>
        </w:rPr>
        <w:t>prava za statistiku (2025), Saopštenje 151/2025, Stvoreni i obrađeni otpad, 28.10.2025.</w:t>
      </w:r>
    </w:p>
    <w:p w14:paraId="3E191703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 xml:space="preserve">Vlada Crne Gore (2022). Nacionalna strategija cirkularne tranzicije do 2030. godine, </w:t>
      </w:r>
      <w:hyperlink r:id="rId24" w:history="1">
        <w:r w:rsidRPr="00F33088">
          <w:rPr>
            <w:rFonts w:eastAsia="Times New Roman" w:cstheme="minorHAnsi"/>
            <w:bCs/>
            <w:szCs w:val="20"/>
            <w:lang w:val="sr-Latn-ME"/>
          </w:rPr>
          <w:t>https://wapi.gov.me/download-preview/0c06358d-afd2-45eb-863d-02a25969a2d9?version=1.0</w:t>
        </w:r>
      </w:hyperlink>
      <w:r w:rsidRPr="00F33088">
        <w:rPr>
          <w:rFonts w:eastAsia="Times New Roman" w:cstheme="minorHAnsi"/>
          <w:bCs/>
          <w:szCs w:val="20"/>
          <w:lang w:val="sr-Latn-ME"/>
        </w:rPr>
        <w:t>.</w:t>
      </w:r>
    </w:p>
    <w:p w14:paraId="3E191704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 xml:space="preserve">Vlada Crne Gore (2025). Akcioni plan za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sprovodjenje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Nacionalne strategije cirkularne tranzicije za period 2025-2026,  </w:t>
      </w:r>
      <w:hyperlink r:id="rId25" w:history="1">
        <w:r w:rsidRPr="00F33088">
          <w:rPr>
            <w:rStyle w:val="Hiperveza"/>
            <w:rFonts w:eastAsia="Times New Roman" w:cstheme="minorHAnsi"/>
            <w:bCs/>
            <w:szCs w:val="20"/>
            <w:lang w:val="sr-Latn-ME"/>
          </w:rPr>
          <w:t>https://wapi.gov.me/download-preview/979c1d5e-7bb2-4681-b53d-f361c647bf3b?version=1.0</w:t>
        </w:r>
      </w:hyperlink>
    </w:p>
    <w:p w14:paraId="3E191705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 xml:space="preserve">Vlada Crne Gore. (2021). Akcioni plan za ispunjenje završnih mjerila za Poglavlje 27 i  procjena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fin.potreba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;</w:t>
      </w:r>
    </w:p>
    <w:p w14:paraId="3E191706" w14:textId="77777777" w:rsidR="0073054F" w:rsidRPr="00F33088" w:rsidRDefault="0073054F" w:rsidP="0073054F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>Vlada Crne Gore (2026). Strategija zaštite morske sredine Crne Gore do 2036. godine, https://www.gov.me/dokumenta/751a311f-466f-49e0-ad06-f29dbccdfc69</w:t>
      </w:r>
    </w:p>
    <w:p w14:paraId="3E191707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>Vlada Crne Gore. (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n.d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.). Državni plan upravljanja otpadom 2024–2028. https://www.gov.me/dokumenta/1b9a9af3-c1c1-43c2-a10b-48388084af11</w:t>
      </w:r>
    </w:p>
    <w:p w14:paraId="3E191708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r w:rsidRPr="00F33088">
        <w:rPr>
          <w:rFonts w:eastAsia="Times New Roman" w:cstheme="minorHAnsi"/>
          <w:bCs/>
          <w:szCs w:val="20"/>
          <w:lang w:val="sr-Latn-ME"/>
        </w:rPr>
        <w:t>Vlada Crne Gore. (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n.d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.). Nacionalna strategija upravljanja otpadom do 2030. godine. https://www.gov.me/dokumenta/d8073954-d74f-4398-ba8c-2e6747c153f2</w:t>
      </w:r>
    </w:p>
    <w:p w14:paraId="3E191709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lastRenderedPageBreak/>
        <w:t>World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Bank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(2024).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Western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Balkans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6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country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climate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and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development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report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 https://www.worldbank.org/en/region/eca/publication/western-balkans-6-ccdr</w:t>
      </w:r>
    </w:p>
    <w:p w14:paraId="3E19170A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Fonts w:eastAsia="Times New Roman" w:cstheme="minorHAnsi"/>
          <w:bCs/>
          <w:szCs w:val="20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World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Bank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 (2025). Montenegro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waste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sector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improvement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project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>. https://documents1.worldbank.org/curated/en/099042925063039998/pdf/P510187-25697783-5725-4a90-8225-84866b48bdf7.pdf</w:t>
      </w:r>
    </w:p>
    <w:p w14:paraId="3E19170B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 xml:space="preserve">Zakon o finansiranju upravljanja vodama (Sl. list CG br. 65/08, 74/10, 40/11, 82/20) </w:t>
      </w:r>
    </w:p>
    <w:p w14:paraId="3E19170C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>Zakon o klimatskim promjenama (Sl. list CG br. 149/25</w:t>
      </w:r>
      <w:r w:rsidR="00A04D67" w:rsidRPr="00F33088">
        <w:rPr>
          <w:szCs w:val="20"/>
          <w:lang w:val="sr-Latn-ME"/>
        </w:rPr>
        <w:t>, 70/26</w:t>
      </w:r>
      <w:r w:rsidRPr="00F33088">
        <w:rPr>
          <w:szCs w:val="20"/>
          <w:lang w:val="sr-Latn-ME"/>
        </w:rPr>
        <w:t>)</w:t>
      </w:r>
    </w:p>
    <w:p w14:paraId="3E19170D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 xml:space="preserve">Zakon o upravljanju komunalnim otpadnim vodama (Sl. list CG br. 2/17, 84/24) </w:t>
      </w:r>
    </w:p>
    <w:p w14:paraId="3E19170E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 xml:space="preserve">Zakon o upravljanju otpadom (Sl. list CG br. 34/24, 92/24) </w:t>
      </w:r>
    </w:p>
    <w:p w14:paraId="3E19170F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 xml:space="preserve">Zakon o vodama (Sl. list RCG br. 27/07; Sl. list CG br. 73/10, 32/11, 47/11, 48/15, 52/16, 55/16, 2/17, 80/17, 84/18, 84/24) </w:t>
      </w:r>
    </w:p>
    <w:p w14:paraId="3E191710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 xml:space="preserve">Zakon o zaštiti prirode (Sl. list CG br. 52/16, 18/19, 84/24) </w:t>
      </w:r>
    </w:p>
    <w:p w14:paraId="3E191711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 xml:space="preserve">Zakon o zaštiti vazduha (Sl. list CG br. 25/10, 40/11, 43/15, 73/19, 84/24) </w:t>
      </w:r>
    </w:p>
    <w:p w14:paraId="3E191712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after="240"/>
        <w:rPr>
          <w:szCs w:val="20"/>
          <w:lang w:val="sr-Latn-ME"/>
        </w:rPr>
      </w:pPr>
      <w:r w:rsidRPr="00F33088">
        <w:rPr>
          <w:szCs w:val="20"/>
          <w:lang w:val="sr-Latn-ME"/>
        </w:rPr>
        <w:t xml:space="preserve">Zakon o zaštiti životne sredine (Sl. list CG br. 52/16, 73/19, 84/24) </w:t>
      </w:r>
    </w:p>
    <w:p w14:paraId="3E191713" w14:textId="77777777" w:rsidR="0091270C" w:rsidRPr="00F33088" w:rsidRDefault="0091270C" w:rsidP="0091270C">
      <w:pPr>
        <w:pStyle w:val="Odlomakpopisa"/>
        <w:numPr>
          <w:ilvl w:val="0"/>
          <w:numId w:val="23"/>
        </w:numPr>
        <w:spacing w:before="100" w:beforeAutospacing="1" w:after="100" w:afterAutospacing="1"/>
        <w:jc w:val="left"/>
        <w:rPr>
          <w:rStyle w:val="Hiperveza"/>
          <w:color w:val="auto"/>
          <w:u w:val="none"/>
          <w:lang w:val="sr-Latn-ME"/>
        </w:rPr>
      </w:pP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Zero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Waste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Montenegro. (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n.d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.). </w:t>
      </w:r>
      <w:proofErr w:type="spellStart"/>
      <w:r w:rsidRPr="00F33088">
        <w:rPr>
          <w:rFonts w:eastAsia="Times New Roman" w:cstheme="minorHAnsi"/>
          <w:bCs/>
          <w:szCs w:val="20"/>
          <w:lang w:val="sr-Latn-ME"/>
        </w:rPr>
        <w:t>Waste</w:t>
      </w:r>
      <w:proofErr w:type="spellEnd"/>
      <w:r w:rsidRPr="00F33088">
        <w:rPr>
          <w:rFonts w:eastAsia="Times New Roman" w:cstheme="minorHAnsi"/>
          <w:bCs/>
          <w:szCs w:val="20"/>
          <w:lang w:val="sr-Latn-ME"/>
        </w:rPr>
        <w:t xml:space="preserve"> management status in Montenegro. </w:t>
      </w:r>
      <w:hyperlink r:id="rId26" w:history="1">
        <w:r w:rsidRPr="00F33088">
          <w:rPr>
            <w:rStyle w:val="Hiperveza"/>
            <w:rFonts w:eastAsia="Times New Roman" w:cstheme="minorHAnsi"/>
            <w:bCs/>
            <w:szCs w:val="20"/>
            <w:lang w:val="sr-Latn-ME"/>
          </w:rPr>
          <w:t>https://zerowastemontenegro.me/waste-management-status-montenegro/</w:t>
        </w:r>
      </w:hyperlink>
    </w:p>
    <w:p w14:paraId="3E191714" w14:textId="77777777" w:rsidR="00A04D67" w:rsidRPr="00F33088" w:rsidRDefault="00A04D67" w:rsidP="00A04D67">
      <w:pPr>
        <w:spacing w:after="240"/>
        <w:ind w:left="360"/>
        <w:rPr>
          <w:szCs w:val="20"/>
          <w:lang w:val="sr-Latn-ME"/>
        </w:rPr>
      </w:pPr>
    </w:p>
    <w:sectPr w:rsidR="00A04D67" w:rsidRPr="00F33088" w:rsidSect="004C165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D34C9" w14:textId="77777777" w:rsidR="00CE6E5D" w:rsidRDefault="00CE6E5D" w:rsidP="00B966D8">
      <w:pPr>
        <w:spacing w:after="0"/>
      </w:pPr>
      <w:r>
        <w:separator/>
      </w:r>
    </w:p>
  </w:endnote>
  <w:endnote w:type="continuationSeparator" w:id="0">
    <w:p w14:paraId="4F0B7B6E" w14:textId="77777777" w:rsidR="00CE6E5D" w:rsidRDefault="00CE6E5D" w:rsidP="00B966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AFE0" w14:textId="77777777" w:rsidR="00E1787A" w:rsidRDefault="00E1787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3208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191719" w14:textId="77777777" w:rsidR="00DB3B93" w:rsidRDefault="00DB3B93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55F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E19171A" w14:textId="77777777" w:rsidR="00DB3B93" w:rsidRDefault="00DB3B9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FBA1B" w14:textId="77777777" w:rsidR="00E1787A" w:rsidRDefault="00E1787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F336A" w14:textId="77777777" w:rsidR="00CE6E5D" w:rsidRDefault="00CE6E5D" w:rsidP="00B966D8">
      <w:pPr>
        <w:spacing w:after="0"/>
      </w:pPr>
      <w:r>
        <w:separator/>
      </w:r>
    </w:p>
  </w:footnote>
  <w:footnote w:type="continuationSeparator" w:id="0">
    <w:p w14:paraId="37446A50" w14:textId="77777777" w:rsidR="00CE6E5D" w:rsidRDefault="00CE6E5D" w:rsidP="00B966D8">
      <w:pPr>
        <w:spacing w:after="0"/>
      </w:pPr>
      <w:r>
        <w:continuationSeparator/>
      </w:r>
    </w:p>
  </w:footnote>
  <w:footnote w:id="1">
    <w:p w14:paraId="3E19171B" w14:textId="77777777" w:rsidR="00DB3B93" w:rsidRPr="00A8012D" w:rsidRDefault="00DB3B93" w:rsidP="00976EA2">
      <w:pPr>
        <w:pStyle w:val="Tekstfusnote"/>
        <w:rPr>
          <w:sz w:val="16"/>
          <w:szCs w:val="16"/>
        </w:rPr>
      </w:pPr>
      <w:r w:rsidRPr="00A8012D">
        <w:rPr>
          <w:rStyle w:val="Referencafusnote"/>
          <w:sz w:val="16"/>
          <w:szCs w:val="16"/>
        </w:rPr>
        <w:footnoteRef/>
      </w:r>
      <w:r w:rsidRPr="00A8012D">
        <w:rPr>
          <w:sz w:val="16"/>
          <w:szCs w:val="16"/>
        </w:rPr>
        <w:t xml:space="preserve"> https://ec.europa.eu/eurostat/databrowser/view/sdg_11_60/default/table</w:t>
      </w:r>
    </w:p>
  </w:footnote>
  <w:footnote w:id="2">
    <w:p w14:paraId="3E19171C" w14:textId="77777777" w:rsidR="00DB3B93" w:rsidRPr="00A8012D" w:rsidRDefault="00DB3B93" w:rsidP="00976EA2">
      <w:pPr>
        <w:pStyle w:val="Tekstfusnote"/>
        <w:rPr>
          <w:sz w:val="16"/>
          <w:szCs w:val="16"/>
          <w:lang w:val="sr-Latn-ME"/>
        </w:rPr>
      </w:pPr>
      <w:r w:rsidRPr="00A8012D">
        <w:rPr>
          <w:rStyle w:val="Referencafusnote"/>
          <w:sz w:val="16"/>
          <w:szCs w:val="16"/>
          <w:lang w:val="sr-Latn-ME"/>
        </w:rPr>
        <w:footnoteRef/>
      </w:r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Proposal</w:t>
      </w:r>
      <w:proofErr w:type="spellEnd"/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for</w:t>
      </w:r>
      <w:proofErr w:type="spellEnd"/>
      <w:r w:rsidRPr="00A8012D">
        <w:rPr>
          <w:sz w:val="16"/>
          <w:szCs w:val="16"/>
          <w:lang w:val="sr-Latn-ME"/>
        </w:rPr>
        <w:t xml:space="preserve"> a </w:t>
      </w:r>
      <w:proofErr w:type="spellStart"/>
      <w:r w:rsidRPr="00A8012D">
        <w:rPr>
          <w:sz w:val="16"/>
          <w:szCs w:val="16"/>
          <w:lang w:val="sr-Latn-ME"/>
        </w:rPr>
        <w:t>Regulation</w:t>
      </w:r>
      <w:proofErr w:type="spellEnd"/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establishing</w:t>
      </w:r>
      <w:proofErr w:type="spellEnd"/>
      <w:r w:rsidRPr="00A8012D">
        <w:rPr>
          <w:sz w:val="16"/>
          <w:szCs w:val="16"/>
          <w:lang w:val="sr-Latn-ME"/>
        </w:rPr>
        <w:t xml:space="preserve"> a </w:t>
      </w:r>
      <w:proofErr w:type="spellStart"/>
      <w:r w:rsidRPr="00A8012D">
        <w:rPr>
          <w:sz w:val="16"/>
          <w:szCs w:val="16"/>
          <w:lang w:val="sr-Latn-ME"/>
        </w:rPr>
        <w:t>budget</w:t>
      </w:r>
      <w:proofErr w:type="spellEnd"/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expenditure</w:t>
      </w:r>
      <w:proofErr w:type="spellEnd"/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tracking</w:t>
      </w:r>
      <w:proofErr w:type="spellEnd"/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and</w:t>
      </w:r>
      <w:proofErr w:type="spellEnd"/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performance</w:t>
      </w:r>
      <w:proofErr w:type="spellEnd"/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framework</w:t>
      </w:r>
      <w:proofErr w:type="spellEnd"/>
      <w:r w:rsidRPr="00A8012D">
        <w:rPr>
          <w:sz w:val="16"/>
          <w:szCs w:val="16"/>
          <w:lang w:val="sr-Latn-ME"/>
        </w:rPr>
        <w:t xml:space="preserve">, COM(2025)545, </w:t>
      </w:r>
      <w:proofErr w:type="spellStart"/>
      <w:r w:rsidRPr="00A8012D">
        <w:rPr>
          <w:sz w:val="16"/>
          <w:szCs w:val="16"/>
          <w:lang w:val="sr-Latn-ME"/>
        </w:rPr>
        <w:t>Annex</w:t>
      </w:r>
      <w:proofErr w:type="spellEnd"/>
      <w:r w:rsidRPr="00A8012D">
        <w:rPr>
          <w:sz w:val="16"/>
          <w:szCs w:val="16"/>
          <w:lang w:val="sr-Latn-ME"/>
        </w:rPr>
        <w:t xml:space="preserve"> I. https://eur-lex.europa.eu/legal-content/EN/TXT/?uri=CELEX%3A52025PC0545</w:t>
      </w:r>
    </w:p>
  </w:footnote>
  <w:footnote w:id="3">
    <w:p w14:paraId="3E19171D" w14:textId="77777777" w:rsidR="00DB3B93" w:rsidRPr="00395005" w:rsidRDefault="00DB3B93" w:rsidP="00976EA2">
      <w:pPr>
        <w:pStyle w:val="Tekstfusnote"/>
        <w:rPr>
          <w:sz w:val="16"/>
          <w:szCs w:val="16"/>
          <w:lang w:val="sr-Latn-ME"/>
        </w:rPr>
      </w:pPr>
      <w:r w:rsidRPr="00A8012D">
        <w:rPr>
          <w:rStyle w:val="Referencafusnote"/>
          <w:sz w:val="16"/>
          <w:szCs w:val="16"/>
        </w:rPr>
        <w:footnoteRef/>
      </w:r>
      <w:r w:rsidRPr="00395005">
        <w:rPr>
          <w:sz w:val="16"/>
          <w:szCs w:val="16"/>
          <w:lang w:val="sr-Latn-ME"/>
        </w:rPr>
        <w:t xml:space="preserve"> </w:t>
      </w:r>
      <w:r w:rsidRPr="00A8012D">
        <w:rPr>
          <w:sz w:val="16"/>
          <w:szCs w:val="16"/>
        </w:rPr>
        <w:t>https</w:t>
      </w:r>
      <w:r w:rsidRPr="00395005">
        <w:rPr>
          <w:sz w:val="16"/>
          <w:szCs w:val="16"/>
          <w:lang w:val="sr-Latn-ME"/>
        </w:rPr>
        <w:t>://</w:t>
      </w:r>
      <w:r w:rsidRPr="00A8012D">
        <w:rPr>
          <w:sz w:val="16"/>
          <w:szCs w:val="16"/>
        </w:rPr>
        <w:t>commission</w:t>
      </w:r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europa</w:t>
      </w:r>
      <w:proofErr w:type="spellEnd"/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eu</w:t>
      </w:r>
      <w:proofErr w:type="spellEnd"/>
      <w:r w:rsidRPr="00395005">
        <w:rPr>
          <w:sz w:val="16"/>
          <w:szCs w:val="16"/>
          <w:lang w:val="sr-Latn-ME"/>
        </w:rPr>
        <w:t>/</w:t>
      </w:r>
      <w:r w:rsidRPr="00A8012D">
        <w:rPr>
          <w:sz w:val="16"/>
          <w:szCs w:val="16"/>
        </w:rPr>
        <w:t>strategy</w:t>
      </w:r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and</w:t>
      </w:r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policy</w:t>
      </w:r>
      <w:r w:rsidRPr="00395005">
        <w:rPr>
          <w:sz w:val="16"/>
          <w:szCs w:val="16"/>
          <w:lang w:val="sr-Latn-ME"/>
        </w:rPr>
        <w:t>/</w:t>
      </w:r>
      <w:r w:rsidRPr="00A8012D">
        <w:rPr>
          <w:sz w:val="16"/>
          <w:szCs w:val="16"/>
        </w:rPr>
        <w:t>priorities</w:t>
      </w:r>
      <w:r w:rsidRPr="00395005">
        <w:rPr>
          <w:sz w:val="16"/>
          <w:szCs w:val="16"/>
          <w:lang w:val="sr-Latn-ME"/>
        </w:rPr>
        <w:t>-2019-2024/</w:t>
      </w:r>
      <w:proofErr w:type="spellStart"/>
      <w:r w:rsidRPr="00A8012D">
        <w:rPr>
          <w:sz w:val="16"/>
          <w:szCs w:val="16"/>
        </w:rPr>
        <w:t>european</w:t>
      </w:r>
      <w:proofErr w:type="spellEnd"/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green</w:t>
      </w:r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deal</w:t>
      </w:r>
      <w:r w:rsidRPr="00395005">
        <w:rPr>
          <w:sz w:val="16"/>
          <w:szCs w:val="16"/>
          <w:lang w:val="sr-Latn-ME"/>
        </w:rPr>
        <w:t>_</w:t>
      </w:r>
      <w:proofErr w:type="spellStart"/>
      <w:r w:rsidRPr="00A8012D">
        <w:rPr>
          <w:sz w:val="16"/>
          <w:szCs w:val="16"/>
        </w:rPr>
        <w:t>en</w:t>
      </w:r>
      <w:proofErr w:type="spellEnd"/>
    </w:p>
  </w:footnote>
  <w:footnote w:id="4">
    <w:p w14:paraId="3E19171E" w14:textId="77777777" w:rsidR="00DB3B93" w:rsidRPr="0015611C" w:rsidRDefault="00DB3B93">
      <w:pPr>
        <w:pStyle w:val="Tekstfusnote"/>
        <w:rPr>
          <w:sz w:val="16"/>
          <w:szCs w:val="16"/>
          <w:lang w:val="sr-Latn-ME"/>
        </w:rPr>
      </w:pPr>
      <w:r>
        <w:rPr>
          <w:rStyle w:val="Referencafusnote"/>
        </w:rPr>
        <w:footnoteRef/>
      </w:r>
      <w:r w:rsidRPr="0015611C">
        <w:rPr>
          <w:lang w:val="sr-Latn-ME"/>
        </w:rPr>
        <w:t xml:space="preserve"> </w:t>
      </w:r>
      <w:r w:rsidRPr="0015611C">
        <w:rPr>
          <w:sz w:val="16"/>
          <w:szCs w:val="16"/>
        </w:rPr>
        <w:t>Regulation (EU) 2021/1119 of the European Parliament and of the Council of 30 June 2021 establishing the framework for achieving climate neutrality and amending Regulations (EC) No 401/2009 and (EU) 2018/1999 (“European Climate Law”)</w:t>
      </w:r>
    </w:p>
  </w:footnote>
  <w:footnote w:id="5">
    <w:p w14:paraId="3E19171F" w14:textId="77777777" w:rsidR="00DB3B93" w:rsidRPr="00395005" w:rsidRDefault="00DB3B93" w:rsidP="00976EA2">
      <w:pPr>
        <w:pStyle w:val="Tekstfusnote"/>
        <w:rPr>
          <w:sz w:val="16"/>
          <w:szCs w:val="16"/>
          <w:lang w:val="sr-Latn-ME"/>
        </w:rPr>
      </w:pPr>
      <w:r w:rsidRPr="00A8012D">
        <w:rPr>
          <w:rStyle w:val="Referencafusnote"/>
          <w:sz w:val="16"/>
          <w:szCs w:val="16"/>
        </w:rPr>
        <w:footnoteRef/>
      </w:r>
      <w:r w:rsidRPr="00395005">
        <w:rPr>
          <w:sz w:val="16"/>
          <w:szCs w:val="16"/>
          <w:lang w:val="sr-Latn-ME"/>
        </w:rPr>
        <w:t xml:space="preserve"> </w:t>
      </w:r>
      <w:r w:rsidRPr="00A8012D">
        <w:rPr>
          <w:sz w:val="16"/>
          <w:szCs w:val="16"/>
        </w:rPr>
        <w:t>https</w:t>
      </w:r>
      <w:r w:rsidRPr="00395005">
        <w:rPr>
          <w:sz w:val="16"/>
          <w:szCs w:val="16"/>
          <w:lang w:val="sr-Latn-ME"/>
        </w:rPr>
        <w:t>://</w:t>
      </w:r>
      <w:proofErr w:type="spellStart"/>
      <w:r w:rsidRPr="00A8012D">
        <w:rPr>
          <w:sz w:val="16"/>
          <w:szCs w:val="16"/>
        </w:rPr>
        <w:t>eur</w:t>
      </w:r>
      <w:proofErr w:type="spellEnd"/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lex</w:t>
      </w:r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europa</w:t>
      </w:r>
      <w:proofErr w:type="spellEnd"/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eu</w:t>
      </w:r>
      <w:proofErr w:type="spellEnd"/>
      <w:r w:rsidRPr="00395005">
        <w:rPr>
          <w:sz w:val="16"/>
          <w:szCs w:val="16"/>
          <w:lang w:val="sr-Latn-ME"/>
        </w:rPr>
        <w:t>/</w:t>
      </w:r>
      <w:r w:rsidRPr="00A8012D">
        <w:rPr>
          <w:sz w:val="16"/>
          <w:szCs w:val="16"/>
        </w:rPr>
        <w:t>legal</w:t>
      </w:r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content</w:t>
      </w:r>
      <w:r w:rsidRPr="00395005">
        <w:rPr>
          <w:sz w:val="16"/>
          <w:szCs w:val="16"/>
          <w:lang w:val="sr-Latn-ME"/>
        </w:rPr>
        <w:t>/</w:t>
      </w:r>
      <w:r w:rsidRPr="00A8012D">
        <w:rPr>
          <w:sz w:val="16"/>
          <w:szCs w:val="16"/>
        </w:rPr>
        <w:t>EN</w:t>
      </w:r>
      <w:r w:rsidRPr="00395005">
        <w:rPr>
          <w:sz w:val="16"/>
          <w:szCs w:val="16"/>
          <w:lang w:val="sr-Latn-ME"/>
        </w:rPr>
        <w:t>/</w:t>
      </w:r>
      <w:r w:rsidRPr="00A8012D">
        <w:rPr>
          <w:sz w:val="16"/>
          <w:szCs w:val="16"/>
        </w:rPr>
        <w:t>TXT</w:t>
      </w:r>
      <w:r w:rsidRPr="00395005">
        <w:rPr>
          <w:sz w:val="16"/>
          <w:szCs w:val="16"/>
          <w:lang w:val="sr-Latn-ME"/>
        </w:rPr>
        <w:t>/</w:t>
      </w:r>
      <w:r w:rsidRPr="00A8012D">
        <w:rPr>
          <w:sz w:val="16"/>
          <w:szCs w:val="16"/>
        </w:rPr>
        <w:t>PDF</w:t>
      </w:r>
      <w:r w:rsidRPr="00395005">
        <w:rPr>
          <w:sz w:val="16"/>
          <w:szCs w:val="16"/>
          <w:lang w:val="sr-Latn-ME"/>
        </w:rPr>
        <w:t>/?</w:t>
      </w:r>
      <w:proofErr w:type="spellStart"/>
      <w:r w:rsidRPr="00A8012D">
        <w:rPr>
          <w:sz w:val="16"/>
          <w:szCs w:val="16"/>
        </w:rPr>
        <w:t>uri</w:t>
      </w:r>
      <w:proofErr w:type="spellEnd"/>
      <w:r w:rsidRPr="00395005">
        <w:rPr>
          <w:sz w:val="16"/>
          <w:szCs w:val="16"/>
          <w:lang w:val="sr-Latn-ME"/>
        </w:rPr>
        <w:t>=</w:t>
      </w:r>
      <w:r w:rsidRPr="00A8012D">
        <w:rPr>
          <w:sz w:val="16"/>
          <w:szCs w:val="16"/>
        </w:rPr>
        <w:t>CELEX</w:t>
      </w:r>
      <w:r w:rsidRPr="00395005">
        <w:rPr>
          <w:sz w:val="16"/>
          <w:szCs w:val="16"/>
          <w:lang w:val="sr-Latn-ME"/>
        </w:rPr>
        <w:t>:02003</w:t>
      </w:r>
      <w:r w:rsidRPr="00A8012D">
        <w:rPr>
          <w:sz w:val="16"/>
          <w:szCs w:val="16"/>
        </w:rPr>
        <w:t>L</w:t>
      </w:r>
      <w:r w:rsidRPr="00395005">
        <w:rPr>
          <w:sz w:val="16"/>
          <w:szCs w:val="16"/>
          <w:lang w:val="sr-Latn-ME"/>
        </w:rPr>
        <w:t>0087-20240301</w:t>
      </w:r>
    </w:p>
  </w:footnote>
  <w:footnote w:id="6">
    <w:p w14:paraId="3E191720" w14:textId="77777777" w:rsidR="00DB3B93" w:rsidRPr="00395005" w:rsidRDefault="00DB3B93" w:rsidP="00976EA2">
      <w:pPr>
        <w:pStyle w:val="Tekstfusnote"/>
        <w:rPr>
          <w:sz w:val="16"/>
          <w:szCs w:val="16"/>
          <w:lang w:val="sr-Latn-ME"/>
        </w:rPr>
      </w:pPr>
      <w:r w:rsidRPr="00A8012D">
        <w:rPr>
          <w:rStyle w:val="Referencafusnote"/>
          <w:sz w:val="16"/>
          <w:szCs w:val="16"/>
        </w:rPr>
        <w:footnoteRef/>
      </w:r>
      <w:r w:rsidRPr="00395005">
        <w:rPr>
          <w:sz w:val="16"/>
          <w:szCs w:val="16"/>
          <w:lang w:val="sr-Latn-ME"/>
        </w:rPr>
        <w:t xml:space="preserve"> </w:t>
      </w:r>
      <w:r w:rsidRPr="00A8012D">
        <w:rPr>
          <w:sz w:val="16"/>
          <w:szCs w:val="16"/>
        </w:rPr>
        <w:t>https</w:t>
      </w:r>
      <w:r w:rsidRPr="00395005">
        <w:rPr>
          <w:sz w:val="16"/>
          <w:szCs w:val="16"/>
          <w:lang w:val="sr-Latn-ME"/>
        </w:rPr>
        <w:t>://</w:t>
      </w:r>
      <w:proofErr w:type="spellStart"/>
      <w:r w:rsidRPr="00A8012D">
        <w:rPr>
          <w:sz w:val="16"/>
          <w:szCs w:val="16"/>
        </w:rPr>
        <w:t>eur</w:t>
      </w:r>
      <w:proofErr w:type="spellEnd"/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lex</w:t>
      </w:r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europa</w:t>
      </w:r>
      <w:proofErr w:type="spellEnd"/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eu</w:t>
      </w:r>
      <w:proofErr w:type="spellEnd"/>
      <w:r w:rsidRPr="00395005">
        <w:rPr>
          <w:sz w:val="16"/>
          <w:szCs w:val="16"/>
          <w:lang w:val="sr-Latn-ME"/>
        </w:rPr>
        <w:t>/</w:t>
      </w:r>
      <w:proofErr w:type="spellStart"/>
      <w:r w:rsidRPr="00A8012D">
        <w:rPr>
          <w:sz w:val="16"/>
          <w:szCs w:val="16"/>
        </w:rPr>
        <w:t>eli</w:t>
      </w:r>
      <w:proofErr w:type="spellEnd"/>
      <w:r w:rsidRPr="00395005">
        <w:rPr>
          <w:sz w:val="16"/>
          <w:szCs w:val="16"/>
          <w:lang w:val="sr-Latn-ME"/>
        </w:rPr>
        <w:t>/</w:t>
      </w:r>
      <w:proofErr w:type="spellStart"/>
      <w:r w:rsidRPr="00A8012D">
        <w:rPr>
          <w:sz w:val="16"/>
          <w:szCs w:val="16"/>
        </w:rPr>
        <w:t>dir</w:t>
      </w:r>
      <w:proofErr w:type="spellEnd"/>
      <w:r w:rsidRPr="00395005">
        <w:rPr>
          <w:sz w:val="16"/>
          <w:szCs w:val="16"/>
          <w:lang w:val="sr-Latn-ME"/>
        </w:rPr>
        <w:t>/2018/851/</w:t>
      </w:r>
      <w:proofErr w:type="spellStart"/>
      <w:r w:rsidRPr="00A8012D">
        <w:rPr>
          <w:sz w:val="16"/>
          <w:szCs w:val="16"/>
        </w:rPr>
        <w:t>oj</w:t>
      </w:r>
      <w:proofErr w:type="spellEnd"/>
      <w:r w:rsidRPr="00395005">
        <w:rPr>
          <w:sz w:val="16"/>
          <w:szCs w:val="16"/>
          <w:lang w:val="sr-Latn-ME"/>
        </w:rPr>
        <w:t>/</w:t>
      </w:r>
      <w:proofErr w:type="spellStart"/>
      <w:r w:rsidRPr="00A8012D">
        <w:rPr>
          <w:sz w:val="16"/>
          <w:szCs w:val="16"/>
        </w:rPr>
        <w:t>eng</w:t>
      </w:r>
      <w:proofErr w:type="spellEnd"/>
    </w:p>
  </w:footnote>
  <w:footnote w:id="7">
    <w:p w14:paraId="3E191721" w14:textId="77777777" w:rsidR="00DB3B93" w:rsidRPr="00395005" w:rsidRDefault="00DB3B93" w:rsidP="00976EA2">
      <w:pPr>
        <w:pStyle w:val="Tekstfusnote"/>
        <w:rPr>
          <w:sz w:val="16"/>
          <w:szCs w:val="16"/>
          <w:lang w:val="sr-Latn-ME"/>
        </w:rPr>
      </w:pPr>
      <w:r w:rsidRPr="00A8012D">
        <w:rPr>
          <w:rStyle w:val="Referencafusnote"/>
          <w:sz w:val="16"/>
          <w:szCs w:val="16"/>
        </w:rPr>
        <w:footnoteRef/>
      </w:r>
      <w:r w:rsidRPr="00395005">
        <w:rPr>
          <w:sz w:val="16"/>
          <w:szCs w:val="16"/>
          <w:lang w:val="sr-Latn-ME"/>
        </w:rPr>
        <w:t xml:space="preserve"> </w:t>
      </w:r>
      <w:r w:rsidRPr="00A8012D">
        <w:rPr>
          <w:sz w:val="16"/>
          <w:szCs w:val="16"/>
        </w:rPr>
        <w:t>https</w:t>
      </w:r>
      <w:r w:rsidRPr="00395005">
        <w:rPr>
          <w:sz w:val="16"/>
          <w:szCs w:val="16"/>
          <w:lang w:val="sr-Latn-ME"/>
        </w:rPr>
        <w:t>://</w:t>
      </w:r>
      <w:proofErr w:type="spellStart"/>
      <w:r w:rsidRPr="00A8012D">
        <w:rPr>
          <w:sz w:val="16"/>
          <w:szCs w:val="16"/>
        </w:rPr>
        <w:t>eur</w:t>
      </w:r>
      <w:proofErr w:type="spellEnd"/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lex</w:t>
      </w:r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europa</w:t>
      </w:r>
      <w:proofErr w:type="spellEnd"/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eu</w:t>
      </w:r>
      <w:proofErr w:type="spellEnd"/>
      <w:r w:rsidRPr="00395005">
        <w:rPr>
          <w:sz w:val="16"/>
          <w:szCs w:val="16"/>
          <w:lang w:val="sr-Latn-ME"/>
        </w:rPr>
        <w:t>/</w:t>
      </w:r>
      <w:proofErr w:type="spellStart"/>
      <w:r w:rsidRPr="00A8012D">
        <w:rPr>
          <w:sz w:val="16"/>
          <w:szCs w:val="16"/>
        </w:rPr>
        <w:t>eli</w:t>
      </w:r>
      <w:proofErr w:type="spellEnd"/>
      <w:r w:rsidRPr="00395005">
        <w:rPr>
          <w:sz w:val="16"/>
          <w:szCs w:val="16"/>
          <w:lang w:val="sr-Latn-ME"/>
        </w:rPr>
        <w:t>/</w:t>
      </w:r>
      <w:proofErr w:type="spellStart"/>
      <w:r w:rsidRPr="00A8012D">
        <w:rPr>
          <w:sz w:val="16"/>
          <w:szCs w:val="16"/>
        </w:rPr>
        <w:t>dir</w:t>
      </w:r>
      <w:proofErr w:type="spellEnd"/>
      <w:r w:rsidRPr="00395005">
        <w:rPr>
          <w:sz w:val="16"/>
          <w:szCs w:val="16"/>
          <w:lang w:val="sr-Latn-ME"/>
        </w:rPr>
        <w:t>/1994/62/</w:t>
      </w:r>
      <w:proofErr w:type="spellStart"/>
      <w:r w:rsidRPr="00A8012D">
        <w:rPr>
          <w:sz w:val="16"/>
          <w:szCs w:val="16"/>
        </w:rPr>
        <w:t>oj</w:t>
      </w:r>
      <w:proofErr w:type="spellEnd"/>
      <w:r w:rsidRPr="00395005">
        <w:rPr>
          <w:sz w:val="16"/>
          <w:szCs w:val="16"/>
          <w:lang w:val="sr-Latn-ME"/>
        </w:rPr>
        <w:t>/</w:t>
      </w:r>
      <w:proofErr w:type="spellStart"/>
      <w:r w:rsidRPr="00A8012D">
        <w:rPr>
          <w:sz w:val="16"/>
          <w:szCs w:val="16"/>
        </w:rPr>
        <w:t>eng</w:t>
      </w:r>
      <w:proofErr w:type="spellEnd"/>
    </w:p>
  </w:footnote>
  <w:footnote w:id="8">
    <w:p w14:paraId="3E191722" w14:textId="77777777" w:rsidR="00DB3B93" w:rsidRPr="00395005" w:rsidRDefault="00DB3B93" w:rsidP="00976EA2">
      <w:pPr>
        <w:pStyle w:val="Tekstfusnote"/>
        <w:rPr>
          <w:sz w:val="16"/>
          <w:szCs w:val="16"/>
          <w:lang w:val="sr-Latn-ME"/>
        </w:rPr>
      </w:pPr>
      <w:r w:rsidRPr="00A8012D">
        <w:rPr>
          <w:rStyle w:val="Referencafusnote"/>
          <w:sz w:val="16"/>
          <w:szCs w:val="16"/>
        </w:rPr>
        <w:footnoteRef/>
      </w:r>
      <w:r w:rsidRPr="00395005">
        <w:rPr>
          <w:sz w:val="16"/>
          <w:szCs w:val="16"/>
          <w:lang w:val="sr-Latn-ME"/>
        </w:rPr>
        <w:t xml:space="preserve"> </w:t>
      </w:r>
      <w:r w:rsidRPr="00A8012D">
        <w:rPr>
          <w:sz w:val="16"/>
          <w:szCs w:val="16"/>
        </w:rPr>
        <w:t>https</w:t>
      </w:r>
      <w:r w:rsidRPr="00395005">
        <w:rPr>
          <w:sz w:val="16"/>
          <w:szCs w:val="16"/>
          <w:lang w:val="sr-Latn-ME"/>
        </w:rPr>
        <w:t>://</w:t>
      </w:r>
      <w:r w:rsidRPr="00A8012D">
        <w:rPr>
          <w:sz w:val="16"/>
          <w:szCs w:val="16"/>
        </w:rPr>
        <w:t>environment</w:t>
      </w:r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ec</w:t>
      </w:r>
      <w:proofErr w:type="spellEnd"/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europa</w:t>
      </w:r>
      <w:proofErr w:type="spellEnd"/>
      <w:r w:rsidRPr="00395005">
        <w:rPr>
          <w:sz w:val="16"/>
          <w:szCs w:val="16"/>
          <w:lang w:val="sr-Latn-ME"/>
        </w:rPr>
        <w:t>.</w:t>
      </w:r>
      <w:proofErr w:type="spellStart"/>
      <w:r w:rsidRPr="00A8012D">
        <w:rPr>
          <w:sz w:val="16"/>
          <w:szCs w:val="16"/>
        </w:rPr>
        <w:t>eu</w:t>
      </w:r>
      <w:proofErr w:type="spellEnd"/>
      <w:r w:rsidRPr="00395005">
        <w:rPr>
          <w:sz w:val="16"/>
          <w:szCs w:val="16"/>
          <w:lang w:val="sr-Latn-ME"/>
        </w:rPr>
        <w:t>/</w:t>
      </w:r>
      <w:r w:rsidRPr="00A8012D">
        <w:rPr>
          <w:sz w:val="16"/>
          <w:szCs w:val="16"/>
        </w:rPr>
        <w:t>strategy</w:t>
      </w:r>
      <w:r w:rsidRPr="00395005">
        <w:rPr>
          <w:sz w:val="16"/>
          <w:szCs w:val="16"/>
          <w:lang w:val="sr-Latn-ME"/>
        </w:rPr>
        <w:t>/</w:t>
      </w:r>
      <w:r w:rsidRPr="00A8012D">
        <w:rPr>
          <w:sz w:val="16"/>
          <w:szCs w:val="16"/>
        </w:rPr>
        <w:t>zero</w:t>
      </w:r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pollution</w:t>
      </w:r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action</w:t>
      </w:r>
      <w:r w:rsidRPr="00395005">
        <w:rPr>
          <w:sz w:val="16"/>
          <w:szCs w:val="16"/>
          <w:lang w:val="sr-Latn-ME"/>
        </w:rPr>
        <w:t>-</w:t>
      </w:r>
      <w:r w:rsidRPr="00A8012D">
        <w:rPr>
          <w:sz w:val="16"/>
          <w:szCs w:val="16"/>
        </w:rPr>
        <w:t>plan</w:t>
      </w:r>
      <w:r w:rsidRPr="00395005">
        <w:rPr>
          <w:sz w:val="16"/>
          <w:szCs w:val="16"/>
          <w:lang w:val="sr-Latn-ME"/>
        </w:rPr>
        <w:t>_</w:t>
      </w:r>
      <w:proofErr w:type="spellStart"/>
      <w:r w:rsidRPr="00A8012D">
        <w:rPr>
          <w:sz w:val="16"/>
          <w:szCs w:val="16"/>
        </w:rPr>
        <w:t>en</w:t>
      </w:r>
      <w:proofErr w:type="spellEnd"/>
    </w:p>
  </w:footnote>
  <w:footnote w:id="9">
    <w:p w14:paraId="3E191723" w14:textId="77777777" w:rsidR="00DB3B93" w:rsidRPr="00AC168E" w:rsidRDefault="00DB3B93">
      <w:pPr>
        <w:pStyle w:val="Tekstfusnote"/>
        <w:rPr>
          <w:sz w:val="16"/>
          <w:szCs w:val="16"/>
          <w:lang w:val="sr-Latn-ME"/>
        </w:rPr>
      </w:pPr>
      <w:r>
        <w:rPr>
          <w:rStyle w:val="Referencafusnote"/>
        </w:rPr>
        <w:footnoteRef/>
      </w:r>
      <w:r w:rsidRPr="00AC168E">
        <w:rPr>
          <w:lang w:val="sr-Latn-ME"/>
        </w:rPr>
        <w:t xml:space="preserve"> </w:t>
      </w:r>
      <w:r w:rsidRPr="00AC168E">
        <w:rPr>
          <w:sz w:val="16"/>
          <w:szCs w:val="16"/>
          <w:lang w:val="sr-Latn-ME"/>
        </w:rPr>
        <w:t>U Crnoj Gori egzistiraju dvije deponije u skladu sa EU standardima i to u Glavnom gradu Podgorici, deponija „Livade“ i u opštini Bar, deponija „</w:t>
      </w:r>
      <w:proofErr w:type="spellStart"/>
      <w:r w:rsidRPr="00AC168E">
        <w:rPr>
          <w:sz w:val="16"/>
          <w:szCs w:val="16"/>
          <w:lang w:val="sr-Latn-ME"/>
        </w:rPr>
        <w:t>Možura</w:t>
      </w:r>
      <w:proofErr w:type="spellEnd"/>
      <w:r w:rsidRPr="00AC168E">
        <w:rPr>
          <w:sz w:val="16"/>
          <w:szCs w:val="16"/>
          <w:lang w:val="sr-Latn-ME"/>
        </w:rPr>
        <w:t>“</w:t>
      </w:r>
    </w:p>
  </w:footnote>
  <w:footnote w:id="10">
    <w:p w14:paraId="3E191724" w14:textId="77777777" w:rsidR="00DB3B93" w:rsidRPr="0073054F" w:rsidRDefault="00DB3B93">
      <w:pPr>
        <w:pStyle w:val="Tekstfusnote"/>
        <w:rPr>
          <w:lang w:val="sr-Latn-ME"/>
        </w:rPr>
      </w:pPr>
      <w:r>
        <w:rPr>
          <w:rStyle w:val="Referencafusnote"/>
        </w:rPr>
        <w:footnoteRef/>
      </w:r>
      <w:r w:rsidRPr="0073054F">
        <w:rPr>
          <w:lang w:val="sr-Latn-ME"/>
        </w:rPr>
        <w:t xml:space="preserve"> https://www.gov.me/dokumenta/751a311f-466f-49e0-ad06-f29dbccdfc69</w:t>
      </w:r>
    </w:p>
  </w:footnote>
  <w:footnote w:id="11">
    <w:p w14:paraId="3E191725" w14:textId="77777777" w:rsidR="00DB3B93" w:rsidRPr="007C292B" w:rsidRDefault="00DB3B93" w:rsidP="004D6456">
      <w:pPr>
        <w:pStyle w:val="Tekstfusnote"/>
        <w:rPr>
          <w:sz w:val="16"/>
          <w:szCs w:val="16"/>
          <w:lang w:val="sr-Latn-ME"/>
        </w:rPr>
      </w:pPr>
      <w:r>
        <w:rPr>
          <w:rStyle w:val="Referencafusnote"/>
        </w:rPr>
        <w:footnoteRef/>
      </w:r>
      <w:r w:rsidRPr="007C292B">
        <w:rPr>
          <w:lang w:val="sr-Latn-ME"/>
        </w:rPr>
        <w:t xml:space="preserve"> </w:t>
      </w:r>
      <w:hyperlink r:id="rId1" w:history="1">
        <w:r w:rsidRPr="007C292B">
          <w:rPr>
            <w:rStyle w:val="Hiperveza"/>
            <w:sz w:val="16"/>
            <w:szCs w:val="16"/>
            <w:lang w:val="sr-Latn-ME"/>
          </w:rPr>
          <w:t>https://wapi.gov.me/download-preview/0c06358d-afd2-45eb-863d-02a25969a2d9?version=1.0</w:t>
        </w:r>
      </w:hyperlink>
      <w:r w:rsidRPr="007C292B">
        <w:rPr>
          <w:sz w:val="16"/>
          <w:szCs w:val="16"/>
          <w:lang w:val="sr-Latn-ME"/>
        </w:rPr>
        <w:t>.</w:t>
      </w:r>
    </w:p>
  </w:footnote>
  <w:footnote w:id="12">
    <w:p w14:paraId="3E191726" w14:textId="77777777" w:rsidR="00DB3B93" w:rsidRPr="007C292B" w:rsidRDefault="00DB3B93" w:rsidP="004D6456">
      <w:pPr>
        <w:pStyle w:val="Tekstfusnote"/>
        <w:rPr>
          <w:sz w:val="16"/>
          <w:szCs w:val="16"/>
          <w:lang w:val="sr-Latn-ME"/>
        </w:rPr>
      </w:pPr>
      <w:r w:rsidRPr="007C292B">
        <w:rPr>
          <w:rStyle w:val="Referencafusnote"/>
          <w:sz w:val="16"/>
          <w:szCs w:val="16"/>
          <w:lang w:val="sr-Latn-ME"/>
        </w:rPr>
        <w:footnoteRef/>
      </w:r>
      <w:r w:rsidRPr="007C292B">
        <w:rPr>
          <w:sz w:val="16"/>
          <w:szCs w:val="16"/>
          <w:lang w:val="sr-Latn-ME"/>
        </w:rPr>
        <w:t xml:space="preserve"> https://wapi.gov.me/download-preview/979c1d5e-7bb2-4681-b53d-f361c647bf3b?version=1.0</w:t>
      </w:r>
    </w:p>
  </w:footnote>
  <w:footnote w:id="13">
    <w:p w14:paraId="3E191727" w14:textId="77777777" w:rsidR="00DB3B93" w:rsidRPr="00C60123" w:rsidRDefault="00DB3B93">
      <w:pPr>
        <w:pStyle w:val="Tekstfusnote"/>
        <w:rPr>
          <w:sz w:val="16"/>
          <w:szCs w:val="16"/>
          <w:lang w:val="sr-Latn-ME"/>
        </w:rPr>
      </w:pPr>
      <w:r>
        <w:rPr>
          <w:rStyle w:val="Referencafusnote"/>
        </w:rPr>
        <w:footnoteRef/>
      </w:r>
      <w:r w:rsidRPr="00C60123">
        <w:rPr>
          <w:lang w:val="sr-Latn-ME"/>
        </w:rPr>
        <w:t xml:space="preserve"> </w:t>
      </w:r>
      <w:r w:rsidRPr="00C60123">
        <w:rPr>
          <w:sz w:val="16"/>
          <w:szCs w:val="16"/>
          <w:lang w:val="pl-PL"/>
        </w:rPr>
        <w:t>Evropskoj</w:t>
      </w:r>
      <w:r w:rsidRPr="00C60123">
        <w:rPr>
          <w:sz w:val="16"/>
          <w:szCs w:val="16"/>
          <w:lang w:val="sr-Latn-ME"/>
        </w:rPr>
        <w:t xml:space="preserve"> </w:t>
      </w:r>
      <w:r w:rsidRPr="00C60123">
        <w:rPr>
          <w:sz w:val="16"/>
          <w:szCs w:val="16"/>
          <w:lang w:val="pl-PL"/>
        </w:rPr>
        <w:t>komisiji</w:t>
      </w:r>
      <w:r w:rsidRPr="00C60123">
        <w:rPr>
          <w:sz w:val="16"/>
          <w:szCs w:val="16"/>
          <w:lang w:val="sr-Latn-ME"/>
        </w:rPr>
        <w:t xml:space="preserve"> </w:t>
      </w:r>
      <w:r w:rsidRPr="00C60123">
        <w:rPr>
          <w:sz w:val="16"/>
          <w:szCs w:val="16"/>
          <w:lang w:val="pl-PL"/>
        </w:rPr>
        <w:t>je</w:t>
      </w:r>
      <w:r w:rsidRPr="00C60123">
        <w:rPr>
          <w:sz w:val="16"/>
          <w:szCs w:val="16"/>
          <w:lang w:val="sr-Latn-ME"/>
        </w:rPr>
        <w:t xml:space="preserve"> 13.3.2026. </w:t>
      </w:r>
      <w:r w:rsidRPr="00C60123">
        <w:rPr>
          <w:sz w:val="16"/>
          <w:szCs w:val="16"/>
          <w:lang w:val="pl-PL"/>
        </w:rPr>
        <w:t>godine</w:t>
      </w:r>
      <w:r w:rsidRPr="00C60123">
        <w:rPr>
          <w:sz w:val="16"/>
          <w:szCs w:val="16"/>
          <w:lang w:val="sr-Latn-ME"/>
        </w:rPr>
        <w:t xml:space="preserve"> </w:t>
      </w:r>
      <w:r w:rsidRPr="00C60123">
        <w:rPr>
          <w:sz w:val="16"/>
          <w:szCs w:val="16"/>
          <w:lang w:val="pl-PL"/>
        </w:rPr>
        <w:t>dostavljeno</w:t>
      </w:r>
      <w:r w:rsidRPr="00C60123">
        <w:rPr>
          <w:sz w:val="16"/>
          <w:szCs w:val="16"/>
          <w:lang w:val="sr-Latn-ME"/>
        </w:rPr>
        <w:t xml:space="preserve"> </w:t>
      </w:r>
      <w:r w:rsidRPr="00C60123">
        <w:rPr>
          <w:sz w:val="16"/>
          <w:szCs w:val="16"/>
        </w:rPr>
        <w:t>pet</w:t>
      </w:r>
      <w:r w:rsidRPr="00C60123">
        <w:rPr>
          <w:sz w:val="16"/>
          <w:szCs w:val="16"/>
          <w:lang w:val="sr-Latn-ME"/>
        </w:rPr>
        <w:t xml:space="preserve"> </w:t>
      </w:r>
      <w:r w:rsidRPr="00C60123">
        <w:rPr>
          <w:sz w:val="16"/>
          <w:szCs w:val="16"/>
        </w:rPr>
        <w:t>DSIP</w:t>
      </w:r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dokumenata</w:t>
      </w:r>
      <w:proofErr w:type="spellEnd"/>
      <w:r w:rsidRPr="00C60123">
        <w:rPr>
          <w:sz w:val="16"/>
          <w:szCs w:val="16"/>
          <w:lang w:val="sr-Latn-ME"/>
        </w:rPr>
        <w:t xml:space="preserve"> (</w:t>
      </w:r>
      <w:proofErr w:type="spellStart"/>
      <w:r w:rsidRPr="00C60123">
        <w:rPr>
          <w:sz w:val="16"/>
          <w:szCs w:val="16"/>
        </w:rPr>
        <w:t>Specifi</w:t>
      </w:r>
      <w:proofErr w:type="spellEnd"/>
      <w:r w:rsidRPr="00C60123">
        <w:rPr>
          <w:sz w:val="16"/>
          <w:szCs w:val="16"/>
          <w:lang w:val="sr-Latn-ME"/>
        </w:rPr>
        <w:t>č</w:t>
      </w:r>
      <w:proofErr w:type="spellStart"/>
      <w:r w:rsidRPr="00C60123">
        <w:rPr>
          <w:sz w:val="16"/>
          <w:szCs w:val="16"/>
        </w:rPr>
        <w:t>ni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planovi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implementacije</w:t>
      </w:r>
      <w:proofErr w:type="spellEnd"/>
      <w:r w:rsidRPr="00C60123">
        <w:rPr>
          <w:sz w:val="16"/>
          <w:szCs w:val="16"/>
          <w:lang w:val="sr-Latn-ME"/>
        </w:rPr>
        <w:t xml:space="preserve">) </w:t>
      </w:r>
      <w:r w:rsidRPr="00C60123">
        <w:rPr>
          <w:sz w:val="16"/>
          <w:szCs w:val="16"/>
        </w:rPr>
        <w:t>za</w:t>
      </w:r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klju</w:t>
      </w:r>
      <w:proofErr w:type="spellEnd"/>
      <w:r w:rsidRPr="00C60123">
        <w:rPr>
          <w:sz w:val="16"/>
          <w:szCs w:val="16"/>
          <w:lang w:val="sr-Latn-ME"/>
        </w:rPr>
        <w:t>č</w:t>
      </w:r>
      <w:r w:rsidRPr="00C60123">
        <w:rPr>
          <w:sz w:val="16"/>
          <w:szCs w:val="16"/>
        </w:rPr>
        <w:t>ne</w:t>
      </w:r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oblasti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upravljanja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otpadom</w:t>
      </w:r>
      <w:proofErr w:type="spellEnd"/>
      <w:r w:rsidRPr="00C60123">
        <w:rPr>
          <w:sz w:val="16"/>
          <w:szCs w:val="16"/>
          <w:lang w:val="sr-Latn-ME"/>
        </w:rPr>
        <w:t xml:space="preserve">, </w:t>
      </w:r>
      <w:proofErr w:type="spellStart"/>
      <w:r w:rsidRPr="00C60123">
        <w:rPr>
          <w:sz w:val="16"/>
          <w:szCs w:val="16"/>
        </w:rPr>
        <w:t>uklju</w:t>
      </w:r>
      <w:proofErr w:type="spellEnd"/>
      <w:r w:rsidRPr="00C60123">
        <w:rPr>
          <w:sz w:val="16"/>
          <w:szCs w:val="16"/>
          <w:lang w:val="sr-Latn-ME"/>
        </w:rPr>
        <w:t>č</w:t>
      </w:r>
      <w:proofErr w:type="spellStart"/>
      <w:r w:rsidRPr="00C60123">
        <w:rPr>
          <w:sz w:val="16"/>
          <w:szCs w:val="16"/>
        </w:rPr>
        <w:t>uju</w:t>
      </w:r>
      <w:proofErr w:type="spellEnd"/>
      <w:r w:rsidRPr="00C60123">
        <w:rPr>
          <w:sz w:val="16"/>
          <w:szCs w:val="16"/>
          <w:lang w:val="sr-Latn-ME"/>
        </w:rPr>
        <w:t>ć</w:t>
      </w:r>
      <w:proofErr w:type="spellStart"/>
      <w:r w:rsidRPr="00C60123">
        <w:rPr>
          <w:sz w:val="16"/>
          <w:szCs w:val="16"/>
        </w:rPr>
        <w:t>i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okvirnu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direktivu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r w:rsidRPr="00C60123">
        <w:rPr>
          <w:sz w:val="16"/>
          <w:szCs w:val="16"/>
        </w:rPr>
        <w:t>o</w:t>
      </w:r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otpadu</w:t>
      </w:r>
      <w:proofErr w:type="spellEnd"/>
      <w:r w:rsidRPr="00C60123">
        <w:rPr>
          <w:sz w:val="16"/>
          <w:szCs w:val="16"/>
          <w:lang w:val="sr-Latn-ME"/>
        </w:rPr>
        <w:t xml:space="preserve">, </w:t>
      </w:r>
      <w:proofErr w:type="spellStart"/>
      <w:r w:rsidRPr="00C60123">
        <w:rPr>
          <w:sz w:val="16"/>
          <w:szCs w:val="16"/>
        </w:rPr>
        <w:t>direktivu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r w:rsidRPr="00C60123">
        <w:rPr>
          <w:sz w:val="16"/>
          <w:szCs w:val="16"/>
        </w:rPr>
        <w:t>o</w:t>
      </w:r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deponijama</w:t>
      </w:r>
      <w:proofErr w:type="spellEnd"/>
      <w:r w:rsidRPr="00C60123">
        <w:rPr>
          <w:sz w:val="16"/>
          <w:szCs w:val="16"/>
          <w:lang w:val="sr-Latn-ME"/>
        </w:rPr>
        <w:t xml:space="preserve">, </w:t>
      </w:r>
      <w:proofErr w:type="spellStart"/>
      <w:r w:rsidRPr="00C60123">
        <w:rPr>
          <w:sz w:val="16"/>
          <w:szCs w:val="16"/>
        </w:rPr>
        <w:t>ambala</w:t>
      </w:r>
      <w:proofErr w:type="spellEnd"/>
      <w:r w:rsidRPr="00C60123">
        <w:rPr>
          <w:sz w:val="16"/>
          <w:szCs w:val="16"/>
          <w:lang w:val="sr-Latn-ME"/>
        </w:rPr>
        <w:t>ž</w:t>
      </w:r>
      <w:r w:rsidRPr="00C60123">
        <w:rPr>
          <w:sz w:val="16"/>
          <w:szCs w:val="16"/>
        </w:rPr>
        <w:t>u</w:t>
      </w:r>
      <w:r w:rsidRPr="00C60123">
        <w:rPr>
          <w:sz w:val="16"/>
          <w:szCs w:val="16"/>
          <w:lang w:val="sr-Latn-ME"/>
        </w:rPr>
        <w:t xml:space="preserve">, </w:t>
      </w:r>
      <w:proofErr w:type="spellStart"/>
      <w:r w:rsidRPr="00C60123">
        <w:rPr>
          <w:sz w:val="16"/>
          <w:szCs w:val="16"/>
        </w:rPr>
        <w:t>elektri</w:t>
      </w:r>
      <w:proofErr w:type="spellEnd"/>
      <w:r w:rsidRPr="00C60123">
        <w:rPr>
          <w:sz w:val="16"/>
          <w:szCs w:val="16"/>
          <w:lang w:val="sr-Latn-ME"/>
        </w:rPr>
        <w:t>č</w:t>
      </w:r>
      <w:r w:rsidRPr="00C60123">
        <w:rPr>
          <w:sz w:val="16"/>
          <w:szCs w:val="16"/>
        </w:rPr>
        <w:t>nu</w:t>
      </w:r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i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elektronsku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opremu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i</w:t>
      </w:r>
      <w:proofErr w:type="spellEnd"/>
      <w:r w:rsidRPr="00C60123">
        <w:rPr>
          <w:sz w:val="16"/>
          <w:szCs w:val="16"/>
          <w:lang w:val="sr-Latn-ME"/>
        </w:rPr>
        <w:t xml:space="preserve"> </w:t>
      </w:r>
      <w:proofErr w:type="spellStart"/>
      <w:r w:rsidRPr="00C60123">
        <w:rPr>
          <w:sz w:val="16"/>
          <w:szCs w:val="16"/>
        </w:rPr>
        <w:t>baterije</w:t>
      </w:r>
      <w:proofErr w:type="spellEnd"/>
      <w:r w:rsidRPr="00C60123">
        <w:rPr>
          <w:sz w:val="16"/>
          <w:szCs w:val="16"/>
          <w:lang w:val="sr-Latn-ME"/>
        </w:rPr>
        <w:t>.</w:t>
      </w:r>
    </w:p>
  </w:footnote>
  <w:footnote w:id="14">
    <w:p w14:paraId="3E191728" w14:textId="77777777" w:rsidR="00DB3B93" w:rsidRPr="00AC168E" w:rsidRDefault="00DB3B93">
      <w:pPr>
        <w:pStyle w:val="Tekstfusnote"/>
        <w:rPr>
          <w:lang w:val="sr-Latn-ME"/>
        </w:rPr>
      </w:pPr>
      <w:r w:rsidRPr="002012B9">
        <w:rPr>
          <w:rStyle w:val="Referencafusnote"/>
          <w:lang w:val="sr-Latn-ME"/>
        </w:rPr>
        <w:footnoteRef/>
      </w:r>
      <w:r w:rsidRPr="002012B9">
        <w:rPr>
          <w:lang w:val="sr-Latn-ME"/>
        </w:rPr>
        <w:t xml:space="preserve"> Za </w:t>
      </w:r>
      <w:r w:rsidRPr="0082176D">
        <w:rPr>
          <w:lang w:val="sr-Latn-ME"/>
        </w:rPr>
        <w:t xml:space="preserve">okvirnu direktivnu o vodama i Direktivu o kvalitetu vode </w:t>
      </w:r>
      <w:proofErr w:type="spellStart"/>
      <w:r w:rsidRPr="0082176D">
        <w:rPr>
          <w:lang w:val="sr-Latn-ME"/>
        </w:rPr>
        <w:t>anmijenjene</w:t>
      </w:r>
      <w:proofErr w:type="spellEnd"/>
      <w:r w:rsidRPr="0082176D">
        <w:rPr>
          <w:lang w:val="sr-Latn-ME"/>
        </w:rPr>
        <w:t xml:space="preserve"> za ljudsku potrošnju procijenjeno je da se neće tražiti tranzicioni periodi.</w:t>
      </w:r>
    </w:p>
  </w:footnote>
  <w:footnote w:id="15">
    <w:p w14:paraId="3E191729" w14:textId="77777777" w:rsidR="00DB3B93" w:rsidRPr="0082176D" w:rsidRDefault="00DB3B93">
      <w:pPr>
        <w:pStyle w:val="Tekstfusnote"/>
        <w:rPr>
          <w:lang w:val="sr-Latn-ME"/>
        </w:rPr>
      </w:pPr>
      <w:r w:rsidRPr="0082176D">
        <w:rPr>
          <w:rStyle w:val="Referencafusnote"/>
          <w:lang w:val="sr-Latn-ME"/>
        </w:rPr>
        <w:footnoteRef/>
      </w:r>
      <w:r w:rsidRPr="0082176D">
        <w:rPr>
          <w:lang w:val="sr-Latn-ME"/>
        </w:rPr>
        <w:t xml:space="preserve"> Uprava za statistiku</w:t>
      </w:r>
      <w:r>
        <w:rPr>
          <w:lang w:val="sr-Latn-ME"/>
        </w:rPr>
        <w:t xml:space="preserve"> (2025)</w:t>
      </w:r>
      <w:r w:rsidRPr="0082176D">
        <w:rPr>
          <w:lang w:val="sr-Latn-ME"/>
        </w:rPr>
        <w:t>, Saopšt</w:t>
      </w:r>
      <w:r w:rsidRPr="00AC168E">
        <w:rPr>
          <w:lang w:val="sr-Latn-ME"/>
        </w:rPr>
        <w:t>enje 151/2025, Stvoreni i obrađeni otpad, 28.10.2025.</w:t>
      </w:r>
    </w:p>
  </w:footnote>
  <w:footnote w:id="16">
    <w:p w14:paraId="3E19172A" w14:textId="77777777" w:rsidR="00DB3B93" w:rsidRPr="0082176D" w:rsidRDefault="00DB3B93">
      <w:pPr>
        <w:pStyle w:val="Tekstfusnote"/>
        <w:rPr>
          <w:lang w:val="sr-Latn-ME"/>
        </w:rPr>
      </w:pPr>
      <w:r w:rsidRPr="0082176D">
        <w:rPr>
          <w:rStyle w:val="Referencafusnote"/>
          <w:lang w:val="sr-Latn-ME"/>
        </w:rPr>
        <w:footnoteRef/>
      </w:r>
      <w:r w:rsidRPr="0082176D">
        <w:rPr>
          <w:lang w:val="sr-Latn-ME"/>
        </w:rPr>
        <w:t xml:space="preserve"> https://ec.europa.eu/eurostat/web/products-eurostat-news/w/ddn-20260330-1</w:t>
      </w:r>
    </w:p>
  </w:footnote>
  <w:footnote w:id="17">
    <w:p w14:paraId="3E19172B" w14:textId="77777777" w:rsidR="00DB3B93" w:rsidRPr="0091270C" w:rsidRDefault="00DB3B93" w:rsidP="0091270C">
      <w:pPr>
        <w:pStyle w:val="Tekstfusnote"/>
        <w:rPr>
          <w:sz w:val="16"/>
          <w:szCs w:val="16"/>
          <w:lang w:val="sr-Latn-ME"/>
        </w:rPr>
      </w:pPr>
      <w:r>
        <w:rPr>
          <w:rStyle w:val="Referencafusnote"/>
        </w:rPr>
        <w:footnoteRef/>
      </w:r>
      <w:r w:rsidRPr="0091270C">
        <w:rPr>
          <w:lang w:val="sr-Latn-ME"/>
        </w:rPr>
        <w:t xml:space="preserve"> </w:t>
      </w:r>
      <w:r w:rsidRPr="0091270C">
        <w:rPr>
          <w:sz w:val="16"/>
          <w:szCs w:val="16"/>
          <w:lang w:val="sr-Latn-ME"/>
        </w:rPr>
        <w:t>REGAGEN (2025), godišnji izvještaj o poređenju indikatora poslovanja vršilaca regulisanih komunalnih djelatnosti za 2024. godinu</w:t>
      </w:r>
      <w:r>
        <w:rPr>
          <w:sz w:val="16"/>
          <w:szCs w:val="16"/>
          <w:lang w:val="sr-Latn-ME"/>
        </w:rPr>
        <w:t xml:space="preserve">, </w:t>
      </w:r>
      <w:r w:rsidRPr="0091270C">
        <w:rPr>
          <w:sz w:val="16"/>
          <w:szCs w:val="16"/>
          <w:lang w:val="sr-Latn-ME"/>
        </w:rPr>
        <w:t>https://regagen.co.me/wp-content/uploads/2025/10/20251031_AK_Godisnji-izvjestaj-o-bencmarkingu-za-2024.-godinu_RKD_BM.pdf</w:t>
      </w:r>
    </w:p>
  </w:footnote>
  <w:footnote w:id="18">
    <w:p w14:paraId="3E19172C" w14:textId="77777777" w:rsidR="00DB3B93" w:rsidRPr="00CA7AAD" w:rsidRDefault="00DB3B93">
      <w:pPr>
        <w:pStyle w:val="Tekstfusnote"/>
        <w:rPr>
          <w:sz w:val="16"/>
          <w:szCs w:val="16"/>
          <w:lang w:val="sr-Latn-ME"/>
        </w:rPr>
      </w:pPr>
      <w:r w:rsidRPr="00CA7AAD">
        <w:rPr>
          <w:sz w:val="16"/>
          <w:szCs w:val="16"/>
          <w:vertAlign w:val="superscript"/>
          <w:lang w:val="sr-Latn-ME"/>
        </w:rPr>
        <w:footnoteRef/>
      </w:r>
      <w:r w:rsidRPr="00CA7AAD">
        <w:rPr>
          <w:sz w:val="16"/>
          <w:szCs w:val="16"/>
          <w:lang w:val="sr-Latn-ME"/>
        </w:rPr>
        <w:t xml:space="preserve"> https://ec.europa.eu/eurostat/databrowser/view/cei_srm030/default/table?utm_source=chatgpt.com</w:t>
      </w:r>
    </w:p>
  </w:footnote>
  <w:footnote w:id="19">
    <w:p w14:paraId="3E19172D" w14:textId="77777777" w:rsidR="00DB3B93" w:rsidRPr="00A8012D" w:rsidRDefault="00DB3B93" w:rsidP="00976EA2">
      <w:pPr>
        <w:pStyle w:val="Tekstfusnote"/>
        <w:rPr>
          <w:sz w:val="16"/>
          <w:szCs w:val="16"/>
          <w:lang w:val="sr-Latn-ME"/>
        </w:rPr>
      </w:pPr>
      <w:r w:rsidRPr="00A8012D">
        <w:rPr>
          <w:rStyle w:val="Referencafusnote"/>
          <w:sz w:val="16"/>
          <w:szCs w:val="16"/>
          <w:lang w:val="sr-Latn-ME"/>
        </w:rPr>
        <w:footnoteRef/>
      </w:r>
      <w:r w:rsidRPr="00A8012D">
        <w:rPr>
          <w:sz w:val="16"/>
          <w:szCs w:val="16"/>
          <w:lang w:val="sr-Latn-ME"/>
        </w:rPr>
        <w:t xml:space="preserve"> Ukupna površina Crne Gore iznosi približno 1.381.200 ha. Korišćeno poljoprivredno zemljište sa zajedničkim zemljištem čini oko 18% teritorije, dok korišćeno poljoprivredno zemljište bez zajedničkog zemljišta iznosi 9,2% ukupne teritorije Crne Gore. Prosječna veličina korišćenog poljoprivrednog zemljišta po gazdinstvu (sa zajedničkim zemljištem) u 2024. godini iznosi 9,8 ha, dok bez zajedničkog zemljišta iznosi 5 ha.</w:t>
      </w:r>
    </w:p>
  </w:footnote>
  <w:footnote w:id="20">
    <w:p w14:paraId="3E19172E" w14:textId="77777777" w:rsidR="00DB3B93" w:rsidRPr="00A8012D" w:rsidRDefault="00DB3B93" w:rsidP="00976EA2">
      <w:pPr>
        <w:pStyle w:val="Tekstfusnote"/>
        <w:rPr>
          <w:sz w:val="16"/>
          <w:szCs w:val="16"/>
          <w:lang w:val="sr-Latn-ME"/>
        </w:rPr>
      </w:pPr>
      <w:r w:rsidRPr="00A8012D">
        <w:rPr>
          <w:rStyle w:val="Referencafusnote"/>
          <w:sz w:val="16"/>
          <w:szCs w:val="16"/>
          <w:lang w:val="sr-Latn-ME"/>
        </w:rPr>
        <w:footnoteRef/>
      </w:r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Agrošumarstvo</w:t>
      </w:r>
      <w:proofErr w:type="spellEnd"/>
      <w:r w:rsidRPr="00A8012D">
        <w:rPr>
          <w:sz w:val="16"/>
          <w:szCs w:val="16"/>
          <w:lang w:val="sr-Latn-ME"/>
        </w:rPr>
        <w:t xml:space="preserve"> se u Crnoj Gori ne vodi kao posebna kategorija korišćenja zemljišta, te stoga ne postoji zvaničan indikator. Međutim, struktura poljoprivrednog zemljišta ukazuje na značajno prisustvo sistema koji imaju karakteristike </w:t>
      </w:r>
      <w:proofErr w:type="spellStart"/>
      <w:r w:rsidRPr="00A8012D">
        <w:rPr>
          <w:sz w:val="16"/>
          <w:szCs w:val="16"/>
          <w:lang w:val="sr-Latn-ME"/>
        </w:rPr>
        <w:t>agrošumarstva</w:t>
      </w:r>
      <w:proofErr w:type="spellEnd"/>
      <w:r w:rsidRPr="00A8012D">
        <w:rPr>
          <w:sz w:val="16"/>
          <w:szCs w:val="16"/>
          <w:lang w:val="sr-Latn-ME"/>
        </w:rPr>
        <w:t xml:space="preserve">. Prema Popisu poljoprivrede 2024, dominantan </w:t>
      </w:r>
      <w:proofErr w:type="spellStart"/>
      <w:r w:rsidRPr="00A8012D">
        <w:rPr>
          <w:sz w:val="16"/>
          <w:szCs w:val="16"/>
          <w:lang w:val="sr-Latn-ME"/>
        </w:rPr>
        <w:t>udio</w:t>
      </w:r>
      <w:proofErr w:type="spellEnd"/>
      <w:r w:rsidRPr="00A8012D">
        <w:rPr>
          <w:sz w:val="16"/>
          <w:szCs w:val="16"/>
          <w:lang w:val="sr-Latn-ME"/>
        </w:rPr>
        <w:t xml:space="preserve"> korišćenog poljoprivrednog zemljišta čine livade, pašnjaci i zajedničke ispaše, koji su tipično povezani sa </w:t>
      </w:r>
      <w:proofErr w:type="spellStart"/>
      <w:r w:rsidRPr="00A8012D">
        <w:rPr>
          <w:sz w:val="16"/>
          <w:szCs w:val="16"/>
          <w:lang w:val="sr-Latn-ME"/>
        </w:rPr>
        <w:t>silvopastoralnim</w:t>
      </w:r>
      <w:proofErr w:type="spellEnd"/>
      <w:r w:rsidRPr="00A8012D">
        <w:rPr>
          <w:sz w:val="16"/>
          <w:szCs w:val="16"/>
          <w:lang w:val="sr-Latn-ME"/>
        </w:rPr>
        <w:t xml:space="preserve"> praksama. Na osnovu ove strukture korišćenja zemljišta i preovlađujućih ekstenzivnih sistema stočarstva, može se analitički procijeniti da približno 10–20% korišćenog poljoprivrednog zemljišta (UAA) potpada pod oblike </w:t>
      </w:r>
      <w:proofErr w:type="spellStart"/>
      <w:r w:rsidRPr="00A8012D">
        <w:rPr>
          <w:sz w:val="16"/>
          <w:szCs w:val="16"/>
          <w:lang w:val="sr-Latn-ME"/>
        </w:rPr>
        <w:t>agrošumarskog</w:t>
      </w:r>
      <w:proofErr w:type="spellEnd"/>
      <w:r w:rsidRPr="00A8012D">
        <w:rPr>
          <w:sz w:val="16"/>
          <w:szCs w:val="16"/>
          <w:lang w:val="sr-Latn-ME"/>
        </w:rPr>
        <w:t xml:space="preserve"> korišćenja. Ova procjena je indikativna i nije direktno uporediva sa prosjekom EU-27 od 8,8% (na osnovu podataka </w:t>
      </w:r>
      <w:proofErr w:type="spellStart"/>
      <w:r w:rsidRPr="00A8012D">
        <w:rPr>
          <w:sz w:val="16"/>
          <w:szCs w:val="16"/>
          <w:lang w:val="sr-Latn-ME"/>
        </w:rPr>
        <w:t>Eurostat</w:t>
      </w:r>
      <w:proofErr w:type="spellEnd"/>
      <w:r w:rsidRPr="00A8012D">
        <w:rPr>
          <w:sz w:val="16"/>
          <w:szCs w:val="16"/>
          <w:lang w:val="sr-Latn-ME"/>
        </w:rPr>
        <w:t xml:space="preserve">), budući da </w:t>
      </w:r>
      <w:proofErr w:type="spellStart"/>
      <w:r w:rsidRPr="00A8012D">
        <w:rPr>
          <w:sz w:val="16"/>
          <w:szCs w:val="16"/>
          <w:lang w:val="sr-Latn-ME"/>
        </w:rPr>
        <w:t>agrošumarstvo</w:t>
      </w:r>
      <w:proofErr w:type="spellEnd"/>
      <w:r w:rsidRPr="00A8012D">
        <w:rPr>
          <w:sz w:val="16"/>
          <w:szCs w:val="16"/>
          <w:lang w:val="sr-Latn-ME"/>
        </w:rPr>
        <w:t xml:space="preserve"> u Crnoj Gori nije sistematski evidentirano već je uključeno u šire kategorije poljoprivrednog zemljišta.</w:t>
      </w:r>
    </w:p>
  </w:footnote>
  <w:footnote w:id="21">
    <w:p w14:paraId="3E19172F" w14:textId="77777777" w:rsidR="00DB3B93" w:rsidRPr="00A8012D" w:rsidRDefault="00DB3B93" w:rsidP="00976EA2">
      <w:pPr>
        <w:pStyle w:val="Tekstfusnote"/>
        <w:jc w:val="left"/>
        <w:rPr>
          <w:sz w:val="16"/>
          <w:szCs w:val="16"/>
          <w:lang w:val="sr-Latn-ME"/>
        </w:rPr>
      </w:pPr>
      <w:r w:rsidRPr="00A8012D">
        <w:rPr>
          <w:rStyle w:val="Referencafusnote"/>
          <w:sz w:val="16"/>
          <w:szCs w:val="16"/>
          <w:lang w:val="sr-Latn-ME"/>
        </w:rPr>
        <w:footnoteRef/>
      </w:r>
      <w:r w:rsidRPr="00A8012D">
        <w:rPr>
          <w:sz w:val="16"/>
          <w:szCs w:val="16"/>
          <w:lang w:val="sr-Latn-ME"/>
        </w:rPr>
        <w:t xml:space="preserve"> https://www.fao.org/family-farming/detail/en/c/1637684/#:~:text=Some%2015.4%20million%20hectares%20in,by%20this%20multifunctional%20land%20use.</w:t>
      </w:r>
    </w:p>
  </w:footnote>
  <w:footnote w:id="22">
    <w:p w14:paraId="3E191730" w14:textId="77777777" w:rsidR="00DB3B93" w:rsidRPr="00A8012D" w:rsidRDefault="00DB3B93" w:rsidP="00976EA2">
      <w:pPr>
        <w:pStyle w:val="Tekstfusnote"/>
        <w:jc w:val="left"/>
        <w:rPr>
          <w:sz w:val="16"/>
          <w:szCs w:val="16"/>
          <w:lang w:val="sr-Latn-ME"/>
        </w:rPr>
      </w:pPr>
      <w:r w:rsidRPr="00A8012D">
        <w:rPr>
          <w:rStyle w:val="Referencafusnote"/>
          <w:sz w:val="16"/>
          <w:szCs w:val="16"/>
          <w:lang w:val="sr-Latn-ME"/>
        </w:rPr>
        <w:footnoteRef/>
      </w:r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Agricultural</w:t>
      </w:r>
      <w:proofErr w:type="spellEnd"/>
      <w:r w:rsidRPr="00A8012D">
        <w:rPr>
          <w:sz w:val="16"/>
          <w:szCs w:val="16"/>
          <w:lang w:val="sr-Latn-ME"/>
        </w:rPr>
        <w:t xml:space="preserve"> </w:t>
      </w:r>
      <w:proofErr w:type="spellStart"/>
      <w:r w:rsidRPr="00A8012D">
        <w:rPr>
          <w:sz w:val="16"/>
          <w:szCs w:val="16"/>
          <w:lang w:val="sr-Latn-ME"/>
        </w:rPr>
        <w:t>census</w:t>
      </w:r>
      <w:proofErr w:type="spellEnd"/>
      <w:r w:rsidRPr="00A8012D">
        <w:rPr>
          <w:sz w:val="16"/>
          <w:szCs w:val="16"/>
          <w:lang w:val="sr-Latn-ME"/>
        </w:rPr>
        <w:t xml:space="preserve"> 2024, http://www.monstat.org/uploads/files/popis%20poljoprivrede%202024/Saopštenje%20PP2024_CG.pdf</w:t>
      </w:r>
    </w:p>
  </w:footnote>
  <w:footnote w:id="23">
    <w:p w14:paraId="3E191731" w14:textId="77777777" w:rsidR="00DB3B93" w:rsidRPr="00AC168E" w:rsidRDefault="00DB3B93">
      <w:pPr>
        <w:pStyle w:val="Tekstfusnote"/>
        <w:rPr>
          <w:sz w:val="16"/>
          <w:szCs w:val="16"/>
          <w:lang w:val="sr-Latn-ME"/>
        </w:rPr>
      </w:pPr>
      <w:r w:rsidRPr="00AC168E">
        <w:rPr>
          <w:rStyle w:val="Referencafusnote"/>
          <w:lang w:val="sr-Latn-ME"/>
        </w:rPr>
        <w:footnoteRef/>
      </w:r>
      <w:r w:rsidRPr="00AC168E">
        <w:rPr>
          <w:lang w:val="sr-Latn-ME"/>
        </w:rPr>
        <w:t xml:space="preserve"> </w:t>
      </w:r>
      <w:proofErr w:type="spellStart"/>
      <w:r>
        <w:rPr>
          <w:sz w:val="16"/>
          <w:szCs w:val="16"/>
          <w:lang w:val="sr-Latn-ME"/>
        </w:rPr>
        <w:t>V</w:t>
      </w:r>
      <w:r w:rsidRPr="00AC168E">
        <w:rPr>
          <w:sz w:val="16"/>
          <w:szCs w:val="16"/>
          <w:lang w:val="sr-Latn-ME"/>
        </w:rPr>
        <w:t>isokotemperaturna</w:t>
      </w:r>
      <w:proofErr w:type="spellEnd"/>
      <w:r w:rsidRPr="00AC168E">
        <w:rPr>
          <w:sz w:val="16"/>
          <w:szCs w:val="16"/>
          <w:lang w:val="sr-Latn-ME"/>
        </w:rPr>
        <w:t xml:space="preserve"> postrojenja za termički tretman opasnog otpada koji nije moguće reciklirati, uz iskorišćenje energije i primjenu strogih standarda zaštite životne sredine</w:t>
      </w:r>
      <w:r>
        <w:rPr>
          <w:sz w:val="16"/>
          <w:szCs w:val="16"/>
          <w:lang w:val="sr-Latn-ME"/>
        </w:rPr>
        <w:t xml:space="preserve"> (npr. regionalno postrojenje za tretman medicinskog i opasnog otpada).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D82D" w14:textId="77777777" w:rsidR="00E1787A" w:rsidRDefault="00E1787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BA3C" w14:textId="51192EFD" w:rsidR="004C165A" w:rsidRDefault="003D63A5" w:rsidP="00095509">
    <w:pPr>
      <w:pStyle w:val="Zaglavlje"/>
      <w:jc w:val="right"/>
    </w:pPr>
    <w:r w:rsidRPr="00095509">
      <w:rPr>
        <w:noProof/>
      </w:rPr>
      <w:drawing>
        <wp:anchor distT="0" distB="0" distL="114300" distR="114300" simplePos="0" relativeHeight="251659264" behindDoc="0" locked="0" layoutInCell="1" allowOverlap="1" wp14:anchorId="2FE5DAF1" wp14:editId="21F73444">
          <wp:simplePos x="0" y="0"/>
          <wp:positionH relativeFrom="column">
            <wp:posOffset>-20320</wp:posOffset>
          </wp:positionH>
          <wp:positionV relativeFrom="paragraph">
            <wp:posOffset>-156210</wp:posOffset>
          </wp:positionV>
          <wp:extent cx="1459865" cy="729615"/>
          <wp:effectExtent l="0" t="0" r="6985" b="0"/>
          <wp:wrapThrough wrapText="bothSides">
            <wp:wrapPolygon edited="0">
              <wp:start x="1973" y="3948"/>
              <wp:lineTo x="282" y="6768"/>
              <wp:lineTo x="282" y="12407"/>
              <wp:lineTo x="1973" y="14663"/>
              <wp:lineTo x="12120" y="16919"/>
              <wp:lineTo x="15784" y="16919"/>
              <wp:lineTo x="20858" y="14663"/>
              <wp:lineTo x="21421" y="12971"/>
              <wp:lineTo x="21421" y="5076"/>
              <wp:lineTo x="3382" y="3948"/>
              <wp:lineTo x="1973" y="3948"/>
            </wp:wrapPolygon>
          </wp:wrapThrough>
          <wp:docPr id="154918060" name="Picture 10">
            <a:extLst xmlns:a="http://schemas.openxmlformats.org/drawingml/2006/main">
              <a:ext uri="{FF2B5EF4-FFF2-40B4-BE49-F238E27FC236}">
                <a16:creationId xmlns:a16="http://schemas.microsoft.com/office/drawing/2014/main" id="{B462C3E9-0F16-3A9C-C01E-9CF55F5E688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B462C3E9-0F16-3A9C-C01E-9CF55F5E688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865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786E3B" w14:textId="5621C32E" w:rsidR="004C165A" w:rsidRDefault="004C165A" w:rsidP="00095509">
    <w:pPr>
      <w:pStyle w:val="Zaglavlje"/>
      <w:jc w:val="right"/>
    </w:pPr>
  </w:p>
  <w:p w14:paraId="148EE7E0" w14:textId="01B31310" w:rsidR="00095509" w:rsidRDefault="00095509" w:rsidP="00095509">
    <w:pPr>
      <w:pStyle w:val="Zaglavlje"/>
      <w:jc w:val="right"/>
    </w:pPr>
  </w:p>
  <w:p w14:paraId="12BDE674" w14:textId="77777777" w:rsidR="004C165A" w:rsidRDefault="004C165A" w:rsidP="00095509">
    <w:pPr>
      <w:pStyle w:val="Zaglavlje"/>
      <w:jc w:val="right"/>
    </w:pPr>
  </w:p>
  <w:p w14:paraId="707C518B" w14:textId="77777777" w:rsidR="004C165A" w:rsidRDefault="004C165A" w:rsidP="00095509">
    <w:pPr>
      <w:pStyle w:val="Zaglavlje"/>
      <w:jc w:val="right"/>
    </w:pPr>
  </w:p>
  <w:p w14:paraId="7FE2D4C8" w14:textId="77777777" w:rsidR="004C165A" w:rsidRDefault="004C165A" w:rsidP="00095509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E19B" w14:textId="77777777" w:rsidR="00E1787A" w:rsidRDefault="00E1787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5749"/>
    <w:multiLevelType w:val="hybridMultilevel"/>
    <w:tmpl w:val="BA9EC9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5E4D35"/>
    <w:multiLevelType w:val="hybridMultilevel"/>
    <w:tmpl w:val="435EE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E149A"/>
    <w:multiLevelType w:val="hybridMultilevel"/>
    <w:tmpl w:val="89DAE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E5A6C"/>
    <w:multiLevelType w:val="multilevel"/>
    <w:tmpl w:val="6BEE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607BE"/>
    <w:multiLevelType w:val="multilevel"/>
    <w:tmpl w:val="43EE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35922"/>
    <w:multiLevelType w:val="hybridMultilevel"/>
    <w:tmpl w:val="516C1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537AA"/>
    <w:multiLevelType w:val="multilevel"/>
    <w:tmpl w:val="6594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AC727D"/>
    <w:multiLevelType w:val="hybridMultilevel"/>
    <w:tmpl w:val="577A4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A20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5CC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CC8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660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8E4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249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00F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07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BA57870"/>
    <w:multiLevelType w:val="hybridMultilevel"/>
    <w:tmpl w:val="78689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2647F"/>
    <w:multiLevelType w:val="hybridMultilevel"/>
    <w:tmpl w:val="6E8C511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66778"/>
    <w:multiLevelType w:val="hybridMultilevel"/>
    <w:tmpl w:val="56265C46"/>
    <w:lvl w:ilvl="0" w:tplc="7E282D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C1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07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3E2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3C3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60B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8E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B2B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6A8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D10122"/>
    <w:multiLevelType w:val="hybridMultilevel"/>
    <w:tmpl w:val="6A04AD1E"/>
    <w:lvl w:ilvl="0" w:tplc="0ABC39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3AA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F023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6ED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5E8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92E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EEC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3E3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D22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B524F12"/>
    <w:multiLevelType w:val="hybridMultilevel"/>
    <w:tmpl w:val="6D2E1144"/>
    <w:lvl w:ilvl="0" w:tplc="9B92D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662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BA9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4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9E7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6A2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06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F4B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8C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427257F"/>
    <w:multiLevelType w:val="hybridMultilevel"/>
    <w:tmpl w:val="81C627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B7B77"/>
    <w:multiLevelType w:val="multilevel"/>
    <w:tmpl w:val="AB30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DA27F2"/>
    <w:multiLevelType w:val="hybridMultilevel"/>
    <w:tmpl w:val="5E6CE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662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BA9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4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9E7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6A2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06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F4B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8C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61F7EEE"/>
    <w:multiLevelType w:val="hybridMultilevel"/>
    <w:tmpl w:val="9F249B22"/>
    <w:lvl w:ilvl="0" w:tplc="16922DD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70F1C"/>
    <w:multiLevelType w:val="hybridMultilevel"/>
    <w:tmpl w:val="B9D0C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22BFC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122" w:hanging="432"/>
      </w:pPr>
    </w:lvl>
    <w:lvl w:ilvl="1">
      <w:start w:val="1"/>
      <w:numFmt w:val="decimal"/>
      <w:pStyle w:val="Naslov2"/>
      <w:lvlText w:val="%1.%2"/>
      <w:lvlJc w:val="left"/>
      <w:pPr>
        <w:ind w:left="1026" w:hanging="576"/>
      </w:pPr>
    </w:lvl>
    <w:lvl w:ilvl="2">
      <w:start w:val="1"/>
      <w:numFmt w:val="decimal"/>
      <w:pStyle w:val="Naslov3"/>
      <w:lvlText w:val="%1.%2.%3"/>
      <w:lvlJc w:val="left"/>
      <w:pPr>
        <w:ind w:left="423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BE86C55"/>
    <w:multiLevelType w:val="multilevel"/>
    <w:tmpl w:val="A670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B15F4"/>
    <w:multiLevelType w:val="hybridMultilevel"/>
    <w:tmpl w:val="D858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C318E"/>
    <w:multiLevelType w:val="hybridMultilevel"/>
    <w:tmpl w:val="BD002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51945"/>
    <w:multiLevelType w:val="hybridMultilevel"/>
    <w:tmpl w:val="38B4B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C6865"/>
    <w:multiLevelType w:val="hybridMultilevel"/>
    <w:tmpl w:val="749A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267064">
    <w:abstractNumId w:val="9"/>
  </w:num>
  <w:num w:numId="2" w16cid:durableId="574047405">
    <w:abstractNumId w:val="20"/>
  </w:num>
  <w:num w:numId="3" w16cid:durableId="367023103">
    <w:abstractNumId w:val="16"/>
  </w:num>
  <w:num w:numId="4" w16cid:durableId="1061754354">
    <w:abstractNumId w:val="21"/>
  </w:num>
  <w:num w:numId="5" w16cid:durableId="609314520">
    <w:abstractNumId w:val="18"/>
  </w:num>
  <w:num w:numId="6" w16cid:durableId="1536506548">
    <w:abstractNumId w:val="10"/>
  </w:num>
  <w:num w:numId="7" w16cid:durableId="980111096">
    <w:abstractNumId w:val="7"/>
  </w:num>
  <w:num w:numId="8" w16cid:durableId="364137838">
    <w:abstractNumId w:val="12"/>
  </w:num>
  <w:num w:numId="9" w16cid:durableId="1930000441">
    <w:abstractNumId w:val="11"/>
  </w:num>
  <w:num w:numId="10" w16cid:durableId="1786391053">
    <w:abstractNumId w:val="0"/>
  </w:num>
  <w:num w:numId="11" w16cid:durableId="2003774122">
    <w:abstractNumId w:val="15"/>
  </w:num>
  <w:num w:numId="12" w16cid:durableId="1268661803">
    <w:abstractNumId w:val="18"/>
  </w:num>
  <w:num w:numId="13" w16cid:durableId="168374068">
    <w:abstractNumId w:val="1"/>
  </w:num>
  <w:num w:numId="14" w16cid:durableId="2018069169">
    <w:abstractNumId w:val="23"/>
  </w:num>
  <w:num w:numId="15" w16cid:durableId="2137016713">
    <w:abstractNumId w:val="22"/>
  </w:num>
  <w:num w:numId="16" w16cid:durableId="1008559395">
    <w:abstractNumId w:val="19"/>
  </w:num>
  <w:num w:numId="17" w16cid:durableId="2081830261">
    <w:abstractNumId w:val="2"/>
  </w:num>
  <w:num w:numId="18" w16cid:durableId="270283113">
    <w:abstractNumId w:val="13"/>
  </w:num>
  <w:num w:numId="19" w16cid:durableId="1042359728">
    <w:abstractNumId w:val="4"/>
  </w:num>
  <w:num w:numId="20" w16cid:durableId="924142737">
    <w:abstractNumId w:val="6"/>
  </w:num>
  <w:num w:numId="21" w16cid:durableId="820972775">
    <w:abstractNumId w:val="14"/>
  </w:num>
  <w:num w:numId="22" w16cid:durableId="1981618302">
    <w:abstractNumId w:val="3"/>
  </w:num>
  <w:num w:numId="23" w16cid:durableId="714088328">
    <w:abstractNumId w:val="5"/>
  </w:num>
  <w:num w:numId="24" w16cid:durableId="124274284">
    <w:abstractNumId w:val="17"/>
  </w:num>
  <w:num w:numId="25" w16cid:durableId="2084259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6D8"/>
    <w:rsid w:val="000127EE"/>
    <w:rsid w:val="00012C3B"/>
    <w:rsid w:val="00031F43"/>
    <w:rsid w:val="0005350D"/>
    <w:rsid w:val="00056356"/>
    <w:rsid w:val="00060799"/>
    <w:rsid w:val="00063D09"/>
    <w:rsid w:val="0006612E"/>
    <w:rsid w:val="00077AFF"/>
    <w:rsid w:val="00087AA3"/>
    <w:rsid w:val="000936EB"/>
    <w:rsid w:val="00095509"/>
    <w:rsid w:val="000B18C7"/>
    <w:rsid w:val="000B1B54"/>
    <w:rsid w:val="000C63B1"/>
    <w:rsid w:val="000E17DF"/>
    <w:rsid w:val="00112D31"/>
    <w:rsid w:val="001168FA"/>
    <w:rsid w:val="00120D2A"/>
    <w:rsid w:val="001423C7"/>
    <w:rsid w:val="00142D4A"/>
    <w:rsid w:val="0015611C"/>
    <w:rsid w:val="00181CCB"/>
    <w:rsid w:val="00187762"/>
    <w:rsid w:val="00192148"/>
    <w:rsid w:val="00195318"/>
    <w:rsid w:val="00196316"/>
    <w:rsid w:val="001A12DB"/>
    <w:rsid w:val="001C112E"/>
    <w:rsid w:val="001C1AF5"/>
    <w:rsid w:val="002012B9"/>
    <w:rsid w:val="002062AD"/>
    <w:rsid w:val="00210736"/>
    <w:rsid w:val="002354B2"/>
    <w:rsid w:val="0027798A"/>
    <w:rsid w:val="00293418"/>
    <w:rsid w:val="002A663A"/>
    <w:rsid w:val="002A69E1"/>
    <w:rsid w:val="002D6FE8"/>
    <w:rsid w:val="002F3912"/>
    <w:rsid w:val="002F5960"/>
    <w:rsid w:val="00311BC7"/>
    <w:rsid w:val="00326129"/>
    <w:rsid w:val="00331198"/>
    <w:rsid w:val="00333892"/>
    <w:rsid w:val="003630F9"/>
    <w:rsid w:val="00370121"/>
    <w:rsid w:val="003B106B"/>
    <w:rsid w:val="003B160F"/>
    <w:rsid w:val="003D63A5"/>
    <w:rsid w:val="003E42E7"/>
    <w:rsid w:val="00431B66"/>
    <w:rsid w:val="00436FD2"/>
    <w:rsid w:val="004536B4"/>
    <w:rsid w:val="00481070"/>
    <w:rsid w:val="004855CC"/>
    <w:rsid w:val="004951A0"/>
    <w:rsid w:val="004C165A"/>
    <w:rsid w:val="004D6456"/>
    <w:rsid w:val="004D7E6A"/>
    <w:rsid w:val="004E736D"/>
    <w:rsid w:val="00506600"/>
    <w:rsid w:val="005103AF"/>
    <w:rsid w:val="00514619"/>
    <w:rsid w:val="00527D9B"/>
    <w:rsid w:val="00533556"/>
    <w:rsid w:val="0058116F"/>
    <w:rsid w:val="00585EC7"/>
    <w:rsid w:val="005A5799"/>
    <w:rsid w:val="005C0B84"/>
    <w:rsid w:val="005C7D66"/>
    <w:rsid w:val="005F2E19"/>
    <w:rsid w:val="00617D4F"/>
    <w:rsid w:val="00617E6C"/>
    <w:rsid w:val="0064053A"/>
    <w:rsid w:val="00672BA3"/>
    <w:rsid w:val="0068031E"/>
    <w:rsid w:val="006973C8"/>
    <w:rsid w:val="006A1BFC"/>
    <w:rsid w:val="006A3B5A"/>
    <w:rsid w:val="006D5DB7"/>
    <w:rsid w:val="006F0246"/>
    <w:rsid w:val="00701770"/>
    <w:rsid w:val="0071159D"/>
    <w:rsid w:val="0073054F"/>
    <w:rsid w:val="007355FD"/>
    <w:rsid w:val="007715C3"/>
    <w:rsid w:val="00786AA6"/>
    <w:rsid w:val="007E3035"/>
    <w:rsid w:val="007E3301"/>
    <w:rsid w:val="007E6A1E"/>
    <w:rsid w:val="0081168A"/>
    <w:rsid w:val="00811E78"/>
    <w:rsid w:val="0082176D"/>
    <w:rsid w:val="00822F4B"/>
    <w:rsid w:val="00834D16"/>
    <w:rsid w:val="00842D87"/>
    <w:rsid w:val="00846CA5"/>
    <w:rsid w:val="0087152E"/>
    <w:rsid w:val="00871C28"/>
    <w:rsid w:val="008732D9"/>
    <w:rsid w:val="008A4189"/>
    <w:rsid w:val="008D132A"/>
    <w:rsid w:val="009015CC"/>
    <w:rsid w:val="0091270C"/>
    <w:rsid w:val="00917B68"/>
    <w:rsid w:val="0093136E"/>
    <w:rsid w:val="0096123D"/>
    <w:rsid w:val="00971440"/>
    <w:rsid w:val="00976328"/>
    <w:rsid w:val="00976EA2"/>
    <w:rsid w:val="009919ED"/>
    <w:rsid w:val="00991BFC"/>
    <w:rsid w:val="009A0264"/>
    <w:rsid w:val="009A5F6A"/>
    <w:rsid w:val="009D26F3"/>
    <w:rsid w:val="009D4C1F"/>
    <w:rsid w:val="009F771C"/>
    <w:rsid w:val="00A037F6"/>
    <w:rsid w:val="00A04D67"/>
    <w:rsid w:val="00A0665D"/>
    <w:rsid w:val="00A1491C"/>
    <w:rsid w:val="00A37740"/>
    <w:rsid w:val="00A6143A"/>
    <w:rsid w:val="00A81804"/>
    <w:rsid w:val="00A9568A"/>
    <w:rsid w:val="00AC168E"/>
    <w:rsid w:val="00AF0437"/>
    <w:rsid w:val="00B146B6"/>
    <w:rsid w:val="00B17B5B"/>
    <w:rsid w:val="00B37890"/>
    <w:rsid w:val="00B722BD"/>
    <w:rsid w:val="00B77051"/>
    <w:rsid w:val="00B77B97"/>
    <w:rsid w:val="00B80E25"/>
    <w:rsid w:val="00B861C3"/>
    <w:rsid w:val="00B966D8"/>
    <w:rsid w:val="00B96841"/>
    <w:rsid w:val="00BB6A4F"/>
    <w:rsid w:val="00BC4378"/>
    <w:rsid w:val="00BD1487"/>
    <w:rsid w:val="00C07097"/>
    <w:rsid w:val="00C3270E"/>
    <w:rsid w:val="00C35F7B"/>
    <w:rsid w:val="00C43A06"/>
    <w:rsid w:val="00C44D26"/>
    <w:rsid w:val="00C60123"/>
    <w:rsid w:val="00C627E7"/>
    <w:rsid w:val="00C7697C"/>
    <w:rsid w:val="00C85095"/>
    <w:rsid w:val="00C920D0"/>
    <w:rsid w:val="00C94037"/>
    <w:rsid w:val="00CA7AAD"/>
    <w:rsid w:val="00CB3A42"/>
    <w:rsid w:val="00CB5D25"/>
    <w:rsid w:val="00CC1893"/>
    <w:rsid w:val="00CE6E5D"/>
    <w:rsid w:val="00CF675C"/>
    <w:rsid w:val="00D14BD7"/>
    <w:rsid w:val="00D34B7F"/>
    <w:rsid w:val="00D4024D"/>
    <w:rsid w:val="00D56610"/>
    <w:rsid w:val="00D85058"/>
    <w:rsid w:val="00D85897"/>
    <w:rsid w:val="00D9370C"/>
    <w:rsid w:val="00D94659"/>
    <w:rsid w:val="00DA4D77"/>
    <w:rsid w:val="00DA5C78"/>
    <w:rsid w:val="00DB1BD7"/>
    <w:rsid w:val="00DB3B93"/>
    <w:rsid w:val="00DE3962"/>
    <w:rsid w:val="00DF3C35"/>
    <w:rsid w:val="00E1787A"/>
    <w:rsid w:val="00E25CA0"/>
    <w:rsid w:val="00E37314"/>
    <w:rsid w:val="00E44852"/>
    <w:rsid w:val="00E62FC0"/>
    <w:rsid w:val="00E8066B"/>
    <w:rsid w:val="00E86C18"/>
    <w:rsid w:val="00E92DFE"/>
    <w:rsid w:val="00EA065A"/>
    <w:rsid w:val="00EB4A18"/>
    <w:rsid w:val="00EC072B"/>
    <w:rsid w:val="00EC1069"/>
    <w:rsid w:val="00EC5488"/>
    <w:rsid w:val="00EF02A3"/>
    <w:rsid w:val="00EF3B0F"/>
    <w:rsid w:val="00F014F0"/>
    <w:rsid w:val="00F33088"/>
    <w:rsid w:val="00F33B00"/>
    <w:rsid w:val="00F4622C"/>
    <w:rsid w:val="00F50C41"/>
    <w:rsid w:val="00F525E8"/>
    <w:rsid w:val="00F66BC7"/>
    <w:rsid w:val="00F84A9F"/>
    <w:rsid w:val="00F8621C"/>
    <w:rsid w:val="00FB7332"/>
    <w:rsid w:val="00FB7A1B"/>
    <w:rsid w:val="00FC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914A3"/>
  <w15:chartTrackingRefBased/>
  <w15:docId w15:val="{334B300E-F540-4826-BD6D-217A4EDD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21C"/>
    <w:pPr>
      <w:spacing w:after="120" w:line="240" w:lineRule="auto"/>
      <w:jc w:val="both"/>
    </w:pPr>
    <w:rPr>
      <w:sz w:val="20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966D8"/>
    <w:pPr>
      <w:keepNext/>
      <w:keepLines/>
      <w:numPr>
        <w:numId w:val="5"/>
      </w:numPr>
      <w:spacing w:before="360" w:after="80"/>
      <w:ind w:left="522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966D8"/>
    <w:pPr>
      <w:keepNext/>
      <w:keepLines/>
      <w:numPr>
        <w:ilvl w:val="1"/>
        <w:numId w:val="5"/>
      </w:numPr>
      <w:spacing w:before="160" w:after="80"/>
      <w:ind w:left="576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966D8"/>
    <w:pPr>
      <w:keepNext/>
      <w:keepLines/>
      <w:numPr>
        <w:ilvl w:val="2"/>
        <w:numId w:val="5"/>
      </w:numPr>
      <w:spacing w:before="160" w:after="80"/>
      <w:ind w:left="72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66D8"/>
    <w:pPr>
      <w:keepNext/>
      <w:keepLines/>
      <w:numPr>
        <w:ilvl w:val="3"/>
        <w:numId w:val="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66D8"/>
    <w:pPr>
      <w:keepNext/>
      <w:keepLines/>
      <w:numPr>
        <w:ilvl w:val="4"/>
        <w:numId w:val="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66D8"/>
    <w:pPr>
      <w:keepNext/>
      <w:keepLines/>
      <w:numPr>
        <w:ilvl w:val="5"/>
        <w:numId w:val="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66D8"/>
    <w:pPr>
      <w:keepNext/>
      <w:keepLines/>
      <w:numPr>
        <w:ilvl w:val="6"/>
        <w:numId w:val="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66D8"/>
    <w:pPr>
      <w:keepNext/>
      <w:keepLines/>
      <w:numPr>
        <w:ilvl w:val="7"/>
        <w:numId w:val="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66D8"/>
    <w:pPr>
      <w:keepNext/>
      <w:keepLines/>
      <w:numPr>
        <w:ilvl w:val="8"/>
        <w:numId w:val="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6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B96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B96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66D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66D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66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66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66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66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66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6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6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6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6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66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66D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66D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6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66D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66D8"/>
    <w:rPr>
      <w:b/>
      <w:bCs/>
      <w:smallCaps/>
      <w:color w:val="0F4761" w:themeColor="accent1" w:themeShade="BF"/>
      <w:spacing w:val="5"/>
    </w:rPr>
  </w:style>
  <w:style w:type="character" w:styleId="Naglaeno">
    <w:name w:val="Strong"/>
    <w:basedOn w:val="Zadanifontodlomka"/>
    <w:uiPriority w:val="22"/>
    <w:qFormat/>
    <w:rsid w:val="00B966D8"/>
    <w:rPr>
      <w:b/>
      <w:bCs/>
    </w:rPr>
  </w:style>
  <w:style w:type="table" w:styleId="Reetkatablice">
    <w:name w:val="Table Grid"/>
    <w:basedOn w:val="Obinatablica"/>
    <w:uiPriority w:val="39"/>
    <w:rsid w:val="00B966D8"/>
    <w:pPr>
      <w:spacing w:after="0" w:line="240" w:lineRule="auto"/>
    </w:pPr>
    <w:rPr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unhideWhenUsed/>
    <w:rsid w:val="00B966D8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B966D8"/>
    <w:rPr>
      <w:sz w:val="20"/>
      <w:szCs w:val="20"/>
      <w:lang w:val="en-US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B966D8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B966D8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B966D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966D8"/>
    <w:rPr>
      <w:sz w:val="22"/>
      <w:szCs w:val="22"/>
      <w:lang w:val="en-US"/>
      <w14:ligatures w14:val="none"/>
    </w:rPr>
  </w:style>
  <w:style w:type="paragraph" w:customStyle="1" w:styleId="T30X">
    <w:name w:val="T30X"/>
    <w:basedOn w:val="Normal"/>
    <w:uiPriority w:val="99"/>
    <w:rsid w:val="00087AA3"/>
    <w:pPr>
      <w:autoSpaceDE w:val="0"/>
      <w:autoSpaceDN w:val="0"/>
      <w:adjustRightInd w:val="0"/>
      <w:spacing w:before="60" w:after="60"/>
      <w:ind w:firstLine="283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87A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87AA3"/>
    <w:rPr>
      <w:rFonts w:ascii="Segoe UI" w:hAnsi="Segoe UI" w:cs="Segoe UI"/>
      <w:sz w:val="18"/>
      <w:szCs w:val="18"/>
      <w:lang w:val="en-US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B80E2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Istaknuto">
    <w:name w:val="Emphasis"/>
    <w:basedOn w:val="Zadanifontodlomka"/>
    <w:uiPriority w:val="20"/>
    <w:qFormat/>
    <w:rsid w:val="00976EA2"/>
    <w:rPr>
      <w:i/>
      <w:iCs/>
    </w:rPr>
  </w:style>
  <w:style w:type="paragraph" w:styleId="Revizija">
    <w:name w:val="Revision"/>
    <w:hidden/>
    <w:uiPriority w:val="99"/>
    <w:semiHidden/>
    <w:rsid w:val="00A0665D"/>
    <w:pPr>
      <w:spacing w:after="0" w:line="240" w:lineRule="auto"/>
    </w:pPr>
    <w:rPr>
      <w:sz w:val="22"/>
      <w:szCs w:val="22"/>
      <w:lang w:val="en-US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29341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93418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93418"/>
    <w:rPr>
      <w:sz w:val="20"/>
      <w:szCs w:val="20"/>
      <w:lang w:val="en-US"/>
      <w14:ligatures w14:val="none"/>
    </w:rPr>
  </w:style>
  <w:style w:type="character" w:customStyle="1" w:styleId="whitespace-normal">
    <w:name w:val="whitespace-normal"/>
    <w:basedOn w:val="Zadanifontodlomka"/>
    <w:rsid w:val="00EC5488"/>
  </w:style>
  <w:style w:type="paragraph" w:customStyle="1" w:styleId="N03Y">
    <w:name w:val="N03Y"/>
    <w:basedOn w:val="Normal"/>
    <w:uiPriority w:val="99"/>
    <w:rsid w:val="000C63B1"/>
    <w:pPr>
      <w:autoSpaceDE w:val="0"/>
      <w:autoSpaceDN w:val="0"/>
      <w:adjustRightInd w:val="0"/>
      <w:spacing w:before="200" w:after="200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sr-Latn-ME" w:eastAsia="sr-Latn-ME"/>
    </w:rPr>
  </w:style>
  <w:style w:type="character" w:customStyle="1" w:styleId="normaltextrun">
    <w:name w:val="normaltextrun"/>
    <w:basedOn w:val="Zadanifontodlomka"/>
    <w:rsid w:val="00A04D67"/>
  </w:style>
  <w:style w:type="table" w:styleId="Tablicapopisa3-isticanje4">
    <w:name w:val="List Table 3 Accent 4"/>
    <w:basedOn w:val="Obinatablica"/>
    <w:uiPriority w:val="48"/>
    <w:rsid w:val="00F8621C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095509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095509"/>
    <w:rPr>
      <w:sz w:val="20"/>
      <w:szCs w:val="22"/>
      <w:lang w:val="en-US"/>
      <w14:ligatures w14:val="none"/>
    </w:rPr>
  </w:style>
  <w:style w:type="table" w:styleId="Svijetlatablicareetke1-isticanje4">
    <w:name w:val="Grid Table 1 Light Accent 4"/>
    <w:basedOn w:val="Obinatablica"/>
    <w:uiPriority w:val="46"/>
    <w:rsid w:val="0068031E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4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9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4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1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7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2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3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5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3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0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8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35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3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3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0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ur-lex.europa.eu/eli/dir/2006/66/oj/eng" TargetMode="External"/><Relationship Id="rId18" Type="http://schemas.openxmlformats.org/officeDocument/2006/relationships/hyperlink" Target="https://eur-lex.europa.eu/legal-content/EN/TXT/?uri=CELEX%3A52025PC0545" TargetMode="External"/><Relationship Id="rId26" Type="http://schemas.openxmlformats.org/officeDocument/2006/relationships/hyperlink" Target="https://zerowastemontenegro.me/waste-management-status-montenegro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ur-lex.europa.eu/eli/dir/2018/851/oj/en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eli/dir/2012/19/oj/eng" TargetMode="External"/><Relationship Id="rId17" Type="http://schemas.openxmlformats.org/officeDocument/2006/relationships/hyperlink" Target="https://environment.ec.europa.eu/strategy/zero-pollution-action-plan_en" TargetMode="External"/><Relationship Id="rId25" Type="http://schemas.openxmlformats.org/officeDocument/2006/relationships/hyperlink" Target="https://wapi.gov.me/download-preview/979c1d5e-7bb2-4681-b53d-f361c647bf3b?version=1.0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ommission.europa.eu/strategy-and-policy/priorities-2019-2024/european-green-deal_en" TargetMode="External"/><Relationship Id="rId20" Type="http://schemas.openxmlformats.org/officeDocument/2006/relationships/hyperlink" Target="https://eur-lex.europa.eu/legal-content/EN/TXT/PDF/?uri=CELEX:02003L0087-20240301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eli/dir/1999/31/oj/eng" TargetMode="External"/><Relationship Id="rId24" Type="http://schemas.openxmlformats.org/officeDocument/2006/relationships/hyperlink" Target="https://wapi.gov.me/download-preview/0c06358d-afd2-45eb-863d-02a25969a2d9?version=1.0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eli/dir/2020/2184/oj/eng" TargetMode="External"/><Relationship Id="rId23" Type="http://schemas.openxmlformats.org/officeDocument/2006/relationships/hyperlink" Target="https://unfccc.int/sites/default/files/2025-02/001_eng_NDC_Montenegro.pdf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eur-lex.europa.eu/eli/reg/2025/40/oj/eng" TargetMode="External"/><Relationship Id="rId19" Type="http://schemas.openxmlformats.org/officeDocument/2006/relationships/hyperlink" Target="https://eur-lex.europa.eu/eli/dir/1994/62/oj/eng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ur-lex.europa.eu/legal-content/EN/TXT/?uri=celex%3A31991L0271" TargetMode="External"/><Relationship Id="rId22" Type="http://schemas.openxmlformats.org/officeDocument/2006/relationships/hyperlink" Target="https://eur-lex.europa.eu/eli/reg/2025/40/oj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api.gov.me/download-preview/0c06358d-afd2-45eb-863d-02a25969a2d9?version=1.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557FB-CCF8-492A-B1EF-D5A014F8A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20</Pages>
  <Words>9747</Words>
  <Characters>55561</Characters>
  <Application>Microsoft Office Word</Application>
  <DocSecurity>0</DocSecurity>
  <Lines>463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Ivančić</dc:creator>
  <cp:keywords/>
  <dc:description/>
  <cp:lastModifiedBy>Kresimir Ivancic</cp:lastModifiedBy>
  <cp:revision>12</cp:revision>
  <cp:lastPrinted>2026-06-01T08:58:00Z</cp:lastPrinted>
  <dcterms:created xsi:type="dcterms:W3CDTF">2026-05-28T08:10:00Z</dcterms:created>
  <dcterms:modified xsi:type="dcterms:W3CDTF">2026-06-02T10:15:00Z</dcterms:modified>
</cp:coreProperties>
</file>