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D321B" w14:textId="77777777" w:rsidR="00E02835" w:rsidRDefault="00E02835" w:rsidP="00F579F5">
      <w:pPr>
        <w:pStyle w:val="Title"/>
        <w:rPr>
          <w:lang w:val="sr-Latn-ME"/>
        </w:rPr>
      </w:pPr>
      <w:r>
        <w:rPr>
          <w:lang w:val="sr-Latn-ME"/>
        </w:rPr>
        <w:t>Prioritetna oblast 09 – Stanovanje i infrastruktura</w:t>
      </w:r>
    </w:p>
    <w:p w14:paraId="1B361F6A" w14:textId="46EAFD88" w:rsidR="0087152E" w:rsidRDefault="00F579F5" w:rsidP="00E02835">
      <w:pPr>
        <w:pStyle w:val="Subtitle"/>
        <w:rPr>
          <w:lang w:val="sr-Latn-ME"/>
        </w:rPr>
      </w:pPr>
      <w:r w:rsidRPr="00F579F5">
        <w:rPr>
          <w:lang w:val="sr-Latn-ME"/>
        </w:rPr>
        <w:t>Priprema Strateškog planskog dokumenta Crne Gore za potrebe korišćenja EU fondova</w:t>
      </w:r>
    </w:p>
    <w:p w14:paraId="6B615FC9" w14:textId="64BD18D5" w:rsidR="00F579F5" w:rsidRPr="00F579F5" w:rsidRDefault="0BB45BEF" w:rsidP="00F579F5">
      <w:pPr>
        <w:pStyle w:val="Heading1"/>
        <w:rPr>
          <w:lang w:val="sr-Latn-ME"/>
        </w:rPr>
      </w:pPr>
      <w:r w:rsidRPr="0BB45BEF">
        <w:rPr>
          <w:lang w:val="sr-Latn-ME"/>
        </w:rPr>
        <w:t>Uvod i važnost</w:t>
      </w:r>
    </w:p>
    <w:p w14:paraId="389E1C58" w14:textId="6FA362EC" w:rsidR="0BB45BEF" w:rsidRDefault="0BB45BEF" w:rsidP="0BB45BEF">
      <w:pPr>
        <w:jc w:val="both"/>
        <w:rPr>
          <w:rFonts w:ascii="Aptos" w:eastAsia="Aptos" w:hAnsi="Aptos" w:cs="Aptos"/>
          <w:color w:val="000000" w:themeColor="text1"/>
          <w:lang w:val="sr-Latn-ME"/>
        </w:rPr>
      </w:pPr>
      <w:r w:rsidRPr="0BB45BEF">
        <w:rPr>
          <w:rFonts w:ascii="Aptos" w:eastAsia="Aptos" w:hAnsi="Aptos" w:cs="Aptos"/>
          <w:color w:val="000000" w:themeColor="text1"/>
          <w:lang w:val="sr-Latn-ME"/>
        </w:rPr>
        <w:t>Situaciona analiza predstavlja analitičku osnovu za pripremu Strateškog planskog dokumenta Crne Gore za potrebe korišćenja fondova Evropske unije u okviru budućeg Nacionalnog i regionalnog partnerskog plana. Njena svrha je da, na sistematičan i na dokazima zasnovan način, identifikuje glavne razvojne izazove, potrebe, ciljne grupe, razvojne nejednakosti i investiciona uska grla u okviru predmetne oblasti politike, uzimajući u obzir ekonomske, socijalne, teritorijalne i, gdje je relevantno, ekološke dimenzije razvoja.</w:t>
      </w:r>
    </w:p>
    <w:p w14:paraId="203D954F" w14:textId="4D7FF599" w:rsidR="0BB45BEF" w:rsidRDefault="0BB45BEF" w:rsidP="0BB45BEF">
      <w:pPr>
        <w:jc w:val="both"/>
        <w:rPr>
          <w:rFonts w:ascii="Aptos" w:eastAsia="Aptos" w:hAnsi="Aptos" w:cs="Aptos"/>
          <w:color w:val="000000" w:themeColor="text1"/>
          <w:lang w:val="sr-Latn-ME"/>
        </w:rPr>
      </w:pPr>
      <w:r w:rsidRPr="0BB45BEF">
        <w:rPr>
          <w:rFonts w:ascii="Aptos" w:eastAsia="Aptos" w:hAnsi="Aptos" w:cs="Aptos"/>
          <w:color w:val="000000" w:themeColor="text1"/>
          <w:lang w:val="sr-Latn-ME"/>
        </w:rPr>
        <w:t>Značaj situacione analize dodatno proizlazi iz činjenice da je Strateški planski dokument prepoznat od strane Evropske komisije kao jedan od ključnih elemenata za ispunjenje mjerila za zatvaranje Poglavlja 22 – Regionalna politika i koordinacija strukturnih instrumenata, konkretno mjerila 2. Evropska komisija očekuje dostavljanje sveobuhvatnog, sažetog i kvalitetnog nacrta strateškog planskog dokumenta, koji u kontekstu finansijske perspektive 2021–2027 odgovara logici „Partnership Agreement“, a koji treba da obuhvati stratešku analizu, uključujući izazove, potrebe i ciljne grupe, odabrane prioritete i ciljeve, glavne očekivane rezultate, planirane tematske cjeline i izvore finansiranja, mehanizme za obezbjeđivanje usklađenosti sa relevantnim prioritetima i strategijama Evropske unije, kao i okvir upravljanja u skladu sa Evropskim kodeksom ponašanja o partnerstvu.</w:t>
      </w:r>
    </w:p>
    <w:p w14:paraId="21089394" w14:textId="06DDDB91" w:rsidR="0BB45BEF" w:rsidRDefault="0BB45BEF" w:rsidP="0BB45BEF">
      <w:pPr>
        <w:jc w:val="both"/>
        <w:rPr>
          <w:rFonts w:ascii="Aptos" w:eastAsia="Aptos" w:hAnsi="Aptos" w:cs="Aptos"/>
          <w:color w:val="000000" w:themeColor="text1"/>
          <w:lang w:val="sr-Latn-ME"/>
        </w:rPr>
      </w:pPr>
      <w:r w:rsidRPr="0BB45BEF">
        <w:rPr>
          <w:rFonts w:ascii="Aptos" w:eastAsia="Aptos" w:hAnsi="Aptos" w:cs="Aptos"/>
          <w:color w:val="000000" w:themeColor="text1"/>
          <w:lang w:val="sr-Latn-ME"/>
        </w:rPr>
        <w:t>U tom smislu, situaciona analiza ne služi samo kao opis postojećeg stanja, već kao polazna tačka za definisanje prioritetnih pravaca djelovanja, očekivanih rezultata i budućih reformskih i investicionih intervencija. U skladu sa metodološkim pristupom za izradu Strateškog planskog dokumenta, razvojni izazovi se posmatraju kao problemi koji zahtijevaju javnopolitički odgovor, a ne kao unaprijed definisane mjere ili rješenja. Zbog toga analiza mora da poveže raspoložive statističke i administrativne podatke, nalaze nacionalnih strateških dokumenata, relevantne međunarodne i EU izvore, kao i uvide ključnih institucija i partnera.</w:t>
      </w:r>
    </w:p>
    <w:p w14:paraId="15A9A299" w14:textId="001097F7" w:rsidR="0BB45BEF" w:rsidRDefault="0BB45BEF" w:rsidP="0BB45BEF">
      <w:pPr>
        <w:jc w:val="both"/>
        <w:rPr>
          <w:rFonts w:ascii="Aptos" w:eastAsia="Aptos" w:hAnsi="Aptos" w:cs="Aptos"/>
          <w:color w:val="000000" w:themeColor="text1"/>
          <w:lang w:val="sr-Latn-ME"/>
        </w:rPr>
      </w:pPr>
      <w:r w:rsidRPr="0BB45BEF">
        <w:rPr>
          <w:rFonts w:ascii="Aptos" w:eastAsia="Aptos" w:hAnsi="Aptos" w:cs="Aptos"/>
          <w:color w:val="000000" w:themeColor="text1"/>
          <w:lang w:val="sr-Latn-ME"/>
        </w:rPr>
        <w:t xml:space="preserve">Situaciona analiza istovremeno ima i važnu funkciju u obezbjeđivanju usklađenosti budućeg strateškog dokumenta sa prioritetima Evropske unije, pravnom tekovinom EU i programskim okvirom za period nakon 2027. godine. Kroz pregled međunarodnog i nacionalnog strateškog i pravnog okvira, planiranih reformi i ključnih pokazatelja, analiza </w:t>
      </w:r>
      <w:r w:rsidRPr="0BB45BEF">
        <w:rPr>
          <w:rFonts w:ascii="Aptos" w:eastAsia="Aptos" w:hAnsi="Aptos" w:cs="Aptos"/>
          <w:color w:val="000000" w:themeColor="text1"/>
          <w:lang w:val="sr-Latn-ME"/>
        </w:rPr>
        <w:lastRenderedPageBreak/>
        <w:t>omogućava da se predmetna oblast politike sagleda u širem razvojnom i pristupnom kontekstu, uključujući doprinos pametnom, održivom i inkluzivnom rastu, ekonomskoj, socijalnoj i teritorijalnoj koheziji, kao i smanjenju razvojnih dispariteta.</w:t>
      </w:r>
    </w:p>
    <w:p w14:paraId="1D036703" w14:textId="50C5C92E" w:rsidR="0BB45BEF" w:rsidRDefault="0BB45BEF" w:rsidP="0BB45BEF">
      <w:pPr>
        <w:jc w:val="both"/>
        <w:rPr>
          <w:rFonts w:ascii="Aptos" w:eastAsia="Aptos" w:hAnsi="Aptos" w:cs="Aptos"/>
          <w:color w:val="000000" w:themeColor="text1"/>
          <w:lang w:val="sr-Latn-ME"/>
        </w:rPr>
      </w:pPr>
      <w:r w:rsidRPr="0BB45BEF">
        <w:rPr>
          <w:rFonts w:ascii="Aptos" w:eastAsia="Aptos" w:hAnsi="Aptos" w:cs="Aptos"/>
          <w:color w:val="000000" w:themeColor="text1"/>
          <w:lang w:val="sr-Latn-ME"/>
        </w:rPr>
        <w:t>Pored toga, situaciona analiza je važan alat za strukturiranje dijaloga unutar radnih grupa i sa širim krugom partnera. Njome se obezbjeđuje zajednička analitička osnova za SWOT razmatranje, validaciju nalaza i identifikaciju dugog spiska razvojnih izazova, koji će u narednim koracima biti prioritizovani. Na taj način, situaciona analiza doprinosi transparentnom, participativnom i metodološki utemeljenom procesu planiranja, u skladu sa principom partnerstva i višerazinskog upravljanja.</w:t>
      </w:r>
    </w:p>
    <w:p w14:paraId="68AAD0E9" w14:textId="05AA84D4" w:rsidR="00F579F5" w:rsidRPr="00BE21C1" w:rsidRDefault="43C7F2DD" w:rsidP="00BE21C1">
      <w:pPr>
        <w:pStyle w:val="Heading1"/>
        <w:rPr>
          <w:lang w:val="sr-Latn-ME"/>
        </w:rPr>
      </w:pPr>
      <w:r w:rsidRPr="43C7F2DD">
        <w:rPr>
          <w:lang w:val="sr-Latn-ME"/>
        </w:rPr>
        <w:t xml:space="preserve">Opis prioritetnih područja </w:t>
      </w:r>
    </w:p>
    <w:tbl>
      <w:tblPr>
        <w:tblStyle w:val="TableGrid"/>
        <w:tblW w:w="8706" w:type="dxa"/>
        <w:tblLook w:val="04A0" w:firstRow="1" w:lastRow="0" w:firstColumn="1" w:lastColumn="0" w:noHBand="0" w:noVBand="1"/>
      </w:tblPr>
      <w:tblGrid>
        <w:gridCol w:w="1740"/>
        <w:gridCol w:w="2877"/>
        <w:gridCol w:w="1830"/>
        <w:gridCol w:w="2259"/>
      </w:tblGrid>
      <w:tr w:rsidR="00F579F5" w:rsidRPr="00641C34" w14:paraId="479424C2" w14:textId="54850EDA" w:rsidTr="63DAC6F6">
        <w:tc>
          <w:tcPr>
            <w:tcW w:w="1740" w:type="dxa"/>
          </w:tcPr>
          <w:p w14:paraId="0439334F" w14:textId="0EA28359" w:rsidR="43C7F2DD" w:rsidRDefault="43C7F2DD" w:rsidP="43C7F2DD">
            <w:pPr>
              <w:jc w:val="both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43C7F2DD">
              <w:rPr>
                <w:rFonts w:ascii="Aptos" w:eastAsia="Aptos" w:hAnsi="Aptos" w:cs="Aptos"/>
                <w:b/>
                <w:bCs/>
                <w:color w:val="000000" w:themeColor="text1"/>
                <w:sz w:val="20"/>
                <w:szCs w:val="20"/>
                <w:lang w:val="sr-Latn-ME"/>
              </w:rPr>
              <w:t>Kod Prioritetnog područja nivo 1</w:t>
            </w:r>
          </w:p>
        </w:tc>
        <w:tc>
          <w:tcPr>
            <w:tcW w:w="2877" w:type="dxa"/>
          </w:tcPr>
          <w:p w14:paraId="6FF9A3BD" w14:textId="2577CAEA" w:rsidR="43C7F2DD" w:rsidRDefault="43C7F2DD" w:rsidP="43C7F2DD">
            <w:pPr>
              <w:jc w:val="both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43C7F2DD">
              <w:rPr>
                <w:rFonts w:ascii="Aptos" w:eastAsia="Aptos" w:hAnsi="Aptos" w:cs="Aptos"/>
                <w:b/>
                <w:bCs/>
                <w:color w:val="000000" w:themeColor="text1"/>
                <w:sz w:val="20"/>
                <w:szCs w:val="20"/>
                <w:lang w:val="sr-Latn-ME"/>
              </w:rPr>
              <w:t>Naziv Prioritetnog područja nivo 1</w:t>
            </w:r>
          </w:p>
        </w:tc>
        <w:tc>
          <w:tcPr>
            <w:tcW w:w="1830" w:type="dxa"/>
          </w:tcPr>
          <w:p w14:paraId="2C8CE56D" w14:textId="21506423" w:rsidR="43C7F2DD" w:rsidRDefault="43C7F2DD" w:rsidP="43C7F2DD">
            <w:pPr>
              <w:jc w:val="both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43C7F2DD">
              <w:rPr>
                <w:rFonts w:ascii="Aptos" w:eastAsia="Aptos" w:hAnsi="Aptos" w:cs="Aptos"/>
                <w:b/>
                <w:bCs/>
                <w:color w:val="000000" w:themeColor="text1"/>
                <w:sz w:val="20"/>
                <w:szCs w:val="20"/>
                <w:lang w:val="sr-Latn-ME"/>
              </w:rPr>
              <w:t>Kod Prioritetnog područja nivo 2</w:t>
            </w:r>
          </w:p>
        </w:tc>
        <w:tc>
          <w:tcPr>
            <w:tcW w:w="2259" w:type="dxa"/>
          </w:tcPr>
          <w:p w14:paraId="716CE6F0" w14:textId="1DB2D877" w:rsidR="43C7F2DD" w:rsidRDefault="63DAC6F6" w:rsidP="43C7F2DD">
            <w:pPr>
              <w:jc w:val="both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63DAC6F6">
              <w:rPr>
                <w:rFonts w:ascii="Aptos" w:eastAsia="Aptos" w:hAnsi="Aptos" w:cs="Aptos"/>
                <w:b/>
                <w:bCs/>
                <w:color w:val="000000" w:themeColor="text1"/>
                <w:sz w:val="20"/>
                <w:szCs w:val="20"/>
                <w:lang w:val="sr-Latn-ME"/>
              </w:rPr>
              <w:t>Naziv Prioritetnog područja nivo 2</w:t>
            </w:r>
          </w:p>
        </w:tc>
      </w:tr>
      <w:tr w:rsidR="00641C34" w:rsidRPr="00641C34" w14:paraId="52B2FC20" w14:textId="45C77E14" w:rsidTr="63DAC6F6">
        <w:trPr>
          <w:trHeight w:val="360"/>
        </w:trPr>
        <w:tc>
          <w:tcPr>
            <w:tcW w:w="1740" w:type="dxa"/>
          </w:tcPr>
          <w:p w14:paraId="1952FEAB" w14:textId="63C8B8D8" w:rsidR="00641C34" w:rsidRPr="00641C34" w:rsidRDefault="0BB45BEF" w:rsidP="0BB45BEF">
            <w:pPr>
              <w:rPr>
                <w:sz w:val="20"/>
                <w:szCs w:val="20"/>
                <w:lang w:val="sr-Latn-ME"/>
              </w:rPr>
            </w:pPr>
            <w:r w:rsidRPr="0BB45BEF">
              <w:rPr>
                <w:sz w:val="20"/>
                <w:szCs w:val="20"/>
              </w:rPr>
              <w:t>9</w:t>
            </w:r>
          </w:p>
        </w:tc>
        <w:tc>
          <w:tcPr>
            <w:tcW w:w="2877" w:type="dxa"/>
          </w:tcPr>
          <w:p w14:paraId="2000B7F2" w14:textId="03D01B26" w:rsidR="00641C34" w:rsidRPr="00641C34" w:rsidRDefault="63DAC6F6" w:rsidP="0BB45BEF">
            <w:pPr>
              <w:rPr>
                <w:b/>
                <w:bCs/>
                <w:sz w:val="20"/>
                <w:szCs w:val="20"/>
                <w:lang w:val="sr-Latn-ME"/>
              </w:rPr>
            </w:pPr>
            <w:proofErr w:type="spellStart"/>
            <w:r w:rsidRPr="63DAC6F6">
              <w:rPr>
                <w:b/>
                <w:bCs/>
                <w:sz w:val="20"/>
                <w:szCs w:val="20"/>
              </w:rPr>
              <w:t>Stanovanje</w:t>
            </w:r>
            <w:proofErr w:type="spellEnd"/>
            <w:r w:rsidRPr="63DAC6F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63DAC6F6">
              <w:rPr>
                <w:b/>
                <w:bCs/>
                <w:sz w:val="20"/>
                <w:szCs w:val="20"/>
              </w:rPr>
              <w:t>i</w:t>
            </w:r>
            <w:proofErr w:type="spellEnd"/>
            <w:r w:rsidRPr="63DAC6F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63DAC6F6">
              <w:rPr>
                <w:b/>
                <w:bCs/>
                <w:sz w:val="20"/>
                <w:szCs w:val="20"/>
              </w:rPr>
              <w:t>infrastruktura</w:t>
            </w:r>
            <w:proofErr w:type="spellEnd"/>
          </w:p>
        </w:tc>
        <w:tc>
          <w:tcPr>
            <w:tcW w:w="1830" w:type="dxa"/>
          </w:tcPr>
          <w:p w14:paraId="6D849FA3" w14:textId="716F12F7" w:rsidR="00641C34" w:rsidRPr="00641C34" w:rsidRDefault="63DAC6F6" w:rsidP="63DAC6F6">
            <w:pPr>
              <w:rPr>
                <w:b/>
                <w:bCs/>
                <w:sz w:val="20"/>
                <w:szCs w:val="20"/>
                <w:lang w:val="sr-Latn-ME"/>
              </w:rPr>
            </w:pPr>
            <w:r w:rsidRPr="63DAC6F6">
              <w:rPr>
                <w:b/>
                <w:bCs/>
                <w:sz w:val="20"/>
                <w:szCs w:val="20"/>
              </w:rPr>
              <w:t>9.42</w:t>
            </w:r>
          </w:p>
        </w:tc>
        <w:tc>
          <w:tcPr>
            <w:tcW w:w="2259" w:type="dxa"/>
          </w:tcPr>
          <w:p w14:paraId="113CAF71" w14:textId="66A62312" w:rsidR="00641C34" w:rsidRPr="00641C34" w:rsidRDefault="63DAC6F6" w:rsidP="63DAC6F6">
            <w:pPr>
              <w:rPr>
                <w:b/>
                <w:bCs/>
                <w:sz w:val="20"/>
                <w:szCs w:val="20"/>
                <w:lang w:val="sr-Latn-ME"/>
              </w:rPr>
            </w:pPr>
            <w:proofErr w:type="spellStart"/>
            <w:r w:rsidRPr="63DAC6F6">
              <w:rPr>
                <w:b/>
                <w:bCs/>
                <w:sz w:val="20"/>
                <w:szCs w:val="20"/>
              </w:rPr>
              <w:t>Izgradnja</w:t>
            </w:r>
            <w:proofErr w:type="spellEnd"/>
          </w:p>
        </w:tc>
      </w:tr>
      <w:tr w:rsidR="00641C34" w:rsidRPr="00641C34" w14:paraId="683D5823" w14:textId="60234449" w:rsidTr="63DAC6F6">
        <w:tc>
          <w:tcPr>
            <w:tcW w:w="1740" w:type="dxa"/>
          </w:tcPr>
          <w:p w14:paraId="377F3CB4" w14:textId="77777777" w:rsidR="00641C34" w:rsidRPr="00641C34" w:rsidRDefault="00641C34" w:rsidP="0BB45BEF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2877" w:type="dxa"/>
          </w:tcPr>
          <w:p w14:paraId="2748A081" w14:textId="77777777" w:rsidR="00641C34" w:rsidRPr="00641C34" w:rsidRDefault="00641C34" w:rsidP="63DAC6F6">
            <w:pPr>
              <w:rPr>
                <w:b/>
                <w:bCs/>
                <w:sz w:val="20"/>
                <w:szCs w:val="20"/>
                <w:lang w:val="sr-Latn-ME"/>
              </w:rPr>
            </w:pPr>
          </w:p>
        </w:tc>
        <w:tc>
          <w:tcPr>
            <w:tcW w:w="1830" w:type="dxa"/>
          </w:tcPr>
          <w:p w14:paraId="099E9647" w14:textId="1E1EF767" w:rsidR="00641C34" w:rsidRPr="00641C34" w:rsidRDefault="63DAC6F6" w:rsidP="63DAC6F6">
            <w:pPr>
              <w:rPr>
                <w:b/>
                <w:bCs/>
                <w:sz w:val="20"/>
                <w:szCs w:val="20"/>
                <w:lang w:val="sr-Latn-ME"/>
              </w:rPr>
            </w:pPr>
            <w:r w:rsidRPr="63DAC6F6">
              <w:rPr>
                <w:b/>
                <w:bCs/>
                <w:sz w:val="20"/>
                <w:szCs w:val="20"/>
              </w:rPr>
              <w:t>9.43</w:t>
            </w:r>
          </w:p>
        </w:tc>
        <w:tc>
          <w:tcPr>
            <w:tcW w:w="2259" w:type="dxa"/>
          </w:tcPr>
          <w:p w14:paraId="43FF943D" w14:textId="6CED8E0F" w:rsidR="00641C34" w:rsidRPr="00641C34" w:rsidRDefault="63DAC6F6" w:rsidP="63DAC6F6">
            <w:pPr>
              <w:rPr>
                <w:b/>
                <w:bCs/>
                <w:sz w:val="20"/>
                <w:szCs w:val="20"/>
                <w:lang w:val="sr-Latn-ME"/>
              </w:rPr>
            </w:pPr>
            <w:proofErr w:type="spellStart"/>
            <w:proofErr w:type="gramStart"/>
            <w:r w:rsidRPr="63DAC6F6">
              <w:rPr>
                <w:b/>
                <w:bCs/>
                <w:sz w:val="20"/>
                <w:szCs w:val="20"/>
              </w:rPr>
              <w:t>Rušenje</w:t>
            </w:r>
            <w:proofErr w:type="spellEnd"/>
            <w:r w:rsidRPr="63DAC6F6">
              <w:rPr>
                <w:b/>
                <w:bCs/>
                <w:sz w:val="20"/>
                <w:szCs w:val="20"/>
              </w:rPr>
              <w:t xml:space="preserve">( </w:t>
            </w:r>
            <w:proofErr w:type="spellStart"/>
            <w:r w:rsidRPr="63DAC6F6">
              <w:rPr>
                <w:b/>
                <w:bCs/>
                <w:sz w:val="20"/>
                <w:szCs w:val="20"/>
              </w:rPr>
              <w:t>demolicija</w:t>
            </w:r>
            <w:proofErr w:type="spellEnd"/>
            <w:proofErr w:type="gramEnd"/>
            <w:r w:rsidRPr="63DAC6F6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641C34" w:rsidRPr="00641C34" w14:paraId="27339FDA" w14:textId="77777777" w:rsidTr="63DAC6F6">
        <w:tc>
          <w:tcPr>
            <w:tcW w:w="1740" w:type="dxa"/>
          </w:tcPr>
          <w:p w14:paraId="0C80A456" w14:textId="77777777" w:rsidR="00641C34" w:rsidRPr="00641C34" w:rsidRDefault="00641C34" w:rsidP="0BB45BEF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2877" w:type="dxa"/>
          </w:tcPr>
          <w:p w14:paraId="3E2D41DF" w14:textId="77777777" w:rsidR="00641C34" w:rsidRPr="00641C34" w:rsidRDefault="00641C34" w:rsidP="63DAC6F6">
            <w:pPr>
              <w:rPr>
                <w:b/>
                <w:bCs/>
                <w:sz w:val="20"/>
                <w:szCs w:val="20"/>
                <w:lang w:val="sr-Latn-ME"/>
              </w:rPr>
            </w:pPr>
          </w:p>
        </w:tc>
        <w:tc>
          <w:tcPr>
            <w:tcW w:w="1830" w:type="dxa"/>
          </w:tcPr>
          <w:p w14:paraId="6944DE8D" w14:textId="0C5325A1" w:rsidR="00641C34" w:rsidRPr="00641C34" w:rsidRDefault="63DAC6F6" w:rsidP="63DAC6F6">
            <w:pPr>
              <w:rPr>
                <w:b/>
                <w:bCs/>
                <w:sz w:val="20"/>
                <w:szCs w:val="20"/>
                <w:lang w:val="sr-Latn-ME"/>
              </w:rPr>
            </w:pPr>
            <w:r w:rsidRPr="63DAC6F6">
              <w:rPr>
                <w:b/>
                <w:bCs/>
                <w:sz w:val="20"/>
                <w:szCs w:val="20"/>
              </w:rPr>
              <w:t>9.05</w:t>
            </w:r>
          </w:p>
        </w:tc>
        <w:tc>
          <w:tcPr>
            <w:tcW w:w="2259" w:type="dxa"/>
          </w:tcPr>
          <w:p w14:paraId="121ABF90" w14:textId="1A9CFC79" w:rsidR="00641C34" w:rsidRPr="00641C34" w:rsidRDefault="63DAC6F6" w:rsidP="63DAC6F6">
            <w:pPr>
              <w:rPr>
                <w:b/>
                <w:bCs/>
                <w:sz w:val="20"/>
                <w:szCs w:val="20"/>
                <w:lang w:val="sr-Latn-ME"/>
              </w:rPr>
            </w:pPr>
            <w:proofErr w:type="spellStart"/>
            <w:r w:rsidRPr="63DAC6F6">
              <w:rPr>
                <w:b/>
                <w:bCs/>
                <w:sz w:val="20"/>
                <w:szCs w:val="20"/>
              </w:rPr>
              <w:t>Reforme</w:t>
            </w:r>
            <w:proofErr w:type="spellEnd"/>
            <w:r w:rsidRPr="63DAC6F6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41C34" w:rsidRPr="00641C34" w14:paraId="762AE61F" w14:textId="77777777" w:rsidTr="63DAC6F6">
        <w:tc>
          <w:tcPr>
            <w:tcW w:w="1740" w:type="dxa"/>
          </w:tcPr>
          <w:p w14:paraId="15E951A3" w14:textId="77777777" w:rsidR="00641C34" w:rsidRPr="00641C34" w:rsidRDefault="00641C34" w:rsidP="0BB45BEF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2877" w:type="dxa"/>
          </w:tcPr>
          <w:p w14:paraId="32EDAA8A" w14:textId="77777777" w:rsidR="00641C34" w:rsidRPr="00641C34" w:rsidRDefault="00641C34" w:rsidP="63DAC6F6">
            <w:pPr>
              <w:rPr>
                <w:b/>
                <w:bCs/>
                <w:sz w:val="20"/>
                <w:szCs w:val="20"/>
                <w:lang w:val="sr-Latn-ME"/>
              </w:rPr>
            </w:pPr>
          </w:p>
        </w:tc>
        <w:tc>
          <w:tcPr>
            <w:tcW w:w="1830" w:type="dxa"/>
          </w:tcPr>
          <w:p w14:paraId="62B43F2E" w14:textId="59ACA071" w:rsidR="00641C34" w:rsidRPr="00641C34" w:rsidRDefault="63DAC6F6" w:rsidP="63DAC6F6">
            <w:pPr>
              <w:rPr>
                <w:b/>
                <w:bCs/>
                <w:sz w:val="20"/>
                <w:szCs w:val="20"/>
                <w:lang w:val="sr-Latn-ME"/>
              </w:rPr>
            </w:pPr>
            <w:r w:rsidRPr="63DAC6F6">
              <w:rPr>
                <w:b/>
                <w:bCs/>
                <w:sz w:val="20"/>
                <w:szCs w:val="20"/>
              </w:rPr>
              <w:t>9.44</w:t>
            </w:r>
          </w:p>
        </w:tc>
        <w:tc>
          <w:tcPr>
            <w:tcW w:w="2259" w:type="dxa"/>
          </w:tcPr>
          <w:p w14:paraId="37E8B9C1" w14:textId="1CB8F4BA" w:rsidR="00641C34" w:rsidRPr="00641C34" w:rsidRDefault="63DAC6F6" w:rsidP="63DAC6F6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63DAC6F6">
              <w:rPr>
                <w:b/>
                <w:bCs/>
                <w:sz w:val="20"/>
                <w:szCs w:val="20"/>
              </w:rPr>
              <w:t>Socijalno</w:t>
            </w:r>
            <w:proofErr w:type="spellEnd"/>
            <w:r w:rsidRPr="63DAC6F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63DAC6F6">
              <w:rPr>
                <w:b/>
                <w:bCs/>
                <w:sz w:val="20"/>
                <w:szCs w:val="20"/>
              </w:rPr>
              <w:t>i</w:t>
            </w:r>
            <w:proofErr w:type="spellEnd"/>
            <w:r w:rsidRPr="63DAC6F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63DAC6F6">
              <w:rPr>
                <w:b/>
                <w:bCs/>
                <w:sz w:val="20"/>
                <w:szCs w:val="20"/>
              </w:rPr>
              <w:t>pristupačno</w:t>
            </w:r>
            <w:proofErr w:type="spellEnd"/>
            <w:r w:rsidRPr="63DAC6F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63DAC6F6">
              <w:rPr>
                <w:b/>
                <w:bCs/>
                <w:sz w:val="20"/>
                <w:szCs w:val="20"/>
              </w:rPr>
              <w:t>stanovanje</w:t>
            </w:r>
            <w:proofErr w:type="spellEnd"/>
          </w:p>
        </w:tc>
      </w:tr>
    </w:tbl>
    <w:p w14:paraId="0FDA5261" w14:textId="77777777" w:rsidR="00F579F5" w:rsidRDefault="00F579F5" w:rsidP="00F579F5">
      <w:pPr>
        <w:rPr>
          <w:lang w:val="sr-Latn-ME"/>
        </w:rPr>
      </w:pPr>
    </w:p>
    <w:p w14:paraId="1B481561" w14:textId="1D6B1AC7" w:rsidR="00F579F5" w:rsidRDefault="00F579F5" w:rsidP="00F579F5">
      <w:pPr>
        <w:pStyle w:val="Heading1"/>
        <w:rPr>
          <w:lang w:val="sr-Latn-ME"/>
        </w:rPr>
      </w:pPr>
      <w:r>
        <w:rPr>
          <w:lang w:val="sr-Latn-ME"/>
        </w:rPr>
        <w:t>Situacijska analiza</w:t>
      </w:r>
    </w:p>
    <w:p w14:paraId="370D6FC9" w14:textId="4ABBBA55" w:rsidR="00F579F5" w:rsidRDefault="63DAC6F6" w:rsidP="00F579F5">
      <w:pPr>
        <w:pStyle w:val="Heading2"/>
        <w:rPr>
          <w:lang w:val="sr-Latn-ME"/>
        </w:rPr>
      </w:pPr>
      <w:r w:rsidRPr="63DAC6F6">
        <w:rPr>
          <w:lang w:val="sr-Latn-ME"/>
        </w:rPr>
        <w:t>Prioritetno područje nivo 1</w:t>
      </w:r>
    </w:p>
    <w:p w14:paraId="10255A7E" w14:textId="26AD0F2F" w:rsidR="00661EAA" w:rsidRPr="006C09AE" w:rsidRDefault="00661EAA" w:rsidP="00661EAA">
      <w:pPr>
        <w:pStyle w:val="NormalWeb"/>
        <w:jc w:val="both"/>
        <w:rPr>
          <w:rFonts w:asciiTheme="minorHAnsi" w:hAnsiTheme="minorHAnsi"/>
          <w:lang w:val="sr-Latn-ME"/>
        </w:rPr>
      </w:pPr>
      <w:r w:rsidRPr="00661EAA">
        <w:rPr>
          <w:rFonts w:asciiTheme="minorHAnsi" w:hAnsiTheme="minorHAnsi"/>
          <w:lang w:val="pt-BR"/>
        </w:rPr>
        <w:t>Prioritetno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podru</w:t>
      </w:r>
      <w:r w:rsidRPr="006C09AE">
        <w:rPr>
          <w:rFonts w:asciiTheme="minorHAnsi" w:hAnsiTheme="minorHAnsi"/>
          <w:lang w:val="sr-Latn-ME"/>
        </w:rPr>
        <w:t>č</w:t>
      </w:r>
      <w:r w:rsidRPr="00661EAA">
        <w:rPr>
          <w:rFonts w:asciiTheme="minorHAnsi" w:hAnsiTheme="minorHAnsi"/>
          <w:lang w:val="pt-BR"/>
        </w:rPr>
        <w:t>je</w:t>
      </w:r>
      <w:r w:rsidRPr="006C09AE">
        <w:rPr>
          <w:rFonts w:asciiTheme="minorHAnsi" w:hAnsiTheme="minorHAnsi"/>
          <w:lang w:val="sr-Latn-ME"/>
        </w:rPr>
        <w:t xml:space="preserve"> </w:t>
      </w:r>
      <w:r w:rsidRPr="00641C34">
        <w:rPr>
          <w:rFonts w:asciiTheme="minorHAnsi" w:hAnsiTheme="minorHAnsi"/>
          <w:b/>
          <w:bCs/>
          <w:lang w:val="pt-BR"/>
        </w:rPr>
        <w:t>Stanovanje</w:t>
      </w:r>
      <w:r w:rsidRPr="00641C34">
        <w:rPr>
          <w:rFonts w:asciiTheme="minorHAnsi" w:hAnsiTheme="minorHAnsi"/>
          <w:b/>
          <w:bCs/>
          <w:lang w:val="sr-Latn-ME"/>
        </w:rPr>
        <w:t xml:space="preserve"> </w:t>
      </w:r>
      <w:r w:rsidRPr="00641C34">
        <w:rPr>
          <w:rFonts w:asciiTheme="minorHAnsi" w:hAnsiTheme="minorHAnsi"/>
          <w:b/>
          <w:bCs/>
          <w:lang w:val="pt-BR"/>
        </w:rPr>
        <w:t>i</w:t>
      </w:r>
      <w:r w:rsidRPr="00641C34">
        <w:rPr>
          <w:rFonts w:asciiTheme="minorHAnsi" w:hAnsiTheme="minorHAnsi"/>
          <w:b/>
          <w:bCs/>
          <w:lang w:val="sr-Latn-ME"/>
        </w:rPr>
        <w:t xml:space="preserve"> </w:t>
      </w:r>
      <w:r w:rsidRPr="00641C34">
        <w:rPr>
          <w:rFonts w:asciiTheme="minorHAnsi" w:hAnsiTheme="minorHAnsi"/>
          <w:b/>
          <w:bCs/>
          <w:lang w:val="pt-BR"/>
        </w:rPr>
        <w:t>infrastruktura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odnosi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se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na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aktivnosti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usmjerene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na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izgradnju</w:t>
      </w:r>
      <w:r w:rsidRPr="006C09AE">
        <w:rPr>
          <w:rFonts w:asciiTheme="minorHAnsi" w:hAnsiTheme="minorHAnsi"/>
          <w:lang w:val="sr-Latn-ME"/>
        </w:rPr>
        <w:t xml:space="preserve">, </w:t>
      </w:r>
      <w:r w:rsidRPr="00661EAA">
        <w:rPr>
          <w:rFonts w:asciiTheme="minorHAnsi" w:hAnsiTheme="minorHAnsi"/>
          <w:lang w:val="pt-BR"/>
        </w:rPr>
        <w:t>rehabilitaciju</w:t>
      </w:r>
      <w:r w:rsidRPr="006C09AE">
        <w:rPr>
          <w:rFonts w:asciiTheme="minorHAnsi" w:hAnsiTheme="minorHAnsi"/>
          <w:lang w:val="sr-Latn-ME"/>
        </w:rPr>
        <w:t xml:space="preserve">, </w:t>
      </w:r>
      <w:r w:rsidRPr="00661EAA">
        <w:rPr>
          <w:rFonts w:asciiTheme="minorHAnsi" w:hAnsiTheme="minorHAnsi"/>
          <w:lang w:val="pt-BR"/>
        </w:rPr>
        <w:t>obezbje</w:t>
      </w:r>
      <w:r w:rsidRPr="006C09AE">
        <w:rPr>
          <w:rFonts w:asciiTheme="minorHAnsi" w:hAnsiTheme="minorHAnsi"/>
          <w:lang w:val="sr-Latn-ME"/>
        </w:rPr>
        <w:t>đ</w:t>
      </w:r>
      <w:r w:rsidRPr="00661EAA">
        <w:rPr>
          <w:rFonts w:asciiTheme="minorHAnsi" w:hAnsiTheme="minorHAnsi"/>
          <w:lang w:val="pt-BR"/>
        </w:rPr>
        <w:t>ivanje</w:t>
      </w:r>
      <w:r w:rsidRPr="006C09AE">
        <w:rPr>
          <w:rFonts w:asciiTheme="minorHAnsi" w:hAnsiTheme="minorHAnsi"/>
          <w:lang w:val="sr-Latn-ME"/>
        </w:rPr>
        <w:t xml:space="preserve">, </w:t>
      </w:r>
      <w:r w:rsidRPr="00661EAA">
        <w:rPr>
          <w:rFonts w:asciiTheme="minorHAnsi" w:hAnsiTheme="minorHAnsi"/>
          <w:lang w:val="pt-BR"/>
        </w:rPr>
        <w:t>prenamjenu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uklanjanje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objekata</w:t>
      </w:r>
      <w:r w:rsidRPr="006C09AE">
        <w:rPr>
          <w:rFonts w:asciiTheme="minorHAnsi" w:hAnsiTheme="minorHAnsi"/>
          <w:lang w:val="sr-Latn-ME"/>
        </w:rPr>
        <w:t xml:space="preserve">, </w:t>
      </w:r>
      <w:r w:rsidRPr="00661EAA">
        <w:rPr>
          <w:rFonts w:asciiTheme="minorHAnsi" w:hAnsiTheme="minorHAnsi"/>
          <w:lang w:val="pt-BR"/>
        </w:rPr>
        <w:t>kao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na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unapre</w:t>
      </w:r>
      <w:r w:rsidRPr="006C09AE">
        <w:rPr>
          <w:rFonts w:asciiTheme="minorHAnsi" w:hAnsiTheme="minorHAnsi"/>
          <w:lang w:val="sr-Latn-ME"/>
        </w:rPr>
        <w:t>đ</w:t>
      </w:r>
      <w:r w:rsidRPr="00661EAA">
        <w:rPr>
          <w:rFonts w:asciiTheme="minorHAnsi" w:hAnsiTheme="minorHAnsi"/>
          <w:lang w:val="pt-BR"/>
        </w:rPr>
        <w:t>enje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politika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regulatornog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okvira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u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ovom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podru</w:t>
      </w:r>
      <w:r w:rsidRPr="006C09AE">
        <w:rPr>
          <w:rFonts w:asciiTheme="minorHAnsi" w:hAnsiTheme="minorHAnsi"/>
          <w:lang w:val="sr-Latn-ME"/>
        </w:rPr>
        <w:t>č</w:t>
      </w:r>
      <w:r w:rsidRPr="00661EAA">
        <w:rPr>
          <w:rFonts w:asciiTheme="minorHAnsi" w:hAnsiTheme="minorHAnsi"/>
          <w:lang w:val="pt-BR"/>
        </w:rPr>
        <w:t>ju</w:t>
      </w:r>
      <w:r w:rsidRPr="006C09AE">
        <w:rPr>
          <w:rFonts w:asciiTheme="minorHAnsi" w:hAnsiTheme="minorHAnsi"/>
          <w:lang w:val="sr-Latn-ME"/>
        </w:rPr>
        <w:t xml:space="preserve">. </w:t>
      </w:r>
      <w:r w:rsidRPr="00661EAA">
        <w:rPr>
          <w:rFonts w:asciiTheme="minorHAnsi" w:hAnsiTheme="minorHAnsi"/>
          <w:lang w:val="pt-BR"/>
        </w:rPr>
        <w:t>Razvoj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ovog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podru</w:t>
      </w:r>
      <w:r w:rsidRPr="006C09AE">
        <w:rPr>
          <w:rFonts w:asciiTheme="minorHAnsi" w:hAnsiTheme="minorHAnsi"/>
          <w:lang w:val="sr-Latn-ME"/>
        </w:rPr>
        <w:t>č</w:t>
      </w:r>
      <w:r w:rsidRPr="00661EAA">
        <w:rPr>
          <w:rFonts w:asciiTheme="minorHAnsi" w:hAnsiTheme="minorHAnsi"/>
          <w:lang w:val="pt-BR"/>
        </w:rPr>
        <w:t>ja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usmjeren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je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na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stvaranje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odr</w:t>
      </w:r>
      <w:r w:rsidRPr="006C09AE">
        <w:rPr>
          <w:rFonts w:asciiTheme="minorHAnsi" w:hAnsiTheme="minorHAnsi"/>
          <w:lang w:val="sr-Latn-ME"/>
        </w:rPr>
        <w:t>ž</w:t>
      </w:r>
      <w:r w:rsidRPr="00661EAA">
        <w:rPr>
          <w:rFonts w:asciiTheme="minorHAnsi" w:hAnsiTheme="minorHAnsi"/>
          <w:lang w:val="pt-BR"/>
        </w:rPr>
        <w:t>ivog</w:t>
      </w:r>
      <w:r w:rsidRPr="006C09AE">
        <w:rPr>
          <w:rFonts w:asciiTheme="minorHAnsi" w:hAnsiTheme="minorHAnsi"/>
          <w:lang w:val="sr-Latn-ME"/>
        </w:rPr>
        <w:t xml:space="preserve">, </w:t>
      </w:r>
      <w:r w:rsidRPr="00661EAA">
        <w:rPr>
          <w:rFonts w:asciiTheme="minorHAnsi" w:hAnsiTheme="minorHAnsi"/>
          <w:lang w:val="pt-BR"/>
        </w:rPr>
        <w:t>funkcionalnog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inkluzivnog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prostora</w:t>
      </w:r>
      <w:r w:rsidRPr="006C09AE">
        <w:rPr>
          <w:rFonts w:asciiTheme="minorHAnsi" w:hAnsiTheme="minorHAnsi"/>
          <w:lang w:val="sr-Latn-ME"/>
        </w:rPr>
        <w:t xml:space="preserve">, </w:t>
      </w:r>
      <w:r w:rsidRPr="00661EAA">
        <w:rPr>
          <w:rFonts w:asciiTheme="minorHAnsi" w:hAnsiTheme="minorHAnsi"/>
          <w:lang w:val="pt-BR"/>
        </w:rPr>
        <w:t>kroz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izgradnju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novih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stambenih</w:t>
      </w:r>
      <w:r w:rsidRPr="006C09AE">
        <w:rPr>
          <w:rFonts w:asciiTheme="minorHAnsi" w:hAnsiTheme="minorHAnsi"/>
          <w:lang w:val="sr-Latn-ME"/>
        </w:rPr>
        <w:t xml:space="preserve">, </w:t>
      </w:r>
      <w:r w:rsidRPr="00661EAA">
        <w:rPr>
          <w:rFonts w:asciiTheme="minorHAnsi" w:hAnsiTheme="minorHAnsi"/>
          <w:lang w:val="pt-BR"/>
        </w:rPr>
        <w:t>javnih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nestambenih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objekata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koji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ispunjavaju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standarde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energetske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efikasnosti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niskih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ili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nultih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emisija</w:t>
      </w:r>
      <w:r w:rsidRPr="006C09AE">
        <w:rPr>
          <w:rFonts w:asciiTheme="minorHAnsi" w:hAnsiTheme="minorHAnsi"/>
          <w:lang w:val="sr-Latn-ME"/>
        </w:rPr>
        <w:t xml:space="preserve">, </w:t>
      </w:r>
      <w:r w:rsidRPr="00661EAA">
        <w:rPr>
          <w:rFonts w:asciiTheme="minorHAnsi" w:hAnsiTheme="minorHAnsi"/>
          <w:lang w:val="pt-BR"/>
        </w:rPr>
        <w:t>uz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istovremeno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prilago</w:t>
      </w:r>
      <w:r w:rsidRPr="006C09AE">
        <w:rPr>
          <w:rFonts w:asciiTheme="minorHAnsi" w:hAnsiTheme="minorHAnsi"/>
          <w:lang w:val="sr-Latn-ME"/>
        </w:rPr>
        <w:t>đ</w:t>
      </w:r>
      <w:r w:rsidRPr="00661EAA">
        <w:rPr>
          <w:rFonts w:asciiTheme="minorHAnsi" w:hAnsiTheme="minorHAnsi"/>
          <w:lang w:val="pt-BR"/>
        </w:rPr>
        <w:t>avanje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postoje</w:t>
      </w:r>
      <w:r w:rsidRPr="006C09AE">
        <w:rPr>
          <w:rFonts w:asciiTheme="minorHAnsi" w:hAnsiTheme="minorHAnsi"/>
          <w:lang w:val="sr-Latn-ME"/>
        </w:rPr>
        <w:t>ć</w:t>
      </w:r>
      <w:r w:rsidRPr="00661EAA">
        <w:rPr>
          <w:rFonts w:asciiTheme="minorHAnsi" w:hAnsiTheme="minorHAnsi"/>
          <w:lang w:val="pt-BR"/>
        </w:rPr>
        <w:t>ih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objekata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savremenim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potrebama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standardima</w:t>
      </w:r>
      <w:r w:rsidRPr="006C09AE">
        <w:rPr>
          <w:rFonts w:asciiTheme="minorHAnsi" w:hAnsiTheme="minorHAnsi"/>
          <w:lang w:val="sr-Latn-ME"/>
        </w:rPr>
        <w:t xml:space="preserve">. </w:t>
      </w:r>
      <w:r w:rsidRPr="00661EAA">
        <w:rPr>
          <w:rFonts w:asciiTheme="minorHAnsi" w:hAnsiTheme="minorHAnsi"/>
          <w:lang w:val="pt-BR"/>
        </w:rPr>
        <w:t>U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skladu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sa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pristupom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Evropske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unije</w:t>
      </w:r>
      <w:r w:rsidRPr="006C09AE">
        <w:rPr>
          <w:rFonts w:asciiTheme="minorHAnsi" w:hAnsiTheme="minorHAnsi"/>
          <w:lang w:val="sr-Latn-ME"/>
        </w:rPr>
        <w:t xml:space="preserve">, </w:t>
      </w:r>
      <w:r w:rsidRPr="00661EAA">
        <w:rPr>
          <w:rFonts w:asciiTheme="minorHAnsi" w:hAnsiTheme="minorHAnsi"/>
          <w:lang w:val="pt-BR"/>
        </w:rPr>
        <w:t>razvoj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ovog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podru</w:t>
      </w:r>
      <w:r w:rsidRPr="006C09AE">
        <w:rPr>
          <w:rFonts w:asciiTheme="minorHAnsi" w:hAnsiTheme="minorHAnsi"/>
          <w:lang w:val="sr-Latn-ME"/>
        </w:rPr>
        <w:t>č</w:t>
      </w:r>
      <w:r w:rsidRPr="00661EAA">
        <w:rPr>
          <w:rFonts w:asciiTheme="minorHAnsi" w:hAnsiTheme="minorHAnsi"/>
          <w:lang w:val="pt-BR"/>
        </w:rPr>
        <w:t>ja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posmatra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se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kroz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me</w:t>
      </w:r>
      <w:r w:rsidRPr="006C09AE">
        <w:rPr>
          <w:rFonts w:asciiTheme="minorHAnsi" w:hAnsiTheme="minorHAnsi"/>
          <w:lang w:val="sr-Latn-ME"/>
        </w:rPr>
        <w:t>đ</w:t>
      </w:r>
      <w:r w:rsidRPr="00661EAA">
        <w:rPr>
          <w:rFonts w:asciiTheme="minorHAnsi" w:hAnsiTheme="minorHAnsi"/>
          <w:lang w:val="pt-BR"/>
        </w:rPr>
        <w:t>usobno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povezane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dimenzije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odr</w:t>
      </w:r>
      <w:r w:rsidRPr="006C09AE">
        <w:rPr>
          <w:rFonts w:asciiTheme="minorHAnsi" w:hAnsiTheme="minorHAnsi"/>
          <w:lang w:val="sr-Latn-ME"/>
        </w:rPr>
        <w:t>ž</w:t>
      </w:r>
      <w:r w:rsidRPr="00661EAA">
        <w:rPr>
          <w:rFonts w:asciiTheme="minorHAnsi" w:hAnsiTheme="minorHAnsi"/>
          <w:lang w:val="pt-BR"/>
        </w:rPr>
        <w:t>ive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izgradnje</w:t>
      </w:r>
      <w:r w:rsidRPr="006C09AE">
        <w:rPr>
          <w:rFonts w:asciiTheme="minorHAnsi" w:hAnsiTheme="minorHAnsi"/>
          <w:lang w:val="sr-Latn-ME"/>
        </w:rPr>
        <w:t xml:space="preserve">, </w:t>
      </w:r>
      <w:r w:rsidRPr="00661EAA">
        <w:rPr>
          <w:rFonts w:asciiTheme="minorHAnsi" w:hAnsiTheme="minorHAnsi"/>
          <w:lang w:val="pt-BR"/>
        </w:rPr>
        <w:t>unapre</w:t>
      </w:r>
      <w:r w:rsidRPr="006C09AE">
        <w:rPr>
          <w:rFonts w:asciiTheme="minorHAnsi" w:hAnsiTheme="minorHAnsi"/>
          <w:lang w:val="sr-Latn-ME"/>
        </w:rPr>
        <w:t>đ</w:t>
      </w:r>
      <w:r w:rsidRPr="00661EAA">
        <w:rPr>
          <w:rFonts w:asciiTheme="minorHAnsi" w:hAnsiTheme="minorHAnsi"/>
          <w:lang w:val="pt-BR"/>
        </w:rPr>
        <w:t>enja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kvaliteta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funkcionalnosti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prostora</w:t>
      </w:r>
      <w:r w:rsidRPr="006C09AE">
        <w:rPr>
          <w:rFonts w:asciiTheme="minorHAnsi" w:hAnsiTheme="minorHAnsi"/>
          <w:lang w:val="sr-Latn-ME"/>
        </w:rPr>
        <w:t xml:space="preserve">, </w:t>
      </w:r>
      <w:r w:rsidRPr="00661EAA">
        <w:rPr>
          <w:rFonts w:asciiTheme="minorHAnsi" w:hAnsiTheme="minorHAnsi"/>
          <w:lang w:val="pt-BR"/>
        </w:rPr>
        <w:t>dostupnosti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stanovanja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ja</w:t>
      </w:r>
      <w:r w:rsidRPr="006C09AE">
        <w:rPr>
          <w:rFonts w:asciiTheme="minorHAnsi" w:hAnsiTheme="minorHAnsi"/>
          <w:lang w:val="sr-Latn-ME"/>
        </w:rPr>
        <w:t>č</w:t>
      </w:r>
      <w:r w:rsidRPr="00661EAA">
        <w:rPr>
          <w:rFonts w:asciiTheme="minorHAnsi" w:hAnsiTheme="minorHAnsi"/>
          <w:lang w:val="pt-BR"/>
        </w:rPr>
        <w:t>anja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institucionalnog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okvira</w:t>
      </w:r>
      <w:r w:rsidRPr="006C09AE">
        <w:rPr>
          <w:rFonts w:asciiTheme="minorHAnsi" w:hAnsiTheme="minorHAnsi"/>
          <w:lang w:val="sr-Latn-ME"/>
        </w:rPr>
        <w:t>.</w:t>
      </w:r>
    </w:p>
    <w:p w14:paraId="040D3EDC" w14:textId="77777777" w:rsidR="00661EAA" w:rsidRPr="006C09AE" w:rsidRDefault="00661EAA" w:rsidP="00661EAA">
      <w:pPr>
        <w:pStyle w:val="NormalWeb"/>
        <w:jc w:val="both"/>
        <w:rPr>
          <w:rFonts w:asciiTheme="minorHAnsi" w:hAnsiTheme="minorHAnsi"/>
          <w:lang w:val="sr-Latn-ME"/>
        </w:rPr>
      </w:pPr>
      <w:r w:rsidRPr="00661EAA">
        <w:rPr>
          <w:rFonts w:asciiTheme="minorHAnsi" w:hAnsiTheme="minorHAnsi"/>
          <w:lang w:val="pt-BR"/>
        </w:rPr>
        <w:t>U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okviru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razvoja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stanovanja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infrastrukture</w:t>
      </w:r>
      <w:r w:rsidRPr="006C09AE">
        <w:rPr>
          <w:rFonts w:asciiTheme="minorHAnsi" w:hAnsiTheme="minorHAnsi"/>
          <w:lang w:val="sr-Latn-ME"/>
        </w:rPr>
        <w:t xml:space="preserve">, </w:t>
      </w:r>
      <w:r w:rsidRPr="00661EAA">
        <w:rPr>
          <w:rFonts w:asciiTheme="minorHAnsi" w:hAnsiTheme="minorHAnsi"/>
          <w:lang w:val="pt-BR"/>
        </w:rPr>
        <w:t>fokus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je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na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realizaciji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novih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stambenih</w:t>
      </w:r>
      <w:r w:rsidRPr="006C09AE">
        <w:rPr>
          <w:rFonts w:asciiTheme="minorHAnsi" w:hAnsiTheme="minorHAnsi"/>
          <w:lang w:val="sr-Latn-ME"/>
        </w:rPr>
        <w:t xml:space="preserve">, </w:t>
      </w:r>
      <w:r w:rsidRPr="00661EAA">
        <w:rPr>
          <w:rFonts w:asciiTheme="minorHAnsi" w:hAnsiTheme="minorHAnsi"/>
          <w:lang w:val="pt-BR"/>
        </w:rPr>
        <w:t>javnih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nestambenih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objekata</w:t>
      </w:r>
      <w:r w:rsidRPr="006C09AE">
        <w:rPr>
          <w:rFonts w:asciiTheme="minorHAnsi" w:hAnsiTheme="minorHAnsi"/>
          <w:lang w:val="sr-Latn-ME"/>
        </w:rPr>
        <w:t xml:space="preserve">, </w:t>
      </w:r>
      <w:r w:rsidRPr="00661EAA">
        <w:rPr>
          <w:rFonts w:asciiTheme="minorHAnsi" w:hAnsiTheme="minorHAnsi"/>
          <w:lang w:val="pt-BR"/>
        </w:rPr>
        <w:t>kao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na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uklanjanju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neadekvatnih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nefunkcionalnih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struktura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kada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je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to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dio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planskog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upravljanja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prostorom</w:t>
      </w:r>
      <w:r w:rsidRPr="006C09AE">
        <w:rPr>
          <w:rFonts w:asciiTheme="minorHAnsi" w:hAnsiTheme="minorHAnsi"/>
          <w:lang w:val="sr-Latn-ME"/>
        </w:rPr>
        <w:t xml:space="preserve">. </w:t>
      </w:r>
      <w:r w:rsidRPr="00661EAA">
        <w:rPr>
          <w:rFonts w:asciiTheme="minorHAnsi" w:hAnsiTheme="minorHAnsi"/>
          <w:lang w:val="pt-BR"/>
        </w:rPr>
        <w:t>Pored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nove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izgradnje</w:t>
      </w:r>
      <w:r w:rsidRPr="006C09AE">
        <w:rPr>
          <w:rFonts w:asciiTheme="minorHAnsi" w:hAnsiTheme="minorHAnsi"/>
          <w:lang w:val="sr-Latn-ME"/>
        </w:rPr>
        <w:t xml:space="preserve">, </w:t>
      </w:r>
      <w:r w:rsidRPr="00661EAA">
        <w:rPr>
          <w:rFonts w:asciiTheme="minorHAnsi" w:hAnsiTheme="minorHAnsi"/>
          <w:lang w:val="pt-BR"/>
        </w:rPr>
        <w:t>obuhva</w:t>
      </w:r>
      <w:r w:rsidRPr="006C09AE">
        <w:rPr>
          <w:rFonts w:asciiTheme="minorHAnsi" w:hAnsiTheme="minorHAnsi"/>
          <w:lang w:val="sr-Latn-ME"/>
        </w:rPr>
        <w:t>ć</w:t>
      </w:r>
      <w:r w:rsidRPr="00661EAA">
        <w:rPr>
          <w:rFonts w:asciiTheme="minorHAnsi" w:hAnsiTheme="minorHAnsi"/>
          <w:lang w:val="pt-BR"/>
        </w:rPr>
        <w:t>ene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su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aktivnosti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rehabilitacije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obezbje</w:t>
      </w:r>
      <w:r w:rsidRPr="006C09AE">
        <w:rPr>
          <w:rFonts w:asciiTheme="minorHAnsi" w:hAnsiTheme="minorHAnsi"/>
          <w:lang w:val="sr-Latn-ME"/>
        </w:rPr>
        <w:t>đ</w:t>
      </w:r>
      <w:r w:rsidRPr="00661EAA">
        <w:rPr>
          <w:rFonts w:asciiTheme="minorHAnsi" w:hAnsiTheme="minorHAnsi"/>
          <w:lang w:val="pt-BR"/>
        </w:rPr>
        <w:t>ivanja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objekata</w:t>
      </w:r>
      <w:r w:rsidRPr="006C09AE">
        <w:rPr>
          <w:rFonts w:asciiTheme="minorHAnsi" w:hAnsiTheme="minorHAnsi"/>
          <w:lang w:val="sr-Latn-ME"/>
        </w:rPr>
        <w:t xml:space="preserve">, </w:t>
      </w:r>
      <w:r w:rsidRPr="00661EAA">
        <w:rPr>
          <w:rFonts w:asciiTheme="minorHAnsi" w:hAnsiTheme="minorHAnsi"/>
          <w:lang w:val="pt-BR"/>
        </w:rPr>
        <w:t>uklju</w:t>
      </w:r>
      <w:r w:rsidRPr="006C09AE">
        <w:rPr>
          <w:rFonts w:asciiTheme="minorHAnsi" w:hAnsiTheme="minorHAnsi"/>
          <w:lang w:val="sr-Latn-ME"/>
        </w:rPr>
        <w:t>č</w:t>
      </w:r>
      <w:r w:rsidRPr="00661EAA">
        <w:rPr>
          <w:rFonts w:asciiTheme="minorHAnsi" w:hAnsiTheme="minorHAnsi"/>
          <w:lang w:val="pt-BR"/>
        </w:rPr>
        <w:t>uju</w:t>
      </w:r>
      <w:r w:rsidRPr="006C09AE">
        <w:rPr>
          <w:rFonts w:asciiTheme="minorHAnsi" w:hAnsiTheme="minorHAnsi"/>
          <w:lang w:val="sr-Latn-ME"/>
        </w:rPr>
        <w:t>ć</w:t>
      </w:r>
      <w:r w:rsidRPr="00661EAA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mjere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energetske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efikasnosti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kao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sastavni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dio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modernizacije</w:t>
      </w:r>
      <w:r w:rsidRPr="006C09AE">
        <w:rPr>
          <w:rFonts w:asciiTheme="minorHAnsi" w:hAnsiTheme="minorHAnsi"/>
          <w:lang w:val="sr-Latn-ME"/>
        </w:rPr>
        <w:t xml:space="preserve">. </w:t>
      </w:r>
      <w:r w:rsidRPr="00661EAA">
        <w:rPr>
          <w:rFonts w:asciiTheme="minorHAnsi" w:hAnsiTheme="minorHAnsi"/>
          <w:lang w:val="pt-BR"/>
        </w:rPr>
        <w:t>Prenamjena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nestambenih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industrijskih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objekata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u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stambene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svrhe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predstavlja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va</w:t>
      </w:r>
      <w:r w:rsidRPr="006C09AE">
        <w:rPr>
          <w:rFonts w:asciiTheme="minorHAnsi" w:hAnsiTheme="minorHAnsi"/>
          <w:lang w:val="sr-Latn-ME"/>
        </w:rPr>
        <w:t>ž</w:t>
      </w:r>
      <w:r w:rsidRPr="00661EAA">
        <w:rPr>
          <w:rFonts w:asciiTheme="minorHAnsi" w:hAnsiTheme="minorHAnsi"/>
          <w:lang w:val="pt-BR"/>
        </w:rPr>
        <w:t>an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instrument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efikasnijeg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kori</w:t>
      </w:r>
      <w:r w:rsidRPr="006C09AE">
        <w:rPr>
          <w:rFonts w:asciiTheme="minorHAnsi" w:hAnsiTheme="minorHAnsi"/>
          <w:lang w:val="sr-Latn-ME"/>
        </w:rPr>
        <w:t>šć</w:t>
      </w:r>
      <w:r w:rsidRPr="00661EAA">
        <w:rPr>
          <w:rFonts w:asciiTheme="minorHAnsi" w:hAnsiTheme="minorHAnsi"/>
          <w:lang w:val="pt-BR"/>
        </w:rPr>
        <w:t>enja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prostora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odgovora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na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promijenjene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razvojne</w:t>
      </w:r>
      <w:r w:rsidRPr="006C09AE">
        <w:rPr>
          <w:rFonts w:asciiTheme="minorHAnsi" w:hAnsiTheme="minorHAnsi"/>
          <w:lang w:val="sr-Latn-ME"/>
        </w:rPr>
        <w:t xml:space="preserve"> </w:t>
      </w:r>
      <w:r w:rsidRPr="00661EAA">
        <w:rPr>
          <w:rFonts w:asciiTheme="minorHAnsi" w:hAnsiTheme="minorHAnsi"/>
          <w:lang w:val="pt-BR"/>
        </w:rPr>
        <w:t>potrebe</w:t>
      </w:r>
      <w:r w:rsidRPr="006C09AE">
        <w:rPr>
          <w:rFonts w:asciiTheme="minorHAnsi" w:hAnsiTheme="minorHAnsi"/>
          <w:lang w:val="sr-Latn-ME"/>
        </w:rPr>
        <w:t>.</w:t>
      </w:r>
    </w:p>
    <w:p w14:paraId="7E977033" w14:textId="61C22E5A" w:rsidR="00DF723B" w:rsidRPr="006C09AE" w:rsidRDefault="00DF723B" w:rsidP="00DF723B">
      <w:pPr>
        <w:pStyle w:val="NormalWeb"/>
        <w:jc w:val="both"/>
        <w:rPr>
          <w:rFonts w:asciiTheme="minorHAnsi" w:hAnsiTheme="minorHAnsi"/>
          <w:lang w:val="sr-Latn-ME"/>
        </w:rPr>
      </w:pPr>
      <w:r w:rsidRPr="00DF723B">
        <w:rPr>
          <w:rFonts w:asciiTheme="minorHAnsi" w:hAnsiTheme="minorHAnsi"/>
          <w:lang w:val="pt-BR"/>
        </w:rPr>
        <w:lastRenderedPageBreak/>
        <w:t>Poseban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dio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prioritetnog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podru</w:t>
      </w:r>
      <w:r w:rsidRPr="006C09AE">
        <w:rPr>
          <w:rFonts w:asciiTheme="minorHAnsi" w:hAnsiTheme="minorHAnsi"/>
          <w:lang w:val="sr-Latn-ME"/>
        </w:rPr>
        <w:t>č</w:t>
      </w:r>
      <w:r w:rsidRPr="00DF723B">
        <w:rPr>
          <w:rFonts w:asciiTheme="minorHAnsi" w:hAnsiTheme="minorHAnsi"/>
          <w:lang w:val="pt-BR"/>
        </w:rPr>
        <w:t>ja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odnosi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se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na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socijalno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pristupa</w:t>
      </w:r>
      <w:r w:rsidRPr="006C09AE">
        <w:rPr>
          <w:rFonts w:asciiTheme="minorHAnsi" w:hAnsiTheme="minorHAnsi"/>
          <w:lang w:val="sr-Latn-ME"/>
        </w:rPr>
        <w:t>č</w:t>
      </w:r>
      <w:r w:rsidRPr="00DF723B">
        <w:rPr>
          <w:rFonts w:asciiTheme="minorHAnsi" w:hAnsiTheme="minorHAnsi"/>
          <w:lang w:val="pt-BR"/>
        </w:rPr>
        <w:t>no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stanovanje</w:t>
      </w:r>
      <w:r w:rsidRPr="006C09AE">
        <w:rPr>
          <w:rFonts w:asciiTheme="minorHAnsi" w:hAnsiTheme="minorHAnsi"/>
          <w:lang w:val="sr-Latn-ME"/>
        </w:rPr>
        <w:t xml:space="preserve">. </w:t>
      </w:r>
      <w:r w:rsidRPr="00DF723B">
        <w:rPr>
          <w:rFonts w:asciiTheme="minorHAnsi" w:hAnsiTheme="minorHAnsi"/>
          <w:lang w:val="pt-BR"/>
        </w:rPr>
        <w:t>U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tom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kontekstu</w:t>
      </w:r>
      <w:r w:rsidRPr="006C09AE">
        <w:rPr>
          <w:rFonts w:asciiTheme="minorHAnsi" w:hAnsiTheme="minorHAnsi"/>
          <w:lang w:val="sr-Latn-ME"/>
        </w:rPr>
        <w:t xml:space="preserve">, </w:t>
      </w:r>
      <w:r w:rsidRPr="00DF723B">
        <w:rPr>
          <w:rFonts w:asciiTheme="minorHAnsi" w:hAnsiTheme="minorHAnsi"/>
          <w:lang w:val="pt-BR"/>
        </w:rPr>
        <w:t>aktivnosti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su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usmjerene</w:t>
      </w:r>
      <w:r w:rsidRPr="006C09AE">
        <w:rPr>
          <w:rFonts w:asciiTheme="minorHAnsi" w:hAnsiTheme="minorHAnsi"/>
          <w:lang w:val="sr-Latn-ME"/>
        </w:rPr>
        <w:t xml:space="preserve"> </w:t>
      </w:r>
      <w:r>
        <w:rPr>
          <w:rFonts w:asciiTheme="minorHAnsi" w:hAnsiTheme="minorHAnsi"/>
          <w:lang w:val="pt-BR"/>
        </w:rPr>
        <w:t>na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izgradnju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novih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stambenih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objekata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za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socijalno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pristupa</w:t>
      </w:r>
      <w:r w:rsidRPr="006C09AE">
        <w:rPr>
          <w:rFonts w:asciiTheme="minorHAnsi" w:hAnsiTheme="minorHAnsi"/>
          <w:lang w:val="sr-Latn-ME"/>
        </w:rPr>
        <w:t>č</w:t>
      </w:r>
      <w:r w:rsidRPr="00DF723B">
        <w:rPr>
          <w:rFonts w:asciiTheme="minorHAnsi" w:hAnsiTheme="minorHAnsi"/>
          <w:lang w:val="pt-BR"/>
        </w:rPr>
        <w:t>no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stanovanje</w:t>
      </w:r>
      <w:r w:rsidRPr="006C09AE">
        <w:rPr>
          <w:rFonts w:asciiTheme="minorHAnsi" w:hAnsiTheme="minorHAnsi"/>
          <w:lang w:val="sr-Latn-ME"/>
        </w:rPr>
        <w:t xml:space="preserve">, </w:t>
      </w:r>
      <w:r w:rsidRPr="00DF723B">
        <w:rPr>
          <w:rFonts w:asciiTheme="minorHAnsi" w:hAnsiTheme="minorHAnsi"/>
          <w:lang w:val="pt-BR"/>
        </w:rPr>
        <w:t>rehabilitaciju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obezbje</w:t>
      </w:r>
      <w:r w:rsidRPr="006C09AE">
        <w:rPr>
          <w:rFonts w:asciiTheme="minorHAnsi" w:hAnsiTheme="minorHAnsi"/>
          <w:lang w:val="sr-Latn-ME"/>
        </w:rPr>
        <w:t>đ</w:t>
      </w:r>
      <w:r w:rsidRPr="00DF723B">
        <w:rPr>
          <w:rFonts w:asciiTheme="minorHAnsi" w:hAnsiTheme="minorHAnsi"/>
          <w:lang w:val="pt-BR"/>
        </w:rPr>
        <w:t>ivanje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takvih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objekata</w:t>
      </w:r>
      <w:r w:rsidRPr="006C09AE">
        <w:rPr>
          <w:rFonts w:asciiTheme="minorHAnsi" w:hAnsiTheme="minorHAnsi"/>
          <w:lang w:val="sr-Latn-ME"/>
        </w:rPr>
        <w:t xml:space="preserve">, </w:t>
      </w:r>
      <w:r w:rsidRPr="00DF723B">
        <w:rPr>
          <w:rFonts w:asciiTheme="minorHAnsi" w:hAnsiTheme="minorHAnsi"/>
          <w:lang w:val="pt-BR"/>
        </w:rPr>
        <w:t>kao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prenamjenu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nestambenih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industrijskih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objekata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u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stambene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svrhe</w:t>
      </w:r>
      <w:r w:rsidRPr="006C09AE">
        <w:rPr>
          <w:rFonts w:asciiTheme="minorHAnsi" w:hAnsiTheme="minorHAnsi"/>
          <w:lang w:val="sr-Latn-ME"/>
        </w:rPr>
        <w:t xml:space="preserve">. </w:t>
      </w:r>
      <w:r w:rsidRPr="00DF723B">
        <w:rPr>
          <w:rFonts w:asciiTheme="minorHAnsi" w:hAnsiTheme="minorHAnsi"/>
          <w:lang w:val="pt-BR"/>
        </w:rPr>
        <w:t>Podru</w:t>
      </w:r>
      <w:r w:rsidRPr="006C09AE">
        <w:rPr>
          <w:rFonts w:asciiTheme="minorHAnsi" w:hAnsiTheme="minorHAnsi"/>
          <w:lang w:val="sr-Latn-ME"/>
        </w:rPr>
        <w:t>č</w:t>
      </w:r>
      <w:r w:rsidRPr="00DF723B">
        <w:rPr>
          <w:rFonts w:asciiTheme="minorHAnsi" w:hAnsiTheme="minorHAnsi"/>
          <w:lang w:val="pt-BR"/>
        </w:rPr>
        <w:t>je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uklju</w:t>
      </w:r>
      <w:r w:rsidRPr="006C09AE">
        <w:rPr>
          <w:rFonts w:asciiTheme="minorHAnsi" w:hAnsiTheme="minorHAnsi"/>
          <w:lang w:val="sr-Latn-ME"/>
        </w:rPr>
        <w:t>č</w:t>
      </w:r>
      <w:r w:rsidRPr="00DF723B">
        <w:rPr>
          <w:rFonts w:asciiTheme="minorHAnsi" w:hAnsiTheme="minorHAnsi"/>
          <w:lang w:val="pt-BR"/>
        </w:rPr>
        <w:t>uje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izgradnju</w:t>
      </w:r>
      <w:r w:rsidRPr="006C09AE">
        <w:rPr>
          <w:rFonts w:asciiTheme="minorHAnsi" w:hAnsiTheme="minorHAnsi"/>
          <w:lang w:val="sr-Latn-ME"/>
        </w:rPr>
        <w:t xml:space="preserve">, </w:t>
      </w:r>
      <w:r w:rsidRPr="00DF723B">
        <w:rPr>
          <w:rFonts w:asciiTheme="minorHAnsi" w:hAnsiTheme="minorHAnsi"/>
          <w:lang w:val="pt-BR"/>
        </w:rPr>
        <w:t>rehabilitaciju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obezbje</w:t>
      </w:r>
      <w:r w:rsidRPr="006C09AE">
        <w:rPr>
          <w:rFonts w:asciiTheme="minorHAnsi" w:hAnsiTheme="minorHAnsi"/>
          <w:lang w:val="sr-Latn-ME"/>
        </w:rPr>
        <w:t>đ</w:t>
      </w:r>
      <w:r w:rsidRPr="00DF723B">
        <w:rPr>
          <w:rFonts w:asciiTheme="minorHAnsi" w:hAnsiTheme="minorHAnsi"/>
          <w:lang w:val="pt-BR"/>
        </w:rPr>
        <w:t>ivanje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objekata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za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studentski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smje</w:t>
      </w:r>
      <w:r w:rsidRPr="006C09AE">
        <w:rPr>
          <w:rFonts w:asciiTheme="minorHAnsi" w:hAnsiTheme="minorHAnsi"/>
          <w:lang w:val="sr-Latn-ME"/>
        </w:rPr>
        <w:t>š</w:t>
      </w:r>
      <w:r w:rsidRPr="00DF723B">
        <w:rPr>
          <w:rFonts w:asciiTheme="minorHAnsi" w:hAnsiTheme="minorHAnsi"/>
          <w:lang w:val="pt-BR"/>
        </w:rPr>
        <w:t>taj</w:t>
      </w:r>
      <w:r w:rsidRPr="006C09AE">
        <w:rPr>
          <w:rFonts w:asciiTheme="minorHAnsi" w:hAnsiTheme="minorHAnsi"/>
          <w:lang w:val="sr-Latn-ME"/>
        </w:rPr>
        <w:t xml:space="preserve">, </w:t>
      </w:r>
      <w:r w:rsidRPr="00DF723B">
        <w:rPr>
          <w:rFonts w:asciiTheme="minorHAnsi" w:hAnsiTheme="minorHAnsi"/>
          <w:lang w:val="pt-BR"/>
        </w:rPr>
        <w:t>kao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izgradnju</w:t>
      </w:r>
      <w:r w:rsidRPr="006C09AE">
        <w:rPr>
          <w:rFonts w:asciiTheme="minorHAnsi" w:hAnsiTheme="minorHAnsi"/>
          <w:lang w:val="sr-Latn-ME"/>
        </w:rPr>
        <w:t xml:space="preserve">, </w:t>
      </w:r>
      <w:r w:rsidRPr="00DF723B">
        <w:rPr>
          <w:rFonts w:asciiTheme="minorHAnsi" w:hAnsiTheme="minorHAnsi"/>
          <w:lang w:val="pt-BR"/>
        </w:rPr>
        <w:t>rehabilitaciju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obezbje</w:t>
      </w:r>
      <w:r w:rsidRPr="006C09AE">
        <w:rPr>
          <w:rFonts w:asciiTheme="minorHAnsi" w:hAnsiTheme="minorHAnsi"/>
          <w:lang w:val="sr-Latn-ME"/>
        </w:rPr>
        <w:t>đ</w:t>
      </w:r>
      <w:r w:rsidRPr="00DF723B">
        <w:rPr>
          <w:rFonts w:asciiTheme="minorHAnsi" w:hAnsiTheme="minorHAnsi"/>
          <w:lang w:val="pt-BR"/>
        </w:rPr>
        <w:t>ivanje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objekata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namijenjenih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borbi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protiv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besku</w:t>
      </w:r>
      <w:r w:rsidRPr="006C09AE">
        <w:rPr>
          <w:rFonts w:asciiTheme="minorHAnsi" w:hAnsiTheme="minorHAnsi"/>
          <w:lang w:val="sr-Latn-ME"/>
        </w:rPr>
        <w:t>ć</w:t>
      </w:r>
      <w:r w:rsidRPr="00DF723B">
        <w:rPr>
          <w:rFonts w:asciiTheme="minorHAnsi" w:hAnsiTheme="minorHAnsi"/>
          <w:lang w:val="pt-BR"/>
        </w:rPr>
        <w:t>ni</w:t>
      </w:r>
      <w:r w:rsidRPr="006C09AE">
        <w:rPr>
          <w:rFonts w:asciiTheme="minorHAnsi" w:hAnsiTheme="minorHAnsi"/>
          <w:lang w:val="sr-Latn-ME"/>
        </w:rPr>
        <w:t>š</w:t>
      </w:r>
      <w:r w:rsidRPr="00DF723B">
        <w:rPr>
          <w:rFonts w:asciiTheme="minorHAnsi" w:hAnsiTheme="minorHAnsi"/>
          <w:lang w:val="pt-BR"/>
        </w:rPr>
        <w:t>tva</w:t>
      </w:r>
      <w:r w:rsidRPr="006C09AE">
        <w:rPr>
          <w:rFonts w:asciiTheme="minorHAnsi" w:hAnsiTheme="minorHAnsi"/>
          <w:lang w:val="sr-Latn-ME"/>
        </w:rPr>
        <w:t>.</w:t>
      </w:r>
    </w:p>
    <w:p w14:paraId="12B84CCA" w14:textId="710C51F1" w:rsidR="00DF723B" w:rsidRPr="006C09AE" w:rsidRDefault="00DF723B" w:rsidP="00DF723B">
      <w:pPr>
        <w:pStyle w:val="NormalWeb"/>
        <w:jc w:val="both"/>
        <w:rPr>
          <w:rFonts w:asciiTheme="minorHAnsi" w:hAnsiTheme="minorHAnsi"/>
          <w:lang w:val="sr-Latn-ME"/>
        </w:rPr>
      </w:pPr>
      <w:r w:rsidRPr="00DF723B">
        <w:rPr>
          <w:rFonts w:asciiTheme="minorHAnsi" w:hAnsiTheme="minorHAnsi"/>
          <w:lang w:val="pt-BR"/>
        </w:rPr>
        <w:t>Uz</w:t>
      </w:r>
      <w:r w:rsidRPr="006C09AE">
        <w:rPr>
          <w:rFonts w:asciiTheme="minorHAnsi" w:hAnsiTheme="minorHAnsi"/>
          <w:lang w:val="sr-Latn-ME"/>
        </w:rPr>
        <w:t xml:space="preserve"> </w:t>
      </w:r>
      <w:r>
        <w:rPr>
          <w:rFonts w:asciiTheme="minorHAnsi" w:hAnsiTheme="minorHAnsi"/>
          <w:lang w:val="pt-BR"/>
        </w:rPr>
        <w:t>akcije</w:t>
      </w:r>
      <w:r w:rsidRPr="006C09AE">
        <w:rPr>
          <w:rFonts w:asciiTheme="minorHAnsi" w:hAnsiTheme="minorHAnsi"/>
          <w:lang w:val="sr-Latn-ME"/>
        </w:rPr>
        <w:t xml:space="preserve"> </w:t>
      </w:r>
      <w:r>
        <w:rPr>
          <w:rFonts w:asciiTheme="minorHAnsi" w:hAnsiTheme="minorHAnsi"/>
          <w:lang w:val="pt-BR"/>
        </w:rPr>
        <w:t>usmjerene</w:t>
      </w:r>
      <w:r w:rsidRPr="006C09AE">
        <w:rPr>
          <w:rFonts w:asciiTheme="minorHAnsi" w:hAnsiTheme="minorHAnsi"/>
          <w:lang w:val="sr-Latn-ME"/>
        </w:rPr>
        <w:t xml:space="preserve"> </w:t>
      </w:r>
      <w:r>
        <w:rPr>
          <w:rFonts w:asciiTheme="minorHAnsi" w:hAnsiTheme="minorHAnsi"/>
          <w:lang w:val="pt-BR"/>
        </w:rPr>
        <w:t>na</w:t>
      </w:r>
      <w:r w:rsidRPr="006C09AE">
        <w:rPr>
          <w:rFonts w:asciiTheme="minorHAnsi" w:hAnsiTheme="minorHAnsi"/>
          <w:lang w:val="sr-Latn-ME"/>
        </w:rPr>
        <w:t xml:space="preserve"> </w:t>
      </w:r>
      <w:r>
        <w:rPr>
          <w:rFonts w:asciiTheme="minorHAnsi" w:hAnsiTheme="minorHAnsi"/>
          <w:lang w:val="pt-BR"/>
        </w:rPr>
        <w:t>izgradnju</w:t>
      </w:r>
      <w:r w:rsidRPr="006C09AE">
        <w:rPr>
          <w:rFonts w:asciiTheme="minorHAnsi" w:hAnsiTheme="minorHAnsi"/>
          <w:lang w:val="sr-Latn-ME"/>
        </w:rPr>
        <w:t xml:space="preserve"> </w:t>
      </w:r>
      <w:r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>
        <w:rPr>
          <w:rFonts w:asciiTheme="minorHAnsi" w:hAnsiTheme="minorHAnsi"/>
          <w:lang w:val="pt-BR"/>
        </w:rPr>
        <w:t>rehabilitaciju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stamben</w:t>
      </w:r>
      <w:r>
        <w:rPr>
          <w:rFonts w:asciiTheme="minorHAnsi" w:hAnsiTheme="minorHAnsi"/>
          <w:lang w:val="pt-BR"/>
        </w:rPr>
        <w:t>ih</w:t>
      </w:r>
      <w:r w:rsidRPr="006C09AE">
        <w:rPr>
          <w:rFonts w:asciiTheme="minorHAnsi" w:hAnsiTheme="minorHAnsi"/>
          <w:lang w:val="sr-Latn-ME"/>
        </w:rPr>
        <w:t xml:space="preserve"> </w:t>
      </w:r>
      <w:r>
        <w:rPr>
          <w:rFonts w:asciiTheme="minorHAnsi" w:hAnsiTheme="minorHAnsi"/>
          <w:lang w:val="pt-BR"/>
        </w:rPr>
        <w:t>kapaciteta</w:t>
      </w:r>
      <w:r w:rsidRPr="006C09AE">
        <w:rPr>
          <w:rFonts w:asciiTheme="minorHAnsi" w:hAnsiTheme="minorHAnsi"/>
          <w:lang w:val="sr-Latn-ME"/>
        </w:rPr>
        <w:t xml:space="preserve">, </w:t>
      </w:r>
      <w:r w:rsidRPr="00DF723B">
        <w:rPr>
          <w:rFonts w:asciiTheme="minorHAnsi" w:hAnsiTheme="minorHAnsi"/>
          <w:lang w:val="pt-BR"/>
        </w:rPr>
        <w:t>prioritetno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podru</w:t>
      </w:r>
      <w:r w:rsidRPr="006C09AE">
        <w:rPr>
          <w:rFonts w:asciiTheme="minorHAnsi" w:hAnsiTheme="minorHAnsi"/>
          <w:lang w:val="sr-Latn-ME"/>
        </w:rPr>
        <w:t>č</w:t>
      </w:r>
      <w:r w:rsidRPr="00DF723B">
        <w:rPr>
          <w:rFonts w:asciiTheme="minorHAnsi" w:hAnsiTheme="minorHAnsi"/>
          <w:lang w:val="pt-BR"/>
        </w:rPr>
        <w:t>je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uklju</w:t>
      </w:r>
      <w:r w:rsidRPr="006C09AE">
        <w:rPr>
          <w:rFonts w:asciiTheme="minorHAnsi" w:hAnsiTheme="minorHAnsi"/>
          <w:lang w:val="sr-Latn-ME"/>
        </w:rPr>
        <w:t>č</w:t>
      </w:r>
      <w:r w:rsidRPr="00DF723B">
        <w:rPr>
          <w:rFonts w:asciiTheme="minorHAnsi" w:hAnsiTheme="minorHAnsi"/>
          <w:lang w:val="pt-BR"/>
        </w:rPr>
        <w:t>uje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nestambene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objekte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povezane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sa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socijalnim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pristupa</w:t>
      </w:r>
      <w:r w:rsidRPr="006C09AE">
        <w:rPr>
          <w:rFonts w:asciiTheme="minorHAnsi" w:hAnsiTheme="minorHAnsi"/>
          <w:lang w:val="sr-Latn-ME"/>
        </w:rPr>
        <w:t>č</w:t>
      </w:r>
      <w:r w:rsidRPr="00DF723B">
        <w:rPr>
          <w:rFonts w:asciiTheme="minorHAnsi" w:hAnsiTheme="minorHAnsi"/>
          <w:lang w:val="pt-BR"/>
        </w:rPr>
        <w:t>nim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stanovanjem</w:t>
      </w:r>
      <w:r w:rsidRPr="006C09AE">
        <w:rPr>
          <w:rFonts w:asciiTheme="minorHAnsi" w:hAnsiTheme="minorHAnsi"/>
          <w:lang w:val="sr-Latn-ME"/>
        </w:rPr>
        <w:t xml:space="preserve">, </w:t>
      </w:r>
      <w:r w:rsidRPr="00DF723B">
        <w:rPr>
          <w:rFonts w:asciiTheme="minorHAnsi" w:hAnsiTheme="minorHAnsi"/>
          <w:lang w:val="pt-BR"/>
        </w:rPr>
        <w:t>kako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kroz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novu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izgradnju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tako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kroz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rehabilitaciju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postoje</w:t>
      </w:r>
      <w:r w:rsidRPr="006C09AE">
        <w:rPr>
          <w:rFonts w:asciiTheme="minorHAnsi" w:hAnsiTheme="minorHAnsi"/>
          <w:lang w:val="sr-Latn-ME"/>
        </w:rPr>
        <w:t>ć</w:t>
      </w:r>
      <w:r w:rsidRPr="00DF723B">
        <w:rPr>
          <w:rFonts w:asciiTheme="minorHAnsi" w:hAnsiTheme="minorHAnsi"/>
          <w:lang w:val="pt-BR"/>
        </w:rPr>
        <w:t>ih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objekata</w:t>
      </w:r>
      <w:r w:rsidRPr="006C09AE">
        <w:rPr>
          <w:rFonts w:asciiTheme="minorHAnsi" w:hAnsiTheme="minorHAnsi"/>
          <w:lang w:val="sr-Latn-ME"/>
        </w:rPr>
        <w:t>, č</w:t>
      </w:r>
      <w:r w:rsidRPr="00DF723B">
        <w:rPr>
          <w:rFonts w:asciiTheme="minorHAnsi" w:hAnsiTheme="minorHAnsi"/>
          <w:lang w:val="pt-BR"/>
        </w:rPr>
        <w:t>ime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se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obezbje</w:t>
      </w:r>
      <w:r w:rsidRPr="006C09AE">
        <w:rPr>
          <w:rFonts w:asciiTheme="minorHAnsi" w:hAnsiTheme="minorHAnsi"/>
          <w:lang w:val="sr-Latn-ME"/>
        </w:rPr>
        <w:t>đ</w:t>
      </w:r>
      <w:r w:rsidRPr="00DF723B">
        <w:rPr>
          <w:rFonts w:asciiTheme="minorHAnsi" w:hAnsiTheme="minorHAnsi"/>
          <w:lang w:val="pt-BR"/>
        </w:rPr>
        <w:t>uje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funkcionalna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povezanost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stambenih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prate</w:t>
      </w:r>
      <w:r w:rsidRPr="006C09AE">
        <w:rPr>
          <w:rFonts w:asciiTheme="minorHAnsi" w:hAnsiTheme="minorHAnsi"/>
          <w:lang w:val="sr-Latn-ME"/>
        </w:rPr>
        <w:t>ć</w:t>
      </w:r>
      <w:r w:rsidRPr="00DF723B">
        <w:rPr>
          <w:rFonts w:asciiTheme="minorHAnsi" w:hAnsiTheme="minorHAnsi"/>
          <w:lang w:val="pt-BR"/>
        </w:rPr>
        <w:t>ih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sadr</w:t>
      </w:r>
      <w:r w:rsidRPr="006C09AE">
        <w:rPr>
          <w:rFonts w:asciiTheme="minorHAnsi" w:hAnsiTheme="minorHAnsi"/>
          <w:lang w:val="sr-Latn-ME"/>
        </w:rPr>
        <w:t>ž</w:t>
      </w:r>
      <w:r w:rsidRPr="00DF723B">
        <w:rPr>
          <w:rFonts w:asciiTheme="minorHAnsi" w:hAnsiTheme="minorHAnsi"/>
          <w:lang w:val="pt-BR"/>
        </w:rPr>
        <w:t>aja</w:t>
      </w:r>
      <w:r w:rsidRPr="006C09AE">
        <w:rPr>
          <w:rFonts w:asciiTheme="minorHAnsi" w:hAnsiTheme="minorHAnsi"/>
          <w:lang w:val="sr-Latn-ME"/>
        </w:rPr>
        <w:t>.</w:t>
      </w:r>
    </w:p>
    <w:p w14:paraId="4366A964" w14:textId="0AA41332" w:rsidR="00DF723B" w:rsidRPr="006C09AE" w:rsidRDefault="00DF723B" w:rsidP="00DF723B">
      <w:pPr>
        <w:pStyle w:val="NormalWeb"/>
        <w:jc w:val="both"/>
        <w:rPr>
          <w:rFonts w:asciiTheme="minorHAnsi" w:hAnsiTheme="minorHAnsi"/>
          <w:lang w:val="sr-Latn-ME"/>
        </w:rPr>
      </w:pPr>
      <w:r w:rsidRPr="00DF723B">
        <w:rPr>
          <w:rFonts w:asciiTheme="minorHAnsi" w:hAnsiTheme="minorHAnsi"/>
          <w:lang w:val="pt-BR"/>
        </w:rPr>
        <w:t>Pored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investicionih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intervencija</w:t>
      </w:r>
      <w:r w:rsidRPr="006C09AE">
        <w:rPr>
          <w:rFonts w:asciiTheme="minorHAnsi" w:hAnsiTheme="minorHAnsi"/>
          <w:lang w:val="sr-Latn-ME"/>
        </w:rPr>
        <w:t xml:space="preserve">, </w:t>
      </w:r>
      <w:r w:rsidRPr="00DF723B">
        <w:rPr>
          <w:rFonts w:asciiTheme="minorHAnsi" w:hAnsiTheme="minorHAnsi"/>
          <w:lang w:val="pt-BR"/>
        </w:rPr>
        <w:t>podru</w:t>
      </w:r>
      <w:r w:rsidRPr="006C09AE">
        <w:rPr>
          <w:rFonts w:asciiTheme="minorHAnsi" w:hAnsiTheme="minorHAnsi"/>
          <w:lang w:val="sr-Latn-ME"/>
        </w:rPr>
        <w:t>č</w:t>
      </w:r>
      <w:r w:rsidRPr="00DF723B">
        <w:rPr>
          <w:rFonts w:asciiTheme="minorHAnsi" w:hAnsiTheme="minorHAnsi"/>
          <w:lang w:val="pt-BR"/>
        </w:rPr>
        <w:t>je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uklju</w:t>
      </w:r>
      <w:r w:rsidRPr="006C09AE">
        <w:rPr>
          <w:rFonts w:asciiTheme="minorHAnsi" w:hAnsiTheme="minorHAnsi"/>
          <w:lang w:val="sr-Latn-ME"/>
        </w:rPr>
        <w:t>č</w:t>
      </w:r>
      <w:r w:rsidRPr="00DF723B">
        <w:rPr>
          <w:rFonts w:asciiTheme="minorHAnsi" w:hAnsiTheme="minorHAnsi"/>
          <w:lang w:val="pt-BR"/>
        </w:rPr>
        <w:t>uje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reformske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aktivnosti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usmjerene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na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razvoj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unapre</w:t>
      </w:r>
      <w:r w:rsidRPr="006C09AE">
        <w:rPr>
          <w:rFonts w:asciiTheme="minorHAnsi" w:hAnsiTheme="minorHAnsi"/>
          <w:lang w:val="sr-Latn-ME"/>
        </w:rPr>
        <w:t>đ</w:t>
      </w:r>
      <w:r w:rsidRPr="00DF723B">
        <w:rPr>
          <w:rFonts w:asciiTheme="minorHAnsi" w:hAnsiTheme="minorHAnsi"/>
          <w:lang w:val="pt-BR"/>
        </w:rPr>
        <w:t>enje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politika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regulatornog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okvira</w:t>
      </w:r>
      <w:r w:rsidRPr="006C09AE">
        <w:rPr>
          <w:rFonts w:asciiTheme="minorHAnsi" w:hAnsiTheme="minorHAnsi"/>
          <w:lang w:val="sr-Latn-ME"/>
        </w:rPr>
        <w:t xml:space="preserve">. </w:t>
      </w:r>
      <w:r w:rsidRPr="00DF723B">
        <w:rPr>
          <w:rFonts w:asciiTheme="minorHAnsi" w:hAnsiTheme="minorHAnsi"/>
          <w:lang w:val="pt-BR"/>
        </w:rPr>
        <w:t>To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podrazumijeva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razvoj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uskla</w:t>
      </w:r>
      <w:r w:rsidRPr="006C09AE">
        <w:rPr>
          <w:rFonts w:asciiTheme="minorHAnsi" w:hAnsiTheme="minorHAnsi"/>
          <w:lang w:val="sr-Latn-ME"/>
        </w:rPr>
        <w:t>đ</w:t>
      </w:r>
      <w:r w:rsidRPr="00DF723B">
        <w:rPr>
          <w:rFonts w:asciiTheme="minorHAnsi" w:hAnsiTheme="minorHAnsi"/>
          <w:lang w:val="pt-BR"/>
        </w:rPr>
        <w:t>ivanje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zakonodavstva</w:t>
      </w:r>
      <w:r w:rsidRPr="006C09AE">
        <w:rPr>
          <w:rFonts w:asciiTheme="minorHAnsi" w:hAnsiTheme="minorHAnsi"/>
          <w:lang w:val="sr-Latn-ME"/>
        </w:rPr>
        <w:t xml:space="preserve">, </w:t>
      </w:r>
      <w:r w:rsidRPr="00DF723B">
        <w:rPr>
          <w:rFonts w:asciiTheme="minorHAnsi" w:hAnsiTheme="minorHAnsi"/>
          <w:lang w:val="pt-BR"/>
        </w:rPr>
        <w:t>strate</w:t>
      </w:r>
      <w:r w:rsidRPr="006C09AE">
        <w:rPr>
          <w:rFonts w:asciiTheme="minorHAnsi" w:hAnsiTheme="minorHAnsi"/>
          <w:lang w:val="sr-Latn-ME"/>
        </w:rPr>
        <w:t>š</w:t>
      </w:r>
      <w:r w:rsidRPr="00DF723B">
        <w:rPr>
          <w:rFonts w:asciiTheme="minorHAnsi" w:hAnsiTheme="minorHAnsi"/>
          <w:lang w:val="pt-BR"/>
        </w:rPr>
        <w:t>kih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planskih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dokumenata</w:t>
      </w:r>
      <w:r w:rsidRPr="006C09AE">
        <w:rPr>
          <w:rFonts w:asciiTheme="minorHAnsi" w:hAnsiTheme="minorHAnsi"/>
          <w:lang w:val="sr-Latn-ME"/>
        </w:rPr>
        <w:t xml:space="preserve">, </w:t>
      </w:r>
      <w:r w:rsidRPr="00DF723B">
        <w:rPr>
          <w:rFonts w:asciiTheme="minorHAnsi" w:hAnsiTheme="minorHAnsi"/>
          <w:lang w:val="pt-BR"/>
        </w:rPr>
        <w:t>kao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ja</w:t>
      </w:r>
      <w:r w:rsidRPr="006C09AE">
        <w:rPr>
          <w:rFonts w:asciiTheme="minorHAnsi" w:hAnsiTheme="minorHAnsi"/>
          <w:lang w:val="sr-Latn-ME"/>
        </w:rPr>
        <w:t>č</w:t>
      </w:r>
      <w:r w:rsidRPr="00DF723B">
        <w:rPr>
          <w:rFonts w:asciiTheme="minorHAnsi" w:hAnsiTheme="minorHAnsi"/>
          <w:lang w:val="pt-BR"/>
        </w:rPr>
        <w:t>anje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institucionalnih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kapaciteta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za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planiranje</w:t>
      </w:r>
      <w:r w:rsidRPr="006C09AE">
        <w:rPr>
          <w:rFonts w:asciiTheme="minorHAnsi" w:hAnsiTheme="minorHAnsi"/>
          <w:lang w:val="sr-Latn-ME"/>
        </w:rPr>
        <w:t xml:space="preserve">, </w:t>
      </w:r>
      <w:r w:rsidRPr="00DF723B">
        <w:rPr>
          <w:rFonts w:asciiTheme="minorHAnsi" w:hAnsiTheme="minorHAnsi"/>
          <w:lang w:val="pt-BR"/>
        </w:rPr>
        <w:t>pripremu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sprovo</w:t>
      </w:r>
      <w:r w:rsidRPr="006C09AE">
        <w:rPr>
          <w:rFonts w:asciiTheme="minorHAnsi" w:hAnsiTheme="minorHAnsi"/>
          <w:lang w:val="sr-Latn-ME"/>
        </w:rPr>
        <w:t>đ</w:t>
      </w:r>
      <w:r w:rsidRPr="00DF723B">
        <w:rPr>
          <w:rFonts w:asciiTheme="minorHAnsi" w:hAnsiTheme="minorHAnsi"/>
          <w:lang w:val="pt-BR"/>
        </w:rPr>
        <w:t>enje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intervencija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u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sektoru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stanovanja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i</w:t>
      </w:r>
      <w:r w:rsidRPr="006C09AE">
        <w:rPr>
          <w:rFonts w:asciiTheme="minorHAnsi" w:hAnsiTheme="minorHAnsi"/>
          <w:lang w:val="sr-Latn-ME"/>
        </w:rPr>
        <w:t xml:space="preserve"> </w:t>
      </w:r>
      <w:r w:rsidRPr="00DF723B">
        <w:rPr>
          <w:rFonts w:asciiTheme="minorHAnsi" w:hAnsiTheme="minorHAnsi"/>
          <w:lang w:val="pt-BR"/>
        </w:rPr>
        <w:t>infrastrukture</w:t>
      </w:r>
      <w:r w:rsidRPr="006C09AE">
        <w:rPr>
          <w:rFonts w:asciiTheme="minorHAnsi" w:hAnsiTheme="minorHAnsi"/>
          <w:lang w:val="sr-Latn-ME"/>
        </w:rPr>
        <w:t>.</w:t>
      </w:r>
      <w:r w:rsidR="00661EAA" w:rsidRPr="006C09AE">
        <w:rPr>
          <w:rFonts w:asciiTheme="minorHAnsi" w:eastAsiaTheme="minorHAnsi" w:hAnsiTheme="minorHAnsi" w:cstheme="minorBidi"/>
          <w:lang w:val="sr-Latn-ME"/>
          <w14:ligatures w14:val="standardContextual"/>
        </w:rPr>
        <w:t xml:space="preserve"> </w:t>
      </w:r>
      <w:r w:rsidR="00661EAA" w:rsidRPr="00661EAA">
        <w:rPr>
          <w:rFonts w:asciiTheme="minorHAnsi" w:hAnsiTheme="minorHAnsi"/>
          <w:lang w:val="pt-BR"/>
        </w:rPr>
        <w:t>Uskla</w:t>
      </w:r>
      <w:r w:rsidR="00661EAA" w:rsidRPr="006C09AE">
        <w:rPr>
          <w:rFonts w:asciiTheme="minorHAnsi" w:hAnsiTheme="minorHAnsi"/>
          <w:lang w:val="sr-Latn-ME"/>
        </w:rPr>
        <w:t>đ</w:t>
      </w:r>
      <w:r w:rsidR="00661EAA" w:rsidRPr="00661EAA">
        <w:rPr>
          <w:rFonts w:asciiTheme="minorHAnsi" w:hAnsiTheme="minorHAnsi"/>
          <w:lang w:val="pt-BR"/>
        </w:rPr>
        <w:t>ivanje</w:t>
      </w:r>
      <w:r w:rsidR="00661EAA" w:rsidRPr="006C09AE">
        <w:rPr>
          <w:rFonts w:asciiTheme="minorHAnsi" w:hAnsiTheme="minorHAnsi"/>
          <w:lang w:val="sr-Latn-ME"/>
        </w:rPr>
        <w:t xml:space="preserve"> </w:t>
      </w:r>
      <w:r w:rsidR="00661EAA" w:rsidRPr="00661EAA">
        <w:rPr>
          <w:rFonts w:asciiTheme="minorHAnsi" w:hAnsiTheme="minorHAnsi"/>
          <w:lang w:val="pt-BR"/>
        </w:rPr>
        <w:t>sa</w:t>
      </w:r>
      <w:r w:rsidR="00661EAA" w:rsidRPr="006C09AE">
        <w:rPr>
          <w:rFonts w:asciiTheme="minorHAnsi" w:hAnsiTheme="minorHAnsi"/>
          <w:lang w:val="sr-Latn-ME"/>
        </w:rPr>
        <w:t xml:space="preserve"> </w:t>
      </w:r>
      <w:r w:rsidR="00661EAA" w:rsidRPr="00661EAA">
        <w:rPr>
          <w:rFonts w:asciiTheme="minorHAnsi" w:hAnsiTheme="minorHAnsi"/>
          <w:lang w:val="pt-BR"/>
        </w:rPr>
        <w:t>pravnom</w:t>
      </w:r>
      <w:r w:rsidR="00661EAA" w:rsidRPr="006C09AE">
        <w:rPr>
          <w:rFonts w:asciiTheme="minorHAnsi" w:hAnsiTheme="minorHAnsi"/>
          <w:lang w:val="sr-Latn-ME"/>
        </w:rPr>
        <w:t xml:space="preserve"> </w:t>
      </w:r>
      <w:r w:rsidR="00661EAA" w:rsidRPr="00661EAA">
        <w:rPr>
          <w:rFonts w:asciiTheme="minorHAnsi" w:hAnsiTheme="minorHAnsi"/>
          <w:lang w:val="pt-BR"/>
        </w:rPr>
        <w:t>tekovinom</w:t>
      </w:r>
      <w:r w:rsidR="00661EAA" w:rsidRPr="006C09AE">
        <w:rPr>
          <w:rFonts w:asciiTheme="minorHAnsi" w:hAnsiTheme="minorHAnsi"/>
          <w:lang w:val="sr-Latn-ME"/>
        </w:rPr>
        <w:t xml:space="preserve"> </w:t>
      </w:r>
      <w:r w:rsidR="00661EAA" w:rsidRPr="00661EAA">
        <w:rPr>
          <w:rFonts w:asciiTheme="minorHAnsi" w:hAnsiTheme="minorHAnsi"/>
          <w:lang w:val="pt-BR"/>
        </w:rPr>
        <w:t>Evropske</w:t>
      </w:r>
      <w:r w:rsidR="00661EAA" w:rsidRPr="006C09AE">
        <w:rPr>
          <w:rFonts w:asciiTheme="minorHAnsi" w:hAnsiTheme="minorHAnsi"/>
          <w:lang w:val="sr-Latn-ME"/>
        </w:rPr>
        <w:t xml:space="preserve"> </w:t>
      </w:r>
      <w:r w:rsidR="00661EAA" w:rsidRPr="00661EAA">
        <w:rPr>
          <w:rFonts w:asciiTheme="minorHAnsi" w:hAnsiTheme="minorHAnsi"/>
          <w:lang w:val="pt-BR"/>
        </w:rPr>
        <w:t>unije</w:t>
      </w:r>
      <w:r w:rsidR="00661EAA" w:rsidRPr="006C09AE">
        <w:rPr>
          <w:rFonts w:asciiTheme="minorHAnsi" w:hAnsiTheme="minorHAnsi"/>
          <w:lang w:val="sr-Latn-ME"/>
        </w:rPr>
        <w:t xml:space="preserve"> </w:t>
      </w:r>
      <w:r w:rsidR="00661EAA" w:rsidRPr="00661EAA">
        <w:rPr>
          <w:rFonts w:asciiTheme="minorHAnsi" w:hAnsiTheme="minorHAnsi"/>
          <w:lang w:val="pt-BR"/>
        </w:rPr>
        <w:t>predstavlja</w:t>
      </w:r>
      <w:r w:rsidR="00661EAA" w:rsidRPr="006C09AE">
        <w:rPr>
          <w:rFonts w:asciiTheme="minorHAnsi" w:hAnsiTheme="minorHAnsi"/>
          <w:lang w:val="sr-Latn-ME"/>
        </w:rPr>
        <w:t xml:space="preserve"> </w:t>
      </w:r>
      <w:r w:rsidR="00661EAA" w:rsidRPr="00661EAA">
        <w:rPr>
          <w:rFonts w:asciiTheme="minorHAnsi" w:hAnsiTheme="minorHAnsi"/>
          <w:lang w:val="pt-BR"/>
        </w:rPr>
        <w:t>va</w:t>
      </w:r>
      <w:r w:rsidR="00661EAA" w:rsidRPr="006C09AE">
        <w:rPr>
          <w:rFonts w:asciiTheme="minorHAnsi" w:hAnsiTheme="minorHAnsi"/>
          <w:lang w:val="sr-Latn-ME"/>
        </w:rPr>
        <w:t>ž</w:t>
      </w:r>
      <w:r w:rsidR="00661EAA" w:rsidRPr="00661EAA">
        <w:rPr>
          <w:rFonts w:asciiTheme="minorHAnsi" w:hAnsiTheme="minorHAnsi"/>
          <w:lang w:val="pt-BR"/>
        </w:rPr>
        <w:t>an</w:t>
      </w:r>
      <w:r w:rsidR="00661EAA" w:rsidRPr="006C09AE">
        <w:rPr>
          <w:rFonts w:asciiTheme="minorHAnsi" w:hAnsiTheme="minorHAnsi"/>
          <w:lang w:val="sr-Latn-ME"/>
        </w:rPr>
        <w:t xml:space="preserve"> </w:t>
      </w:r>
      <w:r w:rsidR="00661EAA" w:rsidRPr="00661EAA">
        <w:rPr>
          <w:rFonts w:asciiTheme="minorHAnsi" w:hAnsiTheme="minorHAnsi"/>
          <w:lang w:val="pt-BR"/>
        </w:rPr>
        <w:t>element</w:t>
      </w:r>
      <w:r w:rsidR="00661EAA" w:rsidRPr="006C09AE">
        <w:rPr>
          <w:rFonts w:asciiTheme="minorHAnsi" w:hAnsiTheme="minorHAnsi"/>
          <w:lang w:val="sr-Latn-ME"/>
        </w:rPr>
        <w:t xml:space="preserve"> </w:t>
      </w:r>
      <w:r w:rsidR="00661EAA" w:rsidRPr="00661EAA">
        <w:rPr>
          <w:rFonts w:asciiTheme="minorHAnsi" w:hAnsiTheme="minorHAnsi"/>
          <w:lang w:val="pt-BR"/>
        </w:rPr>
        <w:t>za</w:t>
      </w:r>
      <w:r w:rsidR="00661EAA" w:rsidRPr="006C09AE">
        <w:rPr>
          <w:rFonts w:asciiTheme="minorHAnsi" w:hAnsiTheme="minorHAnsi"/>
          <w:lang w:val="sr-Latn-ME"/>
        </w:rPr>
        <w:t xml:space="preserve"> </w:t>
      </w:r>
      <w:r w:rsidR="00661EAA" w:rsidRPr="00661EAA">
        <w:rPr>
          <w:rFonts w:asciiTheme="minorHAnsi" w:hAnsiTheme="minorHAnsi"/>
          <w:lang w:val="pt-BR"/>
        </w:rPr>
        <w:t>efikasno</w:t>
      </w:r>
      <w:r w:rsidR="00661EAA" w:rsidRPr="006C09AE">
        <w:rPr>
          <w:rFonts w:asciiTheme="minorHAnsi" w:hAnsiTheme="minorHAnsi"/>
          <w:lang w:val="sr-Latn-ME"/>
        </w:rPr>
        <w:t xml:space="preserve"> </w:t>
      </w:r>
      <w:r w:rsidR="00661EAA" w:rsidRPr="00661EAA">
        <w:rPr>
          <w:rFonts w:asciiTheme="minorHAnsi" w:hAnsiTheme="minorHAnsi"/>
          <w:lang w:val="pt-BR"/>
        </w:rPr>
        <w:t>upravljanje</w:t>
      </w:r>
      <w:r w:rsidR="00661EAA" w:rsidRPr="006C09AE">
        <w:rPr>
          <w:rFonts w:asciiTheme="minorHAnsi" w:hAnsiTheme="minorHAnsi"/>
          <w:lang w:val="sr-Latn-ME"/>
        </w:rPr>
        <w:t xml:space="preserve"> </w:t>
      </w:r>
      <w:r w:rsidR="00661EAA" w:rsidRPr="00661EAA">
        <w:rPr>
          <w:rFonts w:asciiTheme="minorHAnsi" w:hAnsiTheme="minorHAnsi"/>
          <w:lang w:val="pt-BR"/>
        </w:rPr>
        <w:t>i</w:t>
      </w:r>
      <w:r w:rsidR="00661EAA" w:rsidRPr="006C09AE">
        <w:rPr>
          <w:rFonts w:asciiTheme="minorHAnsi" w:hAnsiTheme="minorHAnsi"/>
          <w:lang w:val="sr-Latn-ME"/>
        </w:rPr>
        <w:t xml:space="preserve"> </w:t>
      </w:r>
      <w:r w:rsidR="00661EAA" w:rsidRPr="00661EAA">
        <w:rPr>
          <w:rFonts w:asciiTheme="minorHAnsi" w:hAnsiTheme="minorHAnsi"/>
          <w:lang w:val="pt-BR"/>
        </w:rPr>
        <w:t>dalji</w:t>
      </w:r>
      <w:r w:rsidR="00661EAA" w:rsidRPr="006C09AE">
        <w:rPr>
          <w:rFonts w:asciiTheme="minorHAnsi" w:hAnsiTheme="minorHAnsi"/>
          <w:lang w:val="sr-Latn-ME"/>
        </w:rPr>
        <w:t xml:space="preserve"> </w:t>
      </w:r>
      <w:r w:rsidR="00661EAA" w:rsidRPr="00661EAA">
        <w:rPr>
          <w:rFonts w:asciiTheme="minorHAnsi" w:hAnsiTheme="minorHAnsi"/>
          <w:lang w:val="pt-BR"/>
        </w:rPr>
        <w:t>razvoj</w:t>
      </w:r>
      <w:r w:rsidR="00661EAA" w:rsidRPr="006C09AE">
        <w:rPr>
          <w:rFonts w:asciiTheme="minorHAnsi" w:hAnsiTheme="minorHAnsi"/>
          <w:lang w:val="sr-Latn-ME"/>
        </w:rPr>
        <w:t xml:space="preserve"> </w:t>
      </w:r>
      <w:r w:rsidR="00661EAA" w:rsidRPr="00661EAA">
        <w:rPr>
          <w:rFonts w:asciiTheme="minorHAnsi" w:hAnsiTheme="minorHAnsi"/>
          <w:lang w:val="pt-BR"/>
        </w:rPr>
        <w:t>ovog</w:t>
      </w:r>
      <w:r w:rsidR="00661EAA" w:rsidRPr="006C09AE">
        <w:rPr>
          <w:rFonts w:asciiTheme="minorHAnsi" w:hAnsiTheme="minorHAnsi"/>
          <w:lang w:val="sr-Latn-ME"/>
        </w:rPr>
        <w:t xml:space="preserve"> </w:t>
      </w:r>
      <w:r w:rsidR="00661EAA" w:rsidRPr="00661EAA">
        <w:rPr>
          <w:rFonts w:asciiTheme="minorHAnsi" w:hAnsiTheme="minorHAnsi"/>
          <w:lang w:val="pt-BR"/>
        </w:rPr>
        <w:t>sektora</w:t>
      </w:r>
      <w:r w:rsidR="00661EAA" w:rsidRPr="006C09AE">
        <w:rPr>
          <w:rFonts w:asciiTheme="minorHAnsi" w:hAnsiTheme="minorHAnsi"/>
          <w:lang w:val="sr-Latn-ME"/>
        </w:rPr>
        <w:t>.</w:t>
      </w:r>
    </w:p>
    <w:p w14:paraId="4B404C79" w14:textId="0B22F715" w:rsidR="00DF723B" w:rsidRPr="006C09AE" w:rsidRDefault="00775F4F" w:rsidP="63DAC6F6">
      <w:pPr>
        <w:jc w:val="both"/>
        <w:rPr>
          <w:rFonts w:eastAsia="Times New Roman" w:cs="Times New Roman"/>
          <w:lang w:val="sr-Latn-ME"/>
        </w:rPr>
      </w:pPr>
      <w:r w:rsidRPr="00775F4F">
        <w:rPr>
          <w:rFonts w:eastAsia="Times New Roman" w:cs="Times New Roman"/>
          <w:lang w:val="pt-BR"/>
          <w14:ligatures w14:val="none"/>
        </w:rPr>
        <w:t>U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cjelini</w:t>
      </w:r>
      <w:r w:rsidRPr="006C09AE">
        <w:rPr>
          <w:rFonts w:eastAsia="Times New Roman" w:cs="Times New Roman"/>
          <w:lang w:val="sr-Latn-ME"/>
          <w14:ligatures w14:val="none"/>
        </w:rPr>
        <w:t xml:space="preserve">, </w:t>
      </w:r>
      <w:r w:rsidRPr="00775F4F">
        <w:rPr>
          <w:rFonts w:eastAsia="Times New Roman" w:cs="Times New Roman"/>
          <w:lang w:val="pt-BR"/>
          <w14:ligatures w14:val="none"/>
        </w:rPr>
        <w:t>stanovanje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i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infrastruktura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predstavljaju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klju</w:t>
      </w:r>
      <w:r w:rsidRPr="006C09AE">
        <w:rPr>
          <w:rFonts w:eastAsia="Times New Roman" w:cs="Times New Roman"/>
          <w:lang w:val="sr-Latn-ME"/>
          <w14:ligatures w14:val="none"/>
        </w:rPr>
        <w:t>č</w:t>
      </w:r>
      <w:r w:rsidRPr="00775F4F">
        <w:rPr>
          <w:rFonts w:eastAsia="Times New Roman" w:cs="Times New Roman"/>
          <w:lang w:val="pt-BR"/>
          <w14:ligatures w14:val="none"/>
        </w:rPr>
        <w:t>ni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segment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odr</w:t>
      </w:r>
      <w:r w:rsidRPr="006C09AE">
        <w:rPr>
          <w:rFonts w:eastAsia="Times New Roman" w:cs="Times New Roman"/>
          <w:lang w:val="sr-Latn-ME"/>
          <w14:ligatures w14:val="none"/>
        </w:rPr>
        <w:t>ž</w:t>
      </w:r>
      <w:r w:rsidRPr="00775F4F">
        <w:rPr>
          <w:rFonts w:eastAsia="Times New Roman" w:cs="Times New Roman"/>
          <w:lang w:val="pt-BR"/>
          <w14:ligatures w14:val="none"/>
        </w:rPr>
        <w:t>ivog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urbanog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i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dru</w:t>
      </w:r>
      <w:r w:rsidRPr="006C09AE">
        <w:rPr>
          <w:rFonts w:eastAsia="Times New Roman" w:cs="Times New Roman"/>
          <w:lang w:val="sr-Latn-ME"/>
          <w14:ligatures w14:val="none"/>
        </w:rPr>
        <w:t>š</w:t>
      </w:r>
      <w:r w:rsidRPr="00775F4F">
        <w:rPr>
          <w:rFonts w:eastAsia="Times New Roman" w:cs="Times New Roman"/>
          <w:lang w:val="pt-BR"/>
          <w14:ligatures w14:val="none"/>
        </w:rPr>
        <w:t>tvenog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razvoja</w:t>
      </w:r>
      <w:r w:rsidRPr="006C09AE">
        <w:rPr>
          <w:rFonts w:eastAsia="Times New Roman" w:cs="Times New Roman"/>
          <w:lang w:val="sr-Latn-ME"/>
          <w14:ligatures w14:val="none"/>
        </w:rPr>
        <w:t xml:space="preserve">, </w:t>
      </w:r>
      <w:r w:rsidRPr="00775F4F">
        <w:rPr>
          <w:rFonts w:eastAsia="Times New Roman" w:cs="Times New Roman"/>
          <w:lang w:val="pt-BR"/>
          <w14:ligatures w14:val="none"/>
        </w:rPr>
        <w:t>koji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povezuje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fizi</w:t>
      </w:r>
      <w:r w:rsidRPr="006C09AE">
        <w:rPr>
          <w:rFonts w:eastAsia="Times New Roman" w:cs="Times New Roman"/>
          <w:lang w:val="sr-Latn-ME"/>
          <w14:ligatures w14:val="none"/>
        </w:rPr>
        <w:t>č</w:t>
      </w:r>
      <w:r w:rsidRPr="00775F4F">
        <w:rPr>
          <w:rFonts w:eastAsia="Times New Roman" w:cs="Times New Roman"/>
          <w:lang w:val="pt-BR"/>
          <w14:ligatures w14:val="none"/>
        </w:rPr>
        <w:t>ku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izgradnju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prostora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sa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socijalnim</w:t>
      </w:r>
      <w:r w:rsidRPr="006C09AE">
        <w:rPr>
          <w:rFonts w:eastAsia="Times New Roman" w:cs="Times New Roman"/>
          <w:lang w:val="sr-Latn-ME"/>
          <w14:ligatures w14:val="none"/>
        </w:rPr>
        <w:t xml:space="preserve">, </w:t>
      </w:r>
      <w:r w:rsidRPr="00775F4F">
        <w:rPr>
          <w:rFonts w:eastAsia="Times New Roman" w:cs="Times New Roman"/>
          <w:lang w:val="pt-BR"/>
          <w14:ligatures w14:val="none"/>
        </w:rPr>
        <w:t>ekonomskim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i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ekolo</w:t>
      </w:r>
      <w:r w:rsidRPr="006C09AE">
        <w:rPr>
          <w:rFonts w:eastAsia="Times New Roman" w:cs="Times New Roman"/>
          <w:lang w:val="sr-Latn-ME"/>
          <w14:ligatures w14:val="none"/>
        </w:rPr>
        <w:t>š</w:t>
      </w:r>
      <w:r w:rsidRPr="00775F4F">
        <w:rPr>
          <w:rFonts w:eastAsia="Times New Roman" w:cs="Times New Roman"/>
          <w:lang w:val="pt-BR"/>
          <w14:ligatures w14:val="none"/>
        </w:rPr>
        <w:t>kim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aspektima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razvoja</w:t>
      </w:r>
      <w:r w:rsidRPr="006C09AE">
        <w:rPr>
          <w:rFonts w:eastAsia="Times New Roman" w:cs="Times New Roman"/>
          <w:lang w:val="sr-Latn-ME"/>
          <w14:ligatures w14:val="none"/>
        </w:rPr>
        <w:t xml:space="preserve">. </w:t>
      </w:r>
      <w:r w:rsidRPr="00775F4F">
        <w:rPr>
          <w:rFonts w:eastAsia="Times New Roman" w:cs="Times New Roman"/>
          <w:lang w:val="pt-BR"/>
          <w14:ligatures w14:val="none"/>
        </w:rPr>
        <w:t>Dalji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napredak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u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ovoj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oblasti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zahtijeva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integrisan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pristup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koji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objedinjuje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infrastrukturne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i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reformske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dimenzije</w:t>
      </w:r>
      <w:r w:rsidRPr="006C09AE">
        <w:rPr>
          <w:rFonts w:eastAsia="Times New Roman" w:cs="Times New Roman"/>
          <w:lang w:val="sr-Latn-ME"/>
          <w14:ligatures w14:val="none"/>
        </w:rPr>
        <w:t xml:space="preserve">, </w:t>
      </w:r>
      <w:r w:rsidRPr="00775F4F">
        <w:rPr>
          <w:rFonts w:eastAsia="Times New Roman" w:cs="Times New Roman"/>
          <w:lang w:val="pt-BR"/>
          <w14:ligatures w14:val="none"/>
        </w:rPr>
        <w:t>uz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dosljednu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primjenu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principa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odr</w:t>
      </w:r>
      <w:r w:rsidRPr="006C09AE">
        <w:rPr>
          <w:rFonts w:eastAsia="Times New Roman" w:cs="Times New Roman"/>
          <w:lang w:val="sr-Latn-ME"/>
          <w14:ligatures w14:val="none"/>
        </w:rPr>
        <w:t>ž</w:t>
      </w:r>
      <w:r w:rsidRPr="00775F4F">
        <w:rPr>
          <w:rFonts w:eastAsia="Times New Roman" w:cs="Times New Roman"/>
          <w:lang w:val="pt-BR"/>
          <w14:ligatures w14:val="none"/>
        </w:rPr>
        <w:t>ivosti</w:t>
      </w:r>
      <w:r w:rsidRPr="006C09AE">
        <w:rPr>
          <w:rFonts w:eastAsia="Times New Roman" w:cs="Times New Roman"/>
          <w:lang w:val="sr-Latn-ME"/>
          <w14:ligatures w14:val="none"/>
        </w:rPr>
        <w:t xml:space="preserve">, </w:t>
      </w:r>
      <w:r w:rsidRPr="00775F4F">
        <w:rPr>
          <w:rFonts w:eastAsia="Times New Roman" w:cs="Times New Roman"/>
          <w:lang w:val="pt-BR"/>
          <w14:ligatures w14:val="none"/>
        </w:rPr>
        <w:t>energetske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efikasnosti</w:t>
      </w:r>
      <w:r w:rsidRPr="006C09AE">
        <w:rPr>
          <w:rFonts w:eastAsia="Times New Roman" w:cs="Times New Roman"/>
          <w:lang w:val="sr-Latn-ME"/>
          <w14:ligatures w14:val="none"/>
        </w:rPr>
        <w:t xml:space="preserve">, </w:t>
      </w:r>
      <w:r w:rsidRPr="00775F4F">
        <w:rPr>
          <w:rFonts w:eastAsia="Times New Roman" w:cs="Times New Roman"/>
          <w:lang w:val="pt-BR"/>
          <w14:ligatures w14:val="none"/>
        </w:rPr>
        <w:t>pristupa</w:t>
      </w:r>
      <w:r w:rsidRPr="006C09AE">
        <w:rPr>
          <w:rFonts w:eastAsia="Times New Roman" w:cs="Times New Roman"/>
          <w:lang w:val="sr-Latn-ME"/>
          <w14:ligatures w14:val="none"/>
        </w:rPr>
        <w:t>č</w:t>
      </w:r>
      <w:r w:rsidRPr="00775F4F">
        <w:rPr>
          <w:rFonts w:eastAsia="Times New Roman" w:cs="Times New Roman"/>
          <w:lang w:val="pt-BR"/>
          <w14:ligatures w14:val="none"/>
        </w:rPr>
        <w:t>nosti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i</w:t>
      </w:r>
      <w:r w:rsidRPr="006C09AE">
        <w:rPr>
          <w:rFonts w:eastAsia="Times New Roman" w:cs="Times New Roman"/>
          <w:lang w:val="sr-Latn-ME"/>
          <w14:ligatures w14:val="none"/>
        </w:rPr>
        <w:t xml:space="preserve"> </w:t>
      </w:r>
      <w:r w:rsidRPr="00775F4F">
        <w:rPr>
          <w:rFonts w:eastAsia="Times New Roman" w:cs="Times New Roman"/>
          <w:lang w:val="pt-BR"/>
          <w14:ligatures w14:val="none"/>
        </w:rPr>
        <w:t>nediskriminacije</w:t>
      </w:r>
    </w:p>
    <w:p w14:paraId="496280FB" w14:textId="28B028EF" w:rsidR="00F579F5" w:rsidRDefault="00F579F5" w:rsidP="00F579F5">
      <w:pPr>
        <w:pStyle w:val="Heading3"/>
        <w:rPr>
          <w:lang w:val="sr-Latn-ME"/>
        </w:rPr>
      </w:pPr>
      <w:r>
        <w:rPr>
          <w:lang w:val="sr-Latn-ME"/>
        </w:rPr>
        <w:t>Međunarodni i EU Strateški i pravni okvir</w:t>
      </w:r>
    </w:p>
    <w:p w14:paraId="46A5987A" w14:textId="77777777" w:rsidR="0038625C" w:rsidRPr="0038625C" w:rsidRDefault="0BB45BEF" w:rsidP="0BB45BEF">
      <w:pPr>
        <w:pStyle w:val="NormalWeb"/>
        <w:jc w:val="both"/>
        <w:rPr>
          <w:rFonts w:asciiTheme="minorHAnsi" w:hAnsiTheme="minorHAnsi"/>
          <w:lang w:val="pt-BR"/>
        </w:rPr>
      </w:pPr>
      <w:r w:rsidRPr="0BB45BEF">
        <w:rPr>
          <w:rFonts w:asciiTheme="minorHAnsi" w:hAnsiTheme="minorHAnsi"/>
        </w:rPr>
        <w:t>Me</w:t>
      </w:r>
      <w:r w:rsidRPr="0BB45BEF">
        <w:rPr>
          <w:rFonts w:asciiTheme="minorHAnsi" w:hAnsiTheme="minorHAnsi"/>
          <w:lang w:val="sr-Latn-ME"/>
        </w:rPr>
        <w:t>đ</w:t>
      </w:r>
      <w:proofErr w:type="spellStart"/>
      <w:r w:rsidRPr="0BB45BEF">
        <w:rPr>
          <w:rFonts w:asciiTheme="minorHAnsi" w:hAnsiTheme="minorHAnsi"/>
        </w:rPr>
        <w:t>unarodni</w:t>
      </w:r>
      <w:proofErr w:type="spellEnd"/>
      <w:r w:rsidRPr="0BB45BEF">
        <w:rPr>
          <w:rFonts w:asciiTheme="minorHAnsi" w:hAnsiTheme="minorHAnsi"/>
          <w:lang w:val="sr-Latn-ME"/>
        </w:rPr>
        <w:t xml:space="preserve"> </w:t>
      </w:r>
      <w:proofErr w:type="spellStart"/>
      <w:r w:rsidRPr="0BB45BEF">
        <w:rPr>
          <w:rFonts w:asciiTheme="minorHAnsi" w:hAnsiTheme="minorHAnsi"/>
        </w:rPr>
        <w:t>i</w:t>
      </w:r>
      <w:proofErr w:type="spellEnd"/>
      <w:r w:rsidRPr="0BB45BEF">
        <w:rPr>
          <w:rFonts w:asciiTheme="minorHAnsi" w:hAnsiTheme="minorHAnsi"/>
          <w:lang w:val="sr-Latn-ME"/>
        </w:rPr>
        <w:t xml:space="preserve"> </w:t>
      </w:r>
      <w:r w:rsidRPr="0BB45BEF">
        <w:rPr>
          <w:rFonts w:asciiTheme="minorHAnsi" w:hAnsiTheme="minorHAnsi"/>
        </w:rPr>
        <w:t>EU</w:t>
      </w:r>
      <w:r w:rsidRPr="0BB45BEF">
        <w:rPr>
          <w:rFonts w:asciiTheme="minorHAnsi" w:hAnsiTheme="minorHAnsi"/>
          <w:lang w:val="sr-Latn-ME"/>
        </w:rPr>
        <w:t xml:space="preserve"> </w:t>
      </w:r>
      <w:proofErr w:type="spellStart"/>
      <w:r w:rsidRPr="0BB45BEF">
        <w:rPr>
          <w:rFonts w:asciiTheme="minorHAnsi" w:hAnsiTheme="minorHAnsi"/>
        </w:rPr>
        <w:t>strate</w:t>
      </w:r>
      <w:proofErr w:type="spellEnd"/>
      <w:r w:rsidRPr="0BB45BEF">
        <w:rPr>
          <w:rFonts w:asciiTheme="minorHAnsi" w:hAnsiTheme="minorHAnsi"/>
          <w:lang w:val="sr-Latn-ME"/>
        </w:rPr>
        <w:t>š</w:t>
      </w:r>
      <w:r w:rsidRPr="0BB45BEF">
        <w:rPr>
          <w:rFonts w:asciiTheme="minorHAnsi" w:hAnsiTheme="minorHAnsi"/>
        </w:rPr>
        <w:t>ki</w:t>
      </w:r>
      <w:r w:rsidRPr="0BB45BEF">
        <w:rPr>
          <w:rFonts w:asciiTheme="minorHAnsi" w:hAnsiTheme="minorHAnsi"/>
          <w:lang w:val="sr-Latn-ME"/>
        </w:rPr>
        <w:t xml:space="preserve"> </w:t>
      </w:r>
      <w:proofErr w:type="spellStart"/>
      <w:r w:rsidRPr="0BB45BEF">
        <w:rPr>
          <w:rFonts w:asciiTheme="minorHAnsi" w:hAnsiTheme="minorHAnsi"/>
        </w:rPr>
        <w:t>i</w:t>
      </w:r>
      <w:proofErr w:type="spellEnd"/>
      <w:r w:rsidRPr="0BB45BEF">
        <w:rPr>
          <w:rFonts w:asciiTheme="minorHAnsi" w:hAnsiTheme="minorHAnsi"/>
          <w:lang w:val="sr-Latn-ME"/>
        </w:rPr>
        <w:t xml:space="preserve"> </w:t>
      </w:r>
      <w:proofErr w:type="spellStart"/>
      <w:r w:rsidRPr="0BB45BEF">
        <w:rPr>
          <w:rFonts w:asciiTheme="minorHAnsi" w:hAnsiTheme="minorHAnsi"/>
        </w:rPr>
        <w:t>pravni</w:t>
      </w:r>
      <w:proofErr w:type="spellEnd"/>
      <w:r w:rsidRPr="0BB45BEF">
        <w:rPr>
          <w:rFonts w:asciiTheme="minorHAnsi" w:hAnsiTheme="minorHAnsi"/>
          <w:lang w:val="sr-Latn-ME"/>
        </w:rPr>
        <w:t xml:space="preserve"> </w:t>
      </w:r>
      <w:proofErr w:type="spellStart"/>
      <w:r w:rsidRPr="0BB45BEF">
        <w:rPr>
          <w:rFonts w:asciiTheme="minorHAnsi" w:hAnsiTheme="minorHAnsi"/>
        </w:rPr>
        <w:t>okvir</w:t>
      </w:r>
      <w:proofErr w:type="spellEnd"/>
      <w:r w:rsidRPr="0BB45BEF">
        <w:rPr>
          <w:rFonts w:asciiTheme="minorHAnsi" w:hAnsiTheme="minorHAnsi"/>
          <w:lang w:val="sr-Latn-ME"/>
        </w:rPr>
        <w:t xml:space="preserve"> </w:t>
      </w:r>
      <w:r w:rsidRPr="0BB45BEF">
        <w:rPr>
          <w:rFonts w:asciiTheme="minorHAnsi" w:hAnsiTheme="minorHAnsi"/>
        </w:rPr>
        <w:t>za</w:t>
      </w:r>
      <w:r w:rsidRPr="0BB45BEF">
        <w:rPr>
          <w:rFonts w:asciiTheme="minorHAnsi" w:hAnsiTheme="minorHAnsi"/>
          <w:lang w:val="sr-Latn-ME"/>
        </w:rPr>
        <w:t xml:space="preserve"> </w:t>
      </w:r>
      <w:proofErr w:type="spellStart"/>
      <w:r w:rsidRPr="0BB45BEF">
        <w:rPr>
          <w:rFonts w:asciiTheme="minorHAnsi" w:hAnsiTheme="minorHAnsi"/>
        </w:rPr>
        <w:t>prioritetno</w:t>
      </w:r>
      <w:proofErr w:type="spellEnd"/>
      <w:r w:rsidRPr="0BB45BEF">
        <w:rPr>
          <w:rFonts w:asciiTheme="minorHAnsi" w:hAnsiTheme="minorHAnsi"/>
          <w:lang w:val="sr-Latn-ME"/>
        </w:rPr>
        <w:t xml:space="preserve"> </w:t>
      </w:r>
      <w:proofErr w:type="spellStart"/>
      <w:r w:rsidRPr="0BB45BEF">
        <w:rPr>
          <w:rFonts w:asciiTheme="minorHAnsi" w:hAnsiTheme="minorHAnsi"/>
        </w:rPr>
        <w:t>podru</w:t>
      </w:r>
      <w:proofErr w:type="spellEnd"/>
      <w:r w:rsidRPr="0BB45BEF">
        <w:rPr>
          <w:rFonts w:asciiTheme="minorHAnsi" w:hAnsiTheme="minorHAnsi"/>
          <w:lang w:val="sr-Latn-ME"/>
        </w:rPr>
        <w:t>č</w:t>
      </w:r>
      <w:r w:rsidRPr="0BB45BEF">
        <w:rPr>
          <w:rFonts w:asciiTheme="minorHAnsi" w:hAnsiTheme="minorHAnsi"/>
        </w:rPr>
        <w:t>je</w:t>
      </w:r>
      <w:r w:rsidRPr="0BB45BEF">
        <w:rPr>
          <w:rFonts w:asciiTheme="minorHAnsi" w:hAnsiTheme="minorHAnsi"/>
          <w:lang w:val="sr-Latn-ME"/>
        </w:rPr>
        <w:t xml:space="preserve"> </w:t>
      </w:r>
      <w:proofErr w:type="spellStart"/>
      <w:r w:rsidRPr="0BB45BEF">
        <w:rPr>
          <w:rFonts w:asciiTheme="minorHAnsi" w:hAnsiTheme="minorHAnsi"/>
        </w:rPr>
        <w:t>stanovanja</w:t>
      </w:r>
      <w:proofErr w:type="spellEnd"/>
      <w:r w:rsidRPr="0BB45BEF">
        <w:rPr>
          <w:rFonts w:asciiTheme="minorHAnsi" w:hAnsiTheme="minorHAnsi"/>
          <w:lang w:val="sr-Latn-ME"/>
        </w:rPr>
        <w:t xml:space="preserve"> </w:t>
      </w:r>
      <w:proofErr w:type="spellStart"/>
      <w:r w:rsidRPr="0BB45BEF">
        <w:rPr>
          <w:rFonts w:asciiTheme="minorHAnsi" w:hAnsiTheme="minorHAnsi"/>
        </w:rPr>
        <w:t>i</w:t>
      </w:r>
      <w:proofErr w:type="spellEnd"/>
      <w:r w:rsidRPr="0BB45BEF">
        <w:rPr>
          <w:rFonts w:asciiTheme="minorHAnsi" w:hAnsiTheme="minorHAnsi"/>
          <w:lang w:val="sr-Latn-ME"/>
        </w:rPr>
        <w:t xml:space="preserve"> </w:t>
      </w:r>
      <w:proofErr w:type="spellStart"/>
      <w:r w:rsidRPr="0BB45BEF">
        <w:rPr>
          <w:rFonts w:asciiTheme="minorHAnsi" w:hAnsiTheme="minorHAnsi"/>
        </w:rPr>
        <w:t>infrastrukture</w:t>
      </w:r>
      <w:proofErr w:type="spellEnd"/>
      <w:r w:rsidRPr="0BB45BEF">
        <w:rPr>
          <w:rFonts w:asciiTheme="minorHAnsi" w:hAnsiTheme="minorHAnsi"/>
          <w:lang w:val="sr-Latn-ME"/>
        </w:rPr>
        <w:t xml:space="preserve"> </w:t>
      </w:r>
      <w:proofErr w:type="spellStart"/>
      <w:r w:rsidRPr="0BB45BEF">
        <w:rPr>
          <w:rFonts w:asciiTheme="minorHAnsi" w:hAnsiTheme="minorHAnsi"/>
        </w:rPr>
        <w:t>zasniva</w:t>
      </w:r>
      <w:proofErr w:type="spellEnd"/>
      <w:r w:rsidRPr="0BB45BEF">
        <w:rPr>
          <w:rFonts w:asciiTheme="minorHAnsi" w:hAnsiTheme="minorHAnsi"/>
          <w:lang w:val="sr-Latn-ME"/>
        </w:rPr>
        <w:t xml:space="preserve"> </w:t>
      </w:r>
      <w:r w:rsidRPr="0BB45BEF">
        <w:rPr>
          <w:rFonts w:asciiTheme="minorHAnsi" w:hAnsiTheme="minorHAnsi"/>
        </w:rPr>
        <w:t>se</w:t>
      </w:r>
      <w:r w:rsidRPr="0BB45BEF">
        <w:rPr>
          <w:rFonts w:asciiTheme="minorHAnsi" w:hAnsiTheme="minorHAnsi"/>
          <w:lang w:val="sr-Latn-ME"/>
        </w:rPr>
        <w:t xml:space="preserve"> </w:t>
      </w:r>
      <w:proofErr w:type="spellStart"/>
      <w:r w:rsidRPr="0BB45BEF">
        <w:rPr>
          <w:rFonts w:asciiTheme="minorHAnsi" w:hAnsiTheme="minorHAnsi"/>
        </w:rPr>
        <w:t>na</w:t>
      </w:r>
      <w:proofErr w:type="spellEnd"/>
      <w:r w:rsidRPr="0BB45BEF">
        <w:rPr>
          <w:rFonts w:asciiTheme="minorHAnsi" w:hAnsiTheme="minorHAnsi"/>
          <w:lang w:val="sr-Latn-ME"/>
        </w:rPr>
        <w:t xml:space="preserve"> </w:t>
      </w:r>
      <w:proofErr w:type="spellStart"/>
      <w:r w:rsidRPr="0BB45BEF">
        <w:rPr>
          <w:rFonts w:asciiTheme="minorHAnsi" w:hAnsiTheme="minorHAnsi"/>
        </w:rPr>
        <w:t>principima</w:t>
      </w:r>
      <w:proofErr w:type="spellEnd"/>
      <w:r w:rsidRPr="0BB45BEF">
        <w:rPr>
          <w:rFonts w:asciiTheme="minorHAnsi" w:hAnsiTheme="minorHAnsi"/>
          <w:lang w:val="sr-Latn-ME"/>
        </w:rPr>
        <w:t xml:space="preserve"> </w:t>
      </w:r>
      <w:proofErr w:type="spellStart"/>
      <w:r w:rsidRPr="0BB45BEF">
        <w:rPr>
          <w:rFonts w:asciiTheme="minorHAnsi" w:hAnsiTheme="minorHAnsi"/>
        </w:rPr>
        <w:t>odr</w:t>
      </w:r>
      <w:proofErr w:type="spellEnd"/>
      <w:r w:rsidRPr="0BB45BEF">
        <w:rPr>
          <w:rFonts w:asciiTheme="minorHAnsi" w:hAnsiTheme="minorHAnsi"/>
          <w:lang w:val="sr-Latn-ME"/>
        </w:rPr>
        <w:t>ž</w:t>
      </w:r>
      <w:proofErr w:type="spellStart"/>
      <w:r w:rsidRPr="0BB45BEF">
        <w:rPr>
          <w:rFonts w:asciiTheme="minorHAnsi" w:hAnsiTheme="minorHAnsi"/>
        </w:rPr>
        <w:t>ivog</w:t>
      </w:r>
      <w:proofErr w:type="spellEnd"/>
      <w:r w:rsidRPr="0BB45BEF">
        <w:rPr>
          <w:rFonts w:asciiTheme="minorHAnsi" w:hAnsiTheme="minorHAnsi"/>
          <w:lang w:val="sr-Latn-ME"/>
        </w:rPr>
        <w:t xml:space="preserve"> </w:t>
      </w:r>
      <w:proofErr w:type="spellStart"/>
      <w:r w:rsidRPr="0BB45BEF">
        <w:rPr>
          <w:rFonts w:asciiTheme="minorHAnsi" w:hAnsiTheme="minorHAnsi"/>
        </w:rPr>
        <w:t>razvoja</w:t>
      </w:r>
      <w:proofErr w:type="spellEnd"/>
      <w:r w:rsidRPr="0BB45BEF">
        <w:rPr>
          <w:rFonts w:asciiTheme="minorHAnsi" w:hAnsiTheme="minorHAnsi"/>
          <w:lang w:val="sr-Latn-ME"/>
        </w:rPr>
        <w:t xml:space="preserve">, </w:t>
      </w:r>
      <w:proofErr w:type="spellStart"/>
      <w:r w:rsidRPr="0BB45BEF">
        <w:rPr>
          <w:rFonts w:asciiTheme="minorHAnsi" w:hAnsiTheme="minorHAnsi"/>
        </w:rPr>
        <w:t>energetske</w:t>
      </w:r>
      <w:proofErr w:type="spellEnd"/>
      <w:r w:rsidRPr="0BB45BEF">
        <w:rPr>
          <w:rFonts w:asciiTheme="minorHAnsi" w:hAnsiTheme="minorHAnsi"/>
          <w:lang w:val="sr-Latn-ME"/>
        </w:rPr>
        <w:t xml:space="preserve"> </w:t>
      </w:r>
      <w:proofErr w:type="spellStart"/>
      <w:r w:rsidRPr="0BB45BEF">
        <w:rPr>
          <w:rFonts w:asciiTheme="minorHAnsi" w:hAnsiTheme="minorHAnsi"/>
        </w:rPr>
        <w:t>efikasnosti</w:t>
      </w:r>
      <w:proofErr w:type="spellEnd"/>
      <w:r w:rsidRPr="0BB45BEF">
        <w:rPr>
          <w:rFonts w:asciiTheme="minorHAnsi" w:hAnsiTheme="minorHAnsi"/>
          <w:lang w:val="sr-Latn-ME"/>
        </w:rPr>
        <w:t xml:space="preserve">, </w:t>
      </w:r>
      <w:proofErr w:type="spellStart"/>
      <w:r w:rsidRPr="0BB45BEF">
        <w:rPr>
          <w:rFonts w:asciiTheme="minorHAnsi" w:hAnsiTheme="minorHAnsi"/>
        </w:rPr>
        <w:t>smanjenja</w:t>
      </w:r>
      <w:proofErr w:type="spellEnd"/>
      <w:r w:rsidRPr="0BB45BEF">
        <w:rPr>
          <w:rFonts w:asciiTheme="minorHAnsi" w:hAnsiTheme="minorHAnsi"/>
          <w:lang w:val="sr-Latn-ME"/>
        </w:rPr>
        <w:t xml:space="preserve"> </w:t>
      </w:r>
      <w:proofErr w:type="spellStart"/>
      <w:r w:rsidRPr="0BB45BEF">
        <w:rPr>
          <w:rFonts w:asciiTheme="minorHAnsi" w:hAnsiTheme="minorHAnsi"/>
        </w:rPr>
        <w:t>emisija</w:t>
      </w:r>
      <w:proofErr w:type="spellEnd"/>
      <w:r w:rsidRPr="0BB45BEF">
        <w:rPr>
          <w:rFonts w:asciiTheme="minorHAnsi" w:hAnsiTheme="minorHAnsi"/>
          <w:lang w:val="sr-Latn-ME"/>
        </w:rPr>
        <w:t xml:space="preserve"> </w:t>
      </w:r>
      <w:proofErr w:type="spellStart"/>
      <w:r w:rsidRPr="0BB45BEF">
        <w:rPr>
          <w:rFonts w:asciiTheme="minorHAnsi" w:hAnsiTheme="minorHAnsi"/>
        </w:rPr>
        <w:t>i</w:t>
      </w:r>
      <w:proofErr w:type="spellEnd"/>
      <w:r w:rsidRPr="0BB45BEF">
        <w:rPr>
          <w:rFonts w:asciiTheme="minorHAnsi" w:hAnsiTheme="minorHAnsi"/>
          <w:lang w:val="sr-Latn-ME"/>
        </w:rPr>
        <w:t xml:space="preserve"> </w:t>
      </w:r>
      <w:proofErr w:type="spellStart"/>
      <w:r w:rsidRPr="0BB45BEF">
        <w:rPr>
          <w:rFonts w:asciiTheme="minorHAnsi" w:hAnsiTheme="minorHAnsi"/>
        </w:rPr>
        <w:t>socijalne</w:t>
      </w:r>
      <w:proofErr w:type="spellEnd"/>
      <w:r w:rsidRPr="0BB45BEF">
        <w:rPr>
          <w:rFonts w:asciiTheme="minorHAnsi" w:hAnsiTheme="minorHAnsi"/>
          <w:lang w:val="sr-Latn-ME"/>
        </w:rPr>
        <w:t xml:space="preserve"> </w:t>
      </w:r>
      <w:proofErr w:type="spellStart"/>
      <w:r w:rsidRPr="0BB45BEF">
        <w:rPr>
          <w:rFonts w:asciiTheme="minorHAnsi" w:hAnsiTheme="minorHAnsi"/>
        </w:rPr>
        <w:t>uklju</w:t>
      </w:r>
      <w:proofErr w:type="spellEnd"/>
      <w:r w:rsidRPr="0BB45BEF">
        <w:rPr>
          <w:rFonts w:asciiTheme="minorHAnsi" w:hAnsiTheme="minorHAnsi"/>
          <w:lang w:val="sr-Latn-ME"/>
        </w:rPr>
        <w:t>č</w:t>
      </w:r>
      <w:proofErr w:type="spellStart"/>
      <w:r w:rsidRPr="0BB45BEF">
        <w:rPr>
          <w:rFonts w:asciiTheme="minorHAnsi" w:hAnsiTheme="minorHAnsi"/>
        </w:rPr>
        <w:t>enosti</w:t>
      </w:r>
      <w:proofErr w:type="spellEnd"/>
      <w:r w:rsidRPr="0BB45BEF">
        <w:rPr>
          <w:rFonts w:asciiTheme="minorHAnsi" w:hAnsiTheme="minorHAnsi"/>
          <w:lang w:val="sr-Latn-ME"/>
        </w:rPr>
        <w:t xml:space="preserve">. </w:t>
      </w:r>
      <w:r w:rsidRPr="0BB45BEF">
        <w:rPr>
          <w:rFonts w:asciiTheme="minorHAnsi" w:hAnsiTheme="minorHAnsi"/>
        </w:rPr>
        <w:t>Na</w:t>
      </w:r>
      <w:r w:rsidRPr="0BB45BEF">
        <w:rPr>
          <w:rFonts w:asciiTheme="minorHAnsi" w:hAnsiTheme="minorHAnsi"/>
          <w:lang w:val="sr-Latn-ME"/>
        </w:rPr>
        <w:t xml:space="preserve"> </w:t>
      </w:r>
      <w:r w:rsidRPr="0BB45BEF">
        <w:rPr>
          <w:rFonts w:asciiTheme="minorHAnsi" w:hAnsiTheme="minorHAnsi"/>
        </w:rPr>
        <w:t>me</w:t>
      </w:r>
      <w:r w:rsidRPr="0BB45BEF">
        <w:rPr>
          <w:rFonts w:asciiTheme="minorHAnsi" w:hAnsiTheme="minorHAnsi"/>
          <w:lang w:val="sr-Latn-ME"/>
        </w:rPr>
        <w:t>đ</w:t>
      </w:r>
      <w:proofErr w:type="spellStart"/>
      <w:r w:rsidRPr="0BB45BEF">
        <w:rPr>
          <w:rFonts w:asciiTheme="minorHAnsi" w:hAnsiTheme="minorHAnsi"/>
        </w:rPr>
        <w:t>unarodnom</w:t>
      </w:r>
      <w:proofErr w:type="spellEnd"/>
      <w:r w:rsidRPr="0BB45BEF">
        <w:rPr>
          <w:rFonts w:asciiTheme="minorHAnsi" w:hAnsiTheme="minorHAnsi"/>
          <w:lang w:val="sr-Latn-ME"/>
        </w:rPr>
        <w:t xml:space="preserve"> </w:t>
      </w:r>
      <w:proofErr w:type="spellStart"/>
      <w:r w:rsidRPr="0BB45BEF">
        <w:rPr>
          <w:rFonts w:asciiTheme="minorHAnsi" w:hAnsiTheme="minorHAnsi"/>
        </w:rPr>
        <w:t>nivou</w:t>
      </w:r>
      <w:proofErr w:type="spellEnd"/>
      <w:r w:rsidRPr="0BB45BEF">
        <w:rPr>
          <w:rFonts w:asciiTheme="minorHAnsi" w:hAnsiTheme="minorHAnsi"/>
          <w:lang w:val="sr-Latn-ME"/>
        </w:rPr>
        <w:t xml:space="preserve">, </w:t>
      </w:r>
      <w:r w:rsidRPr="0BB45BEF">
        <w:rPr>
          <w:rStyle w:val="Strong"/>
          <w:rFonts w:asciiTheme="minorHAnsi" w:eastAsiaTheme="majorEastAsia" w:hAnsiTheme="minorHAnsi"/>
          <w:b w:val="0"/>
          <w:bCs w:val="0"/>
        </w:rPr>
        <w:t>Agenda</w:t>
      </w:r>
      <w:r w:rsidRPr="0BB45BEF">
        <w:rPr>
          <w:rStyle w:val="Strong"/>
          <w:rFonts w:asciiTheme="minorHAnsi" w:eastAsiaTheme="majorEastAsia" w:hAnsiTheme="minorHAnsi"/>
          <w:b w:val="0"/>
          <w:bCs w:val="0"/>
          <w:lang w:val="sr-Latn-ME"/>
        </w:rPr>
        <w:t xml:space="preserve"> 2030 </w:t>
      </w:r>
      <w:proofErr w:type="spellStart"/>
      <w:r w:rsidRPr="0BB45BEF">
        <w:rPr>
          <w:rStyle w:val="Strong"/>
          <w:rFonts w:asciiTheme="minorHAnsi" w:eastAsiaTheme="majorEastAsia" w:hAnsiTheme="minorHAnsi"/>
          <w:b w:val="0"/>
          <w:bCs w:val="0"/>
        </w:rPr>
        <w:t>i</w:t>
      </w:r>
      <w:proofErr w:type="spellEnd"/>
      <w:r w:rsidRPr="0BB45BEF">
        <w:rPr>
          <w:rStyle w:val="Strong"/>
          <w:rFonts w:asciiTheme="minorHAnsi" w:eastAsiaTheme="majorEastAsia" w:hAnsiTheme="minorHAnsi"/>
          <w:b w:val="0"/>
          <w:bCs w:val="0"/>
          <w:lang w:val="sr-Latn-ME"/>
        </w:rPr>
        <w:t xml:space="preserve"> </w:t>
      </w:r>
      <w:proofErr w:type="spellStart"/>
      <w:r w:rsidRPr="0BB45BEF">
        <w:rPr>
          <w:rStyle w:val="Strong"/>
          <w:rFonts w:asciiTheme="minorHAnsi" w:eastAsiaTheme="majorEastAsia" w:hAnsiTheme="minorHAnsi"/>
          <w:b w:val="0"/>
          <w:bCs w:val="0"/>
        </w:rPr>
        <w:t>Ciljevi</w:t>
      </w:r>
      <w:proofErr w:type="spellEnd"/>
      <w:r w:rsidRPr="0BB45BEF">
        <w:rPr>
          <w:rStyle w:val="Strong"/>
          <w:rFonts w:asciiTheme="minorHAnsi" w:eastAsiaTheme="majorEastAsia" w:hAnsiTheme="minorHAnsi"/>
          <w:b w:val="0"/>
          <w:bCs w:val="0"/>
          <w:lang w:val="sr-Latn-ME"/>
        </w:rPr>
        <w:t xml:space="preserve"> </w:t>
      </w:r>
      <w:proofErr w:type="spellStart"/>
      <w:r w:rsidRPr="0BB45BEF">
        <w:rPr>
          <w:rStyle w:val="Strong"/>
          <w:rFonts w:asciiTheme="minorHAnsi" w:eastAsiaTheme="majorEastAsia" w:hAnsiTheme="minorHAnsi"/>
          <w:b w:val="0"/>
          <w:bCs w:val="0"/>
        </w:rPr>
        <w:t>odr</w:t>
      </w:r>
      <w:proofErr w:type="spellEnd"/>
      <w:r w:rsidRPr="0BB45BEF">
        <w:rPr>
          <w:rStyle w:val="Strong"/>
          <w:rFonts w:asciiTheme="minorHAnsi" w:eastAsiaTheme="majorEastAsia" w:hAnsiTheme="minorHAnsi"/>
          <w:b w:val="0"/>
          <w:bCs w:val="0"/>
          <w:lang w:val="sr-Latn-ME"/>
        </w:rPr>
        <w:t>ž</w:t>
      </w:r>
      <w:proofErr w:type="spellStart"/>
      <w:r w:rsidRPr="0BB45BEF">
        <w:rPr>
          <w:rStyle w:val="Strong"/>
          <w:rFonts w:asciiTheme="minorHAnsi" w:eastAsiaTheme="majorEastAsia" w:hAnsiTheme="minorHAnsi"/>
          <w:b w:val="0"/>
          <w:bCs w:val="0"/>
        </w:rPr>
        <w:t>ivog</w:t>
      </w:r>
      <w:proofErr w:type="spellEnd"/>
      <w:r w:rsidRPr="0BB45BEF">
        <w:rPr>
          <w:rStyle w:val="Strong"/>
          <w:rFonts w:asciiTheme="minorHAnsi" w:eastAsiaTheme="majorEastAsia" w:hAnsiTheme="minorHAnsi"/>
          <w:b w:val="0"/>
          <w:bCs w:val="0"/>
          <w:lang w:val="sr-Latn-ME"/>
        </w:rPr>
        <w:t xml:space="preserve"> </w:t>
      </w:r>
      <w:proofErr w:type="spellStart"/>
      <w:r w:rsidRPr="0BB45BEF">
        <w:rPr>
          <w:rStyle w:val="Strong"/>
          <w:rFonts w:asciiTheme="minorHAnsi" w:eastAsiaTheme="majorEastAsia" w:hAnsiTheme="minorHAnsi"/>
          <w:b w:val="0"/>
          <w:bCs w:val="0"/>
        </w:rPr>
        <w:t>razvoja</w:t>
      </w:r>
      <w:proofErr w:type="spellEnd"/>
      <w:r w:rsidRPr="0BB45BEF">
        <w:rPr>
          <w:rFonts w:asciiTheme="minorHAnsi" w:hAnsiTheme="minorHAnsi"/>
          <w:lang w:val="sr-Latn-ME"/>
        </w:rPr>
        <w:t xml:space="preserve"> </w:t>
      </w:r>
      <w:proofErr w:type="spellStart"/>
      <w:r w:rsidRPr="0BB45BEF">
        <w:rPr>
          <w:rFonts w:asciiTheme="minorHAnsi" w:hAnsiTheme="minorHAnsi"/>
        </w:rPr>
        <w:t>postavljaju</w:t>
      </w:r>
      <w:proofErr w:type="spellEnd"/>
      <w:r w:rsidRPr="0BB45BEF">
        <w:rPr>
          <w:rFonts w:asciiTheme="minorHAnsi" w:hAnsiTheme="minorHAnsi"/>
          <w:lang w:val="sr-Latn-ME"/>
        </w:rPr>
        <w:t xml:space="preserve"> </w:t>
      </w:r>
      <w:proofErr w:type="spellStart"/>
      <w:r w:rsidRPr="0BB45BEF">
        <w:rPr>
          <w:rFonts w:asciiTheme="minorHAnsi" w:hAnsiTheme="minorHAnsi"/>
        </w:rPr>
        <w:t>osnovu</w:t>
      </w:r>
      <w:proofErr w:type="spellEnd"/>
      <w:r w:rsidRPr="0BB45BEF">
        <w:rPr>
          <w:rFonts w:asciiTheme="minorHAnsi" w:hAnsiTheme="minorHAnsi"/>
          <w:lang w:val="sr-Latn-ME"/>
        </w:rPr>
        <w:t xml:space="preserve"> </w:t>
      </w:r>
      <w:r w:rsidRPr="0BB45BEF">
        <w:rPr>
          <w:rFonts w:asciiTheme="minorHAnsi" w:hAnsiTheme="minorHAnsi"/>
        </w:rPr>
        <w:t>za</w:t>
      </w:r>
      <w:r w:rsidRPr="0BB45BEF">
        <w:rPr>
          <w:rFonts w:asciiTheme="minorHAnsi" w:hAnsiTheme="minorHAnsi"/>
          <w:lang w:val="sr-Latn-ME"/>
        </w:rPr>
        <w:t xml:space="preserve"> </w:t>
      </w:r>
      <w:proofErr w:type="spellStart"/>
      <w:r w:rsidRPr="0BB45BEF">
        <w:rPr>
          <w:rFonts w:asciiTheme="minorHAnsi" w:hAnsiTheme="minorHAnsi"/>
        </w:rPr>
        <w:t>razvoj</w:t>
      </w:r>
      <w:proofErr w:type="spellEnd"/>
      <w:r w:rsidRPr="0BB45BEF">
        <w:rPr>
          <w:rFonts w:asciiTheme="minorHAnsi" w:hAnsiTheme="minorHAnsi"/>
          <w:lang w:val="sr-Latn-ME"/>
        </w:rPr>
        <w:t xml:space="preserve"> </w:t>
      </w:r>
      <w:proofErr w:type="spellStart"/>
      <w:r w:rsidRPr="0BB45BEF">
        <w:rPr>
          <w:rFonts w:asciiTheme="minorHAnsi" w:hAnsiTheme="minorHAnsi"/>
        </w:rPr>
        <w:t>inkluzivnih</w:t>
      </w:r>
      <w:proofErr w:type="spellEnd"/>
      <w:r w:rsidRPr="0BB45BEF">
        <w:rPr>
          <w:rFonts w:asciiTheme="minorHAnsi" w:hAnsiTheme="minorHAnsi"/>
          <w:lang w:val="sr-Latn-ME"/>
        </w:rPr>
        <w:t xml:space="preserve">, </w:t>
      </w:r>
      <w:proofErr w:type="spellStart"/>
      <w:r w:rsidRPr="0BB45BEF">
        <w:rPr>
          <w:rFonts w:asciiTheme="minorHAnsi" w:hAnsiTheme="minorHAnsi"/>
        </w:rPr>
        <w:t>sigurnih</w:t>
      </w:r>
      <w:proofErr w:type="spellEnd"/>
      <w:r w:rsidRPr="0BB45BEF">
        <w:rPr>
          <w:rFonts w:asciiTheme="minorHAnsi" w:hAnsiTheme="minorHAnsi"/>
          <w:lang w:val="sr-Latn-ME"/>
        </w:rPr>
        <w:t xml:space="preserve"> </w:t>
      </w:r>
      <w:proofErr w:type="spellStart"/>
      <w:r w:rsidRPr="0BB45BEF">
        <w:rPr>
          <w:rFonts w:asciiTheme="minorHAnsi" w:hAnsiTheme="minorHAnsi"/>
        </w:rPr>
        <w:t>i</w:t>
      </w:r>
      <w:proofErr w:type="spellEnd"/>
      <w:r w:rsidRPr="0BB45BEF">
        <w:rPr>
          <w:rFonts w:asciiTheme="minorHAnsi" w:hAnsiTheme="minorHAnsi"/>
          <w:lang w:val="sr-Latn-ME"/>
        </w:rPr>
        <w:t xml:space="preserve"> </w:t>
      </w:r>
      <w:proofErr w:type="spellStart"/>
      <w:r w:rsidRPr="0BB45BEF">
        <w:rPr>
          <w:rFonts w:asciiTheme="minorHAnsi" w:hAnsiTheme="minorHAnsi"/>
        </w:rPr>
        <w:t>odr</w:t>
      </w:r>
      <w:proofErr w:type="spellEnd"/>
      <w:r w:rsidRPr="0BB45BEF">
        <w:rPr>
          <w:rFonts w:asciiTheme="minorHAnsi" w:hAnsiTheme="minorHAnsi"/>
          <w:lang w:val="sr-Latn-ME"/>
        </w:rPr>
        <w:t>ž</w:t>
      </w:r>
      <w:proofErr w:type="spellStart"/>
      <w:r w:rsidRPr="0BB45BEF">
        <w:rPr>
          <w:rFonts w:asciiTheme="minorHAnsi" w:hAnsiTheme="minorHAnsi"/>
        </w:rPr>
        <w:t>ivih</w:t>
      </w:r>
      <w:proofErr w:type="spellEnd"/>
      <w:r w:rsidRPr="0BB45BEF">
        <w:rPr>
          <w:rFonts w:asciiTheme="minorHAnsi" w:hAnsiTheme="minorHAnsi"/>
          <w:lang w:val="sr-Latn-ME"/>
        </w:rPr>
        <w:t xml:space="preserve"> </w:t>
      </w:r>
      <w:proofErr w:type="spellStart"/>
      <w:r w:rsidRPr="0BB45BEF">
        <w:rPr>
          <w:rFonts w:asciiTheme="minorHAnsi" w:hAnsiTheme="minorHAnsi"/>
        </w:rPr>
        <w:t>stambenih</w:t>
      </w:r>
      <w:proofErr w:type="spellEnd"/>
      <w:r w:rsidRPr="0BB45BEF">
        <w:rPr>
          <w:rFonts w:asciiTheme="minorHAnsi" w:hAnsiTheme="minorHAnsi"/>
          <w:lang w:val="sr-Latn-ME"/>
        </w:rPr>
        <w:t xml:space="preserve"> </w:t>
      </w:r>
      <w:proofErr w:type="spellStart"/>
      <w:r w:rsidRPr="0BB45BEF">
        <w:rPr>
          <w:rFonts w:asciiTheme="minorHAnsi" w:hAnsiTheme="minorHAnsi"/>
        </w:rPr>
        <w:t>rje</w:t>
      </w:r>
      <w:proofErr w:type="spellEnd"/>
      <w:r w:rsidRPr="0BB45BEF">
        <w:rPr>
          <w:rFonts w:asciiTheme="minorHAnsi" w:hAnsiTheme="minorHAnsi"/>
          <w:lang w:val="sr-Latn-ME"/>
        </w:rPr>
        <w:t>š</w:t>
      </w:r>
      <w:proofErr w:type="spellStart"/>
      <w:r w:rsidRPr="0BB45BEF">
        <w:rPr>
          <w:rFonts w:asciiTheme="minorHAnsi" w:hAnsiTheme="minorHAnsi"/>
        </w:rPr>
        <w:t>enja</w:t>
      </w:r>
      <w:proofErr w:type="spellEnd"/>
      <w:r w:rsidRPr="0BB45BEF">
        <w:rPr>
          <w:rFonts w:asciiTheme="minorHAnsi" w:hAnsiTheme="minorHAnsi"/>
          <w:lang w:val="sr-Latn-ME"/>
        </w:rPr>
        <w:t xml:space="preserve">, </w:t>
      </w:r>
      <w:proofErr w:type="spellStart"/>
      <w:r w:rsidRPr="0BB45BEF">
        <w:rPr>
          <w:rFonts w:asciiTheme="minorHAnsi" w:hAnsiTheme="minorHAnsi"/>
        </w:rPr>
        <w:t>uz</w:t>
      </w:r>
      <w:proofErr w:type="spellEnd"/>
      <w:r w:rsidRPr="0BB45BEF">
        <w:rPr>
          <w:rFonts w:asciiTheme="minorHAnsi" w:hAnsiTheme="minorHAnsi"/>
          <w:lang w:val="sr-Latn-ME"/>
        </w:rPr>
        <w:t xml:space="preserve"> </w:t>
      </w:r>
      <w:proofErr w:type="spellStart"/>
      <w:r w:rsidRPr="0BB45BEF">
        <w:rPr>
          <w:rFonts w:asciiTheme="minorHAnsi" w:hAnsiTheme="minorHAnsi"/>
        </w:rPr>
        <w:t>poseban</w:t>
      </w:r>
      <w:proofErr w:type="spellEnd"/>
      <w:r w:rsidRPr="0BB45BEF">
        <w:rPr>
          <w:rFonts w:asciiTheme="minorHAnsi" w:hAnsiTheme="minorHAnsi"/>
          <w:lang w:val="sr-Latn-ME"/>
        </w:rPr>
        <w:t xml:space="preserve"> </w:t>
      </w:r>
      <w:proofErr w:type="spellStart"/>
      <w:r w:rsidRPr="0BB45BEF">
        <w:rPr>
          <w:rFonts w:asciiTheme="minorHAnsi" w:hAnsiTheme="minorHAnsi"/>
        </w:rPr>
        <w:t>fokus</w:t>
      </w:r>
      <w:proofErr w:type="spellEnd"/>
      <w:r w:rsidRPr="0BB45BEF">
        <w:rPr>
          <w:rFonts w:asciiTheme="minorHAnsi" w:hAnsiTheme="minorHAnsi"/>
          <w:lang w:val="sr-Latn-ME"/>
        </w:rPr>
        <w:t xml:space="preserve"> </w:t>
      </w:r>
      <w:proofErr w:type="spellStart"/>
      <w:r w:rsidRPr="0BB45BEF">
        <w:rPr>
          <w:rFonts w:asciiTheme="minorHAnsi" w:hAnsiTheme="minorHAnsi"/>
        </w:rPr>
        <w:t>na</w:t>
      </w:r>
      <w:proofErr w:type="spellEnd"/>
      <w:r w:rsidRPr="0BB45BEF">
        <w:rPr>
          <w:rFonts w:asciiTheme="minorHAnsi" w:hAnsiTheme="minorHAnsi"/>
          <w:lang w:val="sr-Latn-ME"/>
        </w:rPr>
        <w:t xml:space="preserve"> </w:t>
      </w:r>
      <w:proofErr w:type="spellStart"/>
      <w:r w:rsidRPr="0BB45BEF">
        <w:rPr>
          <w:rFonts w:asciiTheme="minorHAnsi" w:hAnsiTheme="minorHAnsi"/>
        </w:rPr>
        <w:t>odr</w:t>
      </w:r>
      <w:proofErr w:type="spellEnd"/>
      <w:r w:rsidRPr="0BB45BEF">
        <w:rPr>
          <w:rFonts w:asciiTheme="minorHAnsi" w:hAnsiTheme="minorHAnsi"/>
          <w:lang w:val="sr-Latn-ME"/>
        </w:rPr>
        <w:t>ž</w:t>
      </w:r>
      <w:proofErr w:type="spellStart"/>
      <w:r w:rsidRPr="0BB45BEF">
        <w:rPr>
          <w:rFonts w:asciiTheme="minorHAnsi" w:hAnsiTheme="minorHAnsi"/>
        </w:rPr>
        <w:t>ive</w:t>
      </w:r>
      <w:proofErr w:type="spellEnd"/>
      <w:r w:rsidRPr="0BB45BEF">
        <w:rPr>
          <w:rFonts w:asciiTheme="minorHAnsi" w:hAnsiTheme="minorHAnsi"/>
          <w:lang w:val="sr-Latn-ME"/>
        </w:rPr>
        <w:t xml:space="preserve"> </w:t>
      </w:r>
      <w:proofErr w:type="spellStart"/>
      <w:r w:rsidRPr="0BB45BEF">
        <w:rPr>
          <w:rFonts w:asciiTheme="minorHAnsi" w:hAnsiTheme="minorHAnsi"/>
        </w:rPr>
        <w:t>gradove</w:t>
      </w:r>
      <w:proofErr w:type="spellEnd"/>
      <w:r w:rsidRPr="0BB45BEF">
        <w:rPr>
          <w:rFonts w:asciiTheme="minorHAnsi" w:hAnsiTheme="minorHAnsi"/>
          <w:lang w:val="sr-Latn-ME"/>
        </w:rPr>
        <w:t xml:space="preserve"> </w:t>
      </w:r>
      <w:proofErr w:type="spellStart"/>
      <w:r w:rsidRPr="0BB45BEF">
        <w:rPr>
          <w:rFonts w:asciiTheme="minorHAnsi" w:hAnsiTheme="minorHAnsi"/>
        </w:rPr>
        <w:t>i</w:t>
      </w:r>
      <w:proofErr w:type="spellEnd"/>
      <w:r w:rsidRPr="0BB45BEF">
        <w:rPr>
          <w:rFonts w:asciiTheme="minorHAnsi" w:hAnsiTheme="minorHAnsi"/>
          <w:lang w:val="sr-Latn-ME"/>
        </w:rPr>
        <w:t xml:space="preserve"> </w:t>
      </w:r>
      <w:proofErr w:type="spellStart"/>
      <w:r w:rsidRPr="0BB45BEF">
        <w:rPr>
          <w:rFonts w:asciiTheme="minorHAnsi" w:hAnsiTheme="minorHAnsi"/>
        </w:rPr>
        <w:t>naselja</w:t>
      </w:r>
      <w:proofErr w:type="spellEnd"/>
      <w:r w:rsidRPr="0BB45BEF">
        <w:rPr>
          <w:rFonts w:asciiTheme="minorHAnsi" w:hAnsiTheme="minorHAnsi"/>
          <w:lang w:val="sr-Latn-ME"/>
        </w:rPr>
        <w:t xml:space="preserve">. </w:t>
      </w:r>
      <w:r w:rsidRPr="0BB45BEF">
        <w:rPr>
          <w:rStyle w:val="Strong"/>
          <w:rFonts w:asciiTheme="minorHAnsi" w:eastAsiaTheme="majorEastAsia" w:hAnsiTheme="minorHAnsi"/>
          <w:b w:val="0"/>
          <w:bCs w:val="0"/>
          <w:lang w:val="pt-BR"/>
        </w:rPr>
        <w:t>Nova urbana agenda (Habitat III, 2016)</w:t>
      </w:r>
      <w:r w:rsidRPr="0BB45BEF">
        <w:rPr>
          <w:rFonts w:asciiTheme="minorHAnsi" w:hAnsiTheme="minorHAnsi"/>
          <w:lang w:val="pt-BR"/>
        </w:rPr>
        <w:t xml:space="preserve"> predstavlja ključni globalni okvir za održivi urbani razvoj, sa naglaskom na integrisano planiranje prostora i unapređenje izgrađenog okruženja.</w:t>
      </w:r>
    </w:p>
    <w:p w14:paraId="59D75C08" w14:textId="77777777" w:rsidR="0038625C" w:rsidRPr="0038625C" w:rsidRDefault="0BB45BEF" w:rsidP="0BB45BEF">
      <w:pPr>
        <w:pStyle w:val="NormalWeb"/>
        <w:jc w:val="both"/>
        <w:rPr>
          <w:rFonts w:asciiTheme="minorHAnsi" w:hAnsiTheme="minorHAnsi"/>
          <w:lang w:val="pt-BR"/>
        </w:rPr>
      </w:pPr>
      <w:r w:rsidRPr="0BB45BEF">
        <w:rPr>
          <w:rFonts w:asciiTheme="minorHAnsi" w:hAnsiTheme="minorHAnsi"/>
          <w:lang w:val="pt-BR"/>
        </w:rPr>
        <w:t xml:space="preserve">Na nivou Evropske unije, </w:t>
      </w:r>
      <w:r w:rsidRPr="0BB45BEF">
        <w:rPr>
          <w:rStyle w:val="Strong"/>
          <w:rFonts w:asciiTheme="minorHAnsi" w:eastAsiaTheme="majorEastAsia" w:hAnsiTheme="minorHAnsi"/>
          <w:b w:val="0"/>
          <w:bCs w:val="0"/>
          <w:lang w:val="pt-BR"/>
        </w:rPr>
        <w:t>Evropski zeleni plan (European Green Deal, 2019)</w:t>
      </w:r>
      <w:r w:rsidRPr="0BB45BEF">
        <w:rPr>
          <w:rFonts w:asciiTheme="minorHAnsi" w:hAnsiTheme="minorHAnsi"/>
          <w:lang w:val="pt-BR"/>
        </w:rPr>
        <w:t xml:space="preserve"> definiše strateški pravac transformacije ka klimatski neutralnoj ekonomiji, pri čemu sektor zgrada ima ključnu ulogu u smanjenju emisija i unapređenju energetske efikasnosti. Ovaj okvir dodatno je pravno utemeljen kroz </w:t>
      </w:r>
      <w:r w:rsidRPr="0BB45BEF">
        <w:rPr>
          <w:rStyle w:val="Strong"/>
          <w:rFonts w:asciiTheme="minorHAnsi" w:eastAsiaTheme="majorEastAsia" w:hAnsiTheme="minorHAnsi"/>
          <w:b w:val="0"/>
          <w:bCs w:val="0"/>
          <w:lang w:val="pt-BR"/>
        </w:rPr>
        <w:t>EU Zakon o klimi (Regulation (EU) 2021/1119)</w:t>
      </w:r>
      <w:r w:rsidRPr="0BB45BEF">
        <w:rPr>
          <w:rFonts w:asciiTheme="minorHAnsi" w:hAnsiTheme="minorHAnsi"/>
          <w:lang w:val="pt-BR"/>
        </w:rPr>
        <w:t xml:space="preserve">, kojim se uspostavlja cilj klimatske neutralnosti do 2050. godine. </w:t>
      </w:r>
      <w:r w:rsidRPr="0BB45BEF">
        <w:rPr>
          <w:rStyle w:val="Strong"/>
          <w:rFonts w:asciiTheme="minorHAnsi" w:eastAsiaTheme="majorEastAsia" w:hAnsiTheme="minorHAnsi"/>
          <w:b w:val="0"/>
          <w:bCs w:val="0"/>
          <w:lang w:val="pt-BR"/>
        </w:rPr>
        <w:t>Renovation Wave for Europe (2020)</w:t>
      </w:r>
      <w:r w:rsidRPr="0BB45BEF">
        <w:rPr>
          <w:rFonts w:asciiTheme="minorHAnsi" w:hAnsiTheme="minorHAnsi"/>
          <w:lang w:val="pt-BR"/>
        </w:rPr>
        <w:t xml:space="preserve"> dodatno razrađuje ovaj pristup kroz povećanje obima i kvaliteta obnove objekata. Socijalna dimenzija sektora stanovanja definisana je kroz </w:t>
      </w:r>
      <w:r w:rsidRPr="0BB45BEF">
        <w:rPr>
          <w:rStyle w:val="Strong"/>
          <w:rFonts w:asciiTheme="minorHAnsi" w:eastAsiaTheme="majorEastAsia" w:hAnsiTheme="minorHAnsi"/>
          <w:b w:val="0"/>
          <w:bCs w:val="0"/>
          <w:lang w:val="pt-BR"/>
        </w:rPr>
        <w:t>Evropski stub socijalnih prava i Akcioni plan (2021)</w:t>
      </w:r>
      <w:r w:rsidRPr="0BB45BEF">
        <w:rPr>
          <w:rFonts w:asciiTheme="minorHAnsi" w:hAnsiTheme="minorHAnsi"/>
          <w:lang w:val="pt-BR"/>
        </w:rPr>
        <w:t>, koji postavljaju okvir za unapređenje socijalne uključenosti, smanjenje siromaštva i rješavanje pitanja beskućništva.</w:t>
      </w:r>
    </w:p>
    <w:p w14:paraId="35F28556" w14:textId="77777777" w:rsidR="0038625C" w:rsidRPr="0038625C" w:rsidRDefault="0BB45BEF" w:rsidP="0BB45BEF">
      <w:pPr>
        <w:pStyle w:val="NormalWeb"/>
        <w:jc w:val="both"/>
        <w:rPr>
          <w:rFonts w:asciiTheme="minorHAnsi" w:hAnsiTheme="minorHAnsi"/>
          <w:lang w:val="pt-BR"/>
        </w:rPr>
      </w:pPr>
      <w:r w:rsidRPr="0BB45BEF">
        <w:rPr>
          <w:rFonts w:asciiTheme="minorHAnsi" w:hAnsiTheme="minorHAnsi"/>
          <w:lang w:val="pt-BR"/>
        </w:rPr>
        <w:t xml:space="preserve">Dodatno, Evropska unija razvija niz inicijativa koje doprinose implementaciji ovih politika. U tom kontekstu, značajne su </w:t>
      </w:r>
      <w:r w:rsidRPr="0BB45BEF">
        <w:rPr>
          <w:rStyle w:val="Strong"/>
          <w:rFonts w:asciiTheme="minorHAnsi" w:eastAsiaTheme="majorEastAsia" w:hAnsiTheme="minorHAnsi"/>
          <w:b w:val="0"/>
          <w:bCs w:val="0"/>
          <w:lang w:val="pt-BR"/>
        </w:rPr>
        <w:t>Evropska platforma za borbu protiv beskućništva (2021)</w:t>
      </w:r>
      <w:r w:rsidRPr="0BB45BEF">
        <w:rPr>
          <w:rFonts w:asciiTheme="minorHAnsi" w:hAnsiTheme="minorHAnsi"/>
          <w:lang w:val="pt-BR"/>
        </w:rPr>
        <w:t xml:space="preserve"> i </w:t>
      </w:r>
      <w:r w:rsidRPr="0BB45BEF">
        <w:rPr>
          <w:rStyle w:val="Strong"/>
          <w:rFonts w:asciiTheme="minorHAnsi" w:eastAsiaTheme="majorEastAsia" w:hAnsiTheme="minorHAnsi"/>
          <w:b w:val="0"/>
          <w:bCs w:val="0"/>
          <w:lang w:val="pt-BR"/>
        </w:rPr>
        <w:lastRenderedPageBreak/>
        <w:t>Novi evropski Bauhaus (2021)</w:t>
      </w:r>
      <w:r w:rsidRPr="0BB45BEF">
        <w:rPr>
          <w:rFonts w:asciiTheme="minorHAnsi" w:hAnsiTheme="minorHAnsi"/>
          <w:lang w:val="pt-BR"/>
        </w:rPr>
        <w:t>, koje predstavljaju inicijative usmjerene na koordinaciju politika, razmjenu dobrih praksi i povezivanje održivosti, inkluzije i kvaliteta izgrađenog prostora. Ove inicijative nemaju karakter pravno obavezujućih akata, ali predstavljaju važan okvir za razvoj politika i projekata u sektoru.</w:t>
      </w:r>
    </w:p>
    <w:p w14:paraId="33F1F355" w14:textId="77777777" w:rsidR="0038625C" w:rsidRPr="0038625C" w:rsidRDefault="0BB45BEF" w:rsidP="0BB45BEF">
      <w:pPr>
        <w:pStyle w:val="NormalWeb"/>
        <w:jc w:val="both"/>
        <w:rPr>
          <w:rFonts w:asciiTheme="minorHAnsi" w:hAnsiTheme="minorHAnsi"/>
          <w:lang w:val="pt-BR"/>
        </w:rPr>
      </w:pPr>
      <w:r w:rsidRPr="0BB45BEF">
        <w:rPr>
          <w:rFonts w:asciiTheme="minorHAnsi" w:hAnsiTheme="minorHAnsi"/>
          <w:lang w:val="pt-BR"/>
        </w:rPr>
        <w:t xml:space="preserve">Pravni okvir Evropske unije za ovo područje definisan je kroz </w:t>
      </w:r>
      <w:r w:rsidRPr="0BB45BEF">
        <w:rPr>
          <w:rStyle w:val="Strong"/>
          <w:rFonts w:asciiTheme="minorHAnsi" w:eastAsiaTheme="majorEastAsia" w:hAnsiTheme="minorHAnsi"/>
          <w:b w:val="0"/>
          <w:bCs w:val="0"/>
          <w:lang w:val="pt-BR"/>
        </w:rPr>
        <w:t>Direktivu (EU) 2024/1275 o energetskim svojstvima zgrada (EPBD)</w:t>
      </w:r>
      <w:r w:rsidRPr="0BB45BEF">
        <w:rPr>
          <w:rFonts w:asciiTheme="minorHAnsi" w:hAnsiTheme="minorHAnsi"/>
          <w:lang w:val="pt-BR"/>
        </w:rPr>
        <w:t xml:space="preserve"> i </w:t>
      </w:r>
      <w:r w:rsidRPr="0BB45BEF">
        <w:rPr>
          <w:rStyle w:val="Strong"/>
          <w:rFonts w:asciiTheme="minorHAnsi" w:eastAsiaTheme="majorEastAsia" w:hAnsiTheme="minorHAnsi"/>
          <w:b w:val="0"/>
          <w:bCs w:val="0"/>
          <w:lang w:val="pt-BR"/>
        </w:rPr>
        <w:t>Direktivu (EU) 2023/1791 o energetskoj efikasnosti (EED)</w:t>
      </w:r>
      <w:r w:rsidRPr="0BB45BEF">
        <w:rPr>
          <w:rFonts w:asciiTheme="minorHAnsi" w:hAnsiTheme="minorHAnsi"/>
          <w:lang w:val="pt-BR"/>
        </w:rPr>
        <w:t xml:space="preserve">, koje postavljaju okvir za unapređenje energetskih karakteristika objekata i smanjenje potrošnje energije. Dodatno, socijalna dimenzija klimatske tranzicije dodatno je ojačana kroz </w:t>
      </w:r>
      <w:r w:rsidRPr="0BB45BEF">
        <w:rPr>
          <w:rStyle w:val="Strong"/>
          <w:rFonts w:asciiTheme="minorHAnsi" w:eastAsiaTheme="majorEastAsia" w:hAnsiTheme="minorHAnsi"/>
          <w:b w:val="0"/>
          <w:bCs w:val="0"/>
          <w:lang w:val="pt-BR"/>
        </w:rPr>
        <w:t>Socijalni klimatski fond (Regulation (EU) 2023/955)</w:t>
      </w:r>
      <w:r w:rsidRPr="0BB45BEF">
        <w:rPr>
          <w:rFonts w:asciiTheme="minorHAnsi" w:hAnsiTheme="minorHAnsi"/>
          <w:lang w:val="pt-BR"/>
        </w:rPr>
        <w:t xml:space="preserve">, koji je usmjeren na ublažavanje uticaja energetskih i klimatskih politika na ranjiva domaćinstva, uključujući mjere povezane sa stanovanjem i energetskom efikasnošću. Noviji razvoj EU politike u ovoj oblasti predstavlja i </w:t>
      </w:r>
      <w:r w:rsidRPr="0BB45BEF">
        <w:rPr>
          <w:rStyle w:val="Strong"/>
          <w:rFonts w:asciiTheme="minorHAnsi" w:eastAsiaTheme="majorEastAsia" w:hAnsiTheme="minorHAnsi"/>
          <w:b w:val="0"/>
          <w:bCs w:val="0"/>
          <w:lang w:val="pt-BR"/>
        </w:rPr>
        <w:t>Evropska strategija za stambenu izgradnju (COM(2025) 991)</w:t>
      </w:r>
      <w:r w:rsidRPr="0BB45BEF">
        <w:rPr>
          <w:rFonts w:asciiTheme="minorHAnsi" w:hAnsiTheme="minorHAnsi"/>
          <w:lang w:val="pt-BR"/>
        </w:rPr>
        <w:t>, koja je usmjerena na jačanje kapaciteta i produktivnosti građevinskog sektora, ubrzanje procedura i povećanje ponude održivog i pristupačnog stanovanja.</w:t>
      </w:r>
    </w:p>
    <w:p w14:paraId="6410DB78" w14:textId="77777777" w:rsidR="0038625C" w:rsidRDefault="0BB45BEF" w:rsidP="0BB45BEF">
      <w:pPr>
        <w:pStyle w:val="NormalWeb"/>
        <w:jc w:val="both"/>
        <w:rPr>
          <w:rFonts w:asciiTheme="minorHAnsi" w:hAnsiTheme="minorHAnsi"/>
          <w:lang w:val="pt-BR"/>
        </w:rPr>
      </w:pPr>
      <w:r w:rsidRPr="0BB45BEF">
        <w:rPr>
          <w:rFonts w:asciiTheme="minorHAnsi" w:hAnsiTheme="minorHAnsi"/>
          <w:lang w:val="pt-BR"/>
        </w:rPr>
        <w:t xml:space="preserve">Horizontalno, </w:t>
      </w:r>
      <w:r w:rsidRPr="0BB45BEF">
        <w:rPr>
          <w:rStyle w:val="Strong"/>
          <w:rFonts w:asciiTheme="minorHAnsi" w:eastAsiaTheme="majorEastAsia" w:hAnsiTheme="minorHAnsi"/>
          <w:b w:val="0"/>
          <w:bCs w:val="0"/>
          <w:lang w:val="pt-BR"/>
        </w:rPr>
        <w:t>Povelja Evropske unije o temeljnim pravima</w:t>
      </w:r>
      <w:r w:rsidRPr="0BB45BEF">
        <w:rPr>
          <w:rFonts w:asciiTheme="minorHAnsi" w:hAnsiTheme="minorHAnsi"/>
          <w:lang w:val="pt-BR"/>
        </w:rPr>
        <w:t xml:space="preserve"> obavezuje na poštovanje principa jednakosti i nediskriminacije, dok </w:t>
      </w:r>
      <w:r w:rsidRPr="0BB45BEF">
        <w:rPr>
          <w:rStyle w:val="Strong"/>
          <w:rFonts w:asciiTheme="minorHAnsi" w:eastAsiaTheme="majorEastAsia" w:hAnsiTheme="minorHAnsi"/>
          <w:b w:val="0"/>
          <w:bCs w:val="0"/>
          <w:lang w:val="pt-BR"/>
        </w:rPr>
        <w:t>Preporuka Vijeća (EU) 2021/1004 – Evropska garancija za djecu</w:t>
      </w:r>
      <w:r w:rsidRPr="0BB45BEF">
        <w:rPr>
          <w:rFonts w:asciiTheme="minorHAnsi" w:hAnsiTheme="minorHAnsi"/>
          <w:lang w:val="pt-BR"/>
        </w:rPr>
        <w:t xml:space="preserve"> i </w:t>
      </w:r>
      <w:r w:rsidRPr="0BB45BEF">
        <w:rPr>
          <w:rStyle w:val="Strong"/>
          <w:rFonts w:asciiTheme="minorHAnsi" w:eastAsiaTheme="majorEastAsia" w:hAnsiTheme="minorHAnsi"/>
          <w:b w:val="0"/>
          <w:bCs w:val="0"/>
          <w:lang w:val="pt-BR"/>
        </w:rPr>
        <w:t>Preporuka Vijeća (2023) o adekvatnom minimalnom dohotku</w:t>
      </w:r>
      <w:r w:rsidRPr="0BB45BEF">
        <w:rPr>
          <w:rFonts w:asciiTheme="minorHAnsi" w:hAnsiTheme="minorHAnsi"/>
          <w:lang w:val="pt-BR"/>
        </w:rPr>
        <w:t xml:space="preserve"> doprinose jačanju socijalne dimenzije politika, uključujući pristup stanovanju i podršku ranjivim grupama.</w:t>
      </w:r>
    </w:p>
    <w:p w14:paraId="0A0BA9FC" w14:textId="3851D9F7" w:rsidR="00D02C7D" w:rsidRPr="00D02C7D" w:rsidRDefault="63DAC6F6" w:rsidP="0BB45BEF">
      <w:pPr>
        <w:pStyle w:val="NormalWeb"/>
        <w:jc w:val="both"/>
        <w:rPr>
          <w:rFonts w:asciiTheme="minorHAnsi" w:hAnsiTheme="minorHAnsi"/>
          <w:lang w:val="pt-BR"/>
        </w:rPr>
      </w:pPr>
      <w:r w:rsidRPr="63DAC6F6">
        <w:rPr>
          <w:rFonts w:asciiTheme="minorHAnsi" w:hAnsiTheme="minorHAnsi"/>
          <w:lang w:val="pt-BR"/>
        </w:rPr>
        <w:t>Dodatno, u okviru EU programskog i investicionog okvira za ovu oblast posebno su relevantni principi partnerstva, nediskriminacije, pristupačnosti i teritorijalne kohezije, kao i konkretna usmjerenost intervencija na reformski okvir, socijalno i priuštivo stanovanje, studentski smještaj, prenamjenu objekata u stambene svrhe i mjere za borbu protiv beskućništva.</w:t>
      </w:r>
    </w:p>
    <w:p w14:paraId="096F3D65" w14:textId="6E6AA440" w:rsidR="00F579F5" w:rsidRDefault="63DAC6F6" w:rsidP="00F579F5">
      <w:pPr>
        <w:pStyle w:val="Heading3"/>
        <w:rPr>
          <w:lang w:val="sr-Latn-ME"/>
        </w:rPr>
      </w:pPr>
      <w:r w:rsidRPr="63DAC6F6">
        <w:rPr>
          <w:lang w:val="sr-Latn-ME"/>
        </w:rPr>
        <w:t>Crnogorski strateški i pravni okvir</w:t>
      </w:r>
    </w:p>
    <w:p w14:paraId="0D130CCA" w14:textId="77777777" w:rsidR="00D76BD6" w:rsidRPr="00D76BD6" w:rsidRDefault="2129FBE5" w:rsidP="2129FBE5">
      <w:pPr>
        <w:pStyle w:val="NormalWeb"/>
        <w:jc w:val="both"/>
        <w:rPr>
          <w:rFonts w:asciiTheme="minorHAnsi" w:hAnsiTheme="minorHAnsi"/>
          <w:lang w:val="sr-Latn-ME"/>
        </w:rPr>
      </w:pPr>
      <w:r w:rsidRPr="2129FBE5">
        <w:rPr>
          <w:rFonts w:asciiTheme="minorHAnsi" w:hAnsiTheme="minorHAnsi"/>
          <w:lang w:val="sr-Latn-ME"/>
        </w:rPr>
        <w:t>Strateški i pravni okvir Crne Gore u oblasti stanovanja i infrastrukture obuhvata skup međusobno povezanih planskih i zakonskih akata koji uređuju izgradnju, rehabilitaciju, prenamjenu i uklanjanje objekata, socijalno i pristupačno stanovanje, kao i upravljanje infrastrukturom i energetsku efikasnost. Ovaj okvir je u značajnoj mjeri usklađen sa principima održivog razvoja i zelene tranzicije, ali njegov doprinos varira u zavisnosti od nivoa razrađenosti, međusektorske koordinacije i implementacije.</w:t>
      </w:r>
    </w:p>
    <w:p w14:paraId="2EDE59F4" w14:textId="77777777" w:rsidR="00D76BD6" w:rsidRPr="00D76BD6" w:rsidRDefault="2129FBE5" w:rsidP="2129FBE5">
      <w:pPr>
        <w:pStyle w:val="NormalWeb"/>
        <w:jc w:val="both"/>
        <w:rPr>
          <w:rFonts w:asciiTheme="minorHAnsi" w:hAnsiTheme="minorHAnsi"/>
          <w:lang w:val="sr-Latn-ME"/>
        </w:rPr>
      </w:pPr>
      <w:r w:rsidRPr="2129FBE5">
        <w:rPr>
          <w:rFonts w:asciiTheme="minorHAnsi" w:hAnsiTheme="minorHAnsi"/>
          <w:lang w:val="sr-Latn-ME"/>
        </w:rPr>
        <w:t>Na planskom nivou, ključni dokument predstavlja Prostorni plan Crne Gore, koji definiše dugoročne pravce razvoja prostora, organizaciju naselja i infrastrukturne prioritete. Njegova uloga je horizontalna, jer usmjerava razvoj stambenih, javnih i nestambenih objekata, kao i infrastrukturnih sistema, dok njegova implementacija u velikoj mjeri zavisi od nižih planskih dokumenata i kapaciteta lokalnih samouprava.</w:t>
      </w:r>
    </w:p>
    <w:p w14:paraId="146A11B0" w14:textId="6EC8BFED" w:rsidR="00D76BD6" w:rsidRPr="00D76BD6" w:rsidRDefault="2129FBE5" w:rsidP="2129FBE5">
      <w:pPr>
        <w:pStyle w:val="NormalWeb"/>
        <w:jc w:val="both"/>
        <w:rPr>
          <w:rFonts w:asciiTheme="minorHAnsi" w:hAnsiTheme="minorHAnsi"/>
          <w:lang w:val="sr-Latn-ME"/>
        </w:rPr>
      </w:pPr>
      <w:r w:rsidRPr="2129FBE5">
        <w:rPr>
          <w:rFonts w:asciiTheme="minorHAnsi" w:hAnsiTheme="minorHAnsi"/>
          <w:lang w:val="sr-Latn-ME"/>
        </w:rPr>
        <w:t xml:space="preserve">U oblasti prostornog planiranja, normativni okvir zasniva se na Zakonu o uređenju prostora, koji uređuje sistem planiranja, vrste planskih dokumenata i postupke njihove izrade i donošenja, čime se obezbjeđuje osnov za planiranje izgradnje i korišćenja </w:t>
      </w:r>
      <w:r w:rsidRPr="2129FBE5">
        <w:rPr>
          <w:rFonts w:asciiTheme="minorHAnsi" w:hAnsiTheme="minorHAnsi"/>
          <w:lang w:val="sr-Latn-ME"/>
        </w:rPr>
        <w:lastRenderedPageBreak/>
        <w:t>prostora.U oblasti izgradnje, centralni zakon predstavlja Zakon o izgradnji objekata, koji uređuje uslove građenja, tehničku dokumentaciju, izvođenje radova, nadzor i uklanjanje objekata, čime direktno obuhvata intervencije izgradnje i uklanjanja objekata.Važan segment zakonodavnog okvira predstavlja i Zakon o legalizaciji bespravnih objekata, koji uređuje postupak ozakonjenja objekata izgrađenih bez građevinske dozvole, kao i uklanjanje objekata koji ne ispunjavaju propisane uslove, čime se uklanjanje definiše kao krajnja mjera u upravljanju prostorom.</w:t>
      </w:r>
    </w:p>
    <w:p w14:paraId="44354F66" w14:textId="3356ACC2" w:rsidR="00D76BD6" w:rsidRPr="009B561A" w:rsidRDefault="00D76BD6" w:rsidP="2129FBE5">
      <w:pPr>
        <w:pStyle w:val="NormalWeb"/>
        <w:jc w:val="both"/>
        <w:rPr>
          <w:rFonts w:asciiTheme="minorHAnsi" w:hAnsiTheme="minorHAnsi"/>
          <w:lang w:val="pt-BR"/>
        </w:rPr>
      </w:pPr>
      <w:r w:rsidRPr="2129FBE5">
        <w:rPr>
          <w:rFonts w:asciiTheme="minorHAnsi" w:hAnsiTheme="minorHAnsi"/>
          <w:lang w:val="sr-Latn-ME"/>
        </w:rPr>
        <w:t>U užem stambenom segmentu, okvir se zasniva na posebnim zakonima. Zakon o održavanju stambenih zgrada uređuje upravljanje i održavanje zajedničkih djelova zgrada, dok Zakon o socijalnom stanovanju definiše osnov za razvoj socijalnog i pristupačnog stanovanja, uključujući ciljne grupe i modele podrške. Zakon o stambenim zadrugama omogućava organizovanje stanovanja kroz alternativne modele.</w:t>
      </w:r>
      <w:r w:rsidR="009B561A" w:rsidRPr="2129FBE5">
        <w:rPr>
          <w:rFonts w:asciiTheme="minorHAnsi" w:eastAsiaTheme="minorEastAsia" w:hAnsiTheme="minorHAnsi" w:cstheme="minorBidi"/>
          <w:lang w:val="pt-BR"/>
          <w14:ligatures w14:val="standardContextual"/>
        </w:rPr>
        <w:t xml:space="preserve"> </w:t>
      </w:r>
      <w:r w:rsidR="009B561A" w:rsidRPr="2129FBE5">
        <w:rPr>
          <w:rFonts w:asciiTheme="minorHAnsi" w:hAnsiTheme="minorHAnsi"/>
          <w:lang w:val="pt-BR"/>
        </w:rPr>
        <w:t>Dodatno, značajan horizontalni okvir predstavlja i Zakon o socijalnoj i dječijoj zaštiti, koji definiše sistem socijalne zaštite i ciljne grupe korisnika, čime indirektno utiče na planiranje i sprovođenje mjera u oblasti socijalnog i pristupačnog stanovanja, posebno u dijelu podrške ranjivim kategorijama i borbe protiv beskućništva.</w:t>
      </w:r>
    </w:p>
    <w:p w14:paraId="4C33DA50" w14:textId="77777777" w:rsidR="00D76BD6" w:rsidRPr="00D76BD6" w:rsidRDefault="2129FBE5" w:rsidP="2129FBE5">
      <w:pPr>
        <w:pStyle w:val="NormalWeb"/>
        <w:jc w:val="both"/>
        <w:rPr>
          <w:rFonts w:asciiTheme="minorHAnsi" w:hAnsiTheme="minorHAnsi"/>
          <w:lang w:val="sr-Latn-ME"/>
        </w:rPr>
      </w:pPr>
      <w:r w:rsidRPr="2129FBE5">
        <w:rPr>
          <w:rFonts w:asciiTheme="minorHAnsi" w:hAnsiTheme="minorHAnsi"/>
          <w:lang w:val="sr-Latn-ME"/>
        </w:rPr>
        <w:t>U dijelu infrastrukture i javnih usluga, značajnu ulogu ima Zakon o komunalnim djelatnostima, koji uređuje organizaciju i pružanje komunalnih usluga i upravljanje lokalnom infrastrukturom. Njegova primjena je povezana sa Zakonom o lokalnoj samoupravi, koji definiše nadležnosti lokalnih organa u planiranju i upravljanju prostorom.</w:t>
      </w:r>
    </w:p>
    <w:p w14:paraId="6886F639" w14:textId="31E7332D" w:rsidR="00D76BD6" w:rsidRPr="00D76BD6" w:rsidRDefault="2129FBE5" w:rsidP="2129FBE5">
      <w:pPr>
        <w:pStyle w:val="NormalWeb"/>
        <w:jc w:val="both"/>
        <w:rPr>
          <w:rFonts w:asciiTheme="minorHAnsi" w:hAnsiTheme="minorHAnsi"/>
          <w:lang w:val="sr-Latn-ME"/>
        </w:rPr>
      </w:pPr>
      <w:r w:rsidRPr="2129FBE5">
        <w:rPr>
          <w:rFonts w:asciiTheme="minorHAnsi" w:hAnsiTheme="minorHAnsi"/>
          <w:lang w:val="sr-Latn-ME"/>
        </w:rPr>
        <w:t xml:space="preserve">Horizontalnu dimenziju ovog okvira čine zakoni koji integrišu principe održivosti i energetske efikasnosti. Zakon o energetskoj efikasnosti uređuje mjere za smanjenje potrošnje energije, posebno u zgradarstvu, dok Zakon o energetici i Zakon o korišćenju energije iz obnovljivih izvora uređuju proizvodnju, distribuciju i korišćenje energije, uključujući integraciju obnovljivih izvora u objekte i infrastrukturu. Zakon o zaštiti životne sredine obezbjeđuje okvir za primjenu ekoloških standarda u planiranju i realizaciji projekata.Važan horizontalni element zakonodavnog okvira predstavlja i Zakon o državnoj imovini, koji uređuje upravljanje, korišćenje i raspolaganje državnom imovinom, uključujući zemljište i objekte, čime direktno utiče na realizaciju projekata izgradnje, prenamjene i korišćenja objekata, naročito u kontekstu javnih investicija i razvoja socijalnog i pristupačnog stanovanja. </w:t>
      </w:r>
      <w:proofErr w:type="spellStart"/>
      <w:r w:rsidRPr="2129FBE5">
        <w:rPr>
          <w:rFonts w:asciiTheme="minorHAnsi" w:hAnsiTheme="minorHAnsi"/>
          <w:lang w:val="en-GB"/>
        </w:rPr>
        <w:t>Ovaj</w:t>
      </w:r>
      <w:proofErr w:type="spellEnd"/>
      <w:r w:rsidRPr="2129FBE5">
        <w:rPr>
          <w:rFonts w:asciiTheme="minorHAnsi" w:hAnsiTheme="minorHAnsi"/>
          <w:lang w:val="sr-Latn-ME"/>
        </w:rPr>
        <w:t xml:space="preserve"> </w:t>
      </w:r>
      <w:proofErr w:type="spellStart"/>
      <w:r w:rsidRPr="2129FBE5">
        <w:rPr>
          <w:rFonts w:asciiTheme="minorHAnsi" w:hAnsiTheme="minorHAnsi"/>
          <w:lang w:val="en-GB"/>
        </w:rPr>
        <w:t>zakonodavni</w:t>
      </w:r>
      <w:proofErr w:type="spellEnd"/>
      <w:r w:rsidRPr="2129FBE5">
        <w:rPr>
          <w:rFonts w:asciiTheme="minorHAnsi" w:hAnsiTheme="minorHAnsi"/>
          <w:lang w:val="sr-Latn-ME"/>
        </w:rPr>
        <w:t xml:space="preserve"> </w:t>
      </w:r>
      <w:proofErr w:type="spellStart"/>
      <w:r w:rsidRPr="2129FBE5">
        <w:rPr>
          <w:rFonts w:asciiTheme="minorHAnsi" w:hAnsiTheme="minorHAnsi"/>
          <w:lang w:val="en-GB"/>
        </w:rPr>
        <w:t>okvir</w:t>
      </w:r>
      <w:proofErr w:type="spellEnd"/>
      <w:r w:rsidRPr="2129FBE5">
        <w:rPr>
          <w:rFonts w:asciiTheme="minorHAnsi" w:hAnsiTheme="minorHAnsi"/>
          <w:lang w:val="sr-Latn-ME"/>
        </w:rPr>
        <w:t xml:space="preserve"> </w:t>
      </w:r>
      <w:proofErr w:type="spellStart"/>
      <w:r w:rsidRPr="2129FBE5">
        <w:rPr>
          <w:rFonts w:asciiTheme="minorHAnsi" w:hAnsiTheme="minorHAnsi"/>
          <w:lang w:val="en-GB"/>
        </w:rPr>
        <w:t>dodatno</w:t>
      </w:r>
      <w:proofErr w:type="spellEnd"/>
      <w:r w:rsidRPr="2129FBE5">
        <w:rPr>
          <w:rFonts w:asciiTheme="minorHAnsi" w:hAnsiTheme="minorHAnsi"/>
          <w:lang w:val="sr-Latn-ME"/>
        </w:rPr>
        <w:t xml:space="preserve"> </w:t>
      </w:r>
      <w:r w:rsidRPr="2129FBE5">
        <w:rPr>
          <w:rFonts w:asciiTheme="minorHAnsi" w:hAnsiTheme="minorHAnsi"/>
          <w:lang w:val="en-GB"/>
        </w:rPr>
        <w:t>je</w:t>
      </w:r>
      <w:r w:rsidRPr="2129FBE5">
        <w:rPr>
          <w:rFonts w:asciiTheme="minorHAnsi" w:hAnsiTheme="minorHAnsi"/>
          <w:lang w:val="sr-Latn-ME"/>
        </w:rPr>
        <w:t xml:space="preserve"> </w:t>
      </w:r>
      <w:proofErr w:type="spellStart"/>
      <w:r w:rsidRPr="2129FBE5">
        <w:rPr>
          <w:rFonts w:asciiTheme="minorHAnsi" w:hAnsiTheme="minorHAnsi"/>
          <w:lang w:val="en-GB"/>
        </w:rPr>
        <w:t>razra</w:t>
      </w:r>
      <w:proofErr w:type="spellEnd"/>
      <w:r w:rsidRPr="2129FBE5">
        <w:rPr>
          <w:rFonts w:asciiTheme="minorHAnsi" w:hAnsiTheme="minorHAnsi"/>
          <w:lang w:val="sr-Latn-ME"/>
        </w:rPr>
        <w:t>đ</w:t>
      </w:r>
      <w:proofErr w:type="spellStart"/>
      <w:r w:rsidRPr="2129FBE5">
        <w:rPr>
          <w:rFonts w:asciiTheme="minorHAnsi" w:hAnsiTheme="minorHAnsi"/>
          <w:lang w:val="en-GB"/>
        </w:rPr>
        <w:t>en</w:t>
      </w:r>
      <w:proofErr w:type="spellEnd"/>
      <w:r w:rsidRPr="2129FBE5">
        <w:rPr>
          <w:rFonts w:asciiTheme="minorHAnsi" w:hAnsiTheme="minorHAnsi"/>
          <w:lang w:val="sr-Latn-ME"/>
        </w:rPr>
        <w:t xml:space="preserve"> </w:t>
      </w:r>
      <w:proofErr w:type="spellStart"/>
      <w:r w:rsidRPr="2129FBE5">
        <w:rPr>
          <w:rFonts w:asciiTheme="minorHAnsi" w:hAnsiTheme="minorHAnsi"/>
          <w:lang w:val="en-GB"/>
        </w:rPr>
        <w:t>kroz</w:t>
      </w:r>
      <w:proofErr w:type="spellEnd"/>
      <w:r w:rsidRPr="2129FBE5">
        <w:rPr>
          <w:rFonts w:asciiTheme="minorHAnsi" w:hAnsiTheme="minorHAnsi"/>
          <w:lang w:val="sr-Latn-ME"/>
        </w:rPr>
        <w:t xml:space="preserve"> </w:t>
      </w:r>
      <w:proofErr w:type="spellStart"/>
      <w:r w:rsidRPr="2129FBE5">
        <w:rPr>
          <w:rFonts w:asciiTheme="minorHAnsi" w:hAnsiTheme="minorHAnsi"/>
          <w:lang w:val="en-GB"/>
        </w:rPr>
        <w:t>podzakonske</w:t>
      </w:r>
      <w:proofErr w:type="spellEnd"/>
      <w:r w:rsidRPr="2129FBE5">
        <w:rPr>
          <w:rFonts w:asciiTheme="minorHAnsi" w:hAnsiTheme="minorHAnsi"/>
          <w:lang w:val="sr-Latn-ME"/>
        </w:rPr>
        <w:t xml:space="preserve"> </w:t>
      </w:r>
      <w:proofErr w:type="spellStart"/>
      <w:r w:rsidRPr="2129FBE5">
        <w:rPr>
          <w:rFonts w:asciiTheme="minorHAnsi" w:hAnsiTheme="minorHAnsi"/>
          <w:lang w:val="en-GB"/>
        </w:rPr>
        <w:t>akte</w:t>
      </w:r>
      <w:proofErr w:type="spellEnd"/>
      <w:r w:rsidRPr="2129FBE5">
        <w:rPr>
          <w:rFonts w:asciiTheme="minorHAnsi" w:hAnsiTheme="minorHAnsi"/>
          <w:lang w:val="sr-Latn-ME"/>
        </w:rPr>
        <w:t xml:space="preserve"> (</w:t>
      </w:r>
      <w:proofErr w:type="spellStart"/>
      <w:r w:rsidRPr="2129FBE5">
        <w:rPr>
          <w:rFonts w:asciiTheme="minorHAnsi" w:hAnsiTheme="minorHAnsi"/>
          <w:lang w:val="en-GB"/>
        </w:rPr>
        <w:t>uredbe</w:t>
      </w:r>
      <w:proofErr w:type="spellEnd"/>
      <w:r w:rsidRPr="2129FBE5">
        <w:rPr>
          <w:rFonts w:asciiTheme="minorHAnsi" w:hAnsiTheme="minorHAnsi"/>
          <w:lang w:val="sr-Latn-ME"/>
        </w:rPr>
        <w:t xml:space="preserve"> </w:t>
      </w:r>
      <w:proofErr w:type="spellStart"/>
      <w:r w:rsidRPr="2129FBE5">
        <w:rPr>
          <w:rFonts w:asciiTheme="minorHAnsi" w:hAnsiTheme="minorHAnsi"/>
          <w:lang w:val="en-GB"/>
        </w:rPr>
        <w:t>i</w:t>
      </w:r>
      <w:proofErr w:type="spellEnd"/>
      <w:r w:rsidRPr="2129FBE5">
        <w:rPr>
          <w:rFonts w:asciiTheme="minorHAnsi" w:hAnsiTheme="minorHAnsi"/>
          <w:lang w:val="sr-Latn-ME"/>
        </w:rPr>
        <w:t xml:space="preserve"> </w:t>
      </w:r>
      <w:proofErr w:type="spellStart"/>
      <w:r w:rsidRPr="2129FBE5">
        <w:rPr>
          <w:rFonts w:asciiTheme="minorHAnsi" w:hAnsiTheme="minorHAnsi"/>
          <w:lang w:val="en-GB"/>
        </w:rPr>
        <w:t>pravilnike</w:t>
      </w:r>
      <w:proofErr w:type="spellEnd"/>
      <w:r w:rsidRPr="2129FBE5">
        <w:rPr>
          <w:rFonts w:asciiTheme="minorHAnsi" w:hAnsiTheme="minorHAnsi"/>
          <w:lang w:val="sr-Latn-ME"/>
        </w:rPr>
        <w:t xml:space="preserve">), </w:t>
      </w:r>
      <w:proofErr w:type="spellStart"/>
      <w:r w:rsidRPr="2129FBE5">
        <w:rPr>
          <w:rFonts w:asciiTheme="minorHAnsi" w:hAnsiTheme="minorHAnsi"/>
          <w:lang w:val="en-GB"/>
        </w:rPr>
        <w:t>kojima</w:t>
      </w:r>
      <w:proofErr w:type="spellEnd"/>
      <w:r w:rsidRPr="2129FBE5">
        <w:rPr>
          <w:rFonts w:asciiTheme="minorHAnsi" w:hAnsiTheme="minorHAnsi"/>
          <w:lang w:val="sr-Latn-ME"/>
        </w:rPr>
        <w:t xml:space="preserve"> </w:t>
      </w:r>
      <w:r w:rsidRPr="2129FBE5">
        <w:rPr>
          <w:rFonts w:asciiTheme="minorHAnsi" w:hAnsiTheme="minorHAnsi"/>
          <w:lang w:val="en-GB"/>
        </w:rPr>
        <w:t>se</w:t>
      </w:r>
      <w:r w:rsidRPr="2129FBE5">
        <w:rPr>
          <w:rFonts w:asciiTheme="minorHAnsi" w:hAnsiTheme="minorHAnsi"/>
          <w:lang w:val="sr-Latn-ME"/>
        </w:rPr>
        <w:t xml:space="preserve"> </w:t>
      </w:r>
      <w:proofErr w:type="spellStart"/>
      <w:r w:rsidRPr="2129FBE5">
        <w:rPr>
          <w:rFonts w:asciiTheme="minorHAnsi" w:hAnsiTheme="minorHAnsi"/>
          <w:lang w:val="en-GB"/>
        </w:rPr>
        <w:t>detaljnije</w:t>
      </w:r>
      <w:proofErr w:type="spellEnd"/>
      <w:r w:rsidRPr="2129FBE5">
        <w:rPr>
          <w:rFonts w:asciiTheme="minorHAnsi" w:hAnsiTheme="minorHAnsi"/>
          <w:lang w:val="sr-Latn-ME"/>
        </w:rPr>
        <w:t xml:space="preserve"> </w:t>
      </w:r>
      <w:proofErr w:type="spellStart"/>
      <w:r w:rsidRPr="2129FBE5">
        <w:rPr>
          <w:rFonts w:asciiTheme="minorHAnsi" w:hAnsiTheme="minorHAnsi"/>
          <w:lang w:val="en-GB"/>
        </w:rPr>
        <w:t>ure</w:t>
      </w:r>
      <w:proofErr w:type="spellEnd"/>
      <w:r w:rsidRPr="2129FBE5">
        <w:rPr>
          <w:rFonts w:asciiTheme="minorHAnsi" w:hAnsiTheme="minorHAnsi"/>
          <w:lang w:val="sr-Latn-ME"/>
        </w:rPr>
        <w:t>đ</w:t>
      </w:r>
      <w:proofErr w:type="spellStart"/>
      <w:r w:rsidRPr="2129FBE5">
        <w:rPr>
          <w:rFonts w:asciiTheme="minorHAnsi" w:hAnsiTheme="minorHAnsi"/>
          <w:lang w:val="en-GB"/>
        </w:rPr>
        <w:t>uju</w:t>
      </w:r>
      <w:proofErr w:type="spellEnd"/>
      <w:r w:rsidRPr="2129FBE5">
        <w:rPr>
          <w:rFonts w:asciiTheme="minorHAnsi" w:hAnsiTheme="minorHAnsi"/>
          <w:lang w:val="sr-Latn-ME"/>
        </w:rPr>
        <w:t xml:space="preserve"> </w:t>
      </w:r>
      <w:proofErr w:type="spellStart"/>
      <w:r w:rsidRPr="2129FBE5">
        <w:rPr>
          <w:rFonts w:asciiTheme="minorHAnsi" w:hAnsiTheme="minorHAnsi"/>
          <w:lang w:val="en-GB"/>
        </w:rPr>
        <w:t>tehni</w:t>
      </w:r>
      <w:proofErr w:type="spellEnd"/>
      <w:r w:rsidRPr="2129FBE5">
        <w:rPr>
          <w:rFonts w:asciiTheme="minorHAnsi" w:hAnsiTheme="minorHAnsi"/>
          <w:lang w:val="sr-Latn-ME"/>
        </w:rPr>
        <w:t>č</w:t>
      </w:r>
      <w:r w:rsidRPr="2129FBE5">
        <w:rPr>
          <w:rFonts w:asciiTheme="minorHAnsi" w:hAnsiTheme="minorHAnsi"/>
          <w:lang w:val="en-GB"/>
        </w:rPr>
        <w:t>ki</w:t>
      </w:r>
      <w:r w:rsidRPr="2129FBE5">
        <w:rPr>
          <w:rFonts w:asciiTheme="minorHAnsi" w:hAnsiTheme="minorHAnsi"/>
          <w:lang w:val="sr-Latn-ME"/>
        </w:rPr>
        <w:t xml:space="preserve"> </w:t>
      </w:r>
      <w:proofErr w:type="spellStart"/>
      <w:r w:rsidRPr="2129FBE5">
        <w:rPr>
          <w:rFonts w:asciiTheme="minorHAnsi" w:hAnsiTheme="minorHAnsi"/>
          <w:lang w:val="en-GB"/>
        </w:rPr>
        <w:t>zahtjevi</w:t>
      </w:r>
      <w:proofErr w:type="spellEnd"/>
      <w:r w:rsidRPr="2129FBE5">
        <w:rPr>
          <w:rFonts w:asciiTheme="minorHAnsi" w:hAnsiTheme="minorHAnsi"/>
          <w:lang w:val="sr-Latn-ME"/>
        </w:rPr>
        <w:t xml:space="preserve">, </w:t>
      </w:r>
      <w:r w:rsidRPr="2129FBE5">
        <w:rPr>
          <w:rFonts w:asciiTheme="minorHAnsi" w:hAnsiTheme="minorHAnsi"/>
          <w:lang w:val="en-GB"/>
        </w:rPr>
        <w:t>procedure</w:t>
      </w:r>
      <w:r w:rsidRPr="2129FBE5">
        <w:rPr>
          <w:rFonts w:asciiTheme="minorHAnsi" w:hAnsiTheme="minorHAnsi"/>
          <w:lang w:val="sr-Latn-ME"/>
        </w:rPr>
        <w:t xml:space="preserve"> </w:t>
      </w:r>
      <w:proofErr w:type="spellStart"/>
      <w:r w:rsidRPr="2129FBE5">
        <w:rPr>
          <w:rFonts w:asciiTheme="minorHAnsi" w:hAnsiTheme="minorHAnsi"/>
          <w:lang w:val="en-GB"/>
        </w:rPr>
        <w:t>i</w:t>
      </w:r>
      <w:proofErr w:type="spellEnd"/>
      <w:r w:rsidRPr="2129FBE5">
        <w:rPr>
          <w:rFonts w:asciiTheme="minorHAnsi" w:hAnsiTheme="minorHAnsi"/>
          <w:lang w:val="sr-Latn-ME"/>
        </w:rPr>
        <w:t xml:space="preserve"> </w:t>
      </w:r>
      <w:proofErr w:type="spellStart"/>
      <w:r w:rsidRPr="2129FBE5">
        <w:rPr>
          <w:rFonts w:asciiTheme="minorHAnsi" w:hAnsiTheme="minorHAnsi"/>
          <w:lang w:val="en-GB"/>
        </w:rPr>
        <w:t>standardi</w:t>
      </w:r>
      <w:proofErr w:type="spellEnd"/>
      <w:r w:rsidRPr="2129FBE5">
        <w:rPr>
          <w:rFonts w:asciiTheme="minorHAnsi" w:hAnsiTheme="minorHAnsi"/>
          <w:lang w:val="sr-Latn-ME"/>
        </w:rPr>
        <w:t xml:space="preserve"> </w:t>
      </w:r>
      <w:r w:rsidRPr="2129FBE5">
        <w:rPr>
          <w:rFonts w:asciiTheme="minorHAnsi" w:hAnsiTheme="minorHAnsi"/>
          <w:lang w:val="en-GB"/>
        </w:rPr>
        <w:t>za</w:t>
      </w:r>
      <w:r w:rsidRPr="2129FBE5">
        <w:rPr>
          <w:rFonts w:asciiTheme="minorHAnsi" w:hAnsiTheme="minorHAnsi"/>
          <w:lang w:val="sr-Latn-ME"/>
        </w:rPr>
        <w:t xml:space="preserve"> </w:t>
      </w:r>
      <w:proofErr w:type="spellStart"/>
      <w:r w:rsidRPr="2129FBE5">
        <w:rPr>
          <w:rFonts w:asciiTheme="minorHAnsi" w:hAnsiTheme="minorHAnsi"/>
          <w:lang w:val="en-GB"/>
        </w:rPr>
        <w:t>planiranje</w:t>
      </w:r>
      <w:proofErr w:type="spellEnd"/>
      <w:r w:rsidRPr="2129FBE5">
        <w:rPr>
          <w:rFonts w:asciiTheme="minorHAnsi" w:hAnsiTheme="minorHAnsi"/>
          <w:lang w:val="sr-Latn-ME"/>
        </w:rPr>
        <w:t xml:space="preserve">, </w:t>
      </w:r>
      <w:proofErr w:type="spellStart"/>
      <w:r w:rsidRPr="2129FBE5">
        <w:rPr>
          <w:rFonts w:asciiTheme="minorHAnsi" w:hAnsiTheme="minorHAnsi"/>
          <w:lang w:val="en-GB"/>
        </w:rPr>
        <w:t>izgradnju</w:t>
      </w:r>
      <w:proofErr w:type="spellEnd"/>
      <w:r w:rsidRPr="2129FBE5">
        <w:rPr>
          <w:rFonts w:asciiTheme="minorHAnsi" w:hAnsiTheme="minorHAnsi"/>
          <w:lang w:val="sr-Latn-ME"/>
        </w:rPr>
        <w:t xml:space="preserve">, </w:t>
      </w:r>
      <w:r w:rsidRPr="2129FBE5">
        <w:rPr>
          <w:rFonts w:asciiTheme="minorHAnsi" w:hAnsiTheme="minorHAnsi"/>
          <w:lang w:val="en-GB"/>
        </w:rPr>
        <w:t>kori</w:t>
      </w:r>
      <w:r w:rsidRPr="2129FBE5">
        <w:rPr>
          <w:rFonts w:asciiTheme="minorHAnsi" w:hAnsiTheme="minorHAnsi"/>
          <w:lang w:val="sr-Latn-ME"/>
        </w:rPr>
        <w:t>šć</w:t>
      </w:r>
      <w:proofErr w:type="spellStart"/>
      <w:r w:rsidRPr="2129FBE5">
        <w:rPr>
          <w:rFonts w:asciiTheme="minorHAnsi" w:hAnsiTheme="minorHAnsi"/>
          <w:lang w:val="en-GB"/>
        </w:rPr>
        <w:t>enje</w:t>
      </w:r>
      <w:proofErr w:type="spellEnd"/>
      <w:r w:rsidRPr="2129FBE5">
        <w:rPr>
          <w:rFonts w:asciiTheme="minorHAnsi" w:hAnsiTheme="minorHAnsi"/>
          <w:lang w:val="sr-Latn-ME"/>
        </w:rPr>
        <w:t xml:space="preserve"> </w:t>
      </w:r>
      <w:proofErr w:type="spellStart"/>
      <w:r w:rsidRPr="2129FBE5">
        <w:rPr>
          <w:rFonts w:asciiTheme="minorHAnsi" w:hAnsiTheme="minorHAnsi"/>
          <w:lang w:val="en-GB"/>
        </w:rPr>
        <w:t>i</w:t>
      </w:r>
      <w:proofErr w:type="spellEnd"/>
      <w:r w:rsidRPr="2129FBE5">
        <w:rPr>
          <w:rFonts w:asciiTheme="minorHAnsi" w:hAnsiTheme="minorHAnsi"/>
          <w:lang w:val="sr-Latn-ME"/>
        </w:rPr>
        <w:t xml:space="preserve"> </w:t>
      </w:r>
      <w:proofErr w:type="spellStart"/>
      <w:r w:rsidRPr="2129FBE5">
        <w:rPr>
          <w:rFonts w:asciiTheme="minorHAnsi" w:hAnsiTheme="minorHAnsi"/>
          <w:lang w:val="en-GB"/>
        </w:rPr>
        <w:t>energetsku</w:t>
      </w:r>
      <w:proofErr w:type="spellEnd"/>
      <w:r w:rsidRPr="2129FBE5">
        <w:rPr>
          <w:rFonts w:asciiTheme="minorHAnsi" w:hAnsiTheme="minorHAnsi"/>
          <w:lang w:val="sr-Latn-ME"/>
        </w:rPr>
        <w:t xml:space="preserve"> </w:t>
      </w:r>
      <w:proofErr w:type="spellStart"/>
      <w:r w:rsidRPr="2129FBE5">
        <w:rPr>
          <w:rFonts w:asciiTheme="minorHAnsi" w:hAnsiTheme="minorHAnsi"/>
          <w:lang w:val="en-GB"/>
        </w:rPr>
        <w:t>efikasnost</w:t>
      </w:r>
      <w:proofErr w:type="spellEnd"/>
      <w:r w:rsidRPr="2129FBE5">
        <w:rPr>
          <w:rFonts w:asciiTheme="minorHAnsi" w:hAnsiTheme="minorHAnsi"/>
          <w:lang w:val="sr-Latn-ME"/>
        </w:rPr>
        <w:t xml:space="preserve"> </w:t>
      </w:r>
      <w:proofErr w:type="spellStart"/>
      <w:r w:rsidRPr="2129FBE5">
        <w:rPr>
          <w:rFonts w:asciiTheme="minorHAnsi" w:hAnsiTheme="minorHAnsi"/>
          <w:lang w:val="en-GB"/>
        </w:rPr>
        <w:t>objekata</w:t>
      </w:r>
      <w:proofErr w:type="spellEnd"/>
      <w:r w:rsidRPr="2129FBE5">
        <w:rPr>
          <w:rFonts w:asciiTheme="minorHAnsi" w:hAnsiTheme="minorHAnsi"/>
          <w:lang w:val="sr-Latn-ME"/>
        </w:rPr>
        <w:t>.</w:t>
      </w:r>
    </w:p>
    <w:p w14:paraId="5F2A3A8F" w14:textId="079BDB3E" w:rsidR="63DAC6F6" w:rsidRPr="00E02835" w:rsidRDefault="63DAC6F6" w:rsidP="63DAC6F6">
      <w:pPr>
        <w:pStyle w:val="NormalWeb"/>
        <w:jc w:val="both"/>
        <w:rPr>
          <w:lang w:val="sr-Latn-ME"/>
        </w:rPr>
      </w:pPr>
      <w:r w:rsidRPr="63DAC6F6">
        <w:rPr>
          <w:rFonts w:asciiTheme="minorHAnsi" w:hAnsiTheme="minorHAnsi"/>
          <w:lang w:val="sr-Latn-ME"/>
        </w:rPr>
        <w:t>Ukupno posmatrano, strateški i pravni okvir Crne Gore u ovoj oblasti obuhvata ključne dimenzije razvoja prostora, stanovanja i infrastrukture i formalno pruža osnovu za integrisan i održiv razvoj. Međutim, okvir je djelimično fragmentiran, sa ograničenim stepenom koordinacije između sektorskih politika i izraženim izazovima u implementaciji, posebno na lokalnom nivou. Dodatno, dio zakonodavstva je relativno nov i još uvijek nije u potpunosti operativno primijenjen, dok se dio normativnog i strateškog razvoja i dalje odvija u okviru procesa usklađivanja sa standardima Evropske unije.</w:t>
      </w:r>
    </w:p>
    <w:p w14:paraId="42164ED2" w14:textId="18B0C8DF" w:rsidR="00F579F5" w:rsidRDefault="00F579F5" w:rsidP="00F579F5">
      <w:pPr>
        <w:pStyle w:val="Heading3"/>
        <w:rPr>
          <w:lang w:val="sr-Latn-ME"/>
        </w:rPr>
      </w:pPr>
      <w:r>
        <w:rPr>
          <w:lang w:val="sr-Latn-ME"/>
        </w:rPr>
        <w:lastRenderedPageBreak/>
        <w:t>Planirane i trenutne reforme</w:t>
      </w:r>
    </w:p>
    <w:p w14:paraId="65E9E2FD" w14:textId="77777777" w:rsidR="001A2324" w:rsidRPr="001A2324" w:rsidRDefault="0BB45BEF" w:rsidP="0BB45BEF">
      <w:pPr>
        <w:pStyle w:val="NormalWeb"/>
        <w:jc w:val="both"/>
        <w:rPr>
          <w:rFonts w:asciiTheme="minorHAnsi" w:hAnsiTheme="minorHAnsi"/>
          <w:lang w:val="sr-Latn-ME"/>
        </w:rPr>
      </w:pPr>
      <w:r w:rsidRPr="0BB45BEF">
        <w:rPr>
          <w:rFonts w:asciiTheme="minorHAnsi" w:hAnsiTheme="minorHAnsi"/>
          <w:lang w:val="sr-Latn-ME"/>
        </w:rPr>
        <w:t>U okviru Programa ekonomskih reformi i Reformske agende, Crna Gora sprovodi ograničen broj reformi koje su direktno relevantne za sektor stanovanja i infrastrukture, uz mjere koje stvaraju širi okvir za realizaciju investicionih intervencija u oblasti izgradnje, upravljanja prostorom i socijalnog stanovanja.</w:t>
      </w:r>
    </w:p>
    <w:p w14:paraId="58B60323" w14:textId="6CEAE1C5" w:rsidR="001A2324" w:rsidRPr="001A2324" w:rsidRDefault="0BB45BEF" w:rsidP="0BB45BEF">
      <w:pPr>
        <w:pStyle w:val="NormalWeb"/>
        <w:jc w:val="both"/>
        <w:rPr>
          <w:rFonts w:asciiTheme="minorHAnsi" w:hAnsiTheme="minorHAnsi"/>
          <w:lang w:val="sr-Latn-ME"/>
        </w:rPr>
      </w:pPr>
      <w:r w:rsidRPr="0BB45BEF">
        <w:rPr>
          <w:rFonts w:asciiTheme="minorHAnsi" w:hAnsiTheme="minorHAnsi"/>
          <w:lang w:val="sr-Latn-ME"/>
        </w:rPr>
        <w:t>Najvažnija sektorska reforma je Reforma 1.1.4 - Poboljšanje elektronskog katastra i prostornog planiranja, u okviru koje je sproveden ključni korak usvajanjem Prostornog plana Crne Gore, čime se uspostavlja strateški okvir za planiranje prostora, razvoj infrastrukture i realizaciju projekata izgradnje.</w:t>
      </w:r>
    </w:p>
    <w:p w14:paraId="59A33FE3" w14:textId="6DCD2AA3" w:rsidR="001A2324" w:rsidRPr="001A2324" w:rsidRDefault="0BB45BEF" w:rsidP="0BB45BEF">
      <w:pPr>
        <w:pStyle w:val="NormalWeb"/>
        <w:jc w:val="both"/>
        <w:rPr>
          <w:rFonts w:asciiTheme="minorHAnsi" w:hAnsiTheme="minorHAnsi"/>
          <w:lang w:val="sr-Latn-ME"/>
        </w:rPr>
      </w:pPr>
      <w:r w:rsidRPr="0BB45BEF">
        <w:rPr>
          <w:rFonts w:asciiTheme="minorHAnsi" w:hAnsiTheme="minorHAnsi"/>
          <w:lang w:val="sr-Latn-ME"/>
        </w:rPr>
        <w:t>U oblasti energetske i klimatske politike, relevantne su Reforma 2.2.1 - Implementacija mjera iz Nacionalnog energetskog i klimatskog plana (NEKP) i Reforma 2.2.2 - Unapređenje sistema za trgovinu emisijama, koje doprinose razvoju objekata sa niskim ili nultim emisijama i unapređenju energetske efikasnosti u sektoru zgradarstva.</w:t>
      </w:r>
    </w:p>
    <w:p w14:paraId="66D6D010" w14:textId="05414425" w:rsidR="001A2324" w:rsidRPr="001A2324" w:rsidRDefault="0BB45BEF" w:rsidP="0BB45BEF">
      <w:pPr>
        <w:pStyle w:val="NormalWeb"/>
        <w:jc w:val="both"/>
        <w:rPr>
          <w:rFonts w:asciiTheme="minorHAnsi" w:hAnsiTheme="minorHAnsi"/>
          <w:lang w:val="sr-Latn-ME"/>
        </w:rPr>
      </w:pPr>
      <w:r w:rsidRPr="0BB45BEF">
        <w:rPr>
          <w:rFonts w:asciiTheme="minorHAnsi" w:hAnsiTheme="minorHAnsi"/>
          <w:lang w:val="sr-Latn-ME"/>
        </w:rPr>
        <w:t>Dodatno, značajna je i Reforma 2.3.4 - Sprovođenje zakonske regulative o energetskoj efikasnosti i zagađenju vazduha, koja doprinosi primjeni standarda energetske efikasnosti u postojećim i novim objektima.</w:t>
      </w:r>
    </w:p>
    <w:p w14:paraId="59F8E588" w14:textId="2F0A0EFB" w:rsidR="001A2324" w:rsidRPr="001A2324" w:rsidRDefault="0BB45BEF" w:rsidP="0BB45BEF">
      <w:pPr>
        <w:pStyle w:val="NormalWeb"/>
        <w:jc w:val="both"/>
        <w:rPr>
          <w:rFonts w:asciiTheme="minorHAnsi" w:hAnsiTheme="minorHAnsi"/>
          <w:lang w:val="sr-Latn-ME"/>
        </w:rPr>
      </w:pPr>
      <w:r w:rsidRPr="0BB45BEF">
        <w:rPr>
          <w:rFonts w:asciiTheme="minorHAnsi" w:hAnsiTheme="minorHAnsi"/>
          <w:lang w:val="sr-Latn-ME"/>
        </w:rPr>
        <w:t>U dijelu socijalne politike, relevantna je Reforma 3.1.3 - Reformisanje sistema socijalne i dječije zaštite, koja je usmjerena na unapređenje podrške ranjivim grupama i indirektno doprinosi mjerama u oblasti socijalnog i pristupačnog stanovanja.</w:t>
      </w:r>
    </w:p>
    <w:p w14:paraId="3C8A6594" w14:textId="77777777" w:rsidR="001A2324" w:rsidRPr="001A2324" w:rsidRDefault="0BB45BEF" w:rsidP="0BB45BEF">
      <w:pPr>
        <w:pStyle w:val="NormalWeb"/>
        <w:jc w:val="both"/>
        <w:rPr>
          <w:rFonts w:asciiTheme="minorHAnsi" w:hAnsiTheme="minorHAnsi"/>
          <w:lang w:val="sr-Latn-ME"/>
        </w:rPr>
      </w:pPr>
      <w:r w:rsidRPr="0BB45BEF">
        <w:rPr>
          <w:rFonts w:asciiTheme="minorHAnsi" w:hAnsiTheme="minorHAnsi"/>
          <w:lang w:val="sr-Latn-ME"/>
        </w:rPr>
        <w:t>U okviru Programa ekonomskih reformi dodatno su obuhvaćene mjere koje se odnose na unapređenje planiranja i realizacije kapitalnih projekata, što predstavlja važan okvir za sprovođenje investicija u sektoru stanovanja i infrastrukture.</w:t>
      </w:r>
    </w:p>
    <w:p w14:paraId="3C698635" w14:textId="5863FA6B" w:rsidR="00F579F5" w:rsidRDefault="06A38136" w:rsidP="0021066E">
      <w:pPr>
        <w:pStyle w:val="Heading2"/>
        <w:rPr>
          <w:lang w:val="sr-Latn-ME"/>
        </w:rPr>
      </w:pPr>
      <w:r w:rsidRPr="06A38136">
        <w:rPr>
          <w:lang w:val="sr-Latn-ME"/>
        </w:rPr>
        <w:t>Ključni indikatori</w:t>
      </w:r>
    </w:p>
    <w:tbl>
      <w:tblPr>
        <w:tblW w:w="9052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250"/>
        <w:gridCol w:w="1080"/>
        <w:gridCol w:w="990"/>
        <w:gridCol w:w="1440"/>
        <w:gridCol w:w="4292"/>
      </w:tblGrid>
      <w:tr w:rsidR="06A38136" w:rsidRPr="00916107" w14:paraId="374F68ED" w14:textId="77777777" w:rsidTr="00916107">
        <w:trPr>
          <w:trHeight w:val="390"/>
        </w:trPr>
        <w:tc>
          <w:tcPr>
            <w:tcW w:w="1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13C1C06" w14:textId="30146A35" w:rsidR="06A38136" w:rsidRPr="00916107" w:rsidRDefault="3B9459DA" w:rsidP="00916107">
            <w:pPr>
              <w:spacing w:after="0" w:line="240" w:lineRule="auto"/>
              <w:rPr>
                <w:rFonts w:eastAsiaTheme="minorEastAsia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916107">
              <w:rPr>
                <w:rFonts w:eastAsiaTheme="minorEastAsia"/>
                <w:b/>
                <w:bCs/>
                <w:color w:val="000000" w:themeColor="text1"/>
                <w:sz w:val="16"/>
                <w:szCs w:val="16"/>
              </w:rPr>
              <w:t>Indikator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21E2D8F" w14:textId="064D2D62" w:rsidR="06A38136" w:rsidRPr="00916107" w:rsidRDefault="3B9459DA" w:rsidP="00916107">
            <w:pPr>
              <w:spacing w:after="0" w:line="240" w:lineRule="auto"/>
              <w:rPr>
                <w:rFonts w:eastAsiaTheme="minorEastAsia"/>
                <w:b/>
                <w:bCs/>
                <w:color w:val="000000" w:themeColor="text1"/>
                <w:sz w:val="16"/>
                <w:szCs w:val="16"/>
              </w:rPr>
            </w:pPr>
            <w:r w:rsidRPr="00916107">
              <w:rPr>
                <w:rFonts w:eastAsiaTheme="minorEastAsia"/>
                <w:b/>
                <w:bCs/>
                <w:color w:val="000000" w:themeColor="text1"/>
                <w:sz w:val="16"/>
                <w:szCs w:val="16"/>
              </w:rPr>
              <w:t xml:space="preserve">CG </w:t>
            </w:r>
            <w:proofErr w:type="spellStart"/>
            <w:r w:rsidRPr="00916107">
              <w:rPr>
                <w:rFonts w:eastAsiaTheme="minorEastAsia"/>
                <w:b/>
                <w:bCs/>
                <w:color w:val="000000" w:themeColor="text1"/>
                <w:sz w:val="16"/>
                <w:szCs w:val="16"/>
              </w:rPr>
              <w:t>vrijednost</w:t>
            </w:r>
            <w:proofErr w:type="spellEnd"/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74262B3" w14:textId="5345911D" w:rsidR="06A38136" w:rsidRPr="00916107" w:rsidRDefault="3B9459DA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16107">
              <w:rPr>
                <w:rFonts w:eastAsiaTheme="minorEastAsia"/>
                <w:b/>
                <w:bCs/>
                <w:color w:val="000000" w:themeColor="text1"/>
                <w:sz w:val="16"/>
                <w:szCs w:val="16"/>
              </w:rPr>
              <w:t xml:space="preserve">EU-27 </w:t>
            </w:r>
            <w:proofErr w:type="spellStart"/>
            <w:r w:rsidRPr="00916107">
              <w:rPr>
                <w:rFonts w:eastAsiaTheme="minorEastAsia"/>
                <w:b/>
                <w:bCs/>
                <w:color w:val="000000" w:themeColor="text1"/>
                <w:sz w:val="16"/>
                <w:szCs w:val="16"/>
              </w:rPr>
              <w:t>vrijednost</w:t>
            </w:r>
            <w:proofErr w:type="spellEnd"/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A83177C" w14:textId="1CB8369E" w:rsidR="06A38136" w:rsidRPr="00916107" w:rsidRDefault="3B9459DA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16107">
              <w:rPr>
                <w:rFonts w:eastAsiaTheme="minorEastAsia"/>
                <w:b/>
                <w:bCs/>
                <w:color w:val="000000" w:themeColor="text1"/>
                <w:sz w:val="16"/>
                <w:szCs w:val="16"/>
              </w:rPr>
              <w:t>Godina</w:t>
            </w:r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</w:t>
            </w:r>
          </w:p>
          <w:p w14:paraId="0AC6DAD6" w14:textId="0CA06E77" w:rsidR="06A38136" w:rsidRPr="00916107" w:rsidRDefault="3B9459DA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16107">
              <w:rPr>
                <w:rFonts w:eastAsiaTheme="minorEastAsia"/>
                <w:b/>
                <w:bCs/>
                <w:color w:val="000000" w:themeColor="text1"/>
                <w:sz w:val="16"/>
                <w:szCs w:val="16"/>
              </w:rPr>
              <w:t xml:space="preserve"> (CG / EU)</w:t>
            </w:r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2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D7E52C6" w14:textId="280B96F5" w:rsidR="06A38136" w:rsidRPr="00916107" w:rsidRDefault="3B9459DA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16107">
              <w:rPr>
                <w:rFonts w:eastAsiaTheme="minorEastAsia"/>
                <w:b/>
                <w:bCs/>
                <w:color w:val="000000" w:themeColor="text1"/>
                <w:sz w:val="16"/>
                <w:szCs w:val="16"/>
              </w:rPr>
              <w:t>Izvor</w:t>
            </w:r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6A38136" w:rsidRPr="00916107" w14:paraId="396EC061" w14:textId="77777777" w:rsidTr="00916107">
        <w:trPr>
          <w:trHeight w:val="696"/>
        </w:trPr>
        <w:tc>
          <w:tcPr>
            <w:tcW w:w="1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4DD5C4E" w14:textId="19604647" w:rsidR="06A38136" w:rsidRPr="00916107" w:rsidRDefault="3B9459DA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Stopa </w:t>
            </w:r>
            <w:proofErr w:type="spellStart"/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>prenaseljenosti</w:t>
            </w:r>
            <w:proofErr w:type="spellEnd"/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>stanova</w:t>
            </w:r>
            <w:proofErr w:type="spellEnd"/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(% </w:t>
            </w:r>
            <w:proofErr w:type="spellStart"/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>stanovništva</w:t>
            </w:r>
            <w:proofErr w:type="spellEnd"/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) </w:t>
            </w:r>
          </w:p>
        </w:tc>
        <w:tc>
          <w:tcPr>
            <w:tcW w:w="10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A2479C8" w14:textId="7E4C0874" w:rsidR="06A38136" w:rsidRPr="00916107" w:rsidRDefault="3B9459DA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61,6 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8ACE4A6" w14:textId="2F7D63C2" w:rsidR="06A38136" w:rsidRPr="00916107" w:rsidRDefault="3B9459DA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16,9 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CD23835" w14:textId="457E5874" w:rsidR="06A38136" w:rsidRPr="00916107" w:rsidRDefault="3B9459DA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2022 / 2024 </w:t>
            </w:r>
          </w:p>
        </w:tc>
        <w:tc>
          <w:tcPr>
            <w:tcW w:w="42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E2E42AF" w14:textId="70C2126B" w:rsidR="06A38136" w:rsidRPr="00916107" w:rsidRDefault="3B9459DA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  <w:lang w:val="pt-BR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  <w:lang w:val="pt-BR"/>
              </w:rPr>
              <w:t xml:space="preserve">Eurostat – </w:t>
            </w:r>
            <w:r w:rsidRPr="00916107">
              <w:rPr>
                <w:sz w:val="16"/>
                <w:szCs w:val="16"/>
              </w:rPr>
              <w:fldChar w:fldCharType="begin"/>
            </w:r>
            <w:r w:rsidRPr="00916107">
              <w:rPr>
                <w:sz w:val="16"/>
                <w:szCs w:val="16"/>
                <w:lang w:val="pt-BR"/>
              </w:rPr>
              <w:instrText>HYPERLINK "https://ec.europa.eu/eurostat/databrowser/view/ilc_lvho05a/default/table" \h</w:instrText>
            </w:r>
            <w:r w:rsidRPr="00916107">
              <w:rPr>
                <w:sz w:val="16"/>
                <w:szCs w:val="16"/>
              </w:rPr>
            </w:r>
            <w:r w:rsidRPr="00916107">
              <w:rPr>
                <w:sz w:val="16"/>
                <w:szCs w:val="16"/>
              </w:rPr>
              <w:fldChar w:fldCharType="separate"/>
            </w:r>
            <w:r w:rsidRPr="00916107">
              <w:rPr>
                <w:rStyle w:val="Hyperlink"/>
                <w:rFonts w:eastAsiaTheme="minorEastAsia"/>
                <w:color w:val="0563C1"/>
                <w:sz w:val="16"/>
                <w:szCs w:val="16"/>
                <w:lang w:val="pt-BR"/>
              </w:rPr>
              <w:t>https://ec.europa.eu/eurostat/databrowser/view/ilc_lvho05a/default/table</w:t>
            </w:r>
            <w:r w:rsidRPr="00916107">
              <w:rPr>
                <w:sz w:val="16"/>
                <w:szCs w:val="16"/>
              </w:rPr>
              <w:fldChar w:fldCharType="end"/>
            </w:r>
            <w:r w:rsidRPr="00916107">
              <w:rPr>
                <w:rFonts w:eastAsiaTheme="minorEastAsia"/>
                <w:color w:val="000000" w:themeColor="text1"/>
                <w:sz w:val="16"/>
                <w:szCs w:val="16"/>
                <w:lang w:val="pt-BR"/>
              </w:rPr>
              <w:t xml:space="preserve"> </w:t>
            </w:r>
          </w:p>
        </w:tc>
      </w:tr>
      <w:tr w:rsidR="06A38136" w:rsidRPr="00916107" w14:paraId="512C385B" w14:textId="77777777" w:rsidTr="00916107">
        <w:trPr>
          <w:trHeight w:val="300"/>
        </w:trPr>
        <w:tc>
          <w:tcPr>
            <w:tcW w:w="1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6DAD687" w14:textId="605809E6" w:rsidR="06A38136" w:rsidRPr="00916107" w:rsidRDefault="3B9459DA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  <w:lang w:val="pt-BR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  <w:lang w:val="pt-BR"/>
              </w:rPr>
              <w:t xml:space="preserve">Stopa preopterećenosti troškovima stanovanja (% stanovništva) </w:t>
            </w:r>
          </w:p>
        </w:tc>
        <w:tc>
          <w:tcPr>
            <w:tcW w:w="10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C47D308" w14:textId="7326A1A8" w:rsidR="06A38136" w:rsidRPr="00916107" w:rsidRDefault="3B9459DA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5,8 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CE2C20B" w14:textId="78788D2A" w:rsidR="06A38136" w:rsidRPr="00916107" w:rsidRDefault="3B9459DA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8,2 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C4531C8" w14:textId="6285394B" w:rsidR="06A38136" w:rsidRPr="00916107" w:rsidRDefault="3B9459DA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2022 / 2024 </w:t>
            </w:r>
          </w:p>
        </w:tc>
        <w:tc>
          <w:tcPr>
            <w:tcW w:w="42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81EC7E6" w14:textId="47F21F68" w:rsidR="06A38136" w:rsidRPr="00916107" w:rsidRDefault="3B9459DA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  <w:lang w:val="pt-BR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  <w:lang w:val="pt-BR"/>
              </w:rPr>
              <w:t xml:space="preserve">Eurostat – </w:t>
            </w:r>
            <w:r w:rsidRPr="00916107">
              <w:rPr>
                <w:sz w:val="16"/>
                <w:szCs w:val="16"/>
              </w:rPr>
              <w:fldChar w:fldCharType="begin"/>
            </w:r>
            <w:r w:rsidRPr="00916107">
              <w:rPr>
                <w:sz w:val="16"/>
                <w:szCs w:val="16"/>
                <w:lang w:val="pt-BR"/>
              </w:rPr>
              <w:instrText>HYPERLINK "https://ec.europa.eu/eurostat/databrowser/view/ilc_lvho07a/default/table" \h</w:instrText>
            </w:r>
            <w:r w:rsidRPr="00916107">
              <w:rPr>
                <w:sz w:val="16"/>
                <w:szCs w:val="16"/>
              </w:rPr>
            </w:r>
            <w:r w:rsidRPr="00916107">
              <w:rPr>
                <w:sz w:val="16"/>
                <w:szCs w:val="16"/>
              </w:rPr>
              <w:fldChar w:fldCharType="separate"/>
            </w:r>
            <w:r w:rsidRPr="00916107">
              <w:rPr>
                <w:rStyle w:val="Hyperlink"/>
                <w:rFonts w:eastAsiaTheme="minorEastAsia"/>
                <w:color w:val="0563C1"/>
                <w:sz w:val="16"/>
                <w:szCs w:val="16"/>
                <w:lang w:val="pt-BR"/>
              </w:rPr>
              <w:t>https://ec.europa.eu/eurostat/databrowser/view/ilc_lvho07a/default/table</w:t>
            </w:r>
            <w:r w:rsidRPr="00916107">
              <w:rPr>
                <w:sz w:val="16"/>
                <w:szCs w:val="16"/>
              </w:rPr>
              <w:fldChar w:fldCharType="end"/>
            </w:r>
            <w:r w:rsidRPr="00916107">
              <w:rPr>
                <w:rFonts w:eastAsiaTheme="minorEastAsia"/>
                <w:color w:val="000000" w:themeColor="text1"/>
                <w:sz w:val="16"/>
                <w:szCs w:val="16"/>
                <w:lang w:val="pt-BR"/>
              </w:rPr>
              <w:t xml:space="preserve"> </w:t>
            </w:r>
          </w:p>
        </w:tc>
      </w:tr>
      <w:tr w:rsidR="06A38136" w:rsidRPr="00916107" w14:paraId="7CFA6529" w14:textId="77777777" w:rsidTr="00916107">
        <w:trPr>
          <w:trHeight w:val="300"/>
        </w:trPr>
        <w:tc>
          <w:tcPr>
            <w:tcW w:w="1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FB1B6B9" w14:textId="00310F65" w:rsidR="06A38136" w:rsidRPr="00916107" w:rsidRDefault="3B9459DA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  <w:lang w:val="pt-BR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  <w:lang w:val="pt-BR"/>
              </w:rPr>
              <w:t xml:space="preserve">Stopa vlasništva nad stanovima (% stanovništva) </w:t>
            </w:r>
          </w:p>
        </w:tc>
        <w:tc>
          <w:tcPr>
            <w:tcW w:w="10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2401D05" w14:textId="4F1A271C" w:rsidR="06A38136" w:rsidRPr="00916107" w:rsidRDefault="2CFFD3E6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90,3 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7E02560" w14:textId="113423FC" w:rsidR="06A38136" w:rsidRPr="00916107" w:rsidRDefault="2CFFD3E6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>68,4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07D1873" w14:textId="75A05CF6" w:rsidR="06A38136" w:rsidRPr="00916107" w:rsidRDefault="2CFFD3E6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2023 / 2024 </w:t>
            </w:r>
          </w:p>
        </w:tc>
        <w:tc>
          <w:tcPr>
            <w:tcW w:w="42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AA1A672" w14:textId="42A13943" w:rsidR="06A38136" w:rsidRPr="00916107" w:rsidRDefault="3B9459DA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  <w:lang w:val="pt-BR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  <w:lang w:val="pt-BR"/>
              </w:rPr>
              <w:t xml:space="preserve">Eurostat – </w:t>
            </w:r>
            <w:r w:rsidRPr="00916107">
              <w:rPr>
                <w:sz w:val="16"/>
                <w:szCs w:val="16"/>
              </w:rPr>
              <w:fldChar w:fldCharType="begin"/>
            </w:r>
            <w:r w:rsidRPr="00916107">
              <w:rPr>
                <w:sz w:val="16"/>
                <w:szCs w:val="16"/>
                <w:lang w:val="pt-BR"/>
              </w:rPr>
              <w:instrText>HYPERLINK "https://ec.europa.eu/eurostat/databrowser/view/ilc_lvho02/default/table" \h</w:instrText>
            </w:r>
            <w:r w:rsidRPr="00916107">
              <w:rPr>
                <w:sz w:val="16"/>
                <w:szCs w:val="16"/>
              </w:rPr>
            </w:r>
            <w:r w:rsidRPr="00916107">
              <w:rPr>
                <w:sz w:val="16"/>
                <w:szCs w:val="16"/>
              </w:rPr>
              <w:fldChar w:fldCharType="separate"/>
            </w:r>
            <w:r w:rsidRPr="00916107">
              <w:rPr>
                <w:rStyle w:val="Hyperlink"/>
                <w:rFonts w:eastAsiaTheme="minorEastAsia"/>
                <w:color w:val="0563C1"/>
                <w:sz w:val="16"/>
                <w:szCs w:val="16"/>
                <w:lang w:val="pt-BR"/>
              </w:rPr>
              <w:t>https://ec.europa.eu/eurostat/databrowser/view/ilc_lvho02/default/table</w:t>
            </w:r>
            <w:r w:rsidRPr="00916107">
              <w:rPr>
                <w:sz w:val="16"/>
                <w:szCs w:val="16"/>
              </w:rPr>
              <w:fldChar w:fldCharType="end"/>
            </w:r>
            <w:r w:rsidRPr="00916107">
              <w:rPr>
                <w:rFonts w:eastAsiaTheme="minorEastAsia"/>
                <w:color w:val="000000" w:themeColor="text1"/>
                <w:sz w:val="16"/>
                <w:szCs w:val="16"/>
                <w:lang w:val="pt-BR"/>
              </w:rPr>
              <w:t xml:space="preserve"> </w:t>
            </w:r>
          </w:p>
        </w:tc>
      </w:tr>
      <w:tr w:rsidR="06A38136" w:rsidRPr="00916107" w14:paraId="552336F2" w14:textId="77777777" w:rsidTr="00916107">
        <w:trPr>
          <w:trHeight w:val="300"/>
        </w:trPr>
        <w:tc>
          <w:tcPr>
            <w:tcW w:w="1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F6C1162" w14:textId="48CE0CAF" w:rsidR="06A38136" w:rsidRPr="00916107" w:rsidRDefault="3B9459DA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Stopa </w:t>
            </w:r>
            <w:proofErr w:type="spellStart"/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>stambene</w:t>
            </w:r>
            <w:proofErr w:type="spellEnd"/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>deprivacije</w:t>
            </w:r>
            <w:proofErr w:type="spellEnd"/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(% </w:t>
            </w:r>
            <w:proofErr w:type="spellStart"/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>stanovništva</w:t>
            </w:r>
            <w:proofErr w:type="spellEnd"/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) </w:t>
            </w:r>
          </w:p>
        </w:tc>
        <w:tc>
          <w:tcPr>
            <w:tcW w:w="10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BC95892" w14:textId="06856BCE" w:rsidR="06A38136" w:rsidRPr="00916107" w:rsidRDefault="2CFFD3E6" w:rsidP="00916107">
            <w:pPr>
              <w:spacing w:after="0" w:line="240" w:lineRule="auto"/>
              <w:rPr>
                <w:sz w:val="16"/>
                <w:szCs w:val="16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>14,6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2DD3922" w14:textId="616BE99C" w:rsidR="06A38136" w:rsidRPr="00916107" w:rsidRDefault="2CFFD3E6" w:rsidP="00916107">
            <w:pPr>
              <w:spacing w:after="0" w:line="240" w:lineRule="auto"/>
              <w:rPr>
                <w:sz w:val="16"/>
                <w:szCs w:val="16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6FA8E5A" w14:textId="0609CDBD" w:rsidR="06A38136" w:rsidRPr="00916107" w:rsidRDefault="2CFFD3E6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2023 / 2023 </w:t>
            </w:r>
          </w:p>
        </w:tc>
        <w:tc>
          <w:tcPr>
            <w:tcW w:w="42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36678DB" w14:textId="5F1A70AA" w:rsidR="06A38136" w:rsidRPr="00916107" w:rsidRDefault="3B9459DA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  <w:lang w:val="pt-BR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  <w:lang w:val="pt-BR"/>
              </w:rPr>
              <w:t xml:space="preserve">Eurostat – </w:t>
            </w:r>
            <w:r w:rsidRPr="00916107">
              <w:rPr>
                <w:sz w:val="16"/>
                <w:szCs w:val="16"/>
              </w:rPr>
              <w:fldChar w:fldCharType="begin"/>
            </w:r>
            <w:r w:rsidRPr="00916107">
              <w:rPr>
                <w:sz w:val="16"/>
                <w:szCs w:val="16"/>
                <w:lang w:val="pt-BR"/>
              </w:rPr>
              <w:instrText>HYPERLINK "https://ec.europa.eu/eurostat/databrowser/view/ilc_mdho06a/default/table" \h</w:instrText>
            </w:r>
            <w:r w:rsidRPr="00916107">
              <w:rPr>
                <w:sz w:val="16"/>
                <w:szCs w:val="16"/>
              </w:rPr>
            </w:r>
            <w:r w:rsidRPr="00916107">
              <w:rPr>
                <w:sz w:val="16"/>
                <w:szCs w:val="16"/>
              </w:rPr>
              <w:fldChar w:fldCharType="separate"/>
            </w:r>
            <w:r w:rsidRPr="00916107">
              <w:rPr>
                <w:rStyle w:val="Hyperlink"/>
                <w:rFonts w:eastAsiaTheme="minorEastAsia"/>
                <w:color w:val="0563C1"/>
                <w:sz w:val="16"/>
                <w:szCs w:val="16"/>
                <w:lang w:val="pt-BR"/>
              </w:rPr>
              <w:t>https://ec.europa.eu/eurostat/databrowser/view/ilc_mdho06a/default/table</w:t>
            </w:r>
            <w:r w:rsidRPr="00916107">
              <w:rPr>
                <w:sz w:val="16"/>
                <w:szCs w:val="16"/>
              </w:rPr>
              <w:fldChar w:fldCharType="end"/>
            </w:r>
            <w:r w:rsidRPr="00916107">
              <w:rPr>
                <w:rFonts w:eastAsiaTheme="minorEastAsia"/>
                <w:color w:val="000000" w:themeColor="text1"/>
                <w:sz w:val="16"/>
                <w:szCs w:val="16"/>
                <w:lang w:val="pt-BR"/>
              </w:rPr>
              <w:t xml:space="preserve"> </w:t>
            </w:r>
          </w:p>
        </w:tc>
      </w:tr>
      <w:tr w:rsidR="06A38136" w:rsidRPr="00916107" w14:paraId="5053DDF3" w14:textId="77777777" w:rsidTr="00916107">
        <w:trPr>
          <w:trHeight w:val="300"/>
        </w:trPr>
        <w:tc>
          <w:tcPr>
            <w:tcW w:w="1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904A017" w14:textId="7D1FA910" w:rsidR="06A38136" w:rsidRPr="00916107" w:rsidRDefault="3B9459DA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  <w:lang w:val="pt-BR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  <w:lang w:val="pt-BR"/>
              </w:rPr>
              <w:t xml:space="preserve">Stanovništvo u riziku od siromaštva ili socijalne </w:t>
            </w:r>
            <w:r w:rsidRPr="00916107">
              <w:rPr>
                <w:rFonts w:eastAsiaTheme="minorEastAsia"/>
                <w:color w:val="000000" w:themeColor="text1"/>
                <w:sz w:val="16"/>
                <w:szCs w:val="16"/>
                <w:lang w:val="pt-BR"/>
              </w:rPr>
              <w:lastRenderedPageBreak/>
              <w:t xml:space="preserve">isključenosti – AROPE (%) </w:t>
            </w:r>
          </w:p>
        </w:tc>
        <w:tc>
          <w:tcPr>
            <w:tcW w:w="10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DC6CD2E" w14:textId="3BB473FE" w:rsidR="06A38136" w:rsidRPr="00916107" w:rsidRDefault="2CFFD3E6" w:rsidP="00916107">
            <w:pPr>
              <w:spacing w:after="0" w:line="240" w:lineRule="auto"/>
              <w:rPr>
                <w:sz w:val="16"/>
                <w:szCs w:val="16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lastRenderedPageBreak/>
              <w:t>31,0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29C07B3" w14:textId="40707EA3" w:rsidR="06A38136" w:rsidRPr="00916107" w:rsidRDefault="2CFFD3E6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>21,3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2E58EC9" w14:textId="5D6210B8" w:rsidR="06A38136" w:rsidRPr="00916107" w:rsidRDefault="2CFFD3E6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2023 / 2023 </w:t>
            </w:r>
          </w:p>
        </w:tc>
        <w:tc>
          <w:tcPr>
            <w:tcW w:w="42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9D1B4D4" w14:textId="5F6D8B06" w:rsidR="06A38136" w:rsidRPr="00916107" w:rsidRDefault="3B9459DA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  <w:lang w:val="pt-BR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  <w:lang w:val="pt-BR"/>
              </w:rPr>
              <w:t xml:space="preserve">Eurostat – </w:t>
            </w:r>
            <w:r w:rsidRPr="00916107">
              <w:rPr>
                <w:sz w:val="16"/>
                <w:szCs w:val="16"/>
              </w:rPr>
              <w:fldChar w:fldCharType="begin"/>
            </w:r>
            <w:r w:rsidRPr="00916107">
              <w:rPr>
                <w:sz w:val="16"/>
                <w:szCs w:val="16"/>
                <w:lang w:val="pt-BR"/>
              </w:rPr>
              <w:instrText>HYPERLINK "https://ec.europa.eu/eurostat/databrowser/view/ilc_peps01n/default/table" \h</w:instrText>
            </w:r>
            <w:r w:rsidRPr="00916107">
              <w:rPr>
                <w:sz w:val="16"/>
                <w:szCs w:val="16"/>
              </w:rPr>
            </w:r>
            <w:r w:rsidRPr="00916107">
              <w:rPr>
                <w:sz w:val="16"/>
                <w:szCs w:val="16"/>
              </w:rPr>
              <w:fldChar w:fldCharType="separate"/>
            </w:r>
            <w:r w:rsidRPr="00916107">
              <w:rPr>
                <w:rStyle w:val="Hyperlink"/>
                <w:rFonts w:eastAsiaTheme="minorEastAsia"/>
                <w:color w:val="0563C1"/>
                <w:sz w:val="16"/>
                <w:szCs w:val="16"/>
                <w:lang w:val="pt-BR"/>
              </w:rPr>
              <w:t>https://ec.europa.eu/eurostat/databrowser/view/ilc_peps01n/default/table</w:t>
            </w:r>
            <w:r w:rsidRPr="00916107">
              <w:rPr>
                <w:sz w:val="16"/>
                <w:szCs w:val="16"/>
              </w:rPr>
              <w:fldChar w:fldCharType="end"/>
            </w:r>
            <w:r w:rsidRPr="00916107">
              <w:rPr>
                <w:rFonts w:eastAsiaTheme="minorEastAsia"/>
                <w:color w:val="000000" w:themeColor="text1"/>
                <w:sz w:val="16"/>
                <w:szCs w:val="16"/>
                <w:lang w:val="pt-BR"/>
              </w:rPr>
              <w:t xml:space="preserve"> </w:t>
            </w:r>
          </w:p>
        </w:tc>
      </w:tr>
      <w:tr w:rsidR="06A38136" w:rsidRPr="00916107" w14:paraId="0C279E13" w14:textId="77777777" w:rsidTr="00916107">
        <w:trPr>
          <w:trHeight w:val="300"/>
        </w:trPr>
        <w:tc>
          <w:tcPr>
            <w:tcW w:w="1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552061F" w14:textId="03814778" w:rsidR="06A38136" w:rsidRPr="00916107" w:rsidRDefault="3B9459DA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  <w:lang w:val="pt-BR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  <w:lang w:val="pt-BR"/>
              </w:rPr>
              <w:t xml:space="preserve">Udio obnovljivih izvora u finalnoj potrošnji energije (%) </w:t>
            </w:r>
          </w:p>
        </w:tc>
        <w:tc>
          <w:tcPr>
            <w:tcW w:w="10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E5C5CD3" w14:textId="7075BF0B" w:rsidR="06A38136" w:rsidRPr="00916107" w:rsidRDefault="3B9459DA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40,9 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F0899B7" w14:textId="730079CB" w:rsidR="06A38136" w:rsidRPr="00916107" w:rsidRDefault="3B9459DA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24,5 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0303E54" w14:textId="3CFD3F2C" w:rsidR="06A38136" w:rsidRPr="00916107" w:rsidRDefault="3B9459DA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2023 / 2023 </w:t>
            </w:r>
          </w:p>
        </w:tc>
        <w:tc>
          <w:tcPr>
            <w:tcW w:w="42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F9C90B3" w14:textId="4DDE4046" w:rsidR="06A38136" w:rsidRPr="00916107" w:rsidRDefault="3B9459DA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  <w:lang w:val="pt-BR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  <w:lang w:val="pt-BR"/>
              </w:rPr>
              <w:t xml:space="preserve">Eurostat – </w:t>
            </w:r>
            <w:r w:rsidRPr="00916107">
              <w:rPr>
                <w:sz w:val="16"/>
                <w:szCs w:val="16"/>
              </w:rPr>
              <w:fldChar w:fldCharType="begin"/>
            </w:r>
            <w:r w:rsidRPr="00916107">
              <w:rPr>
                <w:sz w:val="16"/>
                <w:szCs w:val="16"/>
                <w:lang w:val="pt-BR"/>
              </w:rPr>
              <w:instrText>HYPERLINK "https://ec.europa.eu/eurostat/databrowser/view/nrg_ind_ren/default/table" \h</w:instrText>
            </w:r>
            <w:r w:rsidRPr="00916107">
              <w:rPr>
                <w:sz w:val="16"/>
                <w:szCs w:val="16"/>
              </w:rPr>
            </w:r>
            <w:r w:rsidRPr="00916107">
              <w:rPr>
                <w:sz w:val="16"/>
                <w:szCs w:val="16"/>
              </w:rPr>
              <w:fldChar w:fldCharType="separate"/>
            </w:r>
            <w:r w:rsidRPr="00916107">
              <w:rPr>
                <w:rStyle w:val="Hyperlink"/>
                <w:rFonts w:eastAsiaTheme="minorEastAsia"/>
                <w:color w:val="0563C1"/>
                <w:sz w:val="16"/>
                <w:szCs w:val="16"/>
                <w:lang w:val="pt-BR"/>
              </w:rPr>
              <w:t>https://ec.europa.eu/eurostat/databrowser/view/nrg_ind_ren/default/table</w:t>
            </w:r>
            <w:r w:rsidRPr="00916107">
              <w:rPr>
                <w:sz w:val="16"/>
                <w:szCs w:val="16"/>
              </w:rPr>
              <w:fldChar w:fldCharType="end"/>
            </w:r>
            <w:r w:rsidRPr="00916107">
              <w:rPr>
                <w:rFonts w:eastAsiaTheme="minorEastAsia"/>
                <w:color w:val="000000" w:themeColor="text1"/>
                <w:sz w:val="16"/>
                <w:szCs w:val="16"/>
                <w:lang w:val="pt-BR"/>
              </w:rPr>
              <w:t xml:space="preserve"> </w:t>
            </w:r>
          </w:p>
        </w:tc>
      </w:tr>
      <w:tr w:rsidR="06A38136" w:rsidRPr="00916107" w14:paraId="76ACA555" w14:textId="77777777" w:rsidTr="00916107">
        <w:trPr>
          <w:trHeight w:val="300"/>
        </w:trPr>
        <w:tc>
          <w:tcPr>
            <w:tcW w:w="1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4BE8AC6" w14:textId="2F8396B5" w:rsidR="06A38136" w:rsidRPr="00916107" w:rsidRDefault="3B9459DA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  <w:lang w:val="pt-BR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  <w:lang w:val="pt-BR"/>
              </w:rPr>
              <w:t xml:space="preserve">Medijan udjela troškova stanovanja u raspoloživom dohotku (%) </w:t>
            </w:r>
          </w:p>
        </w:tc>
        <w:tc>
          <w:tcPr>
            <w:tcW w:w="10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828B1B3" w14:textId="62B0D577" w:rsidR="06A38136" w:rsidRPr="00916107" w:rsidRDefault="3B9459DA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17.2 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4839CC4" w14:textId="006F3B98" w:rsidR="06A38136" w:rsidRPr="00916107" w:rsidRDefault="3B9459DA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19.2 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B449C4C" w14:textId="67ED797D" w:rsidR="06A38136" w:rsidRPr="00916107" w:rsidRDefault="3B9459DA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2022 / 2024 </w:t>
            </w:r>
          </w:p>
        </w:tc>
        <w:tc>
          <w:tcPr>
            <w:tcW w:w="42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F5BCD1D" w14:textId="16081B4A" w:rsidR="06A38136" w:rsidRPr="00916107" w:rsidRDefault="3B9459DA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  <w:lang w:val="pt-BR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  <w:lang w:val="pt-BR"/>
              </w:rPr>
              <w:t xml:space="preserve">Eurostat – </w:t>
            </w:r>
            <w:r w:rsidRPr="00916107">
              <w:rPr>
                <w:sz w:val="16"/>
                <w:szCs w:val="16"/>
              </w:rPr>
              <w:fldChar w:fldCharType="begin"/>
            </w:r>
            <w:r w:rsidRPr="00916107">
              <w:rPr>
                <w:sz w:val="16"/>
                <w:szCs w:val="16"/>
                <w:lang w:val="pt-BR"/>
              </w:rPr>
              <w:instrText>HYPERLINK "https://ec.europa.eu/eurostat/databrowser/view/ilc_mded01/default/table" \h</w:instrText>
            </w:r>
            <w:r w:rsidRPr="00916107">
              <w:rPr>
                <w:sz w:val="16"/>
                <w:szCs w:val="16"/>
              </w:rPr>
            </w:r>
            <w:r w:rsidRPr="00916107">
              <w:rPr>
                <w:sz w:val="16"/>
                <w:szCs w:val="16"/>
              </w:rPr>
              <w:fldChar w:fldCharType="separate"/>
            </w:r>
            <w:r w:rsidRPr="00916107">
              <w:rPr>
                <w:rStyle w:val="Hyperlink"/>
                <w:rFonts w:eastAsiaTheme="minorEastAsia"/>
                <w:sz w:val="16"/>
                <w:szCs w:val="16"/>
                <w:lang w:val="pt-BR"/>
              </w:rPr>
              <w:t>https://ec.europa.eu/eurostat/databrowser/view/ilc_mded01/default/table</w:t>
            </w:r>
            <w:r w:rsidRPr="00916107">
              <w:rPr>
                <w:sz w:val="16"/>
                <w:szCs w:val="16"/>
              </w:rPr>
              <w:fldChar w:fldCharType="end"/>
            </w:r>
            <w:r w:rsidRPr="00916107">
              <w:rPr>
                <w:rFonts w:eastAsiaTheme="minorEastAsia"/>
                <w:color w:val="000000" w:themeColor="text1"/>
                <w:sz w:val="16"/>
                <w:szCs w:val="16"/>
                <w:lang w:val="pt-BR"/>
              </w:rPr>
              <w:t xml:space="preserve"> </w:t>
            </w:r>
          </w:p>
        </w:tc>
      </w:tr>
      <w:tr w:rsidR="06A38136" w:rsidRPr="00916107" w14:paraId="5E228A49" w14:textId="77777777" w:rsidTr="00916107">
        <w:trPr>
          <w:trHeight w:val="300"/>
        </w:trPr>
        <w:tc>
          <w:tcPr>
            <w:tcW w:w="1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B9CF790" w14:textId="5B7F839C" w:rsidR="06A38136" w:rsidRPr="00916107" w:rsidRDefault="3B9459DA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Stopa </w:t>
            </w:r>
            <w:r w:rsidRPr="00916107">
              <w:rPr>
                <w:rFonts w:eastAsiaTheme="minorEastAsia"/>
                <w:color w:val="000000" w:themeColor="text1"/>
                <w:sz w:val="16"/>
                <w:szCs w:val="16"/>
                <w:vertAlign w:val="superscript"/>
              </w:rPr>
              <w:t>1</w:t>
            </w:r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ozbiljne </w:t>
            </w:r>
            <w:proofErr w:type="spellStart"/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>stambene</w:t>
            </w:r>
            <w:proofErr w:type="spellEnd"/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>deprivacije</w:t>
            </w:r>
            <w:proofErr w:type="spellEnd"/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(% </w:t>
            </w:r>
            <w:proofErr w:type="spellStart"/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>stanovništva</w:t>
            </w:r>
            <w:proofErr w:type="spellEnd"/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) </w:t>
            </w:r>
          </w:p>
        </w:tc>
        <w:tc>
          <w:tcPr>
            <w:tcW w:w="10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27C970C" w14:textId="6F679DA5" w:rsidR="06A38136" w:rsidRPr="00916107" w:rsidRDefault="2CFFD3E6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14.6 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B69959C" w14:textId="152214D7" w:rsidR="06A38136" w:rsidRPr="00916107" w:rsidRDefault="3B9459DA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4,0 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91DF6B5" w14:textId="1AFD0A77" w:rsidR="06A38136" w:rsidRPr="00916107" w:rsidRDefault="2CFFD3E6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2023/ 2023 </w:t>
            </w:r>
          </w:p>
        </w:tc>
        <w:tc>
          <w:tcPr>
            <w:tcW w:w="42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A8AA070" w14:textId="34189C89" w:rsidR="06A38136" w:rsidRPr="00916107" w:rsidRDefault="3B9459DA" w:rsidP="00916107">
            <w:pPr>
              <w:spacing w:after="0" w:line="240" w:lineRule="auto"/>
              <w:rPr>
                <w:rFonts w:eastAsiaTheme="minorEastAsia"/>
                <w:color w:val="000000" w:themeColor="text1"/>
                <w:sz w:val="16"/>
                <w:szCs w:val="16"/>
                <w:lang w:val="pt-BR"/>
              </w:rPr>
            </w:pPr>
            <w:r w:rsidRPr="00916107">
              <w:rPr>
                <w:rFonts w:eastAsiaTheme="minorEastAsia"/>
                <w:color w:val="000000" w:themeColor="text1"/>
                <w:sz w:val="16"/>
                <w:szCs w:val="16"/>
                <w:lang w:val="pt-BR"/>
              </w:rPr>
              <w:t xml:space="preserve">Eurostat – </w:t>
            </w:r>
            <w:r w:rsidRPr="00916107">
              <w:rPr>
                <w:sz w:val="16"/>
                <w:szCs w:val="16"/>
              </w:rPr>
              <w:fldChar w:fldCharType="begin"/>
            </w:r>
            <w:r w:rsidRPr="00916107">
              <w:rPr>
                <w:sz w:val="16"/>
                <w:szCs w:val="16"/>
                <w:lang w:val="pt-BR"/>
              </w:rPr>
              <w:instrText>HYPERLINK "https://ec.europa.eu/eurostat/databrowser/view/ilc_mdho06a/default/table" \h</w:instrText>
            </w:r>
            <w:r w:rsidRPr="00916107">
              <w:rPr>
                <w:sz w:val="16"/>
                <w:szCs w:val="16"/>
              </w:rPr>
            </w:r>
            <w:r w:rsidRPr="00916107">
              <w:rPr>
                <w:sz w:val="16"/>
                <w:szCs w:val="16"/>
              </w:rPr>
              <w:fldChar w:fldCharType="separate"/>
            </w:r>
            <w:r w:rsidRPr="00916107">
              <w:rPr>
                <w:rStyle w:val="Hyperlink"/>
                <w:rFonts w:eastAsiaTheme="minorEastAsia"/>
                <w:color w:val="0563C1"/>
                <w:sz w:val="16"/>
                <w:szCs w:val="16"/>
                <w:lang w:val="pt-BR"/>
              </w:rPr>
              <w:t>https://ec.europa.eu/eurostat/databrowser/view/ilc_mdho06a/default/table</w:t>
            </w:r>
            <w:r w:rsidRPr="00916107">
              <w:rPr>
                <w:sz w:val="16"/>
                <w:szCs w:val="16"/>
              </w:rPr>
              <w:fldChar w:fldCharType="end"/>
            </w:r>
          </w:p>
        </w:tc>
      </w:tr>
    </w:tbl>
    <w:p w14:paraId="63D63083" w14:textId="3F6FE6A6" w:rsidR="43C7F2DD" w:rsidRDefault="43C7F2DD" w:rsidP="63DAC6F6">
      <w:pPr>
        <w:rPr>
          <w:lang w:val="pt-BR"/>
        </w:rPr>
      </w:pPr>
    </w:p>
    <w:p w14:paraId="55AE590B" w14:textId="77777777" w:rsidR="0021066E" w:rsidRDefault="43C7F2DD" w:rsidP="0021066E">
      <w:pPr>
        <w:pStyle w:val="Heading2"/>
        <w:rPr>
          <w:lang w:val="sr-Latn-ME"/>
        </w:rPr>
      </w:pPr>
      <w:r w:rsidRPr="43C7F2DD">
        <w:rPr>
          <w:lang w:val="sr-Latn-ME"/>
        </w:rPr>
        <w:t>Tematske cjeline</w:t>
      </w:r>
    </w:p>
    <w:tbl>
      <w:tblPr>
        <w:tblStyle w:val="TableGrid"/>
        <w:tblW w:w="8765" w:type="dxa"/>
        <w:tblLook w:val="04A0" w:firstRow="1" w:lastRow="0" w:firstColumn="1" w:lastColumn="0" w:noHBand="0" w:noVBand="1"/>
      </w:tblPr>
      <w:tblGrid>
        <w:gridCol w:w="3020"/>
        <w:gridCol w:w="5745"/>
      </w:tblGrid>
      <w:tr w:rsidR="0021066E" w:rsidRPr="002F3E2F" w14:paraId="4B4FD3E9" w14:textId="77777777" w:rsidTr="0BB45BEF">
        <w:tc>
          <w:tcPr>
            <w:tcW w:w="3020" w:type="dxa"/>
          </w:tcPr>
          <w:p w14:paraId="7A00D1A1" w14:textId="77777777" w:rsidR="0021066E" w:rsidRPr="002F3E2F" w:rsidRDefault="0BB45BEF" w:rsidP="0BB45BEF">
            <w:pPr>
              <w:rPr>
                <w:b/>
                <w:bCs/>
                <w:sz w:val="20"/>
                <w:szCs w:val="20"/>
                <w:lang w:val="sr-Latn-ME"/>
              </w:rPr>
            </w:pPr>
            <w:r w:rsidRPr="0BB45BEF">
              <w:rPr>
                <w:b/>
                <w:bCs/>
                <w:sz w:val="20"/>
                <w:szCs w:val="20"/>
                <w:lang w:val="sr-Latn-ME"/>
              </w:rPr>
              <w:t>Kod tematske cjeline</w:t>
            </w:r>
          </w:p>
        </w:tc>
        <w:tc>
          <w:tcPr>
            <w:tcW w:w="5745" w:type="dxa"/>
          </w:tcPr>
          <w:p w14:paraId="0C76F98A" w14:textId="77777777" w:rsidR="0021066E" w:rsidRPr="002F3E2F" w:rsidRDefault="0BB45BEF" w:rsidP="0BB45BEF">
            <w:pPr>
              <w:rPr>
                <w:b/>
                <w:bCs/>
                <w:sz w:val="20"/>
                <w:szCs w:val="20"/>
                <w:lang w:val="sr-Latn-ME"/>
              </w:rPr>
            </w:pPr>
            <w:r w:rsidRPr="0BB45BEF">
              <w:rPr>
                <w:b/>
                <w:bCs/>
                <w:sz w:val="20"/>
                <w:szCs w:val="20"/>
                <w:lang w:val="sr-Latn-ME"/>
              </w:rPr>
              <w:t>Naziv tematske cjeline</w:t>
            </w:r>
          </w:p>
        </w:tc>
      </w:tr>
      <w:tr w:rsidR="0021066E" w:rsidRPr="00916107" w14:paraId="6A3F0558" w14:textId="77777777" w:rsidTr="0BB45BEF">
        <w:tc>
          <w:tcPr>
            <w:tcW w:w="3020" w:type="dxa"/>
          </w:tcPr>
          <w:p w14:paraId="50817500" w14:textId="64DF2834" w:rsidR="0021066E" w:rsidRPr="002F3E2F" w:rsidRDefault="0BB45BEF" w:rsidP="0BB45BEF">
            <w:pPr>
              <w:rPr>
                <w:sz w:val="20"/>
                <w:szCs w:val="20"/>
                <w:lang w:val="sr-Latn-ME"/>
              </w:rPr>
            </w:pPr>
            <w:r w:rsidRPr="0BB45BEF">
              <w:rPr>
                <w:sz w:val="20"/>
                <w:szCs w:val="20"/>
                <w:lang w:val="sr-Latn-ME"/>
              </w:rPr>
              <w:t>[PA2]-9.1</w:t>
            </w:r>
          </w:p>
        </w:tc>
        <w:tc>
          <w:tcPr>
            <w:tcW w:w="5745" w:type="dxa"/>
          </w:tcPr>
          <w:p w14:paraId="1172554C" w14:textId="6CF3364D" w:rsidR="0021066E" w:rsidRPr="002F3E2F" w:rsidRDefault="0BB45BEF" w:rsidP="0BB45BEF">
            <w:pPr>
              <w:rPr>
                <w:sz w:val="20"/>
                <w:szCs w:val="20"/>
                <w:lang w:val="pt-BR"/>
              </w:rPr>
            </w:pPr>
            <w:r w:rsidRPr="0BB45BEF">
              <w:rPr>
                <w:sz w:val="20"/>
                <w:szCs w:val="20"/>
                <w:lang w:val="pt-BR"/>
              </w:rPr>
              <w:t>Izgradnja novih objekata sa niskim ili nultim emisijama (stambeni, javni i nestambeni objekti)</w:t>
            </w:r>
          </w:p>
        </w:tc>
      </w:tr>
      <w:tr w:rsidR="0021066E" w:rsidRPr="00916107" w14:paraId="651EB7EB" w14:textId="77777777" w:rsidTr="0BB45BEF">
        <w:tc>
          <w:tcPr>
            <w:tcW w:w="3020" w:type="dxa"/>
          </w:tcPr>
          <w:p w14:paraId="0EBCFEC7" w14:textId="1FF3FD62" w:rsidR="0021066E" w:rsidRPr="002F3E2F" w:rsidRDefault="0BB45BEF" w:rsidP="0BB45BEF">
            <w:pPr>
              <w:rPr>
                <w:sz w:val="20"/>
                <w:szCs w:val="20"/>
                <w:lang w:val="sr-Latn-ME"/>
              </w:rPr>
            </w:pPr>
            <w:r w:rsidRPr="0BB45BEF">
              <w:rPr>
                <w:sz w:val="20"/>
                <w:szCs w:val="20"/>
                <w:lang w:val="sr-Latn-ME"/>
              </w:rPr>
              <w:t>[PA2]-9.2</w:t>
            </w:r>
          </w:p>
        </w:tc>
        <w:tc>
          <w:tcPr>
            <w:tcW w:w="5745" w:type="dxa"/>
          </w:tcPr>
          <w:p w14:paraId="0386CACC" w14:textId="5D94EB6A" w:rsidR="0021066E" w:rsidRPr="002F3E2F" w:rsidRDefault="0BB45BEF" w:rsidP="0BB45BEF">
            <w:pPr>
              <w:rPr>
                <w:sz w:val="20"/>
                <w:szCs w:val="20"/>
                <w:lang w:val="pt-BR"/>
              </w:rPr>
            </w:pPr>
            <w:r w:rsidRPr="0BB45BEF">
              <w:rPr>
                <w:sz w:val="20"/>
                <w:szCs w:val="20"/>
                <w:lang w:val="pt-BR"/>
              </w:rPr>
              <w:t>Uklanjanje objekata i upravljanje nelegalnom i neodrživom gradnjom</w:t>
            </w:r>
          </w:p>
        </w:tc>
      </w:tr>
      <w:tr w:rsidR="0038625C" w:rsidRPr="00916107" w14:paraId="2AF63EFC" w14:textId="77777777" w:rsidTr="0BB45BEF">
        <w:tc>
          <w:tcPr>
            <w:tcW w:w="3020" w:type="dxa"/>
          </w:tcPr>
          <w:p w14:paraId="323ED2ED" w14:textId="6B452537" w:rsidR="0038625C" w:rsidRPr="002F3E2F" w:rsidRDefault="0BB45BEF" w:rsidP="0BB45BEF">
            <w:pPr>
              <w:rPr>
                <w:sz w:val="20"/>
                <w:szCs w:val="20"/>
                <w:lang w:val="sr-Latn-ME"/>
              </w:rPr>
            </w:pPr>
            <w:r w:rsidRPr="0BB45BEF">
              <w:rPr>
                <w:sz w:val="20"/>
                <w:szCs w:val="20"/>
                <w:lang w:val="sr-Latn-ME"/>
              </w:rPr>
              <w:t>[PA2]-9.3</w:t>
            </w:r>
          </w:p>
        </w:tc>
        <w:tc>
          <w:tcPr>
            <w:tcW w:w="5745" w:type="dxa"/>
          </w:tcPr>
          <w:p w14:paraId="2F2EA17F" w14:textId="17A746CC" w:rsidR="0038625C" w:rsidRPr="002F3E2F" w:rsidRDefault="0BB45BEF" w:rsidP="0BB45BEF">
            <w:pPr>
              <w:rPr>
                <w:sz w:val="20"/>
                <w:szCs w:val="20"/>
                <w:lang w:val="pt-BR"/>
              </w:rPr>
            </w:pPr>
            <w:r w:rsidRPr="0BB45BEF">
              <w:rPr>
                <w:sz w:val="20"/>
                <w:szCs w:val="20"/>
                <w:lang w:val="pt-BR"/>
              </w:rPr>
              <w:t>Socijalno i pristupačno stanovanje sa pratećom infrastrukturom</w:t>
            </w:r>
          </w:p>
        </w:tc>
      </w:tr>
      <w:tr w:rsidR="0038625C" w:rsidRPr="002F3E2F" w14:paraId="526310FD" w14:textId="77777777" w:rsidTr="0BB45BEF">
        <w:trPr>
          <w:trHeight w:val="315"/>
        </w:trPr>
        <w:tc>
          <w:tcPr>
            <w:tcW w:w="3020" w:type="dxa"/>
          </w:tcPr>
          <w:p w14:paraId="2B51E9B9" w14:textId="54943FBB" w:rsidR="0038625C" w:rsidRPr="002F3E2F" w:rsidRDefault="0BB45BEF" w:rsidP="0BB45BEF">
            <w:pPr>
              <w:rPr>
                <w:sz w:val="20"/>
                <w:szCs w:val="20"/>
                <w:lang w:val="sr-Latn-ME"/>
              </w:rPr>
            </w:pPr>
            <w:r w:rsidRPr="0BB45BEF">
              <w:rPr>
                <w:sz w:val="20"/>
                <w:szCs w:val="20"/>
                <w:lang w:val="sr-Latn-ME"/>
              </w:rPr>
              <w:t>[PA2]-9.4</w:t>
            </w:r>
          </w:p>
        </w:tc>
        <w:tc>
          <w:tcPr>
            <w:tcW w:w="5745" w:type="dxa"/>
          </w:tcPr>
          <w:p w14:paraId="00803AF9" w14:textId="596922C5" w:rsidR="0038625C" w:rsidRPr="002F3E2F" w:rsidRDefault="0BB45BEF" w:rsidP="0BB45BEF">
            <w:pPr>
              <w:rPr>
                <w:sz w:val="20"/>
                <w:szCs w:val="20"/>
                <w:lang w:val="pt-BR"/>
              </w:rPr>
            </w:pPr>
            <w:proofErr w:type="spellStart"/>
            <w:r w:rsidRPr="0BB45BEF">
              <w:rPr>
                <w:sz w:val="20"/>
                <w:szCs w:val="20"/>
              </w:rPr>
              <w:t>Reformski</w:t>
            </w:r>
            <w:proofErr w:type="spellEnd"/>
            <w:r w:rsidRPr="0BB45BEF">
              <w:rPr>
                <w:sz w:val="20"/>
                <w:szCs w:val="20"/>
              </w:rPr>
              <w:t xml:space="preserve"> </w:t>
            </w:r>
            <w:proofErr w:type="spellStart"/>
            <w:r w:rsidRPr="0BB45BEF">
              <w:rPr>
                <w:sz w:val="20"/>
                <w:szCs w:val="20"/>
              </w:rPr>
              <w:t>i</w:t>
            </w:r>
            <w:proofErr w:type="spellEnd"/>
            <w:r w:rsidRPr="0BB45BEF">
              <w:rPr>
                <w:sz w:val="20"/>
                <w:szCs w:val="20"/>
              </w:rPr>
              <w:t xml:space="preserve"> </w:t>
            </w:r>
            <w:proofErr w:type="spellStart"/>
            <w:r w:rsidRPr="0BB45BEF">
              <w:rPr>
                <w:sz w:val="20"/>
                <w:szCs w:val="20"/>
              </w:rPr>
              <w:t>regulatorni</w:t>
            </w:r>
            <w:proofErr w:type="spellEnd"/>
            <w:r w:rsidRPr="0BB45BEF">
              <w:rPr>
                <w:sz w:val="20"/>
                <w:szCs w:val="20"/>
              </w:rPr>
              <w:t xml:space="preserve"> </w:t>
            </w:r>
            <w:proofErr w:type="spellStart"/>
            <w:r w:rsidRPr="0BB45BEF">
              <w:rPr>
                <w:sz w:val="20"/>
                <w:szCs w:val="20"/>
              </w:rPr>
              <w:t>okvir</w:t>
            </w:r>
            <w:proofErr w:type="spellEnd"/>
          </w:p>
        </w:tc>
      </w:tr>
    </w:tbl>
    <w:p w14:paraId="73DAEDE5" w14:textId="6862D727" w:rsidR="002F3E2F" w:rsidRPr="00F579F5" w:rsidRDefault="002F3E2F" w:rsidP="43C7F2DD">
      <w:pPr>
        <w:jc w:val="both"/>
        <w:rPr>
          <w:lang w:val="sr-Latn-ME"/>
        </w:rPr>
      </w:pPr>
    </w:p>
    <w:p w14:paraId="52EED137" w14:textId="39629C09" w:rsidR="0038625C" w:rsidRPr="002F3E2F" w:rsidRDefault="43C7F2DD" w:rsidP="0BB45BEF">
      <w:pPr>
        <w:rPr>
          <w:b/>
          <w:bCs/>
          <w:lang w:val="pt-BR"/>
        </w:rPr>
      </w:pPr>
      <w:r w:rsidRPr="43C7F2DD">
        <w:rPr>
          <w:rFonts w:eastAsiaTheme="minorEastAsia"/>
          <w:b/>
          <w:bCs/>
          <w:lang w:val="sr-Latn-ME"/>
        </w:rPr>
        <w:t>[PA2]9.1</w:t>
      </w:r>
      <w:r w:rsidRPr="43C7F2DD">
        <w:rPr>
          <w:rFonts w:eastAsiaTheme="minorEastAsia"/>
          <w:b/>
          <w:bCs/>
          <w:lang w:val="pt-BR"/>
        </w:rPr>
        <w:t xml:space="preserve"> Izgr</w:t>
      </w:r>
      <w:r w:rsidRPr="43C7F2DD">
        <w:rPr>
          <w:b/>
          <w:bCs/>
          <w:lang w:val="pt-BR"/>
        </w:rPr>
        <w:t>adnja novih objekata sa niskim ili nultim emisijama (stambeni, javni i nestambeni objekti)</w:t>
      </w:r>
    </w:p>
    <w:p w14:paraId="4D164747" w14:textId="4A904FA3" w:rsidR="0038625C" w:rsidRPr="0038625C" w:rsidRDefault="0BB45BEF" w:rsidP="0038625C">
      <w:pPr>
        <w:jc w:val="both"/>
        <w:rPr>
          <w:lang w:val="pt-BR"/>
        </w:rPr>
      </w:pPr>
      <w:r w:rsidRPr="0BB45BEF">
        <w:rPr>
          <w:lang w:val="pt-BR"/>
        </w:rPr>
        <w:t>Ova tematska cjelina obuhvata intervencije koje se odnose na razvoj i izgradnju novih objekata sa niskim ili nultim emisijama, uključujući stambene, javne i nestambene objekte. Fokus je na kapacitetima građevinskog sektora, dostupnosti investicija i primjeni standarda održive gradnje.</w:t>
      </w:r>
    </w:p>
    <w:p w14:paraId="6AB9561E" w14:textId="1F9F243F" w:rsidR="0038625C" w:rsidRPr="0038625C" w:rsidRDefault="43C7F2DD" w:rsidP="0BB45BEF">
      <w:pPr>
        <w:rPr>
          <w:b/>
          <w:bCs/>
          <w:lang w:val="pt-BR"/>
        </w:rPr>
      </w:pPr>
      <w:r w:rsidRPr="43C7F2DD">
        <w:rPr>
          <w:rFonts w:eastAsiaTheme="minorEastAsia"/>
          <w:b/>
          <w:bCs/>
          <w:lang w:val="sr-Latn-ME"/>
        </w:rPr>
        <w:t>[PA2] 9.2</w:t>
      </w:r>
      <w:r w:rsidRPr="43C7F2DD">
        <w:rPr>
          <w:rFonts w:eastAsiaTheme="minorEastAsia"/>
          <w:b/>
          <w:bCs/>
          <w:lang w:val="pt-BR"/>
        </w:rPr>
        <w:t xml:space="preserve"> Uklanjanje objekata i upravljanje nelegalnom gradnjom</w:t>
      </w:r>
    </w:p>
    <w:p w14:paraId="73B89B42" w14:textId="1D4BFEB4" w:rsidR="0038625C" w:rsidRPr="0038625C" w:rsidRDefault="0BB45BEF" w:rsidP="0038625C">
      <w:pPr>
        <w:jc w:val="both"/>
        <w:rPr>
          <w:lang w:val="pt-BR"/>
        </w:rPr>
      </w:pPr>
      <w:r w:rsidRPr="0BB45BEF">
        <w:rPr>
          <w:lang w:val="pt-BR"/>
        </w:rPr>
        <w:t>Ova tematska cjelina obuhvata intervencije koje se odnose na rušenje i uklanjanje objekata, uključujući upravljanje nelegalnom gradnjom i prostornu racionalizaciju. Fokus je na pravnom okviru, institucionalnim kapacitetima i implikacijama uklanjanja objekata.</w:t>
      </w:r>
    </w:p>
    <w:p w14:paraId="0C293761" w14:textId="372C66FB" w:rsidR="0038625C" w:rsidRPr="0038625C" w:rsidRDefault="43C7F2DD" w:rsidP="0BB45BEF">
      <w:pPr>
        <w:rPr>
          <w:rFonts w:eastAsiaTheme="minorEastAsia"/>
          <w:b/>
          <w:bCs/>
          <w:lang w:val="pt-BR"/>
        </w:rPr>
      </w:pPr>
      <w:r w:rsidRPr="43C7F2DD">
        <w:rPr>
          <w:rFonts w:eastAsiaTheme="minorEastAsia"/>
          <w:b/>
          <w:bCs/>
          <w:lang w:val="sr-Latn-ME"/>
        </w:rPr>
        <w:t>[PA2]9.3</w:t>
      </w:r>
      <w:r w:rsidRPr="43C7F2DD">
        <w:rPr>
          <w:rFonts w:eastAsiaTheme="minorEastAsia"/>
          <w:b/>
          <w:bCs/>
          <w:lang w:val="pt-BR"/>
        </w:rPr>
        <w:t xml:space="preserve"> Socijalno i pristupačno stanovanje sa pratećom infrastrukturom</w:t>
      </w:r>
    </w:p>
    <w:p w14:paraId="40D920BF" w14:textId="0776F4BE" w:rsidR="0038625C" w:rsidRPr="0038625C" w:rsidRDefault="0BB45BEF" w:rsidP="0038625C">
      <w:pPr>
        <w:jc w:val="both"/>
        <w:rPr>
          <w:lang w:val="pt-BR"/>
        </w:rPr>
      </w:pPr>
      <w:r w:rsidRPr="0BB45BEF">
        <w:rPr>
          <w:lang w:val="pt-BR"/>
        </w:rPr>
        <w:t>Ova tematska cjelina obuhvata sve intervencije usmjerene na razvoj socijalnog i pristupačnog stanovanja, uključujući izgradnju novih objekata, rehabilitaciju postojećih i prenamjenu objekata u stambene svrhe. U okviru ove cjeline obuhvaćeni su i posebni segmenti kao što su studentski smještaj i intervencije usmjerene na borbu protiv beskućništva, kao i razvoj pratećih nestambenih objekata i infrastrukture povezanih sa stanovanjem. Fokus je na dostupnosti stanovanja, ciljanim grupama, modelima finansiranja i integrisanom pristupu pružanju usluga.</w:t>
      </w:r>
    </w:p>
    <w:p w14:paraId="64CA061F" w14:textId="1627DFF9" w:rsidR="0038625C" w:rsidRPr="00E02835" w:rsidRDefault="6B0903E9" w:rsidP="6B0903E9">
      <w:pPr>
        <w:rPr>
          <w:rFonts w:eastAsiaTheme="minorEastAsia"/>
          <w:b/>
          <w:bCs/>
          <w:lang w:val="pt-BR"/>
        </w:rPr>
      </w:pPr>
      <w:r w:rsidRPr="6B0903E9">
        <w:rPr>
          <w:rFonts w:eastAsiaTheme="minorEastAsia"/>
          <w:b/>
          <w:bCs/>
          <w:lang w:val="sr-Latn-ME"/>
        </w:rPr>
        <w:lastRenderedPageBreak/>
        <w:t xml:space="preserve">[PA2]9.4 </w:t>
      </w:r>
      <w:r w:rsidRPr="00E02835">
        <w:rPr>
          <w:rFonts w:eastAsiaTheme="minorEastAsia"/>
          <w:b/>
          <w:bCs/>
          <w:lang w:val="pt-BR"/>
        </w:rPr>
        <w:t>Reformski i regulatorni okvir</w:t>
      </w:r>
    </w:p>
    <w:p w14:paraId="3CB8CDA5" w14:textId="7997DD15" w:rsidR="00F579F5" w:rsidRPr="00E02835" w:rsidRDefault="43C7F2DD" w:rsidP="001A2324">
      <w:pPr>
        <w:jc w:val="both"/>
        <w:rPr>
          <w:lang w:val="fr-FR"/>
        </w:rPr>
      </w:pPr>
      <w:r w:rsidRPr="43C7F2DD">
        <w:rPr>
          <w:lang w:val="pt-BR"/>
        </w:rPr>
        <w:t>Ova tematska cjelina obuhvata reformske intervencije koje se odnose na unapređenje zakonodavnog, strateškog i institucionalnog okvira u sektoru stanovanja i infrastrukture. Fokus je na usklađivanju sa EU standardima, jačanju kapaciteta i unapređenju planiranja i sprovođenja politika.</w:t>
      </w:r>
    </w:p>
    <w:p w14:paraId="433FA877" w14:textId="77EDD34A" w:rsidR="43C7F2DD" w:rsidRDefault="43C7F2DD" w:rsidP="63DAC6F6">
      <w:pPr>
        <w:jc w:val="both"/>
        <w:rPr>
          <w:lang w:val="pt-BR"/>
        </w:rPr>
      </w:pPr>
    </w:p>
    <w:p w14:paraId="3777CC6E" w14:textId="12880EAA" w:rsidR="00F579F5" w:rsidRPr="00F579F5" w:rsidRDefault="06A38136" w:rsidP="0021066E">
      <w:pPr>
        <w:pStyle w:val="Heading2"/>
        <w:rPr>
          <w:lang w:val="sr-Latn-ME"/>
        </w:rPr>
      </w:pPr>
      <w:r w:rsidRPr="06A38136">
        <w:rPr>
          <w:lang w:val="sr-Latn-ME"/>
        </w:rPr>
        <w:t>Indikativna lista razvojnih izazova</w:t>
      </w:r>
    </w:p>
    <w:tbl>
      <w:tblPr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2501"/>
        <w:gridCol w:w="3423"/>
        <w:gridCol w:w="3128"/>
      </w:tblGrid>
      <w:tr w:rsidR="06A38136" w14:paraId="05AB11B8" w14:textId="77777777" w:rsidTr="06A38136">
        <w:trPr>
          <w:trHeight w:val="300"/>
        </w:trPr>
        <w:tc>
          <w:tcPr>
            <w:tcW w:w="25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5845A5F" w14:textId="28CCF6CB" w:rsidR="06A38136" w:rsidRDefault="06A38136" w:rsidP="06A3813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6A3813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Kod</w:t>
            </w:r>
            <w:proofErr w:type="spellEnd"/>
            <w:r w:rsidRPr="06A3813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razvojnog</w:t>
            </w:r>
            <w:proofErr w:type="spellEnd"/>
            <w:r w:rsidRPr="06A3813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izazova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4279F8E" w14:textId="5A73CF3D" w:rsidR="06A38136" w:rsidRDefault="06A38136" w:rsidP="06A3813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6A3813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Naziv</w:t>
            </w:r>
            <w:proofErr w:type="spellEnd"/>
            <w:r w:rsidRPr="06A3813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razvojnog</w:t>
            </w:r>
            <w:proofErr w:type="spellEnd"/>
            <w:r w:rsidRPr="06A3813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izazova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1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5418522" w14:textId="3C4DFD20" w:rsidR="06A38136" w:rsidRDefault="06A38136" w:rsidP="00916107">
            <w:p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6A3813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Obrazloženje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06A38136" w:rsidRPr="00916107" w14:paraId="47EF5EE9" w14:textId="77777777" w:rsidTr="06A38136">
        <w:trPr>
          <w:trHeight w:val="300"/>
        </w:trPr>
        <w:tc>
          <w:tcPr>
            <w:tcW w:w="25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DEE66BC" w14:textId="669BD8A2" w:rsidR="06A38136" w:rsidRDefault="06A38136" w:rsidP="06A3813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[PA2]9.1.1 </w:t>
            </w:r>
          </w:p>
        </w:tc>
        <w:tc>
          <w:tcPr>
            <w:tcW w:w="34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3988F34" w14:textId="11E43CD6" w:rsidR="06A38136" w:rsidRDefault="06A38136" w:rsidP="06A3813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val="pt-BR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  <w:lang w:val="pt-BR"/>
              </w:rPr>
              <w:t xml:space="preserve">Ograničena primjena standarda nZEB i energetske efikasnosti u novoj gradnji </w:t>
            </w:r>
          </w:p>
        </w:tc>
        <w:tc>
          <w:tcPr>
            <w:tcW w:w="31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3ED6942" w14:textId="0F7739CA" w:rsidR="06A38136" w:rsidRDefault="06A38136" w:rsidP="00916107">
            <w:p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pt-BR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  <w:lang w:val="pt-BR"/>
              </w:rPr>
              <w:t xml:space="preserve">Iako zakonodavni okvir prepoznaje energetsku efikasnost, primjena standarda zgrada sa gotovo nultom emisijom ostaje ograničena zbog nedostatka tehničkih kapaciteta, finansijskih instrumenata i efikasnog nadzora nad izgradnjom. </w:t>
            </w:r>
          </w:p>
        </w:tc>
      </w:tr>
      <w:tr w:rsidR="06A38136" w:rsidRPr="00916107" w14:paraId="296189D6" w14:textId="77777777" w:rsidTr="06A38136">
        <w:trPr>
          <w:trHeight w:val="1620"/>
        </w:trPr>
        <w:tc>
          <w:tcPr>
            <w:tcW w:w="25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3ABDAD3" w14:textId="018AB583" w:rsidR="06A38136" w:rsidRDefault="06A38136" w:rsidP="06A3813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[PA2]9.1.2 </w:t>
            </w:r>
          </w:p>
        </w:tc>
        <w:tc>
          <w:tcPr>
            <w:tcW w:w="34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DEC54F8" w14:textId="0F780293" w:rsidR="06A38136" w:rsidRDefault="06A38136" w:rsidP="06A3813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val="pt-BR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  <w:lang w:val="pt-BR"/>
              </w:rPr>
              <w:t xml:space="preserve">Nedovoljna integracija klimatskih i energetskih zahtjeva u investicione projekte </w:t>
            </w:r>
          </w:p>
        </w:tc>
        <w:tc>
          <w:tcPr>
            <w:tcW w:w="31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779C373" w14:textId="59C3BE7E" w:rsidR="06A38136" w:rsidRDefault="06A38136" w:rsidP="00916107">
            <w:p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pt-BR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  <w:lang w:val="pt-BR"/>
              </w:rPr>
              <w:t xml:space="preserve">Principi održive gradnje i energetske efikasnosti nijesu sistemski integrisani u planiranje i realizaciju investicija, što ograničava doprinos sektora ciljevima dekarbonizacije i energetske tranzicije. </w:t>
            </w:r>
          </w:p>
        </w:tc>
      </w:tr>
      <w:tr w:rsidR="06A38136" w14:paraId="75396337" w14:textId="77777777" w:rsidTr="06A38136">
        <w:trPr>
          <w:trHeight w:val="300"/>
        </w:trPr>
        <w:tc>
          <w:tcPr>
            <w:tcW w:w="25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A4C1FB8" w14:textId="69CE1A22" w:rsidR="06A38136" w:rsidRDefault="06A38136" w:rsidP="06A3813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[PA2]9.1.3 </w:t>
            </w:r>
          </w:p>
        </w:tc>
        <w:tc>
          <w:tcPr>
            <w:tcW w:w="34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B05D292" w14:textId="776F583C" w:rsidR="06A38136" w:rsidRDefault="06A38136" w:rsidP="06A3813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Složene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dugotrajne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procedure u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procesu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izgradnje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1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95F8E62" w14:textId="198D51C5" w:rsidR="06A38136" w:rsidRDefault="06A38136" w:rsidP="00916107">
            <w:p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Proces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izgradnje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obuhvata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veliki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broj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administrativnih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koraka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(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dozvole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saglasnosti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revizije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),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što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produžava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trajanje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projekata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povećava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troškove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smanjujući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atraktivnost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investicija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. </w:t>
            </w:r>
          </w:p>
        </w:tc>
      </w:tr>
      <w:tr w:rsidR="06A38136" w:rsidRPr="00916107" w14:paraId="7965984A" w14:textId="77777777" w:rsidTr="06A38136">
        <w:trPr>
          <w:trHeight w:val="300"/>
        </w:trPr>
        <w:tc>
          <w:tcPr>
            <w:tcW w:w="25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919FD54" w14:textId="2B60F2A3" w:rsidR="06A38136" w:rsidRDefault="06A38136" w:rsidP="06A3813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[PA2-2]9.2.1 </w:t>
            </w:r>
          </w:p>
        </w:tc>
        <w:tc>
          <w:tcPr>
            <w:tcW w:w="34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A8D7CEF" w14:textId="2473F044" w:rsidR="06A38136" w:rsidRDefault="06A38136" w:rsidP="06A3813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val="pt-BR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  <w:lang w:val="pt-BR"/>
              </w:rPr>
              <w:t xml:space="preserve">Dugotrajna prisutnost i rasprostranjenost bespravne gradnje </w:t>
            </w:r>
          </w:p>
        </w:tc>
        <w:tc>
          <w:tcPr>
            <w:tcW w:w="31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75B1F09" w14:textId="7C78F614" w:rsidR="06A38136" w:rsidRDefault="06A38136" w:rsidP="00916107">
            <w:p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pt-BR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  <w:lang w:val="pt-BR"/>
              </w:rPr>
              <w:t xml:space="preserve">Veliki broj nelegalno izgrađenih objekata ukazuje na sistemske slabosti u kontroli prostora, planiranju i sprovođenju propisa, što negativno utiče na kvalitet izgrađenog okruženja. </w:t>
            </w:r>
          </w:p>
        </w:tc>
      </w:tr>
      <w:tr w:rsidR="06A38136" w:rsidRPr="00916107" w14:paraId="678DC2D7" w14:textId="77777777" w:rsidTr="06A38136">
        <w:trPr>
          <w:trHeight w:val="300"/>
        </w:trPr>
        <w:tc>
          <w:tcPr>
            <w:tcW w:w="25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1AB6F5E" w14:textId="1B0B3FEA" w:rsidR="06A38136" w:rsidRDefault="06A38136" w:rsidP="06A3813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[PA2-2]9.2.2 </w:t>
            </w:r>
          </w:p>
        </w:tc>
        <w:tc>
          <w:tcPr>
            <w:tcW w:w="34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63A24E9" w14:textId="5A906228" w:rsidR="06A38136" w:rsidRDefault="06A38136" w:rsidP="06A3813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val="pt-BR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  <w:lang w:val="pt-BR"/>
              </w:rPr>
              <w:t xml:space="preserve">Nedovoljno razvijeni mehanizmi za prevenciju i upravljanje nelegalnom gradnjom </w:t>
            </w:r>
          </w:p>
        </w:tc>
        <w:tc>
          <w:tcPr>
            <w:tcW w:w="31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FE1B05D" w14:textId="460317C9" w:rsidR="06A38136" w:rsidRDefault="06A38136" w:rsidP="00916107">
            <w:p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pt-BR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  <w:lang w:val="pt-BR"/>
              </w:rPr>
              <w:t xml:space="preserve">Regulatorni okvir je dominantno usmjeren na naknadnu legalizaciju, dok preventivni mehanizmi, nadzor i prostorno planiranje nijesu dovoljno efikasni. </w:t>
            </w:r>
          </w:p>
        </w:tc>
      </w:tr>
      <w:tr w:rsidR="06A38136" w:rsidRPr="00916107" w14:paraId="49C232AE" w14:textId="77777777" w:rsidTr="06A38136">
        <w:trPr>
          <w:trHeight w:val="300"/>
        </w:trPr>
        <w:tc>
          <w:tcPr>
            <w:tcW w:w="25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18D441D" w14:textId="61C0B615" w:rsidR="06A38136" w:rsidRDefault="06A38136" w:rsidP="06A3813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[PA2-2]9.2.3 </w:t>
            </w:r>
          </w:p>
        </w:tc>
        <w:tc>
          <w:tcPr>
            <w:tcW w:w="34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CC79547" w14:textId="0E1DF295" w:rsidR="06A38136" w:rsidRDefault="06A38136" w:rsidP="06A3813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val="pt-BR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  <w:lang w:val="pt-BR"/>
              </w:rPr>
              <w:t xml:space="preserve">Ograničeni kapaciteti za uklanjanje i sanaciju objekata </w:t>
            </w:r>
          </w:p>
        </w:tc>
        <w:tc>
          <w:tcPr>
            <w:tcW w:w="31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2EF58D0" w14:textId="422F6EB7" w:rsidR="06A38136" w:rsidRDefault="06A38136" w:rsidP="00916107">
            <w:p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pt-BR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  <w:lang w:val="pt-BR"/>
              </w:rPr>
              <w:t xml:space="preserve">Nedostatak finansijskih i operativnih mehanizama usporava uklanjanje neodrživih objekata i </w:t>
            </w:r>
            <w:r w:rsidRPr="06A38136">
              <w:rPr>
                <w:rFonts w:ascii="Calibri" w:eastAsia="Calibri" w:hAnsi="Calibri" w:cs="Calibri"/>
                <w:sz w:val="20"/>
                <w:szCs w:val="20"/>
                <w:lang w:val="pt-BR"/>
              </w:rPr>
              <w:lastRenderedPageBreak/>
              <w:t xml:space="preserve">revitalizaciju prostora, uključujući prenamjenu postojećih objekata. </w:t>
            </w:r>
          </w:p>
        </w:tc>
      </w:tr>
      <w:tr w:rsidR="06A38136" w:rsidRPr="00916107" w14:paraId="4E49CAC0" w14:textId="77777777" w:rsidTr="06A38136">
        <w:trPr>
          <w:trHeight w:val="300"/>
        </w:trPr>
        <w:tc>
          <w:tcPr>
            <w:tcW w:w="25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0AD5D93" w14:textId="4170E143" w:rsidR="06A38136" w:rsidRDefault="06A38136" w:rsidP="06A3813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[PA2]9.3.1 </w:t>
            </w:r>
          </w:p>
        </w:tc>
        <w:tc>
          <w:tcPr>
            <w:tcW w:w="34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7B5D5E9" w14:textId="5F6A0F8B" w:rsidR="06A38136" w:rsidRDefault="06A38136" w:rsidP="06A3813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val="pt-BR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  <w:lang w:val="pt-BR"/>
              </w:rPr>
              <w:t xml:space="preserve">Nedovoljna ponuda socijalnog i pristupačnog stanovanja </w:t>
            </w:r>
          </w:p>
        </w:tc>
        <w:tc>
          <w:tcPr>
            <w:tcW w:w="31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6DA80B5" w14:textId="3FDD6AC0" w:rsidR="06A38136" w:rsidRDefault="06A38136" w:rsidP="00916107">
            <w:p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pt-BR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  <w:lang w:val="pt-BR"/>
              </w:rPr>
              <w:t xml:space="preserve">Postoji izražen jaz između potreba stanovništva i dostupnih stambenih kapaciteta, posebno za ranjive grupe, što se reflektuje kroz visoku prenaseljenost i stambenu deprivaciju. </w:t>
            </w:r>
          </w:p>
        </w:tc>
      </w:tr>
      <w:tr w:rsidR="06A38136" w:rsidRPr="00916107" w14:paraId="1869E640" w14:textId="77777777" w:rsidTr="06A38136">
        <w:trPr>
          <w:trHeight w:val="300"/>
        </w:trPr>
        <w:tc>
          <w:tcPr>
            <w:tcW w:w="25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262A062" w14:textId="32B4FA34" w:rsidR="06A38136" w:rsidRDefault="06A38136" w:rsidP="06A3813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[PA2]9.3.2 </w:t>
            </w:r>
          </w:p>
        </w:tc>
        <w:tc>
          <w:tcPr>
            <w:tcW w:w="34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CA3789E" w14:textId="3EFB0B34" w:rsidR="06A38136" w:rsidRDefault="06A38136" w:rsidP="06A3813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val="pt-BR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  <w:lang w:val="pt-BR"/>
              </w:rPr>
              <w:t xml:space="preserve">Nedovoljno razvijeni modeli finansiranja i korišćenja postojećeg stambenog fonda </w:t>
            </w:r>
          </w:p>
        </w:tc>
        <w:tc>
          <w:tcPr>
            <w:tcW w:w="31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830589E" w14:textId="2FEA5F3B" w:rsidR="06A38136" w:rsidRDefault="06A38136" w:rsidP="00916107">
            <w:p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pt-BR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  <w:lang w:val="pt-BR"/>
              </w:rPr>
              <w:t xml:space="preserve">Postojeći modeli ne podstiču dovoljno rehabilitaciju, prenamjenu i aktivaciju postojećih objekata za potrebe socijalnog i pristupačnog stanovanja. </w:t>
            </w:r>
          </w:p>
        </w:tc>
      </w:tr>
      <w:tr w:rsidR="06A38136" w:rsidRPr="00916107" w14:paraId="7ECC7151" w14:textId="77777777" w:rsidTr="06A38136">
        <w:trPr>
          <w:trHeight w:val="300"/>
        </w:trPr>
        <w:tc>
          <w:tcPr>
            <w:tcW w:w="25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D64B290" w14:textId="1AD41E18" w:rsidR="06A38136" w:rsidRDefault="06A38136" w:rsidP="06A3813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[PA2]9.3.3 </w:t>
            </w:r>
          </w:p>
        </w:tc>
        <w:tc>
          <w:tcPr>
            <w:tcW w:w="34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181D999" w14:textId="3303BE7F" w:rsidR="06A38136" w:rsidRDefault="06A38136" w:rsidP="06A3813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val="pt-BR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  <w:lang w:val="pt-BR"/>
              </w:rPr>
              <w:t xml:space="preserve">Fragmentiran pristup razvoju socijalnog stanovanja i prateće infrastrukture </w:t>
            </w:r>
          </w:p>
        </w:tc>
        <w:tc>
          <w:tcPr>
            <w:tcW w:w="31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2105354" w14:textId="5D3DAB95" w:rsidR="06A38136" w:rsidRDefault="06A38136" w:rsidP="00916107">
            <w:p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pt-BR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  <w:lang w:val="pt-BR"/>
              </w:rPr>
              <w:t xml:space="preserve">Intervencije nijesu dovoljno integrisane sa socijalnim uslugama, infrastrukturom i urbanim planiranjem, što ograničava dugoročnu održivost rješenja. </w:t>
            </w:r>
          </w:p>
        </w:tc>
      </w:tr>
      <w:tr w:rsidR="06A38136" w:rsidRPr="00916107" w14:paraId="1240A9EA" w14:textId="77777777" w:rsidTr="06A38136">
        <w:trPr>
          <w:trHeight w:val="300"/>
        </w:trPr>
        <w:tc>
          <w:tcPr>
            <w:tcW w:w="25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AAF64BF" w14:textId="60EA37AA" w:rsidR="06A38136" w:rsidRDefault="06A38136" w:rsidP="06A3813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[PA2]9.3.4 </w:t>
            </w:r>
          </w:p>
        </w:tc>
        <w:tc>
          <w:tcPr>
            <w:tcW w:w="34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57CC7F7" w14:textId="26654F82" w:rsidR="06A38136" w:rsidRDefault="06A38136" w:rsidP="06A3813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val="pt-BR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  <w:lang w:val="pt-BR"/>
              </w:rPr>
              <w:t xml:space="preserve">Nedovoljna podrška specifičnim ciljnim grupama </w:t>
            </w:r>
          </w:p>
        </w:tc>
        <w:tc>
          <w:tcPr>
            <w:tcW w:w="31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D8F2909" w14:textId="0EEE9C1B" w:rsidR="06A38136" w:rsidRDefault="06A38136" w:rsidP="00916107">
            <w:p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pt-BR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  <w:lang w:val="pt-BR"/>
              </w:rPr>
              <w:t xml:space="preserve">Sistem ne obezbjeđuje adekvatna rješenja za studentski smještaj i borbu protiv beskućništva, uprkos rastućim potrebama i EU prioritetima u ovoj oblasti. </w:t>
            </w:r>
          </w:p>
        </w:tc>
      </w:tr>
      <w:tr w:rsidR="06A38136" w14:paraId="6881DE08" w14:textId="77777777" w:rsidTr="06A38136">
        <w:trPr>
          <w:trHeight w:val="2520"/>
        </w:trPr>
        <w:tc>
          <w:tcPr>
            <w:tcW w:w="25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94E79D6" w14:textId="3B4A3199" w:rsidR="06A38136" w:rsidRDefault="06A38136" w:rsidP="06A3813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[PA2]9.3.4 </w:t>
            </w:r>
          </w:p>
        </w:tc>
        <w:tc>
          <w:tcPr>
            <w:tcW w:w="34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08EF6B0" w14:textId="4192A4E9" w:rsidR="06A38136" w:rsidRDefault="06A38136" w:rsidP="06A3813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Nedovoljno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adresirano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energetsko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siromaštvo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1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39AA2BA" w14:textId="4833F16D" w:rsidR="06A38136" w:rsidRDefault="06A38136" w:rsidP="00916107">
            <w:p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Značajan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broj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domaćinstava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suočava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se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sa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poteškoćama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u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obezbjeđivanju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adekvatnog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grijanja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pokrivanju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troškova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energije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što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ukazuje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na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prisustvo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energetskog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siromaštva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.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Postojeće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politike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još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uvijek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ne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obezbjeđuju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sistemski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pristup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ovom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pitanju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posebno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u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kontekstu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energetske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efikasnosti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6A38136">
              <w:rPr>
                <w:rFonts w:ascii="Calibri" w:eastAsia="Calibri" w:hAnsi="Calibri" w:cs="Calibri"/>
                <w:sz w:val="20"/>
                <w:szCs w:val="20"/>
              </w:rPr>
              <w:t>stanovanja</w:t>
            </w:r>
            <w:proofErr w:type="spellEnd"/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. </w:t>
            </w:r>
          </w:p>
        </w:tc>
      </w:tr>
      <w:tr w:rsidR="06A38136" w:rsidRPr="00916107" w14:paraId="216E4AB8" w14:textId="77777777" w:rsidTr="06A38136">
        <w:trPr>
          <w:trHeight w:val="300"/>
        </w:trPr>
        <w:tc>
          <w:tcPr>
            <w:tcW w:w="25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D59D7FC" w14:textId="1138282F" w:rsidR="06A38136" w:rsidRDefault="06A38136" w:rsidP="06A3813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[PA2]9.4.1 </w:t>
            </w:r>
          </w:p>
        </w:tc>
        <w:tc>
          <w:tcPr>
            <w:tcW w:w="34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56E2A87" w14:textId="05231A54" w:rsidR="06A38136" w:rsidRDefault="06A38136" w:rsidP="06A3813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val="pt-BR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  <w:lang w:val="pt-BR"/>
              </w:rPr>
              <w:t xml:space="preserve">Ograničena implementacija postojećeg zakonodavnog okvira </w:t>
            </w:r>
          </w:p>
        </w:tc>
        <w:tc>
          <w:tcPr>
            <w:tcW w:w="31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510C1A6" w14:textId="32205C15" w:rsidR="06A38136" w:rsidRDefault="06A38136" w:rsidP="00916107">
            <w:p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pt-BR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  <w:lang w:val="pt-BR"/>
              </w:rPr>
              <w:t xml:space="preserve">Iako zakonodavni okvir pokriva ključne oblasti (izgradnja, energetika, planiranje), njegova primjena je neujednačena i često ograničena institucionalnim kapacitetima. </w:t>
            </w:r>
          </w:p>
        </w:tc>
      </w:tr>
      <w:tr w:rsidR="06A38136" w:rsidRPr="00916107" w14:paraId="357199F9" w14:textId="77777777" w:rsidTr="06A38136">
        <w:trPr>
          <w:trHeight w:val="300"/>
        </w:trPr>
        <w:tc>
          <w:tcPr>
            <w:tcW w:w="25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D6D0D22" w14:textId="3B171183" w:rsidR="06A38136" w:rsidRDefault="06A38136" w:rsidP="06A3813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[PA2]9.4.2 </w:t>
            </w:r>
          </w:p>
        </w:tc>
        <w:tc>
          <w:tcPr>
            <w:tcW w:w="34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5C659B3" w14:textId="3C01A636" w:rsidR="06A38136" w:rsidRDefault="06A38136" w:rsidP="06A3813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val="pt-BR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  <w:lang w:val="pt-BR"/>
              </w:rPr>
              <w:t xml:space="preserve">Fragmentiran institucionalni okvir i nedovoljna koordinacija </w:t>
            </w:r>
          </w:p>
        </w:tc>
        <w:tc>
          <w:tcPr>
            <w:tcW w:w="31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397EABA" w14:textId="2E0475F6" w:rsidR="06A38136" w:rsidRDefault="06A38136" w:rsidP="00916107">
            <w:p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pt-BR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  <w:lang w:val="pt-BR"/>
              </w:rPr>
              <w:t xml:space="preserve">Nadležnosti su podijeljene između više institucija bez dovoljno koordinacije, što otežava planiranje i sprovođenje integrisanih politika. </w:t>
            </w:r>
          </w:p>
        </w:tc>
      </w:tr>
      <w:tr w:rsidR="06A38136" w:rsidRPr="00916107" w14:paraId="7D4F50D2" w14:textId="77777777" w:rsidTr="06A38136">
        <w:trPr>
          <w:trHeight w:val="300"/>
        </w:trPr>
        <w:tc>
          <w:tcPr>
            <w:tcW w:w="25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917BFA9" w14:textId="7FF3C75F" w:rsidR="06A38136" w:rsidRDefault="06A38136" w:rsidP="06A3813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[PA2]9.4.3 </w:t>
            </w:r>
          </w:p>
        </w:tc>
        <w:tc>
          <w:tcPr>
            <w:tcW w:w="34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1200139" w14:textId="749682B6" w:rsidR="06A38136" w:rsidRDefault="06A38136" w:rsidP="06A3813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val="pt-BR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  <w:lang w:val="pt-BR"/>
              </w:rPr>
              <w:t xml:space="preserve">Nedovoljna digitalizacija i dostupnost podataka </w:t>
            </w:r>
          </w:p>
        </w:tc>
        <w:tc>
          <w:tcPr>
            <w:tcW w:w="31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B8826E2" w14:textId="29EB4499" w:rsidR="06A38136" w:rsidRDefault="06A38136" w:rsidP="00916107">
            <w:p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pt-BR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  <w:lang w:val="pt-BR"/>
              </w:rPr>
              <w:t xml:space="preserve">Postojeći sistemi evidencije i upravljanja podacima nijesu u potpunosti integrisani, što ograničava planiranje zasnovano na podacima i donošenje odluka. </w:t>
            </w:r>
          </w:p>
        </w:tc>
      </w:tr>
      <w:tr w:rsidR="06A38136" w:rsidRPr="00916107" w14:paraId="340CCDF8" w14:textId="77777777" w:rsidTr="06A38136">
        <w:trPr>
          <w:trHeight w:val="300"/>
        </w:trPr>
        <w:tc>
          <w:tcPr>
            <w:tcW w:w="25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E1DB9B9" w14:textId="3B5E49DF" w:rsidR="06A38136" w:rsidRDefault="06A38136" w:rsidP="06A3813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</w:rPr>
              <w:t xml:space="preserve">[PA2]9.4.4 </w:t>
            </w:r>
          </w:p>
        </w:tc>
        <w:tc>
          <w:tcPr>
            <w:tcW w:w="34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2B4A057" w14:textId="5BE64026" w:rsidR="06A38136" w:rsidRDefault="06A38136" w:rsidP="06A3813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val="pt-BR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  <w:lang w:val="pt-BR"/>
              </w:rPr>
              <w:t xml:space="preserve">Nedovoljna integracija energetskih politika u sektor stanovanja </w:t>
            </w:r>
          </w:p>
        </w:tc>
        <w:tc>
          <w:tcPr>
            <w:tcW w:w="31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A8EE62D" w14:textId="0BC1EE5D" w:rsidR="06A38136" w:rsidRDefault="06A38136" w:rsidP="00916107">
            <w:p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pt-BR"/>
              </w:rPr>
            </w:pPr>
            <w:r w:rsidRPr="06A38136">
              <w:rPr>
                <w:rFonts w:ascii="Calibri" w:eastAsia="Calibri" w:hAnsi="Calibri" w:cs="Calibri"/>
                <w:sz w:val="20"/>
                <w:szCs w:val="20"/>
                <w:lang w:val="pt-BR"/>
              </w:rPr>
              <w:t>Politike energetske efikasnosti i stanovanja razvijaju se paralelno, bez dovoljno operativne povezanosti u implementaciji projekata i programa.</w:t>
            </w:r>
          </w:p>
        </w:tc>
      </w:tr>
    </w:tbl>
    <w:p w14:paraId="44BBD0D9" w14:textId="04102D2A" w:rsidR="00F579F5" w:rsidRPr="002F3E2F" w:rsidRDefault="00F579F5" w:rsidP="00F579F5">
      <w:pPr>
        <w:rPr>
          <w:lang w:val="pt-BR"/>
        </w:rPr>
      </w:pPr>
    </w:p>
    <w:p w14:paraId="1D5F7A88" w14:textId="717F2702" w:rsidR="00F579F5" w:rsidRPr="00F579F5" w:rsidRDefault="0BB45BEF" w:rsidP="0BB45BEF">
      <w:pPr>
        <w:jc w:val="both"/>
        <w:rPr>
          <w:rFonts w:ascii="Aptos" w:eastAsia="Aptos" w:hAnsi="Aptos" w:cs="Aptos"/>
          <w:lang w:val="sr-Latn-ME"/>
        </w:rPr>
      </w:pPr>
      <w:r w:rsidRPr="0BB45BEF">
        <w:rPr>
          <w:rFonts w:ascii="Aptos" w:eastAsia="Aptos" w:hAnsi="Aptos" w:cs="Aptos"/>
          <w:b/>
          <w:bCs/>
          <w:color w:val="000000" w:themeColor="text1"/>
          <w:lang w:val="sr-Latn-ME"/>
        </w:rPr>
        <w:t>Lista referenci</w:t>
      </w:r>
    </w:p>
    <w:p w14:paraId="1C085C0F" w14:textId="7689A6E6" w:rsidR="00F579F5" w:rsidRPr="00F579F5" w:rsidRDefault="0BB45BEF" w:rsidP="0BB45BEF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0"/>
          <w:szCs w:val="20"/>
          <w:lang w:val="sr-Latn-ME"/>
        </w:rPr>
      </w:pPr>
      <w:r w:rsidRPr="0BB45BEF">
        <w:rPr>
          <w:rFonts w:ascii="Aptos" w:eastAsia="Aptos" w:hAnsi="Aptos" w:cs="Aptos"/>
          <w:sz w:val="20"/>
          <w:szCs w:val="20"/>
          <w:lang w:val="sr-Latn-ME"/>
        </w:rPr>
        <w:t xml:space="preserve">Prostorni plan Crne Gore </w:t>
      </w:r>
    </w:p>
    <w:p w14:paraId="3304A7A7" w14:textId="5BB08569" w:rsidR="00F579F5" w:rsidRPr="00F579F5" w:rsidRDefault="0BB45BEF" w:rsidP="0BB45BEF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0"/>
          <w:szCs w:val="20"/>
          <w:lang w:val="sr-Latn-ME"/>
        </w:rPr>
      </w:pPr>
      <w:r w:rsidRPr="0BB45BEF">
        <w:rPr>
          <w:rFonts w:ascii="Aptos" w:eastAsia="Aptos" w:hAnsi="Aptos" w:cs="Aptos"/>
          <w:sz w:val="20"/>
          <w:szCs w:val="20"/>
          <w:lang w:val="sr-Latn-ME"/>
        </w:rPr>
        <w:t xml:space="preserve">Zakon o uređenju prostora </w:t>
      </w:r>
    </w:p>
    <w:p w14:paraId="30C5B158" w14:textId="0545236A" w:rsidR="00F579F5" w:rsidRPr="00F579F5" w:rsidRDefault="0BB45BEF" w:rsidP="0BB45BEF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0"/>
          <w:szCs w:val="20"/>
          <w:lang w:val="sr-Latn-ME"/>
        </w:rPr>
      </w:pPr>
      <w:r w:rsidRPr="0BB45BEF">
        <w:rPr>
          <w:rFonts w:ascii="Aptos" w:eastAsia="Aptos" w:hAnsi="Aptos" w:cs="Aptos"/>
          <w:sz w:val="20"/>
          <w:szCs w:val="20"/>
          <w:lang w:val="sr-Latn-ME"/>
        </w:rPr>
        <w:t xml:space="preserve">Zakon o izgradnji objekata </w:t>
      </w:r>
    </w:p>
    <w:p w14:paraId="22CC4E45" w14:textId="1173A16D" w:rsidR="00F579F5" w:rsidRPr="00F579F5" w:rsidRDefault="0BB45BEF" w:rsidP="0BB45BEF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0"/>
          <w:szCs w:val="20"/>
          <w:lang w:val="sr-Latn-ME"/>
        </w:rPr>
      </w:pPr>
      <w:r w:rsidRPr="0BB45BEF">
        <w:rPr>
          <w:rFonts w:ascii="Aptos" w:eastAsia="Aptos" w:hAnsi="Aptos" w:cs="Aptos"/>
          <w:sz w:val="20"/>
          <w:szCs w:val="20"/>
          <w:lang w:val="sr-Latn-ME"/>
        </w:rPr>
        <w:t xml:space="preserve">Zakon o legalizaciji bespravnih objekata </w:t>
      </w:r>
    </w:p>
    <w:p w14:paraId="1ED2D40B" w14:textId="07A08FD3" w:rsidR="00F579F5" w:rsidRPr="00F579F5" w:rsidRDefault="0BB45BEF" w:rsidP="0BB45BEF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0"/>
          <w:szCs w:val="20"/>
          <w:lang w:val="sr-Latn-ME"/>
        </w:rPr>
      </w:pPr>
      <w:r w:rsidRPr="0BB45BEF">
        <w:rPr>
          <w:rFonts w:ascii="Aptos" w:eastAsia="Aptos" w:hAnsi="Aptos" w:cs="Aptos"/>
          <w:sz w:val="20"/>
          <w:szCs w:val="20"/>
          <w:lang w:val="sr-Latn-ME"/>
        </w:rPr>
        <w:t xml:space="preserve">Zakon o održavanju stambenih zgrada </w:t>
      </w:r>
    </w:p>
    <w:p w14:paraId="20A46CB8" w14:textId="7904E4CE" w:rsidR="00F579F5" w:rsidRPr="00F579F5" w:rsidRDefault="0BB45BEF" w:rsidP="0BB45BEF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0"/>
          <w:szCs w:val="20"/>
          <w:lang w:val="sr-Latn-ME"/>
        </w:rPr>
      </w:pPr>
      <w:r w:rsidRPr="0BB45BEF">
        <w:rPr>
          <w:rFonts w:ascii="Aptos" w:eastAsia="Aptos" w:hAnsi="Aptos" w:cs="Aptos"/>
          <w:sz w:val="20"/>
          <w:szCs w:val="20"/>
          <w:lang w:val="sr-Latn-ME"/>
        </w:rPr>
        <w:t xml:space="preserve">Zakon o socijalnom stanovanju </w:t>
      </w:r>
    </w:p>
    <w:p w14:paraId="3DD73F07" w14:textId="38B4FE3A" w:rsidR="00F579F5" w:rsidRPr="00F579F5" w:rsidRDefault="0BB45BEF" w:rsidP="0BB45BEF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0"/>
          <w:szCs w:val="20"/>
          <w:lang w:val="sr-Latn-ME"/>
        </w:rPr>
      </w:pPr>
      <w:r w:rsidRPr="0BB45BEF">
        <w:rPr>
          <w:rFonts w:ascii="Aptos" w:eastAsia="Aptos" w:hAnsi="Aptos" w:cs="Aptos"/>
          <w:sz w:val="20"/>
          <w:szCs w:val="20"/>
          <w:lang w:val="sr-Latn-ME"/>
        </w:rPr>
        <w:t xml:space="preserve">Zakon o stambenim zadrugama </w:t>
      </w:r>
    </w:p>
    <w:p w14:paraId="04B4E4C9" w14:textId="6CACDC37" w:rsidR="00F579F5" w:rsidRPr="00F579F5" w:rsidRDefault="0BB45BEF" w:rsidP="0BB45BEF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0"/>
          <w:szCs w:val="20"/>
          <w:lang w:val="sr-Latn-ME"/>
        </w:rPr>
      </w:pPr>
      <w:r w:rsidRPr="0BB45BEF">
        <w:rPr>
          <w:rFonts w:ascii="Aptos" w:eastAsia="Aptos" w:hAnsi="Aptos" w:cs="Aptos"/>
          <w:sz w:val="20"/>
          <w:szCs w:val="20"/>
          <w:lang w:val="sr-Latn-ME"/>
        </w:rPr>
        <w:t xml:space="preserve">Zakon o socijalnoj i dječijoj zaštiti </w:t>
      </w:r>
    </w:p>
    <w:p w14:paraId="66F7B001" w14:textId="27FA3E94" w:rsidR="00F579F5" w:rsidRPr="00F579F5" w:rsidRDefault="0BB45BEF" w:rsidP="0BB45BEF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0"/>
          <w:szCs w:val="20"/>
          <w:lang w:val="sr-Latn-ME"/>
        </w:rPr>
      </w:pPr>
      <w:r w:rsidRPr="0BB45BEF">
        <w:rPr>
          <w:rFonts w:ascii="Aptos" w:eastAsia="Aptos" w:hAnsi="Aptos" w:cs="Aptos"/>
          <w:sz w:val="20"/>
          <w:szCs w:val="20"/>
          <w:lang w:val="sr-Latn-ME"/>
        </w:rPr>
        <w:t xml:space="preserve">Zakon o komunalnim djelatnostima </w:t>
      </w:r>
    </w:p>
    <w:p w14:paraId="77D2BADF" w14:textId="7089BE63" w:rsidR="00F579F5" w:rsidRPr="00F579F5" w:rsidRDefault="0BB45BEF" w:rsidP="0BB45BEF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0"/>
          <w:szCs w:val="20"/>
          <w:lang w:val="sr-Latn-ME"/>
        </w:rPr>
      </w:pPr>
      <w:r w:rsidRPr="0BB45BEF">
        <w:rPr>
          <w:rFonts w:ascii="Aptos" w:eastAsia="Aptos" w:hAnsi="Aptos" w:cs="Aptos"/>
          <w:sz w:val="20"/>
          <w:szCs w:val="20"/>
          <w:lang w:val="sr-Latn-ME"/>
        </w:rPr>
        <w:t xml:space="preserve">Zakon o lokalnoj samoupravi </w:t>
      </w:r>
    </w:p>
    <w:p w14:paraId="3D39BBB4" w14:textId="5D68C509" w:rsidR="00F579F5" w:rsidRPr="00F579F5" w:rsidRDefault="0BB45BEF" w:rsidP="0BB45BEF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0"/>
          <w:szCs w:val="20"/>
          <w:lang w:val="sr-Latn-ME"/>
        </w:rPr>
      </w:pPr>
      <w:r w:rsidRPr="0BB45BEF">
        <w:rPr>
          <w:rFonts w:ascii="Aptos" w:eastAsia="Aptos" w:hAnsi="Aptos" w:cs="Aptos"/>
          <w:sz w:val="20"/>
          <w:szCs w:val="20"/>
          <w:lang w:val="sr-Latn-ME"/>
        </w:rPr>
        <w:t xml:space="preserve">Zakon o energetskoj efikasnosti </w:t>
      </w:r>
    </w:p>
    <w:p w14:paraId="3816C03B" w14:textId="2FE66B08" w:rsidR="00F579F5" w:rsidRPr="00F579F5" w:rsidRDefault="0BB45BEF" w:rsidP="0BB45BEF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0"/>
          <w:szCs w:val="20"/>
          <w:lang w:val="sr-Latn-ME"/>
        </w:rPr>
      </w:pPr>
      <w:r w:rsidRPr="0BB45BEF">
        <w:rPr>
          <w:rFonts w:ascii="Aptos" w:eastAsia="Aptos" w:hAnsi="Aptos" w:cs="Aptos"/>
          <w:sz w:val="20"/>
          <w:szCs w:val="20"/>
          <w:lang w:val="sr-Latn-ME"/>
        </w:rPr>
        <w:t xml:space="preserve">Zakon o energetici </w:t>
      </w:r>
    </w:p>
    <w:p w14:paraId="2E2AFF09" w14:textId="0454461B" w:rsidR="00F579F5" w:rsidRPr="00F579F5" w:rsidRDefault="0BB45BEF" w:rsidP="0BB45BEF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0"/>
          <w:szCs w:val="20"/>
          <w:lang w:val="sr-Latn-ME"/>
        </w:rPr>
      </w:pPr>
      <w:r w:rsidRPr="0BB45BEF">
        <w:rPr>
          <w:rFonts w:ascii="Aptos" w:eastAsia="Aptos" w:hAnsi="Aptos" w:cs="Aptos"/>
          <w:sz w:val="20"/>
          <w:szCs w:val="20"/>
          <w:lang w:val="sr-Latn-ME"/>
        </w:rPr>
        <w:t xml:space="preserve">Zakon o korišćenju energije iz obnovljivih izvora </w:t>
      </w:r>
    </w:p>
    <w:p w14:paraId="2662595A" w14:textId="21BD79DE" w:rsidR="00F579F5" w:rsidRPr="00F579F5" w:rsidRDefault="0BB45BEF" w:rsidP="0BB45BEF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0"/>
          <w:szCs w:val="20"/>
          <w:lang w:val="sr-Latn-ME"/>
        </w:rPr>
      </w:pPr>
      <w:r w:rsidRPr="0BB45BEF">
        <w:rPr>
          <w:rFonts w:ascii="Aptos" w:eastAsia="Aptos" w:hAnsi="Aptos" w:cs="Aptos"/>
          <w:sz w:val="20"/>
          <w:szCs w:val="20"/>
          <w:lang w:val="sr-Latn-ME"/>
        </w:rPr>
        <w:t xml:space="preserve">Zakon o zaštiti životne sredine </w:t>
      </w:r>
    </w:p>
    <w:p w14:paraId="7FC12FF4" w14:textId="0057DEB2" w:rsidR="00F579F5" w:rsidRPr="00F579F5" w:rsidRDefault="3B9459DA" w:rsidP="0BB45BEF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0"/>
          <w:szCs w:val="20"/>
          <w:lang w:val="sr-Latn-ME"/>
        </w:rPr>
      </w:pPr>
      <w:r w:rsidRPr="3B9459DA">
        <w:rPr>
          <w:rFonts w:ascii="Aptos" w:eastAsia="Aptos" w:hAnsi="Aptos" w:cs="Aptos"/>
          <w:sz w:val="20"/>
          <w:szCs w:val="20"/>
          <w:lang w:val="sr-Latn-ME"/>
        </w:rPr>
        <w:t xml:space="preserve">Zakon o državnoj imovini </w:t>
      </w:r>
    </w:p>
    <w:p w14:paraId="022A6271" w14:textId="364CC3C8" w:rsidR="3B9459DA" w:rsidRDefault="3B9459DA" w:rsidP="3B9459DA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0"/>
          <w:szCs w:val="20"/>
        </w:rPr>
      </w:pPr>
      <w:proofErr w:type="spellStart"/>
      <w:r w:rsidRPr="3B9459DA">
        <w:rPr>
          <w:rFonts w:ascii="Aptos" w:eastAsia="Aptos" w:hAnsi="Aptos" w:cs="Aptos"/>
          <w:sz w:val="20"/>
          <w:szCs w:val="20"/>
        </w:rPr>
        <w:t>Strategija</w:t>
      </w:r>
      <w:proofErr w:type="spellEnd"/>
      <w:r w:rsidRPr="3B9459DA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3B9459DA">
        <w:rPr>
          <w:rFonts w:ascii="Aptos" w:eastAsia="Aptos" w:hAnsi="Aptos" w:cs="Aptos"/>
          <w:sz w:val="20"/>
          <w:szCs w:val="20"/>
        </w:rPr>
        <w:t>deinstitucionalizacije</w:t>
      </w:r>
      <w:proofErr w:type="spellEnd"/>
      <w:r w:rsidRPr="3B9459DA">
        <w:rPr>
          <w:rFonts w:ascii="Aptos" w:eastAsia="Aptos" w:hAnsi="Aptos" w:cs="Aptos"/>
          <w:sz w:val="20"/>
          <w:szCs w:val="20"/>
        </w:rPr>
        <w:t xml:space="preserve"> za period 2025-2028</w:t>
      </w:r>
    </w:p>
    <w:p w14:paraId="52543675" w14:textId="78A35BCF" w:rsidR="00F579F5" w:rsidRPr="00F579F5" w:rsidRDefault="0BB45BEF" w:rsidP="0BB45BEF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0"/>
          <w:szCs w:val="20"/>
          <w:lang w:val="sr-Latn-ME"/>
        </w:rPr>
      </w:pPr>
      <w:r w:rsidRPr="0BB45BEF">
        <w:rPr>
          <w:rFonts w:ascii="Aptos" w:eastAsia="Aptos" w:hAnsi="Aptos" w:cs="Aptos"/>
          <w:sz w:val="20"/>
          <w:szCs w:val="20"/>
          <w:lang w:val="sr-Latn-ME"/>
        </w:rPr>
        <w:t>podzakonski akti (uredbe i pravilnici)</w:t>
      </w:r>
    </w:p>
    <w:p w14:paraId="0DA618F7" w14:textId="55CF3618" w:rsidR="00F579F5" w:rsidRPr="00F579F5" w:rsidRDefault="0BB45BEF" w:rsidP="0BB45BEF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0"/>
          <w:szCs w:val="20"/>
          <w:lang w:val="sr-Latn-ME"/>
        </w:rPr>
      </w:pPr>
      <w:r w:rsidRPr="0BB45BEF">
        <w:rPr>
          <w:rFonts w:ascii="Aptos" w:eastAsia="Aptos" w:hAnsi="Aptos" w:cs="Aptos"/>
          <w:sz w:val="20"/>
          <w:szCs w:val="20"/>
          <w:lang w:val="sr-Latn-ME"/>
        </w:rPr>
        <w:t xml:space="preserve">Agenda 2030 </w:t>
      </w:r>
    </w:p>
    <w:p w14:paraId="7351C303" w14:textId="1AF745C0" w:rsidR="00F579F5" w:rsidRPr="00F579F5" w:rsidRDefault="0BB45BEF" w:rsidP="0BB45BEF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0"/>
          <w:szCs w:val="20"/>
          <w:lang w:val="sr-Latn-ME"/>
        </w:rPr>
      </w:pPr>
      <w:r w:rsidRPr="0BB45BEF">
        <w:rPr>
          <w:rFonts w:ascii="Aptos" w:eastAsia="Aptos" w:hAnsi="Aptos" w:cs="Aptos"/>
          <w:sz w:val="20"/>
          <w:szCs w:val="20"/>
          <w:lang w:val="sr-Latn-ME"/>
        </w:rPr>
        <w:t xml:space="preserve">Ciljevi održivog razvoja </w:t>
      </w:r>
    </w:p>
    <w:p w14:paraId="2A3C82CB" w14:textId="38CE5037" w:rsidR="00F579F5" w:rsidRPr="00F579F5" w:rsidRDefault="0BB45BEF" w:rsidP="0BB45BEF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0"/>
          <w:szCs w:val="20"/>
          <w:lang w:val="sr-Latn-ME"/>
        </w:rPr>
      </w:pPr>
      <w:r w:rsidRPr="0BB45BEF">
        <w:rPr>
          <w:rFonts w:ascii="Aptos" w:eastAsia="Aptos" w:hAnsi="Aptos" w:cs="Aptos"/>
          <w:sz w:val="20"/>
          <w:szCs w:val="20"/>
          <w:lang w:val="sr-Latn-ME"/>
        </w:rPr>
        <w:t xml:space="preserve">Nova urbana agenda (Habitat III, 2016) </w:t>
      </w:r>
    </w:p>
    <w:p w14:paraId="48C2AB2B" w14:textId="67E24BCD" w:rsidR="00F579F5" w:rsidRPr="00F579F5" w:rsidRDefault="0BB45BEF" w:rsidP="0BB45BEF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0"/>
          <w:szCs w:val="20"/>
          <w:lang w:val="sr-Latn-ME"/>
        </w:rPr>
      </w:pPr>
      <w:r w:rsidRPr="0BB45BEF">
        <w:rPr>
          <w:rFonts w:ascii="Aptos" w:eastAsia="Aptos" w:hAnsi="Aptos" w:cs="Aptos"/>
          <w:sz w:val="20"/>
          <w:szCs w:val="20"/>
          <w:lang w:val="sr-Latn-ME"/>
        </w:rPr>
        <w:t xml:space="preserve">Evropski zeleni plan (European Green Deal, 2019) </w:t>
      </w:r>
    </w:p>
    <w:p w14:paraId="08796E93" w14:textId="48CEBB96" w:rsidR="00F579F5" w:rsidRPr="00F579F5" w:rsidRDefault="0BB45BEF" w:rsidP="0BB45BEF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0"/>
          <w:szCs w:val="20"/>
          <w:lang w:val="sr-Latn-ME"/>
        </w:rPr>
      </w:pPr>
      <w:r w:rsidRPr="0BB45BEF">
        <w:rPr>
          <w:rFonts w:ascii="Aptos" w:eastAsia="Aptos" w:hAnsi="Aptos" w:cs="Aptos"/>
          <w:sz w:val="20"/>
          <w:szCs w:val="20"/>
          <w:lang w:val="sr-Latn-ME"/>
        </w:rPr>
        <w:t xml:space="preserve">EU Zakon o klimi (Regulation (EU) 2021/1119) </w:t>
      </w:r>
    </w:p>
    <w:p w14:paraId="05F2E606" w14:textId="40B0FD96" w:rsidR="00F579F5" w:rsidRPr="00F579F5" w:rsidRDefault="0BB45BEF" w:rsidP="0BB45BEF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0"/>
          <w:szCs w:val="20"/>
          <w:lang w:val="sr-Latn-ME"/>
        </w:rPr>
      </w:pPr>
      <w:r w:rsidRPr="0BB45BEF">
        <w:rPr>
          <w:rFonts w:ascii="Aptos" w:eastAsia="Aptos" w:hAnsi="Aptos" w:cs="Aptos"/>
          <w:sz w:val="20"/>
          <w:szCs w:val="20"/>
          <w:lang w:val="sr-Latn-ME"/>
        </w:rPr>
        <w:t xml:space="preserve">Renovation Wave for Europe (2020) </w:t>
      </w:r>
    </w:p>
    <w:p w14:paraId="78E1EC3F" w14:textId="132227E2" w:rsidR="00F579F5" w:rsidRPr="00F579F5" w:rsidRDefault="0BB45BEF" w:rsidP="0BB45BEF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0"/>
          <w:szCs w:val="20"/>
          <w:lang w:val="sr-Latn-ME"/>
        </w:rPr>
      </w:pPr>
      <w:r w:rsidRPr="0BB45BEF">
        <w:rPr>
          <w:rFonts w:ascii="Aptos" w:eastAsia="Aptos" w:hAnsi="Aptos" w:cs="Aptos"/>
          <w:sz w:val="20"/>
          <w:szCs w:val="20"/>
          <w:lang w:val="sr-Latn-ME"/>
        </w:rPr>
        <w:t xml:space="preserve">Evropski stub socijalnih prava </w:t>
      </w:r>
    </w:p>
    <w:p w14:paraId="4716C764" w14:textId="2BA790CA" w:rsidR="00F579F5" w:rsidRPr="00F579F5" w:rsidRDefault="0BB45BEF" w:rsidP="0BB45BEF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0"/>
          <w:szCs w:val="20"/>
          <w:lang w:val="sr-Latn-ME"/>
        </w:rPr>
      </w:pPr>
      <w:r w:rsidRPr="0BB45BEF">
        <w:rPr>
          <w:rFonts w:ascii="Aptos" w:eastAsia="Aptos" w:hAnsi="Aptos" w:cs="Aptos"/>
          <w:sz w:val="20"/>
          <w:szCs w:val="20"/>
          <w:lang w:val="sr-Latn-ME"/>
        </w:rPr>
        <w:t xml:space="preserve">Akcioni plan (2021) </w:t>
      </w:r>
    </w:p>
    <w:p w14:paraId="7EB6E70E" w14:textId="37DCA65A" w:rsidR="00F579F5" w:rsidRPr="00F579F5" w:rsidRDefault="0BB45BEF" w:rsidP="0BB45BEF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0"/>
          <w:szCs w:val="20"/>
          <w:lang w:val="sr-Latn-ME"/>
        </w:rPr>
      </w:pPr>
      <w:r w:rsidRPr="0BB45BEF">
        <w:rPr>
          <w:rFonts w:ascii="Aptos" w:eastAsia="Aptos" w:hAnsi="Aptos" w:cs="Aptos"/>
          <w:sz w:val="20"/>
          <w:szCs w:val="20"/>
          <w:lang w:val="sr-Latn-ME"/>
        </w:rPr>
        <w:t xml:space="preserve">Evropska platforma za borbu protiv beskućništva (2021) </w:t>
      </w:r>
    </w:p>
    <w:p w14:paraId="08D6F29A" w14:textId="0C89C783" w:rsidR="00F579F5" w:rsidRPr="00F579F5" w:rsidRDefault="0BB45BEF" w:rsidP="0BB45BEF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0"/>
          <w:szCs w:val="20"/>
          <w:lang w:val="sr-Latn-ME"/>
        </w:rPr>
      </w:pPr>
      <w:r w:rsidRPr="0BB45BEF">
        <w:rPr>
          <w:rFonts w:ascii="Aptos" w:eastAsia="Aptos" w:hAnsi="Aptos" w:cs="Aptos"/>
          <w:sz w:val="20"/>
          <w:szCs w:val="20"/>
          <w:lang w:val="sr-Latn-ME"/>
        </w:rPr>
        <w:t xml:space="preserve">Novi evropski Bauhaus (2021) </w:t>
      </w:r>
    </w:p>
    <w:p w14:paraId="420B8D13" w14:textId="4BAE34C3" w:rsidR="00F579F5" w:rsidRPr="00F579F5" w:rsidRDefault="0BB45BEF" w:rsidP="0BB45BEF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0"/>
          <w:szCs w:val="20"/>
          <w:lang w:val="sr-Latn-ME"/>
        </w:rPr>
      </w:pPr>
      <w:r w:rsidRPr="0BB45BEF">
        <w:rPr>
          <w:rFonts w:ascii="Aptos" w:eastAsia="Aptos" w:hAnsi="Aptos" w:cs="Aptos"/>
          <w:sz w:val="20"/>
          <w:szCs w:val="20"/>
          <w:lang w:val="sr-Latn-ME"/>
        </w:rPr>
        <w:t xml:space="preserve">Direktiva (EU) 2024/1275 o energetskim svojstvima zgrada (EPBD) </w:t>
      </w:r>
    </w:p>
    <w:p w14:paraId="5EAD5D39" w14:textId="1063BCD8" w:rsidR="00F579F5" w:rsidRPr="00F579F5" w:rsidRDefault="0BB45BEF" w:rsidP="0BB45BEF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0"/>
          <w:szCs w:val="20"/>
          <w:lang w:val="sr-Latn-ME"/>
        </w:rPr>
      </w:pPr>
      <w:r w:rsidRPr="0BB45BEF">
        <w:rPr>
          <w:rFonts w:ascii="Aptos" w:eastAsia="Aptos" w:hAnsi="Aptos" w:cs="Aptos"/>
          <w:sz w:val="20"/>
          <w:szCs w:val="20"/>
          <w:lang w:val="sr-Latn-ME"/>
        </w:rPr>
        <w:t xml:space="preserve">Direktiva (EU) 2023/1791 o energetskoj efikasnosti (EED) </w:t>
      </w:r>
    </w:p>
    <w:p w14:paraId="6C1359D0" w14:textId="12188BDC" w:rsidR="00F579F5" w:rsidRPr="00F579F5" w:rsidRDefault="0BB45BEF" w:rsidP="0BB45BEF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0"/>
          <w:szCs w:val="20"/>
          <w:lang w:val="sr-Latn-ME"/>
        </w:rPr>
      </w:pPr>
      <w:r w:rsidRPr="0BB45BEF">
        <w:rPr>
          <w:rFonts w:ascii="Aptos" w:eastAsia="Aptos" w:hAnsi="Aptos" w:cs="Aptos"/>
          <w:sz w:val="20"/>
          <w:szCs w:val="20"/>
          <w:lang w:val="sr-Latn-ME"/>
        </w:rPr>
        <w:t xml:space="preserve">Socijalni klimatski fond (Regulation (EU) 2023/955) </w:t>
      </w:r>
    </w:p>
    <w:p w14:paraId="3087A39B" w14:textId="55E625B3" w:rsidR="00F579F5" w:rsidRPr="00F579F5" w:rsidRDefault="0BB45BEF" w:rsidP="0BB45BEF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0"/>
          <w:szCs w:val="20"/>
          <w:lang w:val="sr-Latn-ME"/>
        </w:rPr>
      </w:pPr>
      <w:r w:rsidRPr="0BB45BEF">
        <w:rPr>
          <w:rFonts w:ascii="Aptos" w:eastAsia="Aptos" w:hAnsi="Aptos" w:cs="Aptos"/>
          <w:sz w:val="20"/>
          <w:szCs w:val="20"/>
          <w:lang w:val="sr-Latn-ME"/>
        </w:rPr>
        <w:t xml:space="preserve">Evropska strategija za stambenu izgradnju (COM(2025) 991) </w:t>
      </w:r>
    </w:p>
    <w:p w14:paraId="0AB36970" w14:textId="6026849A" w:rsidR="00F579F5" w:rsidRPr="00F579F5" w:rsidRDefault="0BB45BEF" w:rsidP="0BB45BEF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0"/>
          <w:szCs w:val="20"/>
          <w:lang w:val="sr-Latn-ME"/>
        </w:rPr>
      </w:pPr>
      <w:r w:rsidRPr="0BB45BEF">
        <w:rPr>
          <w:rFonts w:ascii="Aptos" w:eastAsia="Aptos" w:hAnsi="Aptos" w:cs="Aptos"/>
          <w:sz w:val="20"/>
          <w:szCs w:val="20"/>
          <w:lang w:val="sr-Latn-ME"/>
        </w:rPr>
        <w:t xml:space="preserve">Povelja Evropske unije o temeljnim pravima </w:t>
      </w:r>
    </w:p>
    <w:p w14:paraId="0E620D21" w14:textId="4CDE398E" w:rsidR="00F579F5" w:rsidRPr="00F579F5" w:rsidRDefault="0BB45BEF" w:rsidP="0BB45BEF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0"/>
          <w:szCs w:val="20"/>
          <w:lang w:val="sr-Latn-ME"/>
        </w:rPr>
      </w:pPr>
      <w:r w:rsidRPr="0BB45BEF">
        <w:rPr>
          <w:rFonts w:ascii="Aptos" w:eastAsia="Aptos" w:hAnsi="Aptos" w:cs="Aptos"/>
          <w:sz w:val="20"/>
          <w:szCs w:val="20"/>
          <w:lang w:val="sr-Latn-ME"/>
        </w:rPr>
        <w:t xml:space="preserve">Preporuka Vijeća (EU) 2021/1004 – Evropska garancija za djecu </w:t>
      </w:r>
    </w:p>
    <w:p w14:paraId="5D56A9BC" w14:textId="41610B24" w:rsidR="00F579F5" w:rsidRPr="00F579F5" w:rsidRDefault="0BB45BEF" w:rsidP="0BB45BEF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0"/>
          <w:szCs w:val="20"/>
          <w:lang w:val="sr-Latn-ME"/>
        </w:rPr>
      </w:pPr>
      <w:r w:rsidRPr="0BB45BEF">
        <w:rPr>
          <w:rFonts w:ascii="Aptos" w:eastAsia="Aptos" w:hAnsi="Aptos" w:cs="Aptos"/>
          <w:sz w:val="20"/>
          <w:szCs w:val="20"/>
          <w:lang w:val="sr-Latn-ME"/>
        </w:rPr>
        <w:lastRenderedPageBreak/>
        <w:t>Preporuka Vijeća (2023) o adekvatnom minimalnom dohotku</w:t>
      </w:r>
    </w:p>
    <w:p w14:paraId="74B015E2" w14:textId="44A0EFCD" w:rsidR="00F579F5" w:rsidRPr="00F579F5" w:rsidRDefault="00F579F5" w:rsidP="0BB45BEF">
      <w:pPr>
        <w:pStyle w:val="ListParagraph"/>
        <w:spacing w:after="0"/>
        <w:ind w:hanging="360"/>
        <w:rPr>
          <w:rFonts w:ascii="Aptos" w:eastAsia="Aptos" w:hAnsi="Aptos" w:cs="Aptos"/>
          <w:sz w:val="20"/>
          <w:szCs w:val="20"/>
          <w:lang w:val="sr-Latn-ME"/>
        </w:rPr>
      </w:pPr>
    </w:p>
    <w:p w14:paraId="3143E431" w14:textId="15DDD845" w:rsidR="00F579F5" w:rsidRPr="00F579F5" w:rsidRDefault="00F579F5" w:rsidP="0BB45BEF">
      <w:pPr>
        <w:spacing w:after="0" w:line="360" w:lineRule="auto"/>
        <w:rPr>
          <w:rFonts w:ascii="Aptos" w:eastAsia="Aptos" w:hAnsi="Aptos" w:cs="Aptos"/>
          <w:sz w:val="20"/>
          <w:szCs w:val="20"/>
          <w:lang w:val="sr-Latn-ME"/>
        </w:rPr>
      </w:pPr>
    </w:p>
    <w:p w14:paraId="48FA5DBB" w14:textId="0EA5CDE9" w:rsidR="00F579F5" w:rsidRPr="00F579F5" w:rsidRDefault="00F579F5" w:rsidP="00F579F5">
      <w:pPr>
        <w:rPr>
          <w:lang w:val="sr-Latn-ME"/>
        </w:rPr>
      </w:pPr>
    </w:p>
    <w:sectPr w:rsidR="00F579F5" w:rsidRPr="00F579F5" w:rsidSect="00931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33530" w14:textId="77777777" w:rsidR="00C43D67" w:rsidRDefault="00C43D67" w:rsidP="00D02C7D">
      <w:pPr>
        <w:spacing w:after="0" w:line="240" w:lineRule="auto"/>
      </w:pPr>
      <w:r>
        <w:separator/>
      </w:r>
    </w:p>
  </w:endnote>
  <w:endnote w:type="continuationSeparator" w:id="0">
    <w:p w14:paraId="6086FAE8" w14:textId="77777777" w:rsidR="00C43D67" w:rsidRDefault="00C43D67" w:rsidP="00D02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29B57" w14:textId="77777777" w:rsidR="00C43D67" w:rsidRDefault="00C43D67" w:rsidP="00D02C7D">
      <w:pPr>
        <w:spacing w:after="0" w:line="240" w:lineRule="auto"/>
      </w:pPr>
      <w:r>
        <w:separator/>
      </w:r>
    </w:p>
  </w:footnote>
  <w:footnote w:type="continuationSeparator" w:id="0">
    <w:p w14:paraId="673CB2C4" w14:textId="77777777" w:rsidR="00C43D67" w:rsidRDefault="00C43D67" w:rsidP="00D02C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BFC05"/>
    <w:multiLevelType w:val="hybridMultilevel"/>
    <w:tmpl w:val="FFFFFFFF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CA02B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A680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6422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665F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4628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E30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BAD3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DEB1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71E51"/>
    <w:multiLevelType w:val="multilevel"/>
    <w:tmpl w:val="8C4EED7A"/>
    <w:lvl w:ilvl="0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5CBA61"/>
    <w:multiLevelType w:val="hybridMultilevel"/>
    <w:tmpl w:val="FFFFFFFF"/>
    <w:lvl w:ilvl="0" w:tplc="3D1A7A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C6FF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C42E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7CCD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54FA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142F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CC00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D247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6809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15440B"/>
    <w:multiLevelType w:val="multilevel"/>
    <w:tmpl w:val="041A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75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7014446A"/>
    <w:multiLevelType w:val="hybridMultilevel"/>
    <w:tmpl w:val="FFFFFFFF"/>
    <w:lvl w:ilvl="0" w:tplc="EADC80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1E6A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DABA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A63E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FC0D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86EA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303C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489C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7209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780D35"/>
    <w:multiLevelType w:val="hybridMultilevel"/>
    <w:tmpl w:val="2486A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58009">
    <w:abstractNumId w:val="0"/>
  </w:num>
  <w:num w:numId="2" w16cid:durableId="539123250">
    <w:abstractNumId w:val="2"/>
  </w:num>
  <w:num w:numId="3" w16cid:durableId="458954587">
    <w:abstractNumId w:val="4"/>
  </w:num>
  <w:num w:numId="4" w16cid:durableId="214463924">
    <w:abstractNumId w:val="3"/>
  </w:num>
  <w:num w:numId="5" w16cid:durableId="475268407">
    <w:abstractNumId w:val="5"/>
  </w:num>
  <w:num w:numId="6" w16cid:durableId="145322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9F5"/>
    <w:rsid w:val="000510AE"/>
    <w:rsid w:val="000A668C"/>
    <w:rsid w:val="000B4C1F"/>
    <w:rsid w:val="00112D31"/>
    <w:rsid w:val="00126603"/>
    <w:rsid w:val="00147637"/>
    <w:rsid w:val="00153363"/>
    <w:rsid w:val="00165A88"/>
    <w:rsid w:val="001A2324"/>
    <w:rsid w:val="001F05D0"/>
    <w:rsid w:val="0021066E"/>
    <w:rsid w:val="00254E76"/>
    <w:rsid w:val="00283504"/>
    <w:rsid w:val="002A663A"/>
    <w:rsid w:val="002D6FE8"/>
    <w:rsid w:val="002F0BF6"/>
    <w:rsid w:val="002F3239"/>
    <w:rsid w:val="002F3912"/>
    <w:rsid w:val="002F3E2F"/>
    <w:rsid w:val="00315AE5"/>
    <w:rsid w:val="003630F9"/>
    <w:rsid w:val="00366676"/>
    <w:rsid w:val="0038468D"/>
    <w:rsid w:val="0038625C"/>
    <w:rsid w:val="003B160F"/>
    <w:rsid w:val="004C5365"/>
    <w:rsid w:val="004E6529"/>
    <w:rsid w:val="005A26DB"/>
    <w:rsid w:val="005D0801"/>
    <w:rsid w:val="00641C34"/>
    <w:rsid w:val="00661EAA"/>
    <w:rsid w:val="00672BA3"/>
    <w:rsid w:val="006A1BFC"/>
    <w:rsid w:val="006A6DBF"/>
    <w:rsid w:val="006C09AE"/>
    <w:rsid w:val="006C6CC0"/>
    <w:rsid w:val="00775F4F"/>
    <w:rsid w:val="007A3028"/>
    <w:rsid w:val="007A48D8"/>
    <w:rsid w:val="007A7662"/>
    <w:rsid w:val="007E4370"/>
    <w:rsid w:val="007E543D"/>
    <w:rsid w:val="007F1302"/>
    <w:rsid w:val="00811E78"/>
    <w:rsid w:val="00825B5D"/>
    <w:rsid w:val="0087152E"/>
    <w:rsid w:val="00916107"/>
    <w:rsid w:val="00925F88"/>
    <w:rsid w:val="00926455"/>
    <w:rsid w:val="0093136E"/>
    <w:rsid w:val="009A0264"/>
    <w:rsid w:val="009B561A"/>
    <w:rsid w:val="009D3A7D"/>
    <w:rsid w:val="009E5D0A"/>
    <w:rsid w:val="00A024EF"/>
    <w:rsid w:val="00A1491C"/>
    <w:rsid w:val="00A16799"/>
    <w:rsid w:val="00B060D4"/>
    <w:rsid w:val="00B1641E"/>
    <w:rsid w:val="00B17B5B"/>
    <w:rsid w:val="00B303BF"/>
    <w:rsid w:val="00B32E07"/>
    <w:rsid w:val="00B626C6"/>
    <w:rsid w:val="00B722BD"/>
    <w:rsid w:val="00B96841"/>
    <w:rsid w:val="00BA7AE2"/>
    <w:rsid w:val="00BD1487"/>
    <w:rsid w:val="00BD39B7"/>
    <w:rsid w:val="00BD3EE2"/>
    <w:rsid w:val="00BE21C1"/>
    <w:rsid w:val="00C43D67"/>
    <w:rsid w:val="00C94037"/>
    <w:rsid w:val="00CB0A57"/>
    <w:rsid w:val="00CC2E46"/>
    <w:rsid w:val="00D02C7D"/>
    <w:rsid w:val="00D13A85"/>
    <w:rsid w:val="00D35704"/>
    <w:rsid w:val="00D40F1C"/>
    <w:rsid w:val="00D50D13"/>
    <w:rsid w:val="00D5438B"/>
    <w:rsid w:val="00D76BD6"/>
    <w:rsid w:val="00D93D1E"/>
    <w:rsid w:val="00DF25B5"/>
    <w:rsid w:val="00DF723B"/>
    <w:rsid w:val="00E02835"/>
    <w:rsid w:val="00E04EB2"/>
    <w:rsid w:val="00E416E5"/>
    <w:rsid w:val="00E9210D"/>
    <w:rsid w:val="00E92DFE"/>
    <w:rsid w:val="00EB0110"/>
    <w:rsid w:val="00F01EA1"/>
    <w:rsid w:val="00F37A23"/>
    <w:rsid w:val="00F4622C"/>
    <w:rsid w:val="00F5034C"/>
    <w:rsid w:val="00F579F5"/>
    <w:rsid w:val="06A38136"/>
    <w:rsid w:val="0BB45BEF"/>
    <w:rsid w:val="2129FBE5"/>
    <w:rsid w:val="2CFFD3E6"/>
    <w:rsid w:val="39DA3C0B"/>
    <w:rsid w:val="3B9459DA"/>
    <w:rsid w:val="43C7F2DD"/>
    <w:rsid w:val="462B1440"/>
    <w:rsid w:val="49F03FE1"/>
    <w:rsid w:val="63DAC6F6"/>
    <w:rsid w:val="6B09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72E6B"/>
  <w15:chartTrackingRefBased/>
  <w15:docId w15:val="{0C72166B-D21D-4F95-8D7D-B36869DD9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79F5"/>
    <w:pPr>
      <w:keepNext/>
      <w:keepLines/>
      <w:numPr>
        <w:numId w:val="4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79F5"/>
    <w:pPr>
      <w:keepNext/>
      <w:keepLines/>
      <w:numPr>
        <w:ilvl w:val="1"/>
        <w:numId w:val="4"/>
      </w:numPr>
      <w:spacing w:before="160" w:after="80"/>
      <w:ind w:left="576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79F5"/>
    <w:pPr>
      <w:keepNext/>
      <w:keepLines/>
      <w:numPr>
        <w:ilvl w:val="2"/>
        <w:numId w:val="4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79F5"/>
    <w:pPr>
      <w:keepNext/>
      <w:keepLines/>
      <w:numPr>
        <w:ilvl w:val="3"/>
        <w:numId w:val="4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79F5"/>
    <w:pPr>
      <w:keepNext/>
      <w:keepLines/>
      <w:numPr>
        <w:ilvl w:val="4"/>
        <w:numId w:val="4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79F5"/>
    <w:pPr>
      <w:keepNext/>
      <w:keepLines/>
      <w:numPr>
        <w:ilvl w:val="5"/>
        <w:numId w:val="4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79F5"/>
    <w:pPr>
      <w:keepNext/>
      <w:keepLines/>
      <w:numPr>
        <w:ilvl w:val="6"/>
        <w:numId w:val="4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79F5"/>
    <w:pPr>
      <w:keepNext/>
      <w:keepLines/>
      <w:numPr>
        <w:ilvl w:val="7"/>
        <w:numId w:val="4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79F5"/>
    <w:pPr>
      <w:keepNext/>
      <w:keepLines/>
      <w:numPr>
        <w:ilvl w:val="8"/>
        <w:numId w:val="4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9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579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579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79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9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79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79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79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79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79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79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9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79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79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79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79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79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9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9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79F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57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F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F37A23"/>
    <w:rPr>
      <w:b/>
      <w:bCs/>
    </w:rPr>
  </w:style>
  <w:style w:type="character" w:styleId="Hyperlink">
    <w:name w:val="Hyperlink"/>
    <w:basedOn w:val="DefaultParagraphFont"/>
    <w:uiPriority w:val="99"/>
    <w:unhideWhenUsed/>
    <w:rsid w:val="007E437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43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4370"/>
    <w:rPr>
      <w:color w:val="96607D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D02C7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02C7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02C7D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9264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26455"/>
  </w:style>
  <w:style w:type="paragraph" w:styleId="Footer">
    <w:name w:val="footer"/>
    <w:basedOn w:val="Normal"/>
    <w:link w:val="FooterChar"/>
    <w:uiPriority w:val="99"/>
    <w:semiHidden/>
    <w:unhideWhenUsed/>
    <w:rsid w:val="009264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264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937E8-D723-444F-926B-84BF7FD3D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3650</Words>
  <Characters>22121</Characters>
  <Application>Microsoft Office Word</Application>
  <DocSecurity>0</DocSecurity>
  <Lines>2011</Lines>
  <Paragraphs>991</Paragraphs>
  <ScaleCrop>false</ScaleCrop>
  <Company/>
  <LinksUpToDate>false</LinksUpToDate>
  <CharactersWithSpaces>24780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Kresimir Ivancic</dc:creator>
  <cp:keywords/>
  <dc:description/>
  <cp:lastModifiedBy>Maja Radunovic</cp:lastModifiedBy>
  <cp:revision>35</cp:revision>
  <dcterms:created xsi:type="dcterms:W3CDTF">2026-04-20T04:40:00Z</dcterms:created>
  <dcterms:modified xsi:type="dcterms:W3CDTF">2026-05-05T12:07:00Z</dcterms:modified>
</cp:coreProperties>
</file>