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D691" w14:textId="64F41D6F" w:rsidR="0056128D" w:rsidRPr="002D1C8B" w:rsidRDefault="0056128D" w:rsidP="002550A2">
      <w:pPr>
        <w:jc w:val="center"/>
        <w:rPr>
          <w:lang w:val="hr-HR"/>
        </w:rPr>
      </w:pPr>
      <w:r w:rsidRPr="002D1C8B">
        <w:rPr>
          <w:noProof/>
          <w:lang w:val="hr-HR"/>
        </w:rPr>
        <w:drawing>
          <wp:inline distT="0" distB="0" distL="0" distR="0" wp14:anchorId="2722D46E" wp14:editId="7E3C5719">
            <wp:extent cx="4177324" cy="2088662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B462C3E9-0F16-3A9C-C01E-9CF55F5E68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B462C3E9-0F16-3A9C-C01E-9CF55F5E68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324" cy="208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C8B">
        <w:rPr>
          <w:noProof/>
          <w:lang w:val="hr-HR"/>
        </w:rPr>
        <w:drawing>
          <wp:inline distT="0" distB="0" distL="0" distR="0" wp14:anchorId="7EB2C943" wp14:editId="20A13ED4">
            <wp:extent cx="5752465" cy="5752465"/>
            <wp:effectExtent l="0" t="0" r="635" b="635"/>
            <wp:docPr id="3742002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2A3D4" w14:textId="77777777" w:rsidR="0056128D" w:rsidRPr="002D1C8B" w:rsidRDefault="0056128D">
      <w:pPr>
        <w:rPr>
          <w:lang w:val="hr-HR"/>
        </w:rPr>
      </w:pPr>
    </w:p>
    <w:p w14:paraId="6D101E4F" w14:textId="25E43FDC" w:rsidR="0056128D" w:rsidRPr="002D1C8B" w:rsidRDefault="0056128D">
      <w:pPr>
        <w:rPr>
          <w:rFonts w:asciiTheme="majorHAnsi" w:eastAsiaTheme="majorEastAsia" w:hAnsiTheme="majorHAnsi" w:cstheme="majorBidi"/>
          <w:sz w:val="40"/>
          <w:szCs w:val="40"/>
          <w:lang w:val="hr-HR"/>
        </w:rPr>
      </w:pPr>
      <w:r w:rsidRPr="002D1C8B">
        <w:rPr>
          <w:lang w:val="hr-HR"/>
        </w:rPr>
        <w:br w:type="page"/>
      </w:r>
    </w:p>
    <w:p w14:paraId="6B615FC9" w14:textId="1F5DD063" w:rsidR="00F579F5" w:rsidRPr="002D1C8B" w:rsidRDefault="0BB45BEF" w:rsidP="0056128D">
      <w:pPr>
        <w:pStyle w:val="Heading1"/>
        <w:rPr>
          <w:lang w:val="hr-HR"/>
        </w:rPr>
      </w:pPr>
      <w:r w:rsidRPr="002D1C8B">
        <w:rPr>
          <w:lang w:val="hr-HR"/>
        </w:rPr>
        <w:lastRenderedPageBreak/>
        <w:t>Uvod i važnost</w:t>
      </w:r>
    </w:p>
    <w:p w14:paraId="389E1C58" w14:textId="6FA362EC" w:rsidR="0BB45BEF" w:rsidRPr="002D1C8B" w:rsidRDefault="0BB45BEF" w:rsidP="0056128D">
      <w:pPr>
        <w:rPr>
          <w:lang w:val="hr-HR"/>
        </w:rPr>
      </w:pPr>
      <w:r w:rsidRPr="002D1C8B">
        <w:rPr>
          <w:lang w:val="hr-HR"/>
        </w:rPr>
        <w:t>Situaciona analiza predstavlja analitičku osnovu za pripremu Strateškog planskog dokumenta Crne Gore za potrebe korišćenja fondova Evropske unije u okviru budućeg Nacionalnog i regionalnog partnerskog plana. Njena svrha je da, na sistematičan i na dokazima zasnovan način, identifikuje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203D954F" w14:textId="4D7FF599" w:rsidR="0BB45BEF" w:rsidRPr="002D1C8B" w:rsidRDefault="0BB45BEF" w:rsidP="0056128D">
      <w:pPr>
        <w:rPr>
          <w:lang w:val="hr-HR"/>
        </w:rPr>
      </w:pPr>
      <w:r w:rsidRPr="002D1C8B">
        <w:rPr>
          <w:lang w:val="hr-HR"/>
        </w:rPr>
        <w:t>Značaj situacione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finansijske perspektive 2021–2027 odgovara logici „Partnership Agreement“, a koji treba da obuhvati stratešku analizu, uključujući izazove, potrebe i ciljne grupe, odabrane prioritete i ciljeve, glavne očekivane rezultate, planirane tematske cjeline i izvore finansiranja, mehanizme za obezbjeđivanje usklađenosti sa relevantnim prioritetima i strategijama Evropske unije, kao i okvir upravljanja u skladu sa Evropskim kodeksom ponašanja o partnerstvu.</w:t>
      </w:r>
    </w:p>
    <w:p w14:paraId="21089394" w14:textId="06DDDB91" w:rsidR="0BB45BEF" w:rsidRPr="002D1C8B" w:rsidRDefault="0BB45BEF" w:rsidP="0BB45BEF">
      <w:pPr>
        <w:rPr>
          <w:rFonts w:ascii="Aptos" w:eastAsia="Aptos" w:hAnsi="Aptos" w:cs="Aptos"/>
          <w:lang w:val="hr-HR"/>
        </w:rPr>
      </w:pPr>
      <w:r w:rsidRPr="002D1C8B">
        <w:rPr>
          <w:rFonts w:ascii="Aptos" w:eastAsia="Aptos" w:hAnsi="Aptos" w:cs="Aptos"/>
          <w:lang w:val="hr-HR"/>
        </w:rPr>
        <w:t>U tom smislu, situaciona analiza ne služi samo kao opis postojećeg stanja, već kao polazna tačka za definisanje prioritetnih pravaca djelovanja, očekivanih rezultata i budućih reformskih i investicionih intervencija. U skladu sa metodološkim pristupom za izradu Strateškog planskog dokumenta, razvojni izazovi se posmatraju kao problemi koji zahtijevaju javnopolitički odgovor, a ne kao unaprijed definisane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15A9A299" w14:textId="001097F7" w:rsidR="0BB45BEF" w:rsidRPr="002D1C8B" w:rsidRDefault="0BB45BEF" w:rsidP="0BB45BEF">
      <w:pPr>
        <w:rPr>
          <w:rFonts w:ascii="Aptos" w:eastAsia="Aptos" w:hAnsi="Aptos" w:cs="Aptos"/>
          <w:lang w:val="hr-HR"/>
        </w:rPr>
      </w:pPr>
      <w:r w:rsidRPr="002D1C8B">
        <w:rPr>
          <w:rFonts w:ascii="Aptos" w:eastAsia="Aptos" w:hAnsi="Aptos" w:cs="Aptos"/>
          <w:lang w:val="hr-HR"/>
        </w:rPr>
        <w:t>Situaciona analiza istovremeno ima i važnu funkciju u obezbjeđivanju usklađenosti budućeg strateškog dokumenta sa prioritetima Evropske unije, pravnom tekovinom EU i programskim okvirom za period nakon 2027. godine. Kroz pregled međunarodnog i nacionalnog strateškog i pravnog okvira, planiranih reformi i ključnih pokazatelja, analiza omogućava da se predmetna oblast politike sagleda u širem razvojnom i pristupnom kontekstu, uključujući doprinos pametnom, održivom i inkluzivnom rastu, ekonomskoj, socijalnoj i teritorijalnoj koheziji, kao i smanjenju razvojnih dispariteta.</w:t>
      </w:r>
    </w:p>
    <w:p w14:paraId="1D036703" w14:textId="50C5C92E" w:rsidR="0BB45BEF" w:rsidRPr="002D1C8B" w:rsidRDefault="0BB45BEF" w:rsidP="0BB45BEF">
      <w:pPr>
        <w:rPr>
          <w:rFonts w:ascii="Aptos" w:eastAsia="Aptos" w:hAnsi="Aptos" w:cs="Aptos"/>
          <w:lang w:val="hr-HR"/>
        </w:rPr>
      </w:pPr>
      <w:r w:rsidRPr="002D1C8B">
        <w:rPr>
          <w:rFonts w:ascii="Aptos" w:eastAsia="Aptos" w:hAnsi="Aptos" w:cs="Aptos"/>
          <w:lang w:val="hr-HR"/>
        </w:rPr>
        <w:t>Pored toga, situaciona analiza je važan alat za strukturiranje dijaloga unutar radnih grupa i sa širim krugom partnera. Njome se obezbjeđuje zajednička analitička osnova za SWOT razmatranje, validaciju nalaza i identifikaciju dugog spiska razvojnih izazova, koji će u narednim koracima biti prioritizovani. Na taj način, situaciona analiza doprinosi transparentnom, participativnom i metodološki utemeljenom procesu planiranja, u skladu sa principom partnerstva i višerazinskog upravljanja.</w:t>
      </w:r>
    </w:p>
    <w:p w14:paraId="03DBEA2B" w14:textId="2BC7A9B0" w:rsidR="00F579F5" w:rsidRPr="002D1C8B" w:rsidRDefault="00F579F5" w:rsidP="0056128D">
      <w:pPr>
        <w:pStyle w:val="Heading1"/>
        <w:rPr>
          <w:lang w:val="hr-HR"/>
        </w:rPr>
      </w:pPr>
      <w:r w:rsidRPr="002D1C8B">
        <w:rPr>
          <w:lang w:val="hr-HR"/>
        </w:rPr>
        <w:t>Pregled radne grupe i način rada</w:t>
      </w:r>
    </w:p>
    <w:p w14:paraId="3F35AA23" w14:textId="77777777" w:rsidR="00BE21C1" w:rsidRPr="002D1C8B" w:rsidRDefault="00BE21C1" w:rsidP="002550A2">
      <w:pPr>
        <w:rPr>
          <w:rFonts w:ascii="Aptos" w:eastAsia="Aptos" w:hAnsi="Aptos" w:cs="Aptos"/>
          <w:lang w:val="hr-HR"/>
        </w:rPr>
      </w:pPr>
      <w:r w:rsidRPr="002D1C8B">
        <w:rPr>
          <w:lang w:val="hr-HR"/>
        </w:rPr>
        <w:t xml:space="preserve">Radna grupa 6 formirana je za potrebe pripreme strateškog planskog dokumenta za oblast multisektorske podrške, stanovanja i infrastrukture. Sastav Radne grupe obuhvata predstavnike ključnih resornih ministarstava nadležnih za prostorno planiranje, izgradnju, energetiku, socijalnu politiku i javne radove, kao i institucija uključenih u finansiranje i realizaciju investicija. U rad Radne grupe uključeni su i predstavnici akademske zajednice, socijalnih partnera, poslovnog sektora, kao i jedinica lokalne samouprave, čime se obezbjeđuje međuresorna koordinacija i integrisani pristup razvoju politike stanovanja i infrastrukture. </w:t>
      </w:r>
    </w:p>
    <w:p w14:paraId="08CCE619" w14:textId="77777777" w:rsidR="00BE21C1" w:rsidRPr="002D1C8B" w:rsidRDefault="00BE21C1" w:rsidP="002550A2">
      <w:pPr>
        <w:rPr>
          <w:rFonts w:ascii="Aptos" w:eastAsia="Aptos" w:hAnsi="Aptos" w:cs="Aptos"/>
          <w:lang w:val="hr-HR"/>
        </w:rPr>
      </w:pPr>
      <w:r w:rsidRPr="002D1C8B">
        <w:rPr>
          <w:lang w:val="hr-HR"/>
        </w:rPr>
        <w:lastRenderedPageBreak/>
        <w:t>Rad Radne grupe organizuje se kroz plenarne sjednice i tematske konsultacije u skladu sa definisanim oblastima politike i pripadajućim intervencionim poljima. U fokusu rada su usaglašavanje metodološkog pristupa, razmatranje situacione analize, definisanje tematskih cjelina i identifikacija ključnih razvojnih izazova i prioriteta u oblasti izgradnje, upravljanja prostorom, socijalnog i pristupačnog stanovanja i reformskog okvira.</w:t>
      </w:r>
    </w:p>
    <w:p w14:paraId="37A3F758" w14:textId="77777777" w:rsidR="00BE21C1" w:rsidRPr="002D1C8B" w:rsidRDefault="00BE21C1" w:rsidP="002550A2">
      <w:pPr>
        <w:rPr>
          <w:rFonts w:ascii="Aptos" w:eastAsia="Aptos" w:hAnsi="Aptos" w:cs="Aptos"/>
          <w:lang w:val="hr-HR"/>
        </w:rPr>
      </w:pPr>
      <w:r w:rsidRPr="002D1C8B">
        <w:rPr>
          <w:lang w:val="hr-HR"/>
        </w:rPr>
        <w:t>Posebna pažnja posvećuje se koordinaciji između sektorskih politika i povezivanju investicionih i reformskih intervencija u jedinstven razvojni okvir, imajući u vidu međusobnu povezanost oblasti stanovanja, infrastrukture, energetike i socijalne politike.</w:t>
      </w:r>
    </w:p>
    <w:p w14:paraId="4B053877" w14:textId="77777777" w:rsidR="00BE21C1" w:rsidRPr="002D1C8B" w:rsidRDefault="00BE21C1" w:rsidP="002550A2">
      <w:pPr>
        <w:rPr>
          <w:rFonts w:ascii="Aptos" w:eastAsia="Aptos" w:hAnsi="Aptos" w:cs="Aptos"/>
          <w:lang w:val="hr-HR"/>
        </w:rPr>
      </w:pPr>
      <w:r w:rsidRPr="002D1C8B">
        <w:rPr>
          <w:lang w:val="hr-HR"/>
        </w:rPr>
        <w:t>Predviđeno je održavanje najmanje tri radne sjednice, uz mogućnost dodatnih konsultacija po potrebi. Sjednice se organizuju u hibridnom formatu, radi efikasnijeg uključivanja svih relevantnih učesnika i obezbjeđenja kontinuiteta rada Radne grupe.</w:t>
      </w:r>
    </w:p>
    <w:p w14:paraId="68AAD0E9" w14:textId="0A8AB3BD" w:rsidR="00F579F5" w:rsidRPr="002D1C8B" w:rsidRDefault="43C7F2DD" w:rsidP="0056128D">
      <w:pPr>
        <w:pStyle w:val="Heading1"/>
        <w:rPr>
          <w:lang w:val="hr-HR"/>
        </w:rPr>
      </w:pPr>
      <w:r w:rsidRPr="002D1C8B">
        <w:rPr>
          <w:lang w:val="hr-HR"/>
        </w:rPr>
        <w:t>Opis prioritetnih područja unutar RG</w:t>
      </w:r>
    </w:p>
    <w:tbl>
      <w:tblPr>
        <w:tblStyle w:val="GridTable1Light-Accent4"/>
        <w:tblW w:w="8706" w:type="dxa"/>
        <w:tblLook w:val="04A0" w:firstRow="1" w:lastRow="0" w:firstColumn="1" w:lastColumn="0" w:noHBand="0" w:noVBand="1"/>
      </w:tblPr>
      <w:tblGrid>
        <w:gridCol w:w="1740"/>
        <w:gridCol w:w="2877"/>
        <w:gridCol w:w="1830"/>
        <w:gridCol w:w="2259"/>
      </w:tblGrid>
      <w:tr w:rsidR="00F579F5" w:rsidRPr="002550A2" w14:paraId="479424C2" w14:textId="54850EDA" w:rsidTr="00255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0439334F" w14:textId="0EA28359" w:rsidR="43C7F2DD" w:rsidRPr="002550A2" w:rsidRDefault="43C7F2DD" w:rsidP="43C7F2DD">
            <w:pPr>
              <w:rPr>
                <w:rFonts w:ascii="Aptos" w:eastAsia="Aptos" w:hAnsi="Aptos" w:cs="Aptos"/>
                <w:sz w:val="16"/>
                <w:szCs w:val="16"/>
                <w:lang w:val="hr-HR"/>
              </w:rPr>
            </w:pPr>
            <w:r w:rsidRPr="002550A2">
              <w:rPr>
                <w:rFonts w:ascii="Aptos" w:eastAsia="Aptos" w:hAnsi="Aptos" w:cs="Aptos"/>
                <w:sz w:val="16"/>
                <w:szCs w:val="16"/>
                <w:lang w:val="hr-HR"/>
              </w:rPr>
              <w:t>Kod Prioritetnog područja nivo 1</w:t>
            </w:r>
          </w:p>
        </w:tc>
        <w:tc>
          <w:tcPr>
            <w:tcW w:w="2877" w:type="dxa"/>
          </w:tcPr>
          <w:p w14:paraId="6FF9A3BD" w14:textId="2577CAEA" w:rsidR="43C7F2DD" w:rsidRPr="002550A2" w:rsidRDefault="43C7F2DD" w:rsidP="43C7F2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6"/>
                <w:szCs w:val="16"/>
                <w:lang w:val="hr-HR"/>
              </w:rPr>
            </w:pPr>
            <w:r w:rsidRPr="002550A2">
              <w:rPr>
                <w:rFonts w:ascii="Aptos" w:eastAsia="Aptos" w:hAnsi="Aptos" w:cs="Aptos"/>
                <w:sz w:val="16"/>
                <w:szCs w:val="16"/>
                <w:lang w:val="hr-HR"/>
              </w:rPr>
              <w:t>Naziv Prioritetnog područja nivo 1</w:t>
            </w:r>
          </w:p>
        </w:tc>
        <w:tc>
          <w:tcPr>
            <w:tcW w:w="1830" w:type="dxa"/>
          </w:tcPr>
          <w:p w14:paraId="2C8CE56D" w14:textId="21506423" w:rsidR="43C7F2DD" w:rsidRPr="002550A2" w:rsidRDefault="43C7F2DD" w:rsidP="43C7F2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6"/>
                <w:szCs w:val="16"/>
                <w:lang w:val="hr-HR"/>
              </w:rPr>
            </w:pPr>
            <w:r w:rsidRPr="002550A2">
              <w:rPr>
                <w:rFonts w:ascii="Aptos" w:eastAsia="Aptos" w:hAnsi="Aptos" w:cs="Aptos"/>
                <w:sz w:val="16"/>
                <w:szCs w:val="16"/>
                <w:lang w:val="hr-HR"/>
              </w:rPr>
              <w:t>Kod Prioritetnog područja nivo 2</w:t>
            </w:r>
          </w:p>
        </w:tc>
        <w:tc>
          <w:tcPr>
            <w:tcW w:w="2259" w:type="dxa"/>
          </w:tcPr>
          <w:p w14:paraId="716CE6F0" w14:textId="1DB2D877" w:rsidR="43C7F2DD" w:rsidRPr="002550A2" w:rsidRDefault="63DAC6F6" w:rsidP="43C7F2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6"/>
                <w:szCs w:val="16"/>
                <w:lang w:val="hr-HR"/>
              </w:rPr>
            </w:pPr>
            <w:r w:rsidRPr="002550A2">
              <w:rPr>
                <w:rFonts w:ascii="Aptos" w:eastAsia="Aptos" w:hAnsi="Aptos" w:cs="Aptos"/>
                <w:sz w:val="16"/>
                <w:szCs w:val="16"/>
                <w:lang w:val="hr-HR"/>
              </w:rPr>
              <w:t>Naziv Prioritetnog područja nivo 2</w:t>
            </w:r>
          </w:p>
        </w:tc>
      </w:tr>
      <w:tr w:rsidR="00641C34" w:rsidRPr="002550A2" w14:paraId="52B2FC20" w14:textId="45C77E14" w:rsidTr="002550A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1952FEAB" w14:textId="63C8B8D8" w:rsidR="00641C34" w:rsidRPr="002550A2" w:rsidRDefault="0BB45BEF" w:rsidP="0BB45BEF">
            <w:pPr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9</w:t>
            </w:r>
          </w:p>
        </w:tc>
        <w:tc>
          <w:tcPr>
            <w:tcW w:w="2877" w:type="dxa"/>
          </w:tcPr>
          <w:p w14:paraId="2000B7F2" w14:textId="03D01B26" w:rsidR="00641C34" w:rsidRPr="002550A2" w:rsidRDefault="63DAC6F6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Stanovanje i infrastruktura</w:t>
            </w:r>
          </w:p>
        </w:tc>
        <w:tc>
          <w:tcPr>
            <w:tcW w:w="1830" w:type="dxa"/>
          </w:tcPr>
          <w:p w14:paraId="6D849FA3" w14:textId="716F12F7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9.42</w:t>
            </w:r>
          </w:p>
        </w:tc>
        <w:tc>
          <w:tcPr>
            <w:tcW w:w="2259" w:type="dxa"/>
          </w:tcPr>
          <w:p w14:paraId="113CAF71" w14:textId="66A62312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Izgradnja</w:t>
            </w:r>
          </w:p>
        </w:tc>
      </w:tr>
      <w:tr w:rsidR="00641C34" w:rsidRPr="002550A2" w14:paraId="683D5823" w14:textId="60234449" w:rsidTr="00255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377F3CB4" w14:textId="77777777" w:rsidR="00641C34" w:rsidRPr="002550A2" w:rsidRDefault="00641C34" w:rsidP="0BB45BEF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2877" w:type="dxa"/>
          </w:tcPr>
          <w:p w14:paraId="2748A081" w14:textId="77777777" w:rsidR="00641C34" w:rsidRPr="002550A2" w:rsidRDefault="00641C34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</w:p>
        </w:tc>
        <w:tc>
          <w:tcPr>
            <w:tcW w:w="1830" w:type="dxa"/>
          </w:tcPr>
          <w:p w14:paraId="099E9647" w14:textId="1E1EF767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9.43</w:t>
            </w:r>
          </w:p>
        </w:tc>
        <w:tc>
          <w:tcPr>
            <w:tcW w:w="2259" w:type="dxa"/>
          </w:tcPr>
          <w:p w14:paraId="43FF943D" w14:textId="6CED8E0F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Rušenje( demolicija)</w:t>
            </w:r>
          </w:p>
        </w:tc>
      </w:tr>
      <w:tr w:rsidR="00641C34" w:rsidRPr="002550A2" w14:paraId="27339FDA" w14:textId="77777777" w:rsidTr="00255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0C80A456" w14:textId="77777777" w:rsidR="00641C34" w:rsidRPr="002550A2" w:rsidRDefault="00641C34" w:rsidP="0BB45BEF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2877" w:type="dxa"/>
          </w:tcPr>
          <w:p w14:paraId="3E2D41DF" w14:textId="77777777" w:rsidR="00641C34" w:rsidRPr="002550A2" w:rsidRDefault="00641C34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</w:p>
        </w:tc>
        <w:tc>
          <w:tcPr>
            <w:tcW w:w="1830" w:type="dxa"/>
          </w:tcPr>
          <w:p w14:paraId="6944DE8D" w14:textId="0C5325A1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9.05</w:t>
            </w:r>
          </w:p>
        </w:tc>
        <w:tc>
          <w:tcPr>
            <w:tcW w:w="2259" w:type="dxa"/>
          </w:tcPr>
          <w:p w14:paraId="121ABF90" w14:textId="1A9CFC79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 xml:space="preserve">Reforme </w:t>
            </w:r>
          </w:p>
        </w:tc>
      </w:tr>
      <w:tr w:rsidR="00641C34" w:rsidRPr="002550A2" w14:paraId="762AE61F" w14:textId="77777777" w:rsidTr="00255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15E951A3" w14:textId="77777777" w:rsidR="00641C34" w:rsidRPr="002550A2" w:rsidRDefault="00641C34" w:rsidP="0BB45BEF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2877" w:type="dxa"/>
          </w:tcPr>
          <w:p w14:paraId="32EDAA8A" w14:textId="77777777" w:rsidR="00641C34" w:rsidRPr="002550A2" w:rsidRDefault="00641C34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</w:p>
        </w:tc>
        <w:tc>
          <w:tcPr>
            <w:tcW w:w="1830" w:type="dxa"/>
          </w:tcPr>
          <w:p w14:paraId="62B43F2E" w14:textId="59ACA071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9.44</w:t>
            </w:r>
          </w:p>
        </w:tc>
        <w:tc>
          <w:tcPr>
            <w:tcW w:w="2259" w:type="dxa"/>
          </w:tcPr>
          <w:p w14:paraId="37E8B9C1" w14:textId="1CB8F4BA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Socijalno i pristupačno stanovanje</w:t>
            </w:r>
          </w:p>
        </w:tc>
      </w:tr>
      <w:tr w:rsidR="00641C34" w:rsidRPr="002550A2" w14:paraId="68AC779C" w14:textId="77777777" w:rsidTr="00255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38626D23" w14:textId="79558EBB" w:rsidR="00641C34" w:rsidRPr="002550A2" w:rsidRDefault="0BB45BEF" w:rsidP="0BB45BEF">
            <w:pPr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12</w:t>
            </w:r>
          </w:p>
        </w:tc>
        <w:tc>
          <w:tcPr>
            <w:tcW w:w="2877" w:type="dxa"/>
          </w:tcPr>
          <w:p w14:paraId="3301AD36" w14:textId="1C84EC87" w:rsidR="00641C34" w:rsidRPr="002550A2" w:rsidRDefault="63DAC6F6" w:rsidP="63DAC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Multisektorska  podrška</w:t>
            </w:r>
          </w:p>
        </w:tc>
        <w:tc>
          <w:tcPr>
            <w:tcW w:w="1830" w:type="dxa"/>
          </w:tcPr>
          <w:p w14:paraId="625EADC2" w14:textId="669B2AF1" w:rsidR="00641C34" w:rsidRPr="002550A2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12.51</w:t>
            </w:r>
          </w:p>
        </w:tc>
        <w:tc>
          <w:tcPr>
            <w:tcW w:w="2259" w:type="dxa"/>
          </w:tcPr>
          <w:p w14:paraId="653CCDB5" w14:textId="0EAA665F" w:rsidR="00641C34" w:rsidRPr="002550A2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 xml:space="preserve"> EU finansijski instrumenti i budžetske garancije </w:t>
            </w:r>
          </w:p>
        </w:tc>
      </w:tr>
      <w:tr w:rsidR="00641C34" w:rsidRPr="002550A2" w14:paraId="476B0CE6" w14:textId="77777777" w:rsidTr="00255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573D2E74" w14:textId="77777777" w:rsidR="00641C34" w:rsidRPr="002550A2" w:rsidRDefault="00641C34" w:rsidP="0BB45BEF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2877" w:type="dxa"/>
          </w:tcPr>
          <w:p w14:paraId="612C0370" w14:textId="77777777" w:rsidR="00641C34" w:rsidRPr="002550A2" w:rsidRDefault="00641C34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</w:p>
        </w:tc>
        <w:tc>
          <w:tcPr>
            <w:tcW w:w="1830" w:type="dxa"/>
          </w:tcPr>
          <w:p w14:paraId="708CBDB8" w14:textId="5976AC5C" w:rsidR="00641C34" w:rsidRPr="002550A2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12.52</w:t>
            </w:r>
          </w:p>
        </w:tc>
        <w:tc>
          <w:tcPr>
            <w:tcW w:w="2259" w:type="dxa"/>
          </w:tcPr>
          <w:p w14:paraId="62573A79" w14:textId="61706358" w:rsidR="00641C34" w:rsidRPr="002550A2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 xml:space="preserve"> Integrisani teritorijalni alati </w:t>
            </w:r>
          </w:p>
        </w:tc>
      </w:tr>
      <w:tr w:rsidR="00641C34" w:rsidRPr="002550A2" w14:paraId="4A6CABF0" w14:textId="77777777" w:rsidTr="002550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14:paraId="4FBCD1E0" w14:textId="77777777" w:rsidR="00641C34" w:rsidRPr="002550A2" w:rsidRDefault="00641C34" w:rsidP="0BB45BEF">
            <w:pPr>
              <w:rPr>
                <w:sz w:val="16"/>
                <w:szCs w:val="16"/>
                <w:lang w:val="hr-HR"/>
              </w:rPr>
            </w:pPr>
          </w:p>
        </w:tc>
        <w:tc>
          <w:tcPr>
            <w:tcW w:w="2877" w:type="dxa"/>
          </w:tcPr>
          <w:p w14:paraId="19CC6F98" w14:textId="77777777" w:rsidR="00641C34" w:rsidRPr="002550A2" w:rsidRDefault="00641C34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</w:p>
        </w:tc>
        <w:tc>
          <w:tcPr>
            <w:tcW w:w="1830" w:type="dxa"/>
          </w:tcPr>
          <w:p w14:paraId="52E1DF4D" w14:textId="4094E64F" w:rsidR="00641C34" w:rsidRPr="002550A2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>12.53</w:t>
            </w:r>
          </w:p>
        </w:tc>
        <w:tc>
          <w:tcPr>
            <w:tcW w:w="2259" w:type="dxa"/>
          </w:tcPr>
          <w:p w14:paraId="3E4078F2" w14:textId="2A7C5DA7" w:rsidR="00641C34" w:rsidRPr="002550A2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2550A2">
              <w:rPr>
                <w:sz w:val="16"/>
                <w:szCs w:val="16"/>
                <w:lang w:val="hr-HR"/>
              </w:rPr>
              <w:t xml:space="preserve"> Multisektorska podrška u trećim zemljama</w:t>
            </w:r>
          </w:p>
        </w:tc>
      </w:tr>
    </w:tbl>
    <w:p w14:paraId="0FDA5261" w14:textId="77777777" w:rsidR="00F579F5" w:rsidRPr="002D1C8B" w:rsidRDefault="00F579F5" w:rsidP="00F579F5">
      <w:pPr>
        <w:rPr>
          <w:lang w:val="hr-HR"/>
        </w:rPr>
      </w:pPr>
    </w:p>
    <w:p w14:paraId="1B481561" w14:textId="793A9734" w:rsidR="00F579F5" w:rsidRPr="002D1C8B" w:rsidRDefault="00F579F5" w:rsidP="0056128D">
      <w:pPr>
        <w:pStyle w:val="Heading1"/>
        <w:rPr>
          <w:lang w:val="hr-HR"/>
        </w:rPr>
      </w:pPr>
      <w:r w:rsidRPr="002D1C8B">
        <w:rPr>
          <w:lang w:val="hr-HR"/>
        </w:rPr>
        <w:t>Situaci</w:t>
      </w:r>
      <w:r w:rsidR="0056128D" w:rsidRPr="002D1C8B">
        <w:rPr>
          <w:lang w:val="hr-HR"/>
        </w:rPr>
        <w:t>ona</w:t>
      </w:r>
      <w:r w:rsidRPr="002D1C8B">
        <w:rPr>
          <w:lang w:val="hr-HR"/>
        </w:rPr>
        <w:t xml:space="preserve"> analiza</w:t>
      </w:r>
    </w:p>
    <w:p w14:paraId="370D6FC9" w14:textId="4ABBBA55" w:rsidR="00F579F5" w:rsidRPr="002D1C8B" w:rsidRDefault="63DAC6F6" w:rsidP="0056128D">
      <w:pPr>
        <w:pStyle w:val="Heading2"/>
        <w:rPr>
          <w:lang w:val="hr-HR"/>
        </w:rPr>
      </w:pPr>
      <w:r w:rsidRPr="002D1C8B">
        <w:rPr>
          <w:lang w:val="hr-HR"/>
        </w:rPr>
        <w:t>Prioritetno područje nivo 1</w:t>
      </w:r>
    </w:p>
    <w:p w14:paraId="21334251" w14:textId="77777777" w:rsidR="00D1590C" w:rsidRPr="002D1C8B" w:rsidRDefault="00661EAA" w:rsidP="002550A2">
      <w:pPr>
        <w:rPr>
          <w:lang w:val="hr-HR"/>
        </w:rPr>
      </w:pPr>
      <w:r w:rsidRPr="002D1C8B">
        <w:rPr>
          <w:lang w:val="hr-HR"/>
        </w:rPr>
        <w:t xml:space="preserve">Prioritetno područje </w:t>
      </w:r>
      <w:r w:rsidRPr="002D1C8B">
        <w:rPr>
          <w:b/>
          <w:bCs/>
          <w:lang w:val="hr-HR"/>
        </w:rPr>
        <w:t>Stanovanje i infrastruktura</w:t>
      </w:r>
      <w:r w:rsidRPr="002D1C8B">
        <w:rPr>
          <w:lang w:val="hr-HR"/>
        </w:rPr>
        <w:t xml:space="preserve"> odnosi se na aktivnosti usmjerene na izgradnju, rehabilitaciju, obezbjeđivanje, prenamjenu i uklanjanje objekata, kao i na unapređenje politika i regulatornog okvira u ovom području. Razvoj ovog područja usmjeren je na stvaranje održivog, funkcionalnog i inkluzivnog prostora, kroz izgradnju novih stambenih, javnih i nestambenih objekata koji ispunjavaju standarde energetske efikasnosti i niskih ili nultih emisija, uz istovremeno prilagođavanje postojećih objekata savremenim potrebama i standardima. U skladu sa pristupom Evropske unije, razvoj ovog područja posmatra se kroz međusobno povezane dimenzije održive izgradnje, unapređenja kvaliteta i funkcionalnosti prostora, dostupnosti stanovanja i jačanja institucionalnog okvira.</w:t>
      </w:r>
      <w:bookmarkStart w:id="0" w:name="_Hlk228803700"/>
    </w:p>
    <w:p w14:paraId="040D3EDC" w14:textId="5496331A" w:rsidR="00661EAA" w:rsidRPr="002D1C8B" w:rsidRDefault="00661EAA" w:rsidP="002550A2">
      <w:pPr>
        <w:rPr>
          <w:lang w:val="hr-HR"/>
        </w:rPr>
      </w:pPr>
      <w:r w:rsidRPr="002D1C8B">
        <w:rPr>
          <w:lang w:val="hr-HR"/>
        </w:rPr>
        <w:t xml:space="preserve">U okviru razvoja stanovanja i infrastrukture, fokus je na realizaciji novih stambenih, javnih i nestambenih objekata, kao i na uklanjanju neadekvatnih i nefunkcionalnih struktura kada je to dio planskog upravljanja prostorom. Pored nove izgradnje, obuhvaćene su i aktivnosti rehabilitacije i obezbjeđivanja objekata, uključujući mjere energetske efikasnosti kao sastavni dio modernizacije. Prenamjena nestambenih i industrijskih objekata u stambene svrhe </w:t>
      </w:r>
      <w:bookmarkEnd w:id="0"/>
      <w:r w:rsidRPr="002D1C8B">
        <w:rPr>
          <w:lang w:val="hr-HR"/>
        </w:rPr>
        <w:t>predstavlja važan instrument efikasnijeg korišćenja prostora i odgovora na promijenjene razvojne potrebe.</w:t>
      </w:r>
    </w:p>
    <w:p w14:paraId="7E977033" w14:textId="61C22E5A" w:rsidR="00DF723B" w:rsidRPr="002D1C8B" w:rsidRDefault="00DF723B" w:rsidP="002550A2">
      <w:pPr>
        <w:rPr>
          <w:lang w:val="hr-HR"/>
        </w:rPr>
      </w:pPr>
      <w:r w:rsidRPr="002D1C8B">
        <w:rPr>
          <w:lang w:val="hr-HR"/>
        </w:rPr>
        <w:lastRenderedPageBreak/>
        <w:t>Poseban dio prioritetnog područja odnosi se na socijalno i pristupačno stanovanje. U tom kontekstu, aktivnosti su usmjerene na izgradnju novih stambenih objekata za socijalno i pristupačno stanovanje, rehabilitaciju i obezbjeđivanje takvih objekata, kao i prenamjenu nestambenih i industrijskih objekata u stambene svrhe. Područje uključuje i izgradnju, rehabilitaciju i obezbjeđivanje objekata za studentski smještaj, kao i izgradnju, rehabilitaciju i obezbjeđivanje objekata namijenjenih borbi protiv beskućništva.</w:t>
      </w:r>
    </w:p>
    <w:p w14:paraId="12B84CCA" w14:textId="710C51F1" w:rsidR="00DF723B" w:rsidRPr="002D1C8B" w:rsidRDefault="00DF723B" w:rsidP="0056128D">
      <w:pPr>
        <w:rPr>
          <w:lang w:val="hr-HR"/>
        </w:rPr>
      </w:pPr>
      <w:r w:rsidRPr="002D1C8B">
        <w:rPr>
          <w:lang w:val="hr-HR"/>
        </w:rPr>
        <w:t>Uz akcije usmjerene na izgradnju i rehabilitaciju stambenih kapaciteta, prioritetno područje uključuje i nestambene objekte povezane sa socijalnim i pristupačnim stanovanjem, kako kroz novu izgradnju tako i kroz rehabilitaciju postojećih objekata, čime se obezbjeđuje funkcionalna povezanost stambenih i pratećih sadržaja.</w:t>
      </w:r>
    </w:p>
    <w:p w14:paraId="4366A964" w14:textId="0AA41332" w:rsidR="00DF723B" w:rsidRPr="002D1C8B" w:rsidRDefault="00DF723B" w:rsidP="0056128D">
      <w:pPr>
        <w:rPr>
          <w:lang w:val="hr-HR"/>
        </w:rPr>
      </w:pPr>
      <w:r w:rsidRPr="002D1C8B">
        <w:rPr>
          <w:lang w:val="hr-HR"/>
        </w:rPr>
        <w:t>Pored investicionih intervencija, područje uključuje i reformske aktivnosti usmjerene na razvoj i unapređenje politika i regulatornog okvira. To podrazumijeva razvoj i usklađivanje zakonodavstva, strateških i planskih dokumenata, kao i jačanje institucionalnih kapaciteta za planiranje, pripremu i sprovođenje intervencija u sektoru stanovanja i infrastrukture.</w:t>
      </w:r>
      <w:r w:rsidR="00661EAA" w:rsidRPr="002D1C8B">
        <w:rPr>
          <w:lang w:val="hr-HR"/>
        </w:rPr>
        <w:t xml:space="preserve"> Usklađivanje sa pravnom tekovinom Evropske unije predstavlja važan element za efikasno upravljanje i dalji razvoj ovog sektora.</w:t>
      </w:r>
    </w:p>
    <w:p w14:paraId="4B404C79" w14:textId="6A6EF042" w:rsidR="00DF723B" w:rsidRPr="002D1C8B" w:rsidRDefault="00775F4F" w:rsidP="0056128D">
      <w:pPr>
        <w:rPr>
          <w:lang w:val="hr-HR"/>
        </w:rPr>
      </w:pPr>
      <w:r w:rsidRPr="002D1C8B">
        <w:rPr>
          <w:lang w:val="hr-HR"/>
        </w:rPr>
        <w:t>U cjelini, stanovanje i infrastruktura predstavljaju ključni segment održivog urbanog i društvenog razvoja, koji povezuje fizičku izgradnju prostora sa socijalnim, ekonomskim i ekološkim aspektima razvoja. Dalji napredak u ovoj oblasti zahtijeva integrisan pristup koji objedinjuje infrastrukturne i reformske dimenzije, uz dosljednu primjenu principa održivosti, energetske efikasnosti, pristupačnosti i nediskriminacije</w:t>
      </w:r>
      <w:r w:rsidR="0013270A" w:rsidRPr="002D1C8B">
        <w:rPr>
          <w:lang w:val="hr-HR"/>
        </w:rPr>
        <w:t>.</w:t>
      </w:r>
    </w:p>
    <w:p w14:paraId="5A3FF358" w14:textId="3D03F935" w:rsidR="0013270A" w:rsidRPr="002D1C8B" w:rsidRDefault="0013270A" w:rsidP="0056128D">
      <w:pPr>
        <w:pStyle w:val="Heading3"/>
        <w:rPr>
          <w:lang w:val="hr-HR"/>
        </w:rPr>
      </w:pPr>
      <w:r w:rsidRPr="002D1C8B">
        <w:rPr>
          <w:lang w:val="hr-HR"/>
        </w:rPr>
        <w:t>Međunarodni i EU Strateški i pravni okvir</w:t>
      </w:r>
    </w:p>
    <w:p w14:paraId="626766E9" w14:textId="0FE33B5C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Međunarodni i EU strateški i pravni okvir za prioritetno područje stanovanja i infrastrukture </w:t>
      </w:r>
      <w:r w:rsidR="004235E1" w:rsidRPr="002D1C8B">
        <w:rPr>
          <w:lang w:val="hr-HR"/>
        </w:rPr>
        <w:t>zasniva se na principima održivog razvoja, energetske efikasnosti, dekarbonizacije, socijalne uključenosti i teritorijalne kohezije</w:t>
      </w:r>
      <w:r w:rsidRPr="002D1C8B">
        <w:rPr>
          <w:lang w:val="hr-HR"/>
        </w:rPr>
        <w:t xml:space="preserve">. Na međunarodnom nivou,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Agenda 2030 i Ciljevi održivog razvoja</w:t>
      </w:r>
      <w:r w:rsidRPr="002D1C8B">
        <w:rPr>
          <w:lang w:val="hr-HR"/>
        </w:rPr>
        <w:t xml:space="preserve"> postavljaju osnovu za razvoj inkluzivnih, sigurnih i održivih stambenih rješenja, uz poseban fokus na održive gradove i naselja.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Nova urbana agenda (Habitat III, 2016)</w:t>
      </w:r>
      <w:r w:rsidRPr="002D1C8B">
        <w:rPr>
          <w:lang w:val="hr-HR"/>
        </w:rPr>
        <w:t xml:space="preserve"> predstavlja ključni globalni okvir za održivi urbani razvoj, sa naglaskom na integrisano planiranje prostora i unapređenje izgrađenog okruženja.</w:t>
      </w:r>
    </w:p>
    <w:p w14:paraId="0967B13C" w14:textId="52F04BB0" w:rsidR="004235E1" w:rsidRPr="002D1C8B" w:rsidRDefault="004235E1" w:rsidP="0056128D">
      <w:pPr>
        <w:rPr>
          <w:lang w:val="hr-HR"/>
        </w:rPr>
      </w:pPr>
      <w:r w:rsidRPr="002D1C8B">
        <w:rPr>
          <w:lang w:val="hr-HR"/>
        </w:rPr>
        <w:t>Dodatno, Nova Lajpciška povelja (The New Leipzig Charter, 2020) promoviše integrisani pristup urbanom razvoju zasnovan na principima održivosti, inkluzivnosti i teritorijalne kohezije, uz naglašenu ulogu lokalnih zajednica u planiranju i upravljanju razvojem prostora.</w:t>
      </w:r>
    </w:p>
    <w:p w14:paraId="33E3E0B9" w14:textId="1A439D0F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Na nivou Evropske unije,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Evropski zeleni plan (European Green Deal, 2019)</w:t>
      </w:r>
      <w:r w:rsidRPr="002D1C8B">
        <w:rPr>
          <w:lang w:val="hr-HR"/>
        </w:rPr>
        <w:t xml:space="preserve"> definiše strateški pravac transformacije ka klimatski neutralnoj ekonomiji, pri čemu sektor zgrada ima ključnu ulogu u smanjenju emisija i unapređenju energetske efikasnosti. Ovaj okvir dodatno je pravno utemeljen kroz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EU Zakon o klimi (Regulation (EU) 2021/1119)</w:t>
      </w:r>
      <w:r w:rsidRPr="002D1C8B">
        <w:rPr>
          <w:lang w:val="hr-HR"/>
        </w:rPr>
        <w:t xml:space="preserve">, kojim se uspostavlja cilj klimatske neutralnosti do 2050. godine.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Renovation Wave for Europe (</w:t>
      </w:r>
      <w:r w:rsidRPr="002D1C8B">
        <w:rPr>
          <w:lang w:val="hr-HR"/>
        </w:rPr>
        <w:t xml:space="preserve">2020) dodatno razrađuje ovaj pristup kroz povećanje obima i kvaliteta obnove </w:t>
      </w:r>
      <w:r w:rsidR="004235E1" w:rsidRPr="002D1C8B">
        <w:rPr>
          <w:lang w:val="hr-HR"/>
        </w:rPr>
        <w:t>i unapređenje energetske efikasnosti postojećeg fonda zgrada, uz doprinos smanjenju energetskog siromaštva.</w:t>
      </w:r>
      <w:r w:rsidRPr="002D1C8B">
        <w:rPr>
          <w:lang w:val="hr-HR"/>
        </w:rPr>
        <w:t xml:space="preserve"> Socijalna dimenzija sektora stanovanja definisana je kroz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Evropski stub socijalnih prava i Akcioni plan (2021)</w:t>
      </w:r>
      <w:r w:rsidRPr="002D1C8B">
        <w:rPr>
          <w:lang w:val="hr-HR"/>
        </w:rPr>
        <w:t>, koji postavljaju okvir za unapređenje socijalne uključenosti, smanjenje siromaštva i rješavanje pitanja beskućništva.</w:t>
      </w:r>
    </w:p>
    <w:p w14:paraId="4830D826" w14:textId="77777777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Dodatno, Evropska unija razvija niz inicijativa koje doprinose implementaciji ovih politika. U tom kontekstu, značajne su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Evropska platforma za borbu protiv beskućništva (2021)</w:t>
      </w:r>
      <w:r w:rsidRPr="002D1C8B">
        <w:rPr>
          <w:lang w:val="hr-HR"/>
        </w:rPr>
        <w:t xml:space="preserve"> i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Novi evropski Bauhaus (2021)</w:t>
      </w:r>
      <w:r w:rsidRPr="002D1C8B">
        <w:rPr>
          <w:lang w:val="hr-HR"/>
        </w:rPr>
        <w:t>, koje predstavljaju inicijative usmjerene na koordinaciju politika, razmjenu dobrih praksi i povezivanje održivosti, inkluzije i kvaliteta izgrađenog prostora. Ove inicijative nemaju karakter pravno obavezujućih akata, ali predstavljaju važan okvir za razvoj politika i projekata u sektoru.</w:t>
      </w:r>
    </w:p>
    <w:p w14:paraId="3E78CD28" w14:textId="77777777" w:rsidR="004235E1" w:rsidRPr="002D1C8B" w:rsidRDefault="0013270A" w:rsidP="0056128D">
      <w:pPr>
        <w:rPr>
          <w:lang w:val="hr-HR"/>
        </w:rPr>
      </w:pPr>
      <w:r w:rsidRPr="002D1C8B">
        <w:rPr>
          <w:lang w:val="hr-HR"/>
        </w:rPr>
        <w:lastRenderedPageBreak/>
        <w:t xml:space="preserve">Pravni okvir Evropske unije za ovo područje definisan je kroz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Direktivu (EU) 2024/1275 o energetskim svojstvima zgrada (EPBD)</w:t>
      </w:r>
      <w:r w:rsidRPr="002D1C8B">
        <w:rPr>
          <w:lang w:val="hr-HR"/>
        </w:rPr>
        <w:t xml:space="preserve"> i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Direktivu (EU) 2023/1791 o energetskoj efikasnosti (EED)</w:t>
      </w:r>
      <w:r w:rsidRPr="002D1C8B">
        <w:rPr>
          <w:lang w:val="hr-HR"/>
        </w:rPr>
        <w:t xml:space="preserve">, koje postavljaju okvir za unapređenje energetskih karakteristika objekata i smanjenje potrošnje energije. Dodatno, socijalna dimenzija klimatske tranzicije dodatno je ojačana kroz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Socijalni klimatski fond (Regulation (EU) 2023/955)</w:t>
      </w:r>
      <w:r w:rsidRPr="002D1C8B">
        <w:rPr>
          <w:lang w:val="hr-HR"/>
        </w:rPr>
        <w:t xml:space="preserve">, koji je usmjeren na ublažavanje uticaja energetskih i klimatskih politika na ranjiva domaćinstva, uključujući mjere povezane sa stanovanjem i energetskom efikasnošću. </w:t>
      </w:r>
      <w:r w:rsidR="004235E1" w:rsidRPr="002D1C8B">
        <w:rPr>
          <w:lang w:val="hr-HR"/>
        </w:rPr>
        <w:t>Za zemlje Zapadnog Balkana posebno je relevantan i Ugovor o osnivanju Energetske zajednice, kroz koji se postepeno preuzimaju i sprovode obaveze iz oblasti energetske efikasnosti, energetskih svojstava zgrada i korišćenja obnovljivih izvora energije.</w:t>
      </w:r>
    </w:p>
    <w:p w14:paraId="14E8BE8D" w14:textId="307CCAB2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Horizontalno,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Povelja Evropske unije o temeljnim pravima</w:t>
      </w:r>
      <w:r w:rsidRPr="002D1C8B">
        <w:rPr>
          <w:lang w:val="hr-HR"/>
        </w:rPr>
        <w:t xml:space="preserve"> obavezuje na poštovanje principa jednakosti i nediskriminacije, dok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Preporuka Vijeća (EU) 2021/1004 – Evropska garancija za djecu</w:t>
      </w:r>
      <w:r w:rsidRPr="002D1C8B">
        <w:rPr>
          <w:lang w:val="hr-HR"/>
        </w:rPr>
        <w:t xml:space="preserve"> i </w:t>
      </w:r>
      <w:r w:rsidRPr="002D1C8B">
        <w:rPr>
          <w:rStyle w:val="Strong"/>
          <w:rFonts w:eastAsiaTheme="majorEastAsia"/>
          <w:b w:val="0"/>
          <w:bCs w:val="0"/>
          <w:lang w:val="hr-HR"/>
        </w:rPr>
        <w:t>Preporuka Vijeća (2023) o adekvatnom minimalnom dohotku</w:t>
      </w:r>
      <w:r w:rsidRPr="002D1C8B">
        <w:rPr>
          <w:lang w:val="hr-HR"/>
        </w:rPr>
        <w:t xml:space="preserve"> doprinose jačanju socijalne dimenzije politika, uključujući pristup stanovanju i podršku ranjivim grupama.</w:t>
      </w:r>
    </w:p>
    <w:p w14:paraId="3FE2E20B" w14:textId="30EDFCFF" w:rsidR="0013270A" w:rsidRPr="002D1C8B" w:rsidRDefault="004235E1" w:rsidP="0056128D">
      <w:pPr>
        <w:rPr>
          <w:lang w:val="hr-HR"/>
        </w:rPr>
      </w:pPr>
      <w:r w:rsidRPr="002D1C8B">
        <w:rPr>
          <w:lang w:val="hr-HR"/>
        </w:rPr>
        <w:t xml:space="preserve">Dodatno, u okviru EU programskog i investicionog okvira za ovu oblast posebno su relevantni principi partnerstva, nediskriminacije, pristupačnosti i teritorijalne kohezije, kao i konkretna usmjerenost intervencija na reformski okvir, socijalno i priuštivo stanovanje, studentski smještaj, prenamjenu objekata u stambene svrhe, </w:t>
      </w:r>
      <w:r w:rsidRPr="002D1C8B">
        <w:rPr>
          <w:i/>
          <w:iCs/>
          <w:lang w:val="hr-HR"/>
        </w:rPr>
        <w:t>energetsku obnovu postojećeg fonda zgrada</w:t>
      </w:r>
      <w:r w:rsidRPr="002D1C8B">
        <w:rPr>
          <w:lang w:val="hr-HR"/>
        </w:rPr>
        <w:t xml:space="preserve"> i mjere za borbu protiv beskućništva.</w:t>
      </w:r>
    </w:p>
    <w:p w14:paraId="7E068A06" w14:textId="77777777" w:rsidR="0013270A" w:rsidRPr="002D1C8B" w:rsidRDefault="0013270A" w:rsidP="0056128D">
      <w:pPr>
        <w:pStyle w:val="Heading3"/>
        <w:rPr>
          <w:lang w:val="hr-HR"/>
        </w:rPr>
      </w:pPr>
      <w:r w:rsidRPr="002D1C8B">
        <w:rPr>
          <w:lang w:val="hr-HR"/>
        </w:rPr>
        <w:t>Crnogorski strateški i pravni okvir</w:t>
      </w:r>
    </w:p>
    <w:p w14:paraId="5BE9F3B3" w14:textId="77777777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Strateški i pravni okvir Crne Gore u oblasti stanovanja i infrastrukture obuhvata skup međusobno povezanih strateških, planskih i zakonskih akata koji uređuju prostorno planiranje, izgradnju, rehabilitaciju, prenamjenu i uklanjanje objekata, socijalno i pristupačno stanovanje, upravljanje infrastrukturom, kao i energetsku efikasnost i održivo korišćenje prostora. Ovaj okvir je u značajnoj mjeri usklađen sa principima održivog razvoja i zelene tranzicije, ali i dalje postoje izazovi u njegovoj koordinaciji i implementaciji, posebno na lokalnom nivou. </w:t>
      </w:r>
    </w:p>
    <w:p w14:paraId="39370D0B" w14:textId="77777777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>Na planskom nivou, ključni dokument predstavlja Prostorni plan Crne Gore do 2040, koji definiše dugoročne pravce razvoja prostora, organizaciju naselja i infrastrukturne prioritete, stvarajući osnov za planiranje stambenog razvoja, korišćenja zemljišta i infrastrukturnih sistema. Njegova implementacija u velikoj mjeri zavisi od nižih planskih dokumenata i kapaciteta lokalnih samouprava za sprovođenje planskih rješenja.</w:t>
      </w:r>
    </w:p>
    <w:p w14:paraId="0FFC31DF" w14:textId="77777777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>U oblasti prostornog planiranja, normativni okvir zasniva se na Zakonu o uređenju prostora, koji uređuje sistem planiranja, vrste planskih dokumenata i postupke njihove izrade i donošenja, čime se obezbjeđuje osnov za planiranje izgradnje i korišćenja prostora. U oblasti izgradnje, centralni zakon predstavlja Zakon o izgradnji objekata, kojim se uređuju uslovi građenja, tehnička dokumentacija, izvođenje radova, nadzor i uklanjanje objekata. Važan segment zakonodavnog okvira predstavlja i Zakon o legalizaciji bespravnih objekata, koji uređuje postupak ozakonjenja objekata izgrađenih bez građevinske dozvole, kao i uklanjanje objekata koji ne ispunjavaju propisane uslove, pri čemu se uklanjanje definiše kao krajnja mjera u upravljanju prostorom.</w:t>
      </w:r>
    </w:p>
    <w:p w14:paraId="5911E771" w14:textId="77777777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Neformalna gradnja predstavlja jedan od dugoročnih izazova upravljanja prostorom i stanovanja. Dio stanovništva je stambeno pitanje rješavao kroz neformalnu gradnju, dok veliki broj objekata i dalje nije u potpunosti evidentiran u katastarskim evidencijama, usljed složenih imovinsko-pravnih odnosa i dugotrajnih administrativnih procedura. Ovakvo stanje otežava proces legalizacije, smanjuje efikasnost planiranja i ukazuje na potrebu jačanja institucionalnih kapaciteta za upravljanje zemljištem, evidencijama i sprovođenje propisa. </w:t>
      </w:r>
    </w:p>
    <w:p w14:paraId="1EE8B311" w14:textId="65F1AC60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lastRenderedPageBreak/>
        <w:t xml:space="preserve">U užem stambenom segmentu, ključni strateški dokument predstavlja Strategija stambene politike Crne Gore do 2034. godine, kojom su definisana četiri strateška cilja: unapređenje regulatornog okvira u oblasti stanovanja, unapređenje kvaliteta stanovanja, povećanje dostupnosti pristupačnog stanovanja i unapređenje rentalne politike. Strategija prepoznaje potrebu unapređenja energetske efikasnosti postojećeg i novog stambenog fonda, razvoja održivih modela socijalnog i pristupačnog stanovanja, unapređenja upravljanja i održavanja stambenih zgrada, kao i jačanja institucionalnih i finansijskih kapaciteta za sprovođenje stambene politike na nacionalnom i lokalnom nivou. </w:t>
      </w:r>
      <w:r w:rsidR="004235E1" w:rsidRPr="002D1C8B">
        <w:rPr>
          <w:lang w:val="hr-HR"/>
        </w:rPr>
        <w:t>Strategija posebno ukazuje na izazove povezane sa održavanjem postojećeg stambenog fonda, energetskim siromaštvom, priuštivošću stanovanja i nedovoljno razvijenim sistemom socijalnog i pristupačnog stanovanja</w:t>
      </w:r>
      <w:r w:rsidRPr="002D1C8B">
        <w:rPr>
          <w:lang w:val="hr-HR"/>
        </w:rPr>
        <w:t xml:space="preserve">. Istovremeno, oslanja se na principe sadržane u Evropskom stubu socijalnih prava, Evropskoj socijalnoj povelji, Povelji o temeljnim pravima Evropske unije, Agendi 2030 i drugim međunarodnim okvirima koji stanovanje posmatraju kao važnu socijalnu, razvojnu i teritorijalnu komponentu održivog razvoja. </w:t>
      </w:r>
    </w:p>
    <w:p w14:paraId="602A64EC" w14:textId="79F70A20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>Stambeni sektor u Crnoj Gori karakteriše izrazita dominacija privatnog vlasništva nad stambenim fondom, uz ograničeno učešće javnog i rentalnog stanovanja. Ovakva struktura u velikoj mjeri rezultat je privatizacije stambenog fonda tokom 1990-ih godina i dugogodišnjeg usmjeravanja stambenih politika ka modelu vlasništva nad nekretninama.  Međutim, visoka stopa vlasništva ne znači nužno i odgovarajući kvalitet stanovanja, budući da značajan dio domaćinstava živi u starijem, energetski neefikasnom ili nedovoljno održavanom stambenom fondu, dok domaćinstva sa nižim prihodima često nemaju dovoljno sredstava za njegovo unapređenje. Istovremeno, priuštivost stanovanja predstavlja poseban izazov, naročito u urbanim i primorskim područjima, gdje rast cijena nekretnina i troškova stanovanja otežava pristup stanovanju za značajan dio stanovništva. Strategija dodatno ukazuje da su posebno pogođene mlade osobe, porodice sa nižim prihodima, starija lica, osobe sa invaliditetom i druge ranjive grupe, zbog čega se pitanje stanovanja sve više povezuje sa socijalnom uključenošću, kvalitetom života i regionalnim razvojem.</w:t>
      </w:r>
      <w:r w:rsidR="004235E1" w:rsidRPr="002D1C8B">
        <w:rPr>
          <w:i/>
          <w:iCs/>
          <w:lang w:val="hr-HR"/>
        </w:rPr>
        <w:t xml:space="preserve"> </w:t>
      </w:r>
      <w:r w:rsidR="004235E1" w:rsidRPr="002D1C8B">
        <w:rPr>
          <w:lang w:val="hr-HR"/>
        </w:rPr>
        <w:t xml:space="preserve">Posebni izazovi prisutni su i u oblasti studentskog smještaja, naročito u univerzitetskim centrima, gdje postojeći kapaciteti ne prate rastuće potrebe studenata. </w:t>
      </w:r>
      <w:r w:rsidRPr="002D1C8B">
        <w:rPr>
          <w:lang w:val="hr-HR"/>
        </w:rPr>
        <w:t xml:space="preserve"> Trend rasta cijena nekretnina i zakupa prisutan je i na evropskom nivou, pri čemu međunarodne analize ukazuju da pitanje priuštivog stanovanja postaje jedno od ključnih socio-ekonomskih pitanja u Evropi, posebno u urbanim područjima.</w:t>
      </w:r>
    </w:p>
    <w:p w14:paraId="556E9217" w14:textId="77777777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>Zakon o održavanju stambenih zgrada uređuje upravljanje i održavanje zajedničkih djelova zgrada, dok Zakon o socijalnom stanovanju definiše osnov za razvoj socijalnog i pristupačnog stanovanja, uključujući ciljne grupe i modele podrške. Zakon o stambenim zadrugama omogućava organizovanje stanovanja kroz alternativne modele, dok Zakon o socijalnoj i dječijoj zaštiti indirektno utiče na planiranje i sprovođenje mjera u oblasti socijalnog i pristupačnog stanovanja, posebno u dijelu podrške ranjivim kategorijama i borbe protiv beskućništva.</w:t>
      </w:r>
    </w:p>
    <w:p w14:paraId="0DE76CD4" w14:textId="77777777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Socijalno stanovanje i dalje predstavlja ograničen dio ukupnog stambenog fonda, uz izražene teritorijalne razlike u raspoloživim kapacitetima. Dosadašnji programi dominantno su bili usmjereni na model vlasništva, dok je razvoj socijalnog stanovanja u zakupu i dalje ograničen. Istovremeno, nedostatak pouzdanih i usklađenih podataka između državnog i lokalnog nivoa otežava planiranje, praćenje i teritorijalno usmjeravanje stambenih politika. Dodatni izazov predstavlja fragmentisan institucionalni okvir u oblasti stanovanja, uz podijeljene nadležnosti između više institucija i ograničene kapacitete lokalnih samouprava za planiranje, finansiranje i sprovođenje stambenih politika. Strategija dodatno naglašava potrebu razvoja kvalitetnijih evidencija i statističkih podataka o stambenom fondu, podstanarskim domaćinstvima i ranjivim grupama, radi kvalitetnijeg planiranja i praćenja stambenih politika na nacionalnom i lokalnom nivou. </w:t>
      </w:r>
    </w:p>
    <w:p w14:paraId="0246A6C9" w14:textId="25641909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Dodatno, Strategija deinstitucionalizacije za period 2025–2028 definiše razvoj stanovanja uz podršku i usluga u zajednici kao važan dio procesa deinstitucionalizacije i socijalne inkluzije osoba sa invaliditetom, </w:t>
      </w:r>
      <w:r w:rsidRPr="002D1C8B">
        <w:rPr>
          <w:lang w:val="hr-HR"/>
        </w:rPr>
        <w:lastRenderedPageBreak/>
        <w:t>starijih lica, korisnika sistema socijalne i dječje zaštite i drugih ranjivih grupa. Strategija istovremeno prepoznaje ograničenu dostupnost i održivost usluga u zajednici, posebno na lokalnom nivou, kao jedan od ključnih izazova za sprovođenje procesa deinstitucionalizacije.</w:t>
      </w:r>
      <w:r w:rsidR="004235E1" w:rsidRPr="002D1C8B">
        <w:rPr>
          <w:lang w:val="hr-HR"/>
        </w:rPr>
        <w:t xml:space="preserve"> Time se dodatno potvrđuje značaj stanovanja kao instrumenta socijalne inkluzije, nezavisnog života i integracije ranjivih grupa u lokalne zajednice.</w:t>
      </w:r>
    </w:p>
    <w:p w14:paraId="00C52899" w14:textId="77777777" w:rsidR="00035584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U dijelu infrastrukture i javnih usluga, značajnu ulogu imaju Zakon o komunalnim djelatnostima i Zakon o lokalnoj samoupravi, koji uređuju organizaciju komunalnih usluga, upravljanje lokalnom infrastrukturom i nadležnosti lokalnih organa u planiranju i upravljanju prostorom. Horizontalnu dimenziju ovog okvira čine zakoni koji integrišu principe održivosti i energetske efikasnosti. Zakon o energetskoj efikasnosti uređuje mjere za smanjenje potrošnje energije, posebno u zgradarstvu, dok Zakon o energetici i Zakon o korišćenju energije iz obnovljivih izvora uređuju proizvodnju, distribuciju i korišćenje energije, uključujući integraciju obnovljivih izvora u objekte i infrastrukturu. Zakon o zaštiti životne sredine obezbjeđuje okvir za primjenu ekoloških standarda u planiranju i realizaciji projekata. </w:t>
      </w:r>
    </w:p>
    <w:p w14:paraId="408BC985" w14:textId="03426FF5" w:rsidR="00035584" w:rsidRPr="002D1C8B" w:rsidRDefault="00035584" w:rsidP="0056128D">
      <w:pPr>
        <w:rPr>
          <w:lang w:val="hr-HR"/>
        </w:rPr>
      </w:pPr>
      <w:r w:rsidRPr="002D1C8B">
        <w:rPr>
          <w:lang w:val="hr-HR"/>
        </w:rPr>
        <w:t>Dodatni strateški okvir za razvoj održivog i energetski efikasnog stanovanja predstavljaju Nacionalni energetski i klimatski plan Crne Gore (NEKP), Strategija niskokarbonskog razvoja Crne Gore sa Akcionim planom 2026–2030 i Studija za unapređenje energetske efikasnosti u zgradama u Crnoj Gori. Ovi dokumenti definišu pravce dekarbonizacije sektora zgradarstva, povećanja energetske efikasnosti, razvoja energetskih zajednica, korišćenja obnovljivih izvora energije, smanjenja energetskog siromaštva i obnove postojećeg fonda zgrada, u skladu sa ciljevima zelene tranzicije i klimatske neutralnosti.</w:t>
      </w:r>
    </w:p>
    <w:p w14:paraId="6B790F1C" w14:textId="26B31DD2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Važan horizontalni element zakonodavnog okvira predstavlja i Zakon o državnoj imovini, koji uređuje upravljanje, korišćenje i raspolaganje državnom imovinom, uključujući zemljište i objekte, čime direktno utiče na realizaciju projekata izgradnje, prenamjene i korišćenja objekata, naročito u kontekstu javnih investicija i razvoja socijalnog i pristupačnog stanovanja. Ovaj zakonodavni okvir dodatno je razrađen kroz podzakonske akte (uredbe i pravilnike), kojima se detaljnije uređuju tehnički zahtjevi, procedure i standardi za planiranje, izgradnju, korišćenje i energetsku efikasnost objekata. </w:t>
      </w:r>
    </w:p>
    <w:p w14:paraId="1E4597D1" w14:textId="19C9B349" w:rsidR="0013270A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Važnu dimenziju razvoja stanovanja i infrastrukture predstavljaju i izražene teritorijalne razlike. Dok su u razvijenijim urbanim i primorskim sredinama dominantni izazovi povezani sa priuštivošću stanovanja i pritiskom na tržište nekretnina, manje razvijene i ruralne opštine, posebno na sjeveru zemlje, suočavaju se sa depopulacijom, ograničenim lokalnim kapacitetima, slabijom komunalnom opremljenošću, nedostatkom raspoloživog zemljišta za javne projekte, kao i ograničenom dostupnošću osnovnih usluga i infrastrukture. Poseban izazov u manjim i manje razvijenim opštinama predstavlja ograničena sposobnost pripreme i realizacije stambenih projekata, usljed nedostatka tehničkih kapaciteta, raspoloživog zemljišta i održivih modela finansiranja. U tom kontekstu, na nivou lokalne samouprave izražena je potreba za fleksibilnijim pristupima koji bi, pored nove izgradnje, obuhvatili rehabilitaciju, prenamjenu i energetsku obnovu postojećeg stambenog i javnog fonda, kao i mogućnost razvoja projekata kroz javno-privatna partnerstva i aktiviranje neiskorišćenih objekata i lokacija. </w:t>
      </w:r>
      <w:r w:rsidR="00035584" w:rsidRPr="002D1C8B">
        <w:rPr>
          <w:lang w:val="hr-HR"/>
        </w:rPr>
        <w:t>Ovakav pristup u skladu je sa principima Nove urbane agende i Nove Lajpciške povelje, koje naglašavaju značaj integrisanog teritorijalnog razvoja, lokalnog upravljanja i prilagođavanja razvojnih politika specifičnostima različitih područja</w:t>
      </w:r>
      <w:r w:rsidR="00035584" w:rsidRPr="002D1C8B">
        <w:rPr>
          <w:i/>
          <w:iCs/>
          <w:lang w:val="hr-HR"/>
        </w:rPr>
        <w:t>.</w:t>
      </w:r>
      <w:r w:rsidRPr="002D1C8B">
        <w:rPr>
          <w:lang w:val="hr-HR"/>
        </w:rPr>
        <w:t xml:space="preserve">Time pitanje stanovanja prevazilazi isključivo socijalnu dimenziju i postaje značajno pitanje teritorijalnog razvoja i regionalnih nejednakosti. </w:t>
      </w:r>
    </w:p>
    <w:p w14:paraId="0EA85F35" w14:textId="43DA0872" w:rsidR="0B87569C" w:rsidRPr="002D1C8B" w:rsidRDefault="0013270A" w:rsidP="0056128D">
      <w:pPr>
        <w:rPr>
          <w:lang w:val="hr-HR"/>
        </w:rPr>
      </w:pPr>
      <w:r w:rsidRPr="002D1C8B">
        <w:rPr>
          <w:lang w:val="hr-HR"/>
        </w:rPr>
        <w:t xml:space="preserve">Ukupno posmatrano, strateški i pravni okvir Crne Gore u ovoj oblasti obuhvata ključne dimenzije razvoja prostora, stanovanja i infrastrukture i formalno pruža osnovu za integrisan i održiv razvoj. Međutim, okvir je djelimično fragmentiran, sa ograničenim stepenom koordinacije između sektorskih politika i izraženim izazovima u implementaciji, posebno na lokalnom nivou. </w:t>
      </w:r>
      <w:r w:rsidR="00035584" w:rsidRPr="002D1C8B">
        <w:rPr>
          <w:lang w:val="hr-HR"/>
        </w:rPr>
        <w:t xml:space="preserve">Dodatno, dio zakonodavstva i strateških dokumenata je relativno nov i još uvijek nije u potpunosti operativno primijenjen, dok se dio normativnog i </w:t>
      </w:r>
      <w:r w:rsidR="00035584" w:rsidRPr="002D1C8B">
        <w:rPr>
          <w:lang w:val="hr-HR"/>
        </w:rPr>
        <w:lastRenderedPageBreak/>
        <w:t>strateškog razvoja i dalje odvija u okviru procesa daljeg usklađivanja sa pravnom tekovinom Evropske unije, ciljevima zelene tranzicije i obavezama preuzetim kroz proces evropskih integracija.</w:t>
      </w:r>
    </w:p>
    <w:p w14:paraId="42164ED2" w14:textId="5B5DD664" w:rsidR="00F579F5" w:rsidRPr="002D1C8B" w:rsidRDefault="036FE982" w:rsidP="0056128D">
      <w:pPr>
        <w:pStyle w:val="Heading3"/>
        <w:rPr>
          <w:lang w:val="hr-HR"/>
        </w:rPr>
      </w:pPr>
      <w:r w:rsidRPr="002D1C8B">
        <w:rPr>
          <w:lang w:val="hr-HR"/>
        </w:rPr>
        <w:t>Planirane i trenutne reforme</w:t>
      </w:r>
      <w:r w:rsidR="00504662" w:rsidRPr="002D1C8B">
        <w:rPr>
          <w:lang w:val="hr-HR"/>
        </w:rPr>
        <w:t xml:space="preserve"> i investicije </w:t>
      </w:r>
    </w:p>
    <w:p w14:paraId="23E514BA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>U okviru Programa ekonomskih reformi i Reformske agende, Crna Gora sprovodi ograničen broj reformi koje su direktno relevantne za sektor stanovanja i infrastrukture, uz mjere koje stvaraju širi okvir za realizaciju investicionih intervencija u oblasti izgradnje, upravljanja prostorom i socijalnog stanovanja.</w:t>
      </w:r>
    </w:p>
    <w:p w14:paraId="2658F46B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 xml:space="preserve">Najvažnija sektorska reforma je Reforma 1.1.4 - Poboljšanje elektronskog katastra i prostornog planiranja, u okviru koje je sproveden ključni korak usvajanjem Prostornog plana Crne Gore, čime se uspostavlja strateški okvir za planiranje prostora, razvoj infrastrukture i realizaciju projekata izgradnje. Istovremeno, kroz reformu se sprovodi digitalizacija katastarskih evidencija i unapređenje funkcionalnosti elektronskog katastra, što doprinosi većoj pravnoj sigurnosti, efikasnijem upravljanju zemljištem i ubrzanju procedura relevantnih za razvoj stambenih i infrastrukturnih projekata. </w:t>
      </w:r>
    </w:p>
    <w:p w14:paraId="3DA58656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>U oblasti energetske i klimatske politike, relevantne su Reforma 2.2.1 - Implementacija mjera iz Nacionalnog energetskog i klimatskog plana (NEKP) i Reforma 2.2.2 - Unapređenje sistema za trgovinu emisijama, koje doprinose razvoju objekata sa niskim ili nultim emisijama i unapređenju energetske efikasnosti u sektoru zgradarstva.</w:t>
      </w:r>
    </w:p>
    <w:p w14:paraId="121F6670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 xml:space="preserve">Posebno je značajna Reforma 2.3.4 - Sprovođenje zakonske regulative o energetskoj efikasnosti i zagađenju vazduha, u okviru koje je usvojena Strategija dugoročnog renoviranja zgrada, povećan godišnji cilj obnove javnih zgrada sa 1% na 3% i usvojen Plan rekonstrukcije službenih zgrada za period 2024–2026. godine. Ove aktivnosti predstavljaju prvi sistemski okvir za dugoročnu obnovu postojećeg fonda zgrada i unapređenje energetske efikasnosti u sektoru stanovanja, uz podršku međunarodnih finansijskih institucija i usklađivanje sa obavezama prema Energetskoj zajednici. </w:t>
      </w:r>
    </w:p>
    <w:p w14:paraId="59A99E51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 xml:space="preserve">Pored toga, Reforma 2.3.2 – Povećanje udjela obnovljivih izvora energije, kroz razvoj energetskih zajednica, regulatorni okvir za prozjumere i pojednostavljenje procedura za korišćenje obnovljivih izvora energije, doprinosi dekarbonizaciji sektora zgradarstva, povećanju energetske samodovoljnosti domaćinstava i većoj primjeni obnovljivih izvora energije u stambenim objektima. </w:t>
      </w:r>
    </w:p>
    <w:p w14:paraId="5B2B7C24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>U dijelu socijalne politike, relevantna je Reforma 3.1.3 - Reformisanje sistema socijalne i dječije zaštite, koja je usmjerena na unapređenje podrške ranjivim grupama i indirektno doprinosi mjerama u oblasti socijalnog i pristupačnog stanovanja.</w:t>
      </w:r>
    </w:p>
    <w:p w14:paraId="2E464E71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>U okviru Programa ekonomskih reformi dodatno su obuhvaćene mjere koje se odnose na unapređenje planiranja i realizacije kapitalnih projekata, što predstavlja važan okvir za sprovođenje investicija u sektoru stanovanja i infrastrukture.</w:t>
      </w:r>
    </w:p>
    <w:p w14:paraId="5A3C04F7" w14:textId="77777777" w:rsidR="00052084" w:rsidRPr="002D1C8B" w:rsidRDefault="00052084" w:rsidP="0056128D">
      <w:pPr>
        <w:rPr>
          <w:lang w:val="hr-HR"/>
        </w:rPr>
      </w:pPr>
      <w:r w:rsidRPr="002D1C8B">
        <w:rPr>
          <w:lang w:val="hr-HR"/>
        </w:rPr>
        <w:t>Pored reformskih aktivnosti, u toku su i pripreme investicionih inicijativa usmjerenih na povećanje dostupnosti stanovanja i razvoj novih stambenih kapaciteta. U tom kontekstu, Vlada Crne Gore pokrenula je aktivnosti na planiranju i realizaciji novog stambenog naselja na području Podgorice, koje obuhvata izgradnju stambenih objekata sa pratećom komunalnom, saobraćajnom i društvenom infrastrukturom. Ova inicijativa dio je šireg pristupa usmjerenog na razvoj novih stambenih zona i naselja na nacionalnom nivou, sa ciljem povećanja ponude stanova, unapređenja dostupnosti stanovanja i stvaranja uslova za održivi urbani razvoj. Iako se ove aktivnosti nalaze u različitim fazama pripreme i realizacije, one ukazuju na rastući značaj stambene politike kao razvojnog i teritorijalnog pitanja, posebno u uslovima rasta cijena nekretnina i povećane potražnje za stanovanjem u urbanim centrima.</w:t>
      </w:r>
    </w:p>
    <w:p w14:paraId="3C698635" w14:textId="5863FA6B" w:rsidR="00F579F5" w:rsidRPr="002D1C8B" w:rsidRDefault="06A38136" w:rsidP="0056128D">
      <w:pPr>
        <w:pStyle w:val="Heading2"/>
        <w:rPr>
          <w:lang w:val="hr-HR"/>
        </w:rPr>
      </w:pPr>
      <w:r w:rsidRPr="002D1C8B">
        <w:rPr>
          <w:lang w:val="hr-HR"/>
        </w:rPr>
        <w:lastRenderedPageBreak/>
        <w:t>Ključni indikatori</w:t>
      </w:r>
    </w:p>
    <w:tbl>
      <w:tblPr>
        <w:tblStyle w:val="GridTable1Light-Accent4"/>
        <w:tblW w:w="9052" w:type="dxa"/>
        <w:tblLayout w:type="fixed"/>
        <w:tblLook w:val="04A0" w:firstRow="1" w:lastRow="0" w:firstColumn="1" w:lastColumn="0" w:noHBand="0" w:noVBand="1"/>
      </w:tblPr>
      <w:tblGrid>
        <w:gridCol w:w="1970"/>
        <w:gridCol w:w="900"/>
        <w:gridCol w:w="1260"/>
        <w:gridCol w:w="1260"/>
        <w:gridCol w:w="3662"/>
      </w:tblGrid>
      <w:tr w:rsidR="06A38136" w:rsidRPr="002D1C8B" w14:paraId="374F68ED" w14:textId="77777777" w:rsidTr="00561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713C1C06" w14:textId="30146A35" w:rsidR="06A38136" w:rsidRPr="002D1C8B" w:rsidRDefault="06A38136" w:rsidP="00E2151A">
            <w:pPr>
              <w:rPr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>Indikator</w:t>
            </w:r>
          </w:p>
        </w:tc>
        <w:tc>
          <w:tcPr>
            <w:tcW w:w="900" w:type="dxa"/>
          </w:tcPr>
          <w:p w14:paraId="321E2D8F" w14:textId="064D2D62" w:rsidR="06A38136" w:rsidRPr="002D1C8B" w:rsidRDefault="06A38136" w:rsidP="00E215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>CG vrijednost</w:t>
            </w:r>
          </w:p>
        </w:tc>
        <w:tc>
          <w:tcPr>
            <w:tcW w:w="1260" w:type="dxa"/>
          </w:tcPr>
          <w:p w14:paraId="174262B3" w14:textId="5345911D" w:rsidR="06A38136" w:rsidRPr="002D1C8B" w:rsidRDefault="06A38136" w:rsidP="00E215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>EU-27 vrijednost</w:t>
            </w:r>
          </w:p>
        </w:tc>
        <w:tc>
          <w:tcPr>
            <w:tcW w:w="1260" w:type="dxa"/>
          </w:tcPr>
          <w:p w14:paraId="4A83177C" w14:textId="1CB8369E" w:rsidR="06A38136" w:rsidRPr="002D1C8B" w:rsidRDefault="06A38136" w:rsidP="00E215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Godina </w:t>
            </w:r>
          </w:p>
          <w:p w14:paraId="0AC6DAD6" w14:textId="0CA06E77" w:rsidR="06A38136" w:rsidRPr="002D1C8B" w:rsidRDefault="06A38136" w:rsidP="00E215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 (CG / EU) </w:t>
            </w:r>
          </w:p>
        </w:tc>
        <w:tc>
          <w:tcPr>
            <w:tcW w:w="3662" w:type="dxa"/>
          </w:tcPr>
          <w:p w14:paraId="1D7E52C6" w14:textId="280B96F5" w:rsidR="06A38136" w:rsidRPr="002D1C8B" w:rsidRDefault="06A38136" w:rsidP="00E215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Izvor </w:t>
            </w:r>
          </w:p>
        </w:tc>
      </w:tr>
      <w:tr w:rsidR="06A38136" w:rsidRPr="002550A2" w14:paraId="396EC061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14DD5C4E" w14:textId="19604647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Stopa prenaseljenosti stanova (% stanovništva) </w:t>
            </w:r>
          </w:p>
        </w:tc>
        <w:tc>
          <w:tcPr>
            <w:tcW w:w="900" w:type="dxa"/>
          </w:tcPr>
          <w:p w14:paraId="7A2479C8" w14:textId="7E4C0874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61,6 </w:t>
            </w:r>
          </w:p>
        </w:tc>
        <w:tc>
          <w:tcPr>
            <w:tcW w:w="1260" w:type="dxa"/>
          </w:tcPr>
          <w:p w14:paraId="28ACE4A6" w14:textId="2F7D63C2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16,9 </w:t>
            </w:r>
          </w:p>
        </w:tc>
        <w:tc>
          <w:tcPr>
            <w:tcW w:w="1260" w:type="dxa"/>
          </w:tcPr>
          <w:p w14:paraId="3CD23835" w14:textId="457E5874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2022 / 2024 </w:t>
            </w:r>
          </w:p>
        </w:tc>
        <w:tc>
          <w:tcPr>
            <w:tcW w:w="3662" w:type="dxa"/>
          </w:tcPr>
          <w:p w14:paraId="1E2E42AF" w14:textId="70C2126B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0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https://ec.europa.eu/eurostat/databrowser/view/ilc_lvho05a/default/table</w:t>
              </w:r>
            </w:hyperlink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 </w:t>
            </w:r>
          </w:p>
        </w:tc>
      </w:tr>
      <w:tr w:rsidR="06A38136" w:rsidRPr="002550A2" w14:paraId="512C385B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26DAD687" w14:textId="605809E6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Stopa preopterećenosti troškovima stanovanja (% stanovništva) </w:t>
            </w:r>
          </w:p>
        </w:tc>
        <w:tc>
          <w:tcPr>
            <w:tcW w:w="900" w:type="dxa"/>
          </w:tcPr>
          <w:p w14:paraId="6C47D308" w14:textId="7326A1A8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5,8 </w:t>
            </w:r>
          </w:p>
        </w:tc>
        <w:tc>
          <w:tcPr>
            <w:tcW w:w="1260" w:type="dxa"/>
          </w:tcPr>
          <w:p w14:paraId="4CE2C20B" w14:textId="78788D2A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8,2 </w:t>
            </w:r>
          </w:p>
        </w:tc>
        <w:tc>
          <w:tcPr>
            <w:tcW w:w="1260" w:type="dxa"/>
          </w:tcPr>
          <w:p w14:paraId="0C4531C8" w14:textId="6285394B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2022 / 2024 </w:t>
            </w:r>
          </w:p>
        </w:tc>
        <w:tc>
          <w:tcPr>
            <w:tcW w:w="3662" w:type="dxa"/>
          </w:tcPr>
          <w:p w14:paraId="581EC7E6" w14:textId="47F21F68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1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https://ec.europa.eu/eurostat/databrowser/view/ilc_lvho07a/default/table</w:t>
              </w:r>
            </w:hyperlink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 </w:t>
            </w:r>
          </w:p>
        </w:tc>
      </w:tr>
      <w:tr w:rsidR="06A38136" w:rsidRPr="002550A2" w14:paraId="7CFA6529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5FB1B6B9" w14:textId="00310F65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Stopa vlasništva nad stanovima (% stanovništva) </w:t>
            </w:r>
          </w:p>
        </w:tc>
        <w:tc>
          <w:tcPr>
            <w:tcW w:w="900" w:type="dxa"/>
          </w:tcPr>
          <w:p w14:paraId="12401D05" w14:textId="3C226483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91,0 </w:t>
            </w:r>
          </w:p>
        </w:tc>
        <w:tc>
          <w:tcPr>
            <w:tcW w:w="1260" w:type="dxa"/>
          </w:tcPr>
          <w:p w14:paraId="27E02560" w14:textId="720ED6E6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69,0 </w:t>
            </w:r>
          </w:p>
        </w:tc>
        <w:tc>
          <w:tcPr>
            <w:tcW w:w="1260" w:type="dxa"/>
          </w:tcPr>
          <w:p w14:paraId="007D1873" w14:textId="1E1ADFDD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2022 / 2023 </w:t>
            </w:r>
          </w:p>
        </w:tc>
        <w:tc>
          <w:tcPr>
            <w:tcW w:w="3662" w:type="dxa"/>
          </w:tcPr>
          <w:p w14:paraId="3AA1A672" w14:textId="42A13943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2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https://ec.europa.eu/eurostat/databrowser/view/ilc_lvho02/default/table</w:t>
              </w:r>
            </w:hyperlink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 </w:t>
            </w:r>
          </w:p>
        </w:tc>
      </w:tr>
      <w:tr w:rsidR="06A38136" w:rsidRPr="002550A2" w14:paraId="552336F2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2F6C1162" w14:textId="48CE0CAF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Stopa stambene deprivacije (% stanovništva) </w:t>
            </w:r>
          </w:p>
        </w:tc>
        <w:tc>
          <w:tcPr>
            <w:tcW w:w="900" w:type="dxa"/>
          </w:tcPr>
          <w:p w14:paraId="2BC95892" w14:textId="48A9200D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17,0 </w:t>
            </w:r>
          </w:p>
        </w:tc>
        <w:tc>
          <w:tcPr>
            <w:tcW w:w="1260" w:type="dxa"/>
          </w:tcPr>
          <w:p w14:paraId="52DD3922" w14:textId="0D3AB34E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6,7 </w:t>
            </w:r>
          </w:p>
        </w:tc>
        <w:tc>
          <w:tcPr>
            <w:tcW w:w="1260" w:type="dxa"/>
          </w:tcPr>
          <w:p w14:paraId="76FA8E5A" w14:textId="53C11368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2022 / 2023 </w:t>
            </w:r>
          </w:p>
        </w:tc>
        <w:tc>
          <w:tcPr>
            <w:tcW w:w="3662" w:type="dxa"/>
          </w:tcPr>
          <w:p w14:paraId="336678DB" w14:textId="5F1A70AA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3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https://ec.europa.eu/eurostat/databrowser/view/ilc_mdho06a/default/table</w:t>
              </w:r>
            </w:hyperlink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 </w:t>
            </w:r>
          </w:p>
        </w:tc>
      </w:tr>
      <w:tr w:rsidR="06A38136" w:rsidRPr="002550A2" w14:paraId="5053DDF3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4904A017" w14:textId="7D1FA910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Stanovništvo u riziku od siromaštva ili socijalne isključenosti – AROPE (%) </w:t>
            </w:r>
          </w:p>
        </w:tc>
        <w:tc>
          <w:tcPr>
            <w:tcW w:w="900" w:type="dxa"/>
          </w:tcPr>
          <w:p w14:paraId="4DC6CD2E" w14:textId="3F229F3C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21,3 </w:t>
            </w:r>
          </w:p>
        </w:tc>
        <w:tc>
          <w:tcPr>
            <w:tcW w:w="1260" w:type="dxa"/>
          </w:tcPr>
          <w:p w14:paraId="129C07B3" w14:textId="474E98BA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21,6 </w:t>
            </w:r>
          </w:p>
        </w:tc>
        <w:tc>
          <w:tcPr>
            <w:tcW w:w="1260" w:type="dxa"/>
          </w:tcPr>
          <w:p w14:paraId="62E58EC9" w14:textId="52636EF5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2022 / 2023 </w:t>
            </w:r>
          </w:p>
        </w:tc>
        <w:tc>
          <w:tcPr>
            <w:tcW w:w="3662" w:type="dxa"/>
          </w:tcPr>
          <w:p w14:paraId="59D1B4D4" w14:textId="5F6D8B06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4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https://ec.europa.eu/eurostat/databrowser/view/ilc_peps01n/default/table</w:t>
              </w:r>
            </w:hyperlink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 </w:t>
            </w:r>
          </w:p>
        </w:tc>
      </w:tr>
      <w:tr w:rsidR="06A38136" w:rsidRPr="002550A2" w14:paraId="0C279E13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1552061F" w14:textId="03814778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Udio obnovljivih izvora u finalnoj potrošnji energije (%) </w:t>
            </w:r>
          </w:p>
        </w:tc>
        <w:tc>
          <w:tcPr>
            <w:tcW w:w="900" w:type="dxa"/>
          </w:tcPr>
          <w:p w14:paraId="4E5C5CD3" w14:textId="7075BF0B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40,9 </w:t>
            </w:r>
          </w:p>
        </w:tc>
        <w:tc>
          <w:tcPr>
            <w:tcW w:w="1260" w:type="dxa"/>
          </w:tcPr>
          <w:p w14:paraId="1F0899B7" w14:textId="730079CB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24,5 </w:t>
            </w:r>
          </w:p>
        </w:tc>
        <w:tc>
          <w:tcPr>
            <w:tcW w:w="1260" w:type="dxa"/>
          </w:tcPr>
          <w:p w14:paraId="10303E54" w14:textId="3CFD3F2C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2023 / 2023 </w:t>
            </w:r>
          </w:p>
        </w:tc>
        <w:tc>
          <w:tcPr>
            <w:tcW w:w="3662" w:type="dxa"/>
          </w:tcPr>
          <w:p w14:paraId="1F9C90B3" w14:textId="4DDE4046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5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https://ec.europa.eu/eurostat/databrowser/view/nrg_ind_ren/default/table</w:t>
              </w:r>
            </w:hyperlink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 </w:t>
            </w:r>
          </w:p>
        </w:tc>
      </w:tr>
      <w:tr w:rsidR="06A38136" w:rsidRPr="002550A2" w14:paraId="76ACA555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34BE8AC6" w14:textId="2F8396B5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Medijan udjela troškova stanovanja u raspoloživom dohotku (%) </w:t>
            </w:r>
          </w:p>
        </w:tc>
        <w:tc>
          <w:tcPr>
            <w:tcW w:w="900" w:type="dxa"/>
          </w:tcPr>
          <w:p w14:paraId="1828B1B3" w14:textId="62B0D577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17.2 </w:t>
            </w:r>
          </w:p>
        </w:tc>
        <w:tc>
          <w:tcPr>
            <w:tcW w:w="1260" w:type="dxa"/>
          </w:tcPr>
          <w:p w14:paraId="34839CC4" w14:textId="006F3B98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19.2 </w:t>
            </w:r>
          </w:p>
        </w:tc>
        <w:tc>
          <w:tcPr>
            <w:tcW w:w="1260" w:type="dxa"/>
          </w:tcPr>
          <w:p w14:paraId="0B449C4C" w14:textId="67ED797D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2022 / 2024 </w:t>
            </w:r>
          </w:p>
        </w:tc>
        <w:tc>
          <w:tcPr>
            <w:tcW w:w="3662" w:type="dxa"/>
          </w:tcPr>
          <w:p w14:paraId="3F5BCD1D" w14:textId="16081B4A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6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https://ec.europa.eu/eurostat/databrowser/view/ilc_mded01/default/table</w:t>
              </w:r>
            </w:hyperlink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 </w:t>
            </w:r>
          </w:p>
        </w:tc>
      </w:tr>
      <w:tr w:rsidR="06A38136" w:rsidRPr="002550A2" w14:paraId="5E228A49" w14:textId="77777777" w:rsidTr="0056128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1B9CF790" w14:textId="5B7F839C" w:rsidR="06A38136" w:rsidRPr="002D1C8B" w:rsidRDefault="06A38136" w:rsidP="00E2151A">
            <w:pPr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Stopa </w:t>
            </w: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vertAlign w:val="superscript"/>
                <w:lang w:val="hr-HR"/>
              </w:rPr>
              <w:t>1</w:t>
            </w:r>
            <w:r w:rsidRPr="002D1C8B">
              <w:rPr>
                <w:rFonts w:eastAsiaTheme="minorEastAsia"/>
                <w:b w:val="0"/>
                <w:bCs w:val="0"/>
                <w:sz w:val="16"/>
                <w:szCs w:val="16"/>
                <w:lang w:val="hr-HR"/>
              </w:rPr>
              <w:t xml:space="preserve">ozbiljne stambene deprivacije (% stanovništva) </w:t>
            </w:r>
          </w:p>
        </w:tc>
        <w:tc>
          <w:tcPr>
            <w:tcW w:w="900" w:type="dxa"/>
          </w:tcPr>
          <w:p w14:paraId="627C970C" w14:textId="6F27274A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18.2 </w:t>
            </w:r>
          </w:p>
        </w:tc>
        <w:tc>
          <w:tcPr>
            <w:tcW w:w="1260" w:type="dxa"/>
          </w:tcPr>
          <w:p w14:paraId="7B69959C" w14:textId="152214D7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4,0 </w:t>
            </w:r>
          </w:p>
        </w:tc>
        <w:tc>
          <w:tcPr>
            <w:tcW w:w="1260" w:type="dxa"/>
          </w:tcPr>
          <w:p w14:paraId="491DF6B5" w14:textId="161F02E6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2020/ 2023 </w:t>
            </w:r>
          </w:p>
        </w:tc>
        <w:tc>
          <w:tcPr>
            <w:tcW w:w="3662" w:type="dxa"/>
          </w:tcPr>
          <w:p w14:paraId="4A8AA070" w14:textId="34189C89" w:rsidR="06A38136" w:rsidRPr="002D1C8B" w:rsidRDefault="06A38136" w:rsidP="00E21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hr-HR"/>
              </w:rPr>
            </w:pPr>
            <w:r w:rsidRPr="002D1C8B">
              <w:rPr>
                <w:rFonts w:eastAsiaTheme="minorEastAsia"/>
                <w:sz w:val="16"/>
                <w:szCs w:val="16"/>
                <w:lang w:val="hr-HR"/>
              </w:rPr>
              <w:t xml:space="preserve">Eurostat – </w:t>
            </w:r>
            <w:hyperlink r:id="rId17">
              <w:r w:rsidRPr="002D1C8B">
                <w:rPr>
                  <w:rStyle w:val="Hyperlink"/>
                  <w:rFonts w:eastAsiaTheme="minorEastAsia"/>
                  <w:color w:val="auto"/>
                  <w:sz w:val="16"/>
                  <w:szCs w:val="16"/>
                  <w:lang w:val="hr-HR"/>
                </w:rPr>
                <w:t>https://ec.europa.eu/eurostat/databrowser/view/ilc_mdho06a/default/table</w:t>
              </w:r>
            </w:hyperlink>
          </w:p>
        </w:tc>
      </w:tr>
    </w:tbl>
    <w:p w14:paraId="55E44365" w14:textId="77777777" w:rsidR="00415FBD" w:rsidRPr="002D1C8B" w:rsidRDefault="00415FBD" w:rsidP="00415FBD">
      <w:pPr>
        <w:spacing w:after="0" w:line="240" w:lineRule="auto"/>
        <w:rPr>
          <w:lang w:val="hr-HR"/>
        </w:rPr>
      </w:pPr>
    </w:p>
    <w:p w14:paraId="356DF481" w14:textId="77777777" w:rsidR="00415FBD" w:rsidRPr="002D1C8B" w:rsidRDefault="00415FBD" w:rsidP="63DAC6F6">
      <w:pPr>
        <w:rPr>
          <w:lang w:val="hr-HR"/>
        </w:rPr>
      </w:pPr>
    </w:p>
    <w:p w14:paraId="55AE590B" w14:textId="77777777" w:rsidR="0021066E" w:rsidRPr="002D1C8B" w:rsidRDefault="43C7F2DD" w:rsidP="0021066E">
      <w:pPr>
        <w:pStyle w:val="Heading2"/>
        <w:rPr>
          <w:color w:val="auto"/>
          <w:lang w:val="hr-HR"/>
        </w:rPr>
      </w:pPr>
      <w:r w:rsidRPr="002D1C8B">
        <w:rPr>
          <w:color w:val="auto"/>
          <w:lang w:val="hr-HR"/>
        </w:rPr>
        <w:t>Tematske cjeline</w:t>
      </w:r>
    </w:p>
    <w:tbl>
      <w:tblPr>
        <w:tblStyle w:val="GridTable1Light-Accent4"/>
        <w:tblW w:w="8765" w:type="dxa"/>
        <w:tblLook w:val="04A0" w:firstRow="1" w:lastRow="0" w:firstColumn="1" w:lastColumn="0" w:noHBand="0" w:noVBand="1"/>
      </w:tblPr>
      <w:tblGrid>
        <w:gridCol w:w="3020"/>
        <w:gridCol w:w="5745"/>
      </w:tblGrid>
      <w:tr w:rsidR="0021066E" w:rsidRPr="002D1C8B" w14:paraId="4B4FD3E9" w14:textId="77777777" w:rsidTr="00561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00D1A1" w14:textId="77777777" w:rsidR="0021066E" w:rsidRPr="002D1C8B" w:rsidRDefault="0BB45BEF" w:rsidP="0BB45BEF">
            <w:pPr>
              <w:rPr>
                <w:b w:val="0"/>
                <w:bCs w:val="0"/>
                <w:szCs w:val="20"/>
                <w:lang w:val="hr-HR"/>
              </w:rPr>
            </w:pPr>
            <w:r w:rsidRPr="002D1C8B">
              <w:rPr>
                <w:b w:val="0"/>
                <w:bCs w:val="0"/>
                <w:szCs w:val="20"/>
                <w:lang w:val="hr-HR"/>
              </w:rPr>
              <w:t>Kod tematske cjeline</w:t>
            </w:r>
          </w:p>
        </w:tc>
        <w:tc>
          <w:tcPr>
            <w:tcW w:w="5745" w:type="dxa"/>
          </w:tcPr>
          <w:p w14:paraId="0C76F98A" w14:textId="77777777" w:rsidR="0021066E" w:rsidRPr="002D1C8B" w:rsidRDefault="0BB45BEF" w:rsidP="0BB45B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  <w:lang w:val="hr-HR"/>
              </w:rPr>
            </w:pPr>
            <w:r w:rsidRPr="002D1C8B">
              <w:rPr>
                <w:b w:val="0"/>
                <w:bCs w:val="0"/>
                <w:szCs w:val="20"/>
                <w:lang w:val="hr-HR"/>
              </w:rPr>
              <w:t>Naziv tematske cjeline</w:t>
            </w:r>
          </w:p>
        </w:tc>
      </w:tr>
      <w:tr w:rsidR="0021066E" w:rsidRPr="002550A2" w14:paraId="6A3F0558" w14:textId="77777777" w:rsidTr="00561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817500" w14:textId="64DF2834" w:rsidR="0021066E" w:rsidRPr="002D1C8B" w:rsidRDefault="0BB45BEF" w:rsidP="0BB45BEF">
            <w:pPr>
              <w:rPr>
                <w:b w:val="0"/>
                <w:bCs w:val="0"/>
                <w:szCs w:val="20"/>
                <w:lang w:val="hr-HR"/>
              </w:rPr>
            </w:pPr>
            <w:r w:rsidRPr="002D1C8B">
              <w:rPr>
                <w:b w:val="0"/>
                <w:bCs w:val="0"/>
                <w:szCs w:val="20"/>
                <w:lang w:val="hr-HR"/>
              </w:rPr>
              <w:t>[PA2]-9.1</w:t>
            </w:r>
          </w:p>
        </w:tc>
        <w:tc>
          <w:tcPr>
            <w:tcW w:w="5745" w:type="dxa"/>
          </w:tcPr>
          <w:p w14:paraId="1172554C" w14:textId="6CF3364D" w:rsidR="0021066E" w:rsidRPr="002D1C8B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hr-HR"/>
              </w:rPr>
            </w:pPr>
            <w:r w:rsidRPr="002D1C8B">
              <w:rPr>
                <w:szCs w:val="20"/>
                <w:lang w:val="hr-HR"/>
              </w:rPr>
              <w:t>Izgradnja novih objekata sa niskim ili nultim emisijama (stambeni, javni i nestambeni objekti)</w:t>
            </w:r>
          </w:p>
        </w:tc>
      </w:tr>
      <w:tr w:rsidR="0021066E" w:rsidRPr="002D1C8B" w14:paraId="651EB7EB" w14:textId="77777777" w:rsidTr="00561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EBCFEC7" w14:textId="1FF3FD62" w:rsidR="0021066E" w:rsidRPr="002D1C8B" w:rsidRDefault="0BB45BEF" w:rsidP="0BB45BEF">
            <w:pPr>
              <w:rPr>
                <w:b w:val="0"/>
                <w:bCs w:val="0"/>
                <w:szCs w:val="20"/>
                <w:lang w:val="hr-HR"/>
              </w:rPr>
            </w:pPr>
            <w:r w:rsidRPr="002D1C8B">
              <w:rPr>
                <w:b w:val="0"/>
                <w:bCs w:val="0"/>
                <w:szCs w:val="20"/>
                <w:lang w:val="hr-HR"/>
              </w:rPr>
              <w:t>[PA2]-9.2</w:t>
            </w:r>
          </w:p>
        </w:tc>
        <w:tc>
          <w:tcPr>
            <w:tcW w:w="5745" w:type="dxa"/>
          </w:tcPr>
          <w:p w14:paraId="0386CACC" w14:textId="5D94EB6A" w:rsidR="0021066E" w:rsidRPr="002D1C8B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hr-HR"/>
              </w:rPr>
            </w:pPr>
            <w:r w:rsidRPr="002D1C8B">
              <w:rPr>
                <w:szCs w:val="20"/>
                <w:lang w:val="hr-HR"/>
              </w:rPr>
              <w:t>Uklanjanje objekata i upravljanje nelegalnom i neodrživom gradnjom</w:t>
            </w:r>
          </w:p>
        </w:tc>
      </w:tr>
      <w:tr w:rsidR="0038625C" w:rsidRPr="002D1C8B" w14:paraId="2AF63EFC" w14:textId="77777777" w:rsidTr="005612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23ED2ED" w14:textId="6B452537" w:rsidR="0038625C" w:rsidRPr="002D1C8B" w:rsidRDefault="0BB45BEF" w:rsidP="0BB45BEF">
            <w:pPr>
              <w:rPr>
                <w:b w:val="0"/>
                <w:bCs w:val="0"/>
                <w:szCs w:val="20"/>
                <w:lang w:val="hr-HR"/>
              </w:rPr>
            </w:pPr>
            <w:r w:rsidRPr="002D1C8B">
              <w:rPr>
                <w:b w:val="0"/>
                <w:bCs w:val="0"/>
                <w:szCs w:val="20"/>
                <w:lang w:val="hr-HR"/>
              </w:rPr>
              <w:t>[PA2]-9.3</w:t>
            </w:r>
          </w:p>
        </w:tc>
        <w:tc>
          <w:tcPr>
            <w:tcW w:w="5745" w:type="dxa"/>
          </w:tcPr>
          <w:p w14:paraId="2F2EA17F" w14:textId="17A746CC" w:rsidR="0038625C" w:rsidRPr="002D1C8B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hr-HR"/>
              </w:rPr>
            </w:pPr>
            <w:r w:rsidRPr="002D1C8B">
              <w:rPr>
                <w:szCs w:val="20"/>
                <w:lang w:val="hr-HR"/>
              </w:rPr>
              <w:t>Socijalno i pristupačno stanovanje sa pratećom infrastrukturom</w:t>
            </w:r>
          </w:p>
        </w:tc>
      </w:tr>
      <w:tr w:rsidR="0038625C" w:rsidRPr="002D1C8B" w14:paraId="526310FD" w14:textId="77777777" w:rsidTr="0056128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B51E9B9" w14:textId="54943FBB" w:rsidR="0038625C" w:rsidRPr="002D1C8B" w:rsidRDefault="0BB45BEF" w:rsidP="0BB45BEF">
            <w:pPr>
              <w:rPr>
                <w:b w:val="0"/>
                <w:bCs w:val="0"/>
                <w:szCs w:val="20"/>
                <w:lang w:val="hr-HR"/>
              </w:rPr>
            </w:pPr>
            <w:r w:rsidRPr="002D1C8B">
              <w:rPr>
                <w:b w:val="0"/>
                <w:bCs w:val="0"/>
                <w:szCs w:val="20"/>
                <w:lang w:val="hr-HR"/>
              </w:rPr>
              <w:t>[PA2]-9.4</w:t>
            </w:r>
          </w:p>
        </w:tc>
        <w:tc>
          <w:tcPr>
            <w:tcW w:w="5745" w:type="dxa"/>
          </w:tcPr>
          <w:p w14:paraId="00803AF9" w14:textId="596922C5" w:rsidR="0038625C" w:rsidRPr="002D1C8B" w:rsidRDefault="0BB45BEF" w:rsidP="0BB45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hr-HR"/>
              </w:rPr>
            </w:pPr>
            <w:r w:rsidRPr="002D1C8B">
              <w:rPr>
                <w:szCs w:val="20"/>
                <w:lang w:val="hr-HR"/>
              </w:rPr>
              <w:t>Reformski i regulatorni okvir</w:t>
            </w:r>
          </w:p>
        </w:tc>
      </w:tr>
    </w:tbl>
    <w:p w14:paraId="73DAEDE5" w14:textId="6862D727" w:rsidR="002F3E2F" w:rsidRPr="002D1C8B" w:rsidRDefault="002F3E2F" w:rsidP="43C7F2DD">
      <w:pPr>
        <w:rPr>
          <w:lang w:val="hr-HR"/>
        </w:rPr>
      </w:pPr>
    </w:p>
    <w:p w14:paraId="52EED137" w14:textId="39629C09" w:rsidR="0038625C" w:rsidRPr="002D1C8B" w:rsidRDefault="43C7F2DD" w:rsidP="0BB45BEF">
      <w:pPr>
        <w:rPr>
          <w:b/>
          <w:bCs/>
          <w:lang w:val="hr-HR"/>
        </w:rPr>
      </w:pPr>
      <w:r w:rsidRPr="002D1C8B">
        <w:rPr>
          <w:rFonts w:eastAsiaTheme="minorEastAsia"/>
          <w:b/>
          <w:bCs/>
          <w:lang w:val="hr-HR"/>
        </w:rPr>
        <w:t>[PA2]9.1 Izgr</w:t>
      </w:r>
      <w:r w:rsidRPr="002D1C8B">
        <w:rPr>
          <w:b/>
          <w:bCs/>
          <w:lang w:val="hr-HR"/>
        </w:rPr>
        <w:t>adnja novih objekata sa niskim ili nultim emisijama (stambeni, javni i nestambeni objekti)</w:t>
      </w:r>
    </w:p>
    <w:p w14:paraId="4D164747" w14:textId="4A904FA3" w:rsidR="0038625C" w:rsidRPr="002D1C8B" w:rsidRDefault="0BB45BEF" w:rsidP="0056128D">
      <w:pPr>
        <w:rPr>
          <w:lang w:val="hr-HR"/>
        </w:rPr>
      </w:pPr>
      <w:r w:rsidRPr="002D1C8B">
        <w:rPr>
          <w:lang w:val="hr-HR"/>
        </w:rPr>
        <w:t>Ova tematska cjelina obuhvata intervencije koje se odnose na razvoj i izgradnju novih objekata sa niskim ili nultim emisijama, uključujući stambene, javne i nestambene objekte. Fokus je na kapacitetima građevinskog sektora, dostupnosti investicija i primjeni standarda održive gradnje.</w:t>
      </w:r>
    </w:p>
    <w:p w14:paraId="6AB9561E" w14:textId="1F9F243F" w:rsidR="0038625C" w:rsidRPr="002D1C8B" w:rsidRDefault="43C7F2DD" w:rsidP="0056128D">
      <w:pPr>
        <w:rPr>
          <w:lang w:val="hr-HR"/>
        </w:rPr>
      </w:pPr>
      <w:r w:rsidRPr="002D1C8B">
        <w:rPr>
          <w:lang w:val="hr-HR"/>
        </w:rPr>
        <w:t>[PA2] 9.2 Uklanjanje objekata i upravljanje nelegalnom gradnjom</w:t>
      </w:r>
    </w:p>
    <w:p w14:paraId="73B89B42" w14:textId="1D4BFEB4" w:rsidR="0038625C" w:rsidRPr="002D1C8B" w:rsidRDefault="0BB45BEF" w:rsidP="0056128D">
      <w:pPr>
        <w:rPr>
          <w:lang w:val="hr-HR"/>
        </w:rPr>
      </w:pPr>
      <w:r w:rsidRPr="002D1C8B">
        <w:rPr>
          <w:lang w:val="hr-HR"/>
        </w:rPr>
        <w:t>Ova tematska cjelina obuhvata intervencije koje se odnose na rušenje i uklanjanje objekata, uključujući upravljanje nelegalnom gradnjom i prostornu racionalizaciju. Fokus je na pravnom okviru, institucionalnim kapacitetima i implikacijama uklanjanja objekata.</w:t>
      </w:r>
    </w:p>
    <w:p w14:paraId="0C293761" w14:textId="372C66FB" w:rsidR="0038625C" w:rsidRPr="002D1C8B" w:rsidRDefault="43C7F2DD" w:rsidP="0BB45BEF">
      <w:pPr>
        <w:rPr>
          <w:rFonts w:eastAsiaTheme="minorEastAsia"/>
          <w:b/>
          <w:bCs/>
          <w:lang w:val="hr-HR"/>
        </w:rPr>
      </w:pPr>
      <w:r w:rsidRPr="002D1C8B">
        <w:rPr>
          <w:rFonts w:eastAsiaTheme="minorEastAsia"/>
          <w:b/>
          <w:bCs/>
          <w:lang w:val="hr-HR"/>
        </w:rPr>
        <w:t>[PA2]9.3 Socijalno i pristupačno stanovanje sa pratećom infrastrukturom</w:t>
      </w:r>
    </w:p>
    <w:p w14:paraId="40D920BF" w14:textId="0776F4BE" w:rsidR="0038625C" w:rsidRPr="002D1C8B" w:rsidRDefault="0BB45BEF" w:rsidP="0056128D">
      <w:pPr>
        <w:rPr>
          <w:lang w:val="hr-HR"/>
        </w:rPr>
      </w:pPr>
      <w:r w:rsidRPr="002D1C8B">
        <w:rPr>
          <w:lang w:val="hr-HR"/>
        </w:rPr>
        <w:lastRenderedPageBreak/>
        <w:t>Ova tematska cjelina obuhvata sve intervencije usmjerene na razvoj socijalnog i pristupačnog stanovanja, uključujući izgradnju novih objekata, rehabilitaciju postojećih i prenamjenu objekata u stambene svrhe. U okviru ove cjeline obuhvaćeni su i posebni segmenti kao što su studentski smještaj i intervencije usmjerene na borbu protiv beskućništva, kao i razvoj pratećih nestambenih objekata i infrastrukture povezanih sa stanovanjem. Fokus je na dostupnosti stanovanja, ciljanim grupama, modelima finansiranja i integrisanom pristupu pružanju usluga.</w:t>
      </w:r>
    </w:p>
    <w:p w14:paraId="64CA061F" w14:textId="1627DFF9" w:rsidR="0038625C" w:rsidRPr="002D1C8B" w:rsidRDefault="6B0903E9" w:rsidP="6B0903E9">
      <w:pPr>
        <w:rPr>
          <w:rFonts w:eastAsiaTheme="minorEastAsia"/>
          <w:b/>
          <w:bCs/>
          <w:lang w:val="hr-HR"/>
        </w:rPr>
      </w:pPr>
      <w:r w:rsidRPr="002D1C8B">
        <w:rPr>
          <w:rFonts w:eastAsiaTheme="minorEastAsia"/>
          <w:b/>
          <w:bCs/>
          <w:lang w:val="hr-HR"/>
        </w:rPr>
        <w:t>[PA2]9.4 Reformski i regulatorni okvir</w:t>
      </w:r>
    </w:p>
    <w:p w14:paraId="433FA877" w14:textId="39D8818F" w:rsidR="43C7F2DD" w:rsidRPr="002D1C8B" w:rsidRDefault="43C7F2DD" w:rsidP="63DAC6F6">
      <w:pPr>
        <w:rPr>
          <w:lang w:val="hr-HR"/>
        </w:rPr>
      </w:pPr>
      <w:r w:rsidRPr="002D1C8B">
        <w:rPr>
          <w:lang w:val="hr-HR"/>
        </w:rPr>
        <w:t>Ova tematska cjelina obuhvata reformske intervencije koje se odnose na unapređenje zakonodavnog, strateškog i institucionalnog okvira u sektoru stanovanja i infrastrukture. Fokus je na usklađivanju sa EU standardima, jačanju kapaciteta i unapređenju planiranja i sprovođenja politika.</w:t>
      </w:r>
    </w:p>
    <w:p w14:paraId="3777CC6E" w14:textId="12880EAA" w:rsidR="00F579F5" w:rsidRPr="002D1C8B" w:rsidRDefault="06A38136" w:rsidP="0056128D">
      <w:pPr>
        <w:pStyle w:val="Heading2"/>
        <w:rPr>
          <w:lang w:val="hr-HR"/>
        </w:rPr>
      </w:pPr>
      <w:r w:rsidRPr="002D1C8B">
        <w:rPr>
          <w:lang w:val="hr-HR"/>
        </w:rPr>
        <w:t>Indikativna lista razvojnih izazova</w:t>
      </w:r>
    </w:p>
    <w:tbl>
      <w:tblPr>
        <w:tblStyle w:val="GridTable1Light-Accent4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997"/>
        <w:gridCol w:w="2972"/>
        <w:gridCol w:w="4531"/>
      </w:tblGrid>
      <w:tr w:rsidR="0056128D" w:rsidRPr="002D1C8B" w14:paraId="4D639FF9" w14:textId="77777777" w:rsidTr="00561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09F57359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Broj</w:t>
            </w:r>
          </w:p>
        </w:tc>
        <w:tc>
          <w:tcPr>
            <w:tcW w:w="550" w:type="pct"/>
            <w:noWrap/>
            <w:hideMark/>
          </w:tcPr>
          <w:p w14:paraId="2856D9CD" w14:textId="77777777" w:rsidR="0056128D" w:rsidRPr="002D1C8B" w:rsidRDefault="0056128D" w:rsidP="0056128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Kod</w:t>
            </w:r>
          </w:p>
        </w:tc>
        <w:tc>
          <w:tcPr>
            <w:tcW w:w="1640" w:type="pct"/>
            <w:noWrap/>
            <w:hideMark/>
          </w:tcPr>
          <w:p w14:paraId="26EE575B" w14:textId="77777777" w:rsidR="0056128D" w:rsidRPr="002D1C8B" w:rsidRDefault="0056128D" w:rsidP="0056128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Naziv razvojnog izazova</w:t>
            </w:r>
          </w:p>
        </w:tc>
        <w:tc>
          <w:tcPr>
            <w:tcW w:w="2500" w:type="pct"/>
            <w:noWrap/>
            <w:hideMark/>
          </w:tcPr>
          <w:p w14:paraId="2099F548" w14:textId="77777777" w:rsidR="0056128D" w:rsidRPr="002D1C8B" w:rsidRDefault="0056128D" w:rsidP="0056128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Obrazloženje</w:t>
            </w:r>
          </w:p>
        </w:tc>
      </w:tr>
      <w:tr w:rsidR="0056128D" w:rsidRPr="002550A2" w14:paraId="24C7EEA5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01FD04FA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01</w:t>
            </w:r>
          </w:p>
        </w:tc>
        <w:tc>
          <w:tcPr>
            <w:tcW w:w="550" w:type="pct"/>
            <w:noWrap/>
            <w:hideMark/>
          </w:tcPr>
          <w:p w14:paraId="62B4A56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PA09-01</w:t>
            </w:r>
          </w:p>
        </w:tc>
        <w:tc>
          <w:tcPr>
            <w:tcW w:w="1640" w:type="pct"/>
            <w:noWrap/>
            <w:hideMark/>
          </w:tcPr>
          <w:p w14:paraId="473AAEF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Ograničena primjena standarda nZEB i energetske efikasnosti u novoj gradnji </w:t>
            </w:r>
          </w:p>
        </w:tc>
        <w:tc>
          <w:tcPr>
            <w:tcW w:w="2500" w:type="pct"/>
            <w:noWrap/>
            <w:hideMark/>
          </w:tcPr>
          <w:p w14:paraId="3158552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Iako zakonodavni okvir prepoznaje energetsku efikasnost, primjena standarda zgrada sa gotovo nultom emisijom ostaje ograničena zbog nedostatka tehničkih kapaciteta, finansijskih instrumenata i efikasnog nadzora nad izgradnjom. </w:t>
            </w:r>
          </w:p>
        </w:tc>
      </w:tr>
      <w:tr w:rsidR="0056128D" w:rsidRPr="002550A2" w14:paraId="47FA2895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251B073C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02</w:t>
            </w:r>
          </w:p>
        </w:tc>
        <w:tc>
          <w:tcPr>
            <w:tcW w:w="550" w:type="pct"/>
            <w:noWrap/>
            <w:hideMark/>
          </w:tcPr>
          <w:p w14:paraId="18F153B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PA09-02</w:t>
            </w:r>
          </w:p>
        </w:tc>
        <w:tc>
          <w:tcPr>
            <w:tcW w:w="1640" w:type="pct"/>
            <w:noWrap/>
            <w:hideMark/>
          </w:tcPr>
          <w:p w14:paraId="7D25D29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primjena principa dekarbonizacije, energetske efikasnosti i korišćenja obnovljivih izvora energije u sektoru zgradarstva</w:t>
            </w:r>
          </w:p>
        </w:tc>
        <w:tc>
          <w:tcPr>
            <w:tcW w:w="2500" w:type="pct"/>
            <w:noWrap/>
            <w:hideMark/>
          </w:tcPr>
          <w:p w14:paraId="2F0E059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Iako je uspostavljen regulatorni okvir za energetsku efikasnost, obnovljive izvore energije i smanjenje emisija, njihova primjena u sektoru zgradarstva i dalje je ograničena, posebno u dijelu integracije obnovljivih izvora energije, energetskih zajednica i standarda za zgrade sa gotovo nultom emisijom.</w:t>
            </w:r>
          </w:p>
        </w:tc>
      </w:tr>
      <w:tr w:rsidR="0056128D" w:rsidRPr="002550A2" w14:paraId="715438FA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62F3C015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03</w:t>
            </w:r>
          </w:p>
        </w:tc>
        <w:tc>
          <w:tcPr>
            <w:tcW w:w="550" w:type="pct"/>
            <w:noWrap/>
            <w:hideMark/>
          </w:tcPr>
          <w:p w14:paraId="3C1CCB4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PA09-03</w:t>
            </w:r>
          </w:p>
        </w:tc>
        <w:tc>
          <w:tcPr>
            <w:tcW w:w="1640" w:type="pct"/>
            <w:noWrap/>
            <w:hideMark/>
          </w:tcPr>
          <w:p w14:paraId="37B05BD5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Složene i dugotrajne procedure u procesu izgradnje </w:t>
            </w:r>
          </w:p>
        </w:tc>
        <w:tc>
          <w:tcPr>
            <w:tcW w:w="2500" w:type="pct"/>
            <w:noWrap/>
            <w:hideMark/>
          </w:tcPr>
          <w:p w14:paraId="03BFD4D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Proces izgradnje obuhvata veliki broj administrativnih koraka (dozvole, saglasnosti, revizije), što produžava trajanje projekata i povećava troškove, smanjujući atraktivnost investicija. </w:t>
            </w:r>
          </w:p>
        </w:tc>
      </w:tr>
      <w:tr w:rsidR="0056128D" w:rsidRPr="002550A2" w14:paraId="2306933B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471AD3F8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04</w:t>
            </w:r>
          </w:p>
        </w:tc>
        <w:tc>
          <w:tcPr>
            <w:tcW w:w="550" w:type="pct"/>
            <w:noWrap/>
            <w:hideMark/>
          </w:tcPr>
          <w:p w14:paraId="6B42A26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PA09-04</w:t>
            </w:r>
          </w:p>
        </w:tc>
        <w:tc>
          <w:tcPr>
            <w:tcW w:w="1640" w:type="pct"/>
            <w:noWrap/>
            <w:hideMark/>
          </w:tcPr>
          <w:p w14:paraId="765CB33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Dugotrajna prisutnost i rasprostranjenost bespravne gradnje </w:t>
            </w:r>
          </w:p>
        </w:tc>
        <w:tc>
          <w:tcPr>
            <w:tcW w:w="2500" w:type="pct"/>
            <w:noWrap/>
            <w:hideMark/>
          </w:tcPr>
          <w:p w14:paraId="5D550DF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Veliki broj nelegalno izgrađenih objekata ukazuje na sistemske slabosti u kontroli prostora, planiranju i sprovođenju propisa, što negativno utiče na kvalitet izgrađenog okruženja. </w:t>
            </w:r>
          </w:p>
        </w:tc>
      </w:tr>
      <w:tr w:rsidR="0056128D" w:rsidRPr="002550A2" w14:paraId="7050DAAF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4E4AFCA0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05</w:t>
            </w:r>
          </w:p>
        </w:tc>
        <w:tc>
          <w:tcPr>
            <w:tcW w:w="550" w:type="pct"/>
            <w:noWrap/>
            <w:hideMark/>
          </w:tcPr>
          <w:p w14:paraId="2DCA56D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PA09-05</w:t>
            </w:r>
          </w:p>
        </w:tc>
        <w:tc>
          <w:tcPr>
            <w:tcW w:w="1640" w:type="pct"/>
            <w:noWrap/>
            <w:hideMark/>
          </w:tcPr>
          <w:p w14:paraId="4671A82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Nedovoljno razvijeni mehanizmi za prevenciju i upravljanje nelegalnom gradnjom </w:t>
            </w:r>
          </w:p>
        </w:tc>
        <w:tc>
          <w:tcPr>
            <w:tcW w:w="2500" w:type="pct"/>
            <w:noWrap/>
            <w:hideMark/>
          </w:tcPr>
          <w:p w14:paraId="114DCA2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Regulatorni okvir je dominantno usmjeren na naknadnu legalizaciju, dok preventivni mehanizmi, nadzor i prostorno planiranje nijesu dovoljno efikasni. </w:t>
            </w:r>
          </w:p>
        </w:tc>
      </w:tr>
      <w:tr w:rsidR="0056128D" w:rsidRPr="002550A2" w14:paraId="282F53A2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68E26555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06</w:t>
            </w:r>
          </w:p>
        </w:tc>
        <w:tc>
          <w:tcPr>
            <w:tcW w:w="550" w:type="pct"/>
            <w:noWrap/>
            <w:hideMark/>
          </w:tcPr>
          <w:p w14:paraId="50564E2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PA09-06</w:t>
            </w:r>
          </w:p>
        </w:tc>
        <w:tc>
          <w:tcPr>
            <w:tcW w:w="1640" w:type="pct"/>
            <w:noWrap/>
            <w:hideMark/>
          </w:tcPr>
          <w:p w14:paraId="1A016465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Ograničeni finansijski kapaciteti za uklanjanje i sanaciju objekata </w:t>
            </w:r>
          </w:p>
        </w:tc>
        <w:tc>
          <w:tcPr>
            <w:tcW w:w="2500" w:type="pct"/>
            <w:noWrap/>
            <w:hideMark/>
          </w:tcPr>
          <w:p w14:paraId="427546F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Ograničena finansijska sredstva i mehanizmi za uklanjanje, sanaciju i prenamjenu objekata</w:t>
            </w:r>
          </w:p>
        </w:tc>
      </w:tr>
      <w:tr w:rsidR="0056128D" w:rsidRPr="002550A2" w14:paraId="26FE51C2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3AA83DA7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07</w:t>
            </w:r>
          </w:p>
        </w:tc>
        <w:tc>
          <w:tcPr>
            <w:tcW w:w="550" w:type="pct"/>
            <w:noWrap/>
            <w:hideMark/>
          </w:tcPr>
          <w:p w14:paraId="6351F44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PA09-07</w:t>
            </w:r>
          </w:p>
        </w:tc>
        <w:tc>
          <w:tcPr>
            <w:tcW w:w="1640" w:type="pct"/>
            <w:noWrap/>
            <w:hideMark/>
          </w:tcPr>
          <w:p w14:paraId="5A16167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dostupnost socijalnog, pristupačnog i priuštivog stanovanja</w:t>
            </w:r>
          </w:p>
        </w:tc>
        <w:tc>
          <w:tcPr>
            <w:tcW w:w="2500" w:type="pct"/>
            <w:noWrap/>
            <w:hideMark/>
          </w:tcPr>
          <w:p w14:paraId="1C69EEE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Postoji izražen jaz između potreba stanovništva i dostupnih stambenih kapaciteta, posebno za ranjive grupe, što se reflektuje kroz visoku prenaseljenost i stambenu deprivaciju. Dodatni problem predstavlja ograničen razvoj javnog i rentalnog stanovanja, kao i dominantna usmjerenost ranijih programa ka modelu vlasništva, što smanjuje dostupnost dugoročno održivih rješenja za domaćinstva sa nižim i srednjim prihodima. Poseban izazov predstavlja nedostatak pristupačnog stanovanja za deficitarne kadrove u manje razvijenim opštinama, što otežava privlačenje i zadržavanje zaposlenih u javnim službama, obrazovanju, zdravstvu i lokalnoj upravi.obrazovanju, zdravstvu i lokalnoj upravi.</w:t>
            </w:r>
          </w:p>
        </w:tc>
      </w:tr>
      <w:tr w:rsidR="0056128D" w:rsidRPr="002550A2" w14:paraId="3A2E2637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05934A69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08</w:t>
            </w:r>
          </w:p>
        </w:tc>
        <w:tc>
          <w:tcPr>
            <w:tcW w:w="550" w:type="pct"/>
            <w:noWrap/>
            <w:hideMark/>
          </w:tcPr>
          <w:p w14:paraId="7E9A43D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PA09-08</w:t>
            </w:r>
          </w:p>
        </w:tc>
        <w:tc>
          <w:tcPr>
            <w:tcW w:w="1640" w:type="pct"/>
            <w:noWrap/>
            <w:hideMark/>
          </w:tcPr>
          <w:p w14:paraId="7F292A3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Nedovoljno razvijeni modeli finansiranja i korišćenja postojećeg stambenog fonda </w:t>
            </w:r>
          </w:p>
        </w:tc>
        <w:tc>
          <w:tcPr>
            <w:tcW w:w="2500" w:type="pct"/>
            <w:noWrap/>
            <w:hideMark/>
          </w:tcPr>
          <w:p w14:paraId="6945E9F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Postojeći modeli ne podstiču dovoljno rehabilitaciju, prenamjenu i aktivaciju postojećih objekata za potrebe socijalnog i pristupačnog stanovanja. Poseban izazov predstavlja nedovoljno razvijen sektor zakupa i ograničeno korišćenje postojećeg stambenog fonda za potrebe javnih i socijalnih stambenih politika. Dodatno, nedostatak pouzdanih podataka o podstanarskim domaćinstvima i nepostojanje registra podstanara otežavaju kreiranje politika zasnovanih na stvarnim potrebama tržišta stanovanja.</w:t>
            </w:r>
          </w:p>
        </w:tc>
      </w:tr>
      <w:tr w:rsidR="0056128D" w:rsidRPr="002550A2" w14:paraId="1F07D9D6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177CD244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09</w:t>
            </w:r>
          </w:p>
        </w:tc>
        <w:tc>
          <w:tcPr>
            <w:tcW w:w="550" w:type="pct"/>
            <w:noWrap/>
            <w:hideMark/>
          </w:tcPr>
          <w:p w14:paraId="2A9B3CB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PA09-09</w:t>
            </w:r>
          </w:p>
        </w:tc>
        <w:tc>
          <w:tcPr>
            <w:tcW w:w="1640" w:type="pct"/>
            <w:noWrap/>
            <w:hideMark/>
          </w:tcPr>
          <w:p w14:paraId="2075134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Fragmentiran pristup razvoju socijalnog, pristupačnog i priuštivog stanovanja i prateće infrastrukture</w:t>
            </w:r>
          </w:p>
        </w:tc>
        <w:tc>
          <w:tcPr>
            <w:tcW w:w="2500" w:type="pct"/>
            <w:noWrap/>
            <w:hideMark/>
          </w:tcPr>
          <w:p w14:paraId="467203C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Intervencije nijesu dovoljno integrisane sa socijalnim uslugama, infrastrukturom i urbanim planiranjem, što ograničava dugoročnu održivost rješenja. </w:t>
            </w:r>
          </w:p>
        </w:tc>
      </w:tr>
      <w:tr w:rsidR="0056128D" w:rsidRPr="002550A2" w14:paraId="3EFDC422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0B3CB9D7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10</w:t>
            </w:r>
          </w:p>
        </w:tc>
        <w:tc>
          <w:tcPr>
            <w:tcW w:w="550" w:type="pct"/>
            <w:noWrap/>
            <w:hideMark/>
          </w:tcPr>
          <w:p w14:paraId="33B2317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PA09-10</w:t>
            </w:r>
          </w:p>
        </w:tc>
        <w:tc>
          <w:tcPr>
            <w:tcW w:w="1640" w:type="pct"/>
            <w:noWrap/>
            <w:hideMark/>
          </w:tcPr>
          <w:p w14:paraId="561F88B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Nedovoljna podrška specifičnim ciljnim grupama </w:t>
            </w:r>
          </w:p>
        </w:tc>
        <w:tc>
          <w:tcPr>
            <w:tcW w:w="2500" w:type="pct"/>
            <w:noWrap/>
            <w:hideMark/>
          </w:tcPr>
          <w:p w14:paraId="12CC344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Sistem ne obezbjeđuje adekvatna rješenja za pojedine kategorije korisnika definisane Zakonom o socijalnom stanovanju, uključujući mlade, studente, starija lica, osobe sa invaliditetom, korisnike socijalne zaštite i lica u riziku od beskućništva, uprkos rastućim potrebama i EU prioritetima u ovoj oblasti. Posebni izazovi prisutni </w:t>
            </w: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lastRenderedPageBreak/>
              <w:t>su u oblasti studentskog smještaja, stanovanja uz podršku i rješavanja stambenih potreba ranjivih grupa.</w:t>
            </w:r>
          </w:p>
        </w:tc>
      </w:tr>
      <w:tr w:rsidR="0056128D" w:rsidRPr="002550A2" w14:paraId="0501F2A6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285A255E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lastRenderedPageBreak/>
              <w:t>11</w:t>
            </w:r>
          </w:p>
        </w:tc>
        <w:tc>
          <w:tcPr>
            <w:tcW w:w="550" w:type="pct"/>
            <w:noWrap/>
            <w:hideMark/>
          </w:tcPr>
          <w:p w14:paraId="255858E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PA09-11</w:t>
            </w:r>
          </w:p>
        </w:tc>
        <w:tc>
          <w:tcPr>
            <w:tcW w:w="1640" w:type="pct"/>
            <w:noWrap/>
            <w:hideMark/>
          </w:tcPr>
          <w:p w14:paraId="4957298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Nedovoljno adresirano energetsko siromaštvo </w:t>
            </w:r>
          </w:p>
        </w:tc>
        <w:tc>
          <w:tcPr>
            <w:tcW w:w="2500" w:type="pct"/>
            <w:noWrap/>
            <w:hideMark/>
          </w:tcPr>
          <w:p w14:paraId="2FE1D05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Značajan broj domaćinstava suočava se sa poteškoćama u obezbjeđivanju adekvatnog grijanja i pokrivanju troškova energije, što ukazuje na prisustvo energetskog siromaštva. Postojeće politike još uvijek ne obezbjeđuju sistemski pristup ovom pitanju, posebno u kontekstu energetske efikasnosti i stanovanja. Izazov je dodatno izražen u ruralnim i planinskim područjima sa nepovoljnijim klimatskim uslovima, gdje visoki troškovi grijanja i slabiji kvalitet stambenog fonda povećavaju rizik od energetskog siromaštva i depopulacije.</w:t>
            </w:r>
          </w:p>
        </w:tc>
      </w:tr>
      <w:tr w:rsidR="0056128D" w:rsidRPr="002550A2" w14:paraId="103C293F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36C66C66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12</w:t>
            </w:r>
          </w:p>
        </w:tc>
        <w:tc>
          <w:tcPr>
            <w:tcW w:w="550" w:type="pct"/>
            <w:noWrap/>
            <w:hideMark/>
          </w:tcPr>
          <w:p w14:paraId="7539515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  <w:tc>
          <w:tcPr>
            <w:tcW w:w="1640" w:type="pct"/>
            <w:noWrap/>
            <w:hideMark/>
          </w:tcPr>
          <w:p w14:paraId="32F2004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infrastrukturna opremljenost i teritorijalne nejednakosti u razvoju stanovanja</w:t>
            </w:r>
          </w:p>
        </w:tc>
        <w:tc>
          <w:tcPr>
            <w:tcW w:w="2500" w:type="pct"/>
            <w:noWrap/>
            <w:hideMark/>
          </w:tcPr>
          <w:p w14:paraId="0901418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stanovanja usko je povezan sa dostupnošću osnovne komunalne, vodne i saobraćajne infrastrukture, uključujući vodosnabdijevanje, kanalizaciju, lokalne puteve, zaštitu od poplava i javnu rasvjetu. U dijelu ruralnih i manje razvijenih područja nedovoljna infrastrukturna opremljenost ograničava razvoj pristupačnog i održivog stanovanja, kvalitet života i teritorijalnu povezanost.</w:t>
            </w:r>
          </w:p>
        </w:tc>
      </w:tr>
      <w:tr w:rsidR="0056128D" w:rsidRPr="002550A2" w14:paraId="65C3A4D7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6F070EC1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13</w:t>
            </w:r>
          </w:p>
        </w:tc>
        <w:tc>
          <w:tcPr>
            <w:tcW w:w="550" w:type="pct"/>
            <w:noWrap/>
            <w:hideMark/>
          </w:tcPr>
          <w:p w14:paraId="7CCDFD2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PA09-13</w:t>
            </w:r>
          </w:p>
        </w:tc>
        <w:tc>
          <w:tcPr>
            <w:tcW w:w="1640" w:type="pct"/>
            <w:noWrap/>
            <w:hideMark/>
          </w:tcPr>
          <w:p w14:paraId="0575582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energetska efikasnost i klimatska otpornost postojećeg stambenog fonda</w:t>
            </w:r>
          </w:p>
        </w:tc>
        <w:tc>
          <w:tcPr>
            <w:tcW w:w="2500" w:type="pct"/>
            <w:noWrap/>
            <w:hideMark/>
          </w:tcPr>
          <w:p w14:paraId="01C460D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Značajan dio postojećeg stambenog fonda karakteriše niži nivo energetske efikasnosti, zastarjeli sistemi grijanja i nedovoljna otpornost na klimatske promjene. Uprkos uspostavljenom regulatornom okviru, obim ulaganja u obnovu i energetsku modernizaciju objekata i dalje je ograničen.</w:t>
            </w:r>
          </w:p>
        </w:tc>
      </w:tr>
      <w:tr w:rsidR="0056128D" w:rsidRPr="002550A2" w14:paraId="4F65E9A4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1D97C7AB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14</w:t>
            </w:r>
          </w:p>
        </w:tc>
        <w:tc>
          <w:tcPr>
            <w:tcW w:w="550" w:type="pct"/>
            <w:noWrap/>
            <w:hideMark/>
          </w:tcPr>
          <w:p w14:paraId="62D3A36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PA09-14</w:t>
            </w:r>
          </w:p>
        </w:tc>
        <w:tc>
          <w:tcPr>
            <w:tcW w:w="1640" w:type="pct"/>
            <w:noWrap/>
            <w:hideMark/>
          </w:tcPr>
          <w:p w14:paraId="6C301CF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korišćenje potencijala prenamjene postojećih objekata za potrebe stanovanja uključujući objekte u državnom i lokalnom vlasništvu</w:t>
            </w:r>
          </w:p>
        </w:tc>
        <w:tc>
          <w:tcPr>
            <w:tcW w:w="2500" w:type="pct"/>
            <w:noWrap/>
            <w:hideMark/>
          </w:tcPr>
          <w:p w14:paraId="0CD4810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Prazni, napušteni i nedovoljno iskorišćeni objekti uključujući objekte u državnom i lokalnom vlasništvu, nijesu u dovoljnoj mjeri uključeni u politike socijalnog i pristupačnog stanovanja, što ograničava efikasnije korišćenje postojećih prostornih resursa.</w:t>
            </w:r>
          </w:p>
        </w:tc>
      </w:tr>
      <w:tr w:rsidR="0056128D" w:rsidRPr="002550A2" w14:paraId="2CC9105B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13C11019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15</w:t>
            </w:r>
          </w:p>
        </w:tc>
        <w:tc>
          <w:tcPr>
            <w:tcW w:w="550" w:type="pct"/>
            <w:noWrap/>
            <w:hideMark/>
          </w:tcPr>
          <w:p w14:paraId="7093488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PA09-15</w:t>
            </w:r>
          </w:p>
        </w:tc>
        <w:tc>
          <w:tcPr>
            <w:tcW w:w="1640" w:type="pct"/>
            <w:noWrap/>
            <w:hideMark/>
          </w:tcPr>
          <w:p w14:paraId="5D532F4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Ograničena implementacija postojećeg zakonodavnog okvira </w:t>
            </w:r>
          </w:p>
        </w:tc>
        <w:tc>
          <w:tcPr>
            <w:tcW w:w="2500" w:type="pct"/>
            <w:noWrap/>
            <w:hideMark/>
          </w:tcPr>
          <w:p w14:paraId="5B49798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Iako zakonodavni okvir pokriva ključne oblasti (izgradnja, energetika, planiranje), njegova primjena je neujednačena i često ograničena institucionalnim kapacitetima. </w:t>
            </w:r>
          </w:p>
        </w:tc>
      </w:tr>
      <w:tr w:rsidR="0056128D" w:rsidRPr="002550A2" w14:paraId="02BB785E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38854FBF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16</w:t>
            </w:r>
          </w:p>
        </w:tc>
        <w:tc>
          <w:tcPr>
            <w:tcW w:w="550" w:type="pct"/>
            <w:noWrap/>
            <w:hideMark/>
          </w:tcPr>
          <w:p w14:paraId="6D51204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PA09-16</w:t>
            </w:r>
          </w:p>
        </w:tc>
        <w:tc>
          <w:tcPr>
            <w:tcW w:w="1640" w:type="pct"/>
            <w:noWrap/>
            <w:hideMark/>
          </w:tcPr>
          <w:p w14:paraId="5C51734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Fragmentiran institucionalni okvir i nedovoljna koordinacija </w:t>
            </w:r>
          </w:p>
        </w:tc>
        <w:tc>
          <w:tcPr>
            <w:tcW w:w="2500" w:type="pct"/>
            <w:noWrap/>
            <w:hideMark/>
          </w:tcPr>
          <w:p w14:paraId="3BC153D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Nadležnosti su podijeljene između više institucija bez dovoljno koordinacije, što otežava planiranje i sprovođenje integrisanih politika. </w:t>
            </w:r>
          </w:p>
        </w:tc>
      </w:tr>
      <w:tr w:rsidR="0056128D" w:rsidRPr="002550A2" w14:paraId="17AC0888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6D056644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17</w:t>
            </w:r>
          </w:p>
        </w:tc>
        <w:tc>
          <w:tcPr>
            <w:tcW w:w="550" w:type="pct"/>
            <w:noWrap/>
            <w:hideMark/>
          </w:tcPr>
          <w:p w14:paraId="033140C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PA09-17</w:t>
            </w:r>
          </w:p>
        </w:tc>
        <w:tc>
          <w:tcPr>
            <w:tcW w:w="1640" w:type="pct"/>
            <w:noWrap/>
            <w:hideMark/>
          </w:tcPr>
          <w:p w14:paraId="138F0FC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razvijeni, nepovezani i neažurni informacioni sistemi i baze podataka</w:t>
            </w:r>
          </w:p>
        </w:tc>
        <w:tc>
          <w:tcPr>
            <w:tcW w:w="2500" w:type="pct"/>
            <w:noWrap/>
            <w:hideMark/>
          </w:tcPr>
          <w:p w14:paraId="725DE87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Postojeći sistemi evidencije i upravljanja podacima nijesu u potpunosti integrisani, što ograničava planiranje zasnovano na podacima i donošenje odluka, posebno u oblasti socijalnog i priuštivog stanovanja i teritorijalne raspodjele stambenih kapaciteta.</w:t>
            </w:r>
          </w:p>
        </w:tc>
      </w:tr>
      <w:tr w:rsidR="0056128D" w:rsidRPr="002550A2" w14:paraId="7652ADBD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3DD00114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18</w:t>
            </w:r>
          </w:p>
        </w:tc>
        <w:tc>
          <w:tcPr>
            <w:tcW w:w="550" w:type="pct"/>
            <w:noWrap/>
            <w:hideMark/>
          </w:tcPr>
          <w:p w14:paraId="6FC6348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PA09-18</w:t>
            </w:r>
          </w:p>
        </w:tc>
        <w:tc>
          <w:tcPr>
            <w:tcW w:w="1640" w:type="pct"/>
            <w:noWrap/>
            <w:hideMark/>
          </w:tcPr>
          <w:p w14:paraId="21DA1E3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integracija energetskih i stambenih politika</w:t>
            </w:r>
          </w:p>
        </w:tc>
        <w:tc>
          <w:tcPr>
            <w:tcW w:w="2500" w:type="pct"/>
            <w:noWrap/>
            <w:hideMark/>
          </w:tcPr>
          <w:p w14:paraId="47C5477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Politike energetske efikasnosti, klimatske tranzicije i stanovanja razvijaju se kroz različite sektorske okvire, bez dovoljno operativne povezanosti u planiranju i sprovođenju programa i investicija</w:t>
            </w:r>
          </w:p>
        </w:tc>
      </w:tr>
      <w:tr w:rsidR="0056128D" w:rsidRPr="002550A2" w14:paraId="0A7ECA03" w14:textId="77777777" w:rsidTr="0056128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5CE016E2" w14:textId="77777777" w:rsidR="0056128D" w:rsidRPr="002D1C8B" w:rsidRDefault="0056128D" w:rsidP="0056128D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19</w:t>
            </w:r>
          </w:p>
        </w:tc>
        <w:tc>
          <w:tcPr>
            <w:tcW w:w="550" w:type="pct"/>
            <w:noWrap/>
            <w:hideMark/>
          </w:tcPr>
          <w:p w14:paraId="1BDAB33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PA09-19</w:t>
            </w:r>
          </w:p>
        </w:tc>
        <w:tc>
          <w:tcPr>
            <w:tcW w:w="1640" w:type="pct"/>
            <w:noWrap/>
            <w:hideMark/>
          </w:tcPr>
          <w:p w14:paraId="301B34E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razvijene lokalne stambene politike i njihova integracija u lokalno plansko planiranje</w:t>
            </w:r>
          </w:p>
        </w:tc>
        <w:tc>
          <w:tcPr>
            <w:tcW w:w="2500" w:type="pct"/>
            <w:noWrap/>
            <w:hideMark/>
          </w:tcPr>
          <w:p w14:paraId="1EC8700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Većina lokalnih samouprava nema razvijene stambene politike i operativne instrumente za planiranje stambenog razvoja, što ograničava prilagođavanje mjera lokalnim potrebama i teritorijalnim specifičnostima.</w:t>
            </w:r>
          </w:p>
        </w:tc>
      </w:tr>
    </w:tbl>
    <w:p w14:paraId="44BBD0D9" w14:textId="04102D2A" w:rsidR="00F579F5" w:rsidRPr="002D1C8B" w:rsidRDefault="00F579F5" w:rsidP="00F579F5">
      <w:pPr>
        <w:rPr>
          <w:lang w:val="hr-HR"/>
        </w:rPr>
      </w:pPr>
    </w:p>
    <w:p w14:paraId="1B0D3B5C" w14:textId="3B04ECBF" w:rsidR="00035584" w:rsidRPr="002D1C8B" w:rsidRDefault="0056128D" w:rsidP="0056128D">
      <w:pPr>
        <w:pStyle w:val="Heading2"/>
        <w:rPr>
          <w:lang w:val="hr-HR"/>
        </w:rPr>
      </w:pPr>
      <w:r w:rsidRPr="002D1C8B">
        <w:rPr>
          <w:lang w:val="hr-HR"/>
        </w:rPr>
        <w:t>SWOT</w:t>
      </w:r>
    </w:p>
    <w:tbl>
      <w:tblPr>
        <w:tblStyle w:val="GridTable1Light-Accent4"/>
        <w:tblW w:w="5000" w:type="pct"/>
        <w:tblLayout w:type="fixed"/>
        <w:tblLook w:val="04A0" w:firstRow="1" w:lastRow="0" w:firstColumn="1" w:lastColumn="0" w:noHBand="0" w:noVBand="1"/>
      </w:tblPr>
      <w:tblGrid>
        <w:gridCol w:w="1133"/>
        <w:gridCol w:w="6938"/>
        <w:gridCol w:w="991"/>
      </w:tblGrid>
      <w:tr w:rsidR="0056128D" w:rsidRPr="002D1C8B" w14:paraId="2E199749" w14:textId="77777777" w:rsidTr="005612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noWrap/>
            <w:hideMark/>
          </w:tcPr>
          <w:p w14:paraId="52ABF15A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  <w:t>S-W-O-T</w:t>
            </w:r>
          </w:p>
        </w:tc>
        <w:tc>
          <w:tcPr>
            <w:tcW w:w="3828" w:type="pct"/>
            <w:noWrap/>
            <w:hideMark/>
          </w:tcPr>
          <w:p w14:paraId="2956E197" w14:textId="77777777" w:rsidR="0056128D" w:rsidRPr="002D1C8B" w:rsidRDefault="0056128D" w:rsidP="0056128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  <w:t>IZJAVA</w:t>
            </w:r>
          </w:p>
        </w:tc>
        <w:tc>
          <w:tcPr>
            <w:tcW w:w="547" w:type="pct"/>
            <w:noWrap/>
            <w:hideMark/>
          </w:tcPr>
          <w:p w14:paraId="051913CF" w14:textId="77777777" w:rsidR="0056128D" w:rsidRPr="002D1C8B" w:rsidRDefault="0056128D" w:rsidP="0056128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  <w:t>Povezani izazovi</w:t>
            </w:r>
          </w:p>
        </w:tc>
      </w:tr>
      <w:tr w:rsidR="0056128D" w:rsidRPr="002D1C8B" w14:paraId="30400C9C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 w:val="restart"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6CD9001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  <w:t>SNAGE</w:t>
            </w: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371A50F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Geografski i klimatski potencijal za primjenu obnovljivih izvora energije u sektoru stanovanja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07A06B4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PA09-02, PA09-13</w:t>
            </w:r>
          </w:p>
        </w:tc>
      </w:tr>
      <w:tr w:rsidR="0056128D" w:rsidRPr="002D1C8B" w14:paraId="58629EDE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4308EA5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75DD1ED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Postepena usklađenost strateškog i regulatornog okvira sa prioritetima Evropske unije u oblasti zelene tranzicije, energetske efikasnosti i socijalne uključenosti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3EF5023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PA09-02, PA09-13</w:t>
            </w:r>
          </w:p>
        </w:tc>
      </w:tr>
      <w:tr w:rsidR="0056128D" w:rsidRPr="002D1C8B" w14:paraId="4371063A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5A758EE7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6AF80F1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Postignut napredak u digitalizaciji katastra, prostornog planiranja i upravljanja podacima o prostoru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49685AD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PA09-04</w:t>
            </w:r>
          </w:p>
        </w:tc>
      </w:tr>
      <w:tr w:rsidR="0056128D" w:rsidRPr="002D1C8B" w14:paraId="0E7982FA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208B40A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02EFBCB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državnih inicijativa za povećanje stambenih kapaciteta kroz planski razvoj novih stambenih naselja sa pratećom komunalnom, saobraćajnom i društvenom infrastrukturom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4227DDE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</w:t>
            </w:r>
          </w:p>
        </w:tc>
      </w:tr>
      <w:tr w:rsidR="0056128D" w:rsidRPr="002D1C8B" w14:paraId="40C085C5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6A26BF0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0013BC1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institucionalnog sistema nadležnog za planiranje, izgradnju, energetiku i socijalnu zaštitu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1023996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PA09-16, PA09-15</w:t>
            </w:r>
          </w:p>
        </w:tc>
      </w:tr>
      <w:tr w:rsidR="0056128D" w:rsidRPr="002D1C8B" w14:paraId="79F74046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4D8A20A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75CD283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iskustva u sprovođenju projekata finansiranih iz EU i međunarodnih fondova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5A8D4E0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</w:t>
            </w:r>
          </w:p>
        </w:tc>
      </w:tr>
      <w:tr w:rsidR="0056128D" w:rsidRPr="002D1C8B" w14:paraId="4EF09BD3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1D69C68D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7DF2D24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planskih dokumenata za upravljanje prostorom koji definišu dugoročne pravce razvoja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677A03C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PA09-05</w:t>
            </w:r>
          </w:p>
        </w:tc>
      </w:tr>
      <w:tr w:rsidR="0056128D" w:rsidRPr="002D1C8B" w14:paraId="0FD92A7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F96CB02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56F7185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potencijala za razvoj integrisanih modela stanovanja koji povezuju socijalne usluge, energetsku efikasnost i lokalni razvoj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606EA5B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PA09-09</w:t>
            </w:r>
          </w:p>
        </w:tc>
      </w:tr>
      <w:tr w:rsidR="0056128D" w:rsidRPr="002D1C8B" w14:paraId="56256F08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193ED2CD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1A29C57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pravnog osnova za socijalno i pristupačno stanovanje, uključujući definisane ciljne grupe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4F89022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PA09-10</w:t>
            </w:r>
          </w:p>
        </w:tc>
      </w:tr>
      <w:tr w:rsidR="0056128D" w:rsidRPr="002D1C8B" w14:paraId="4EC75CB0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5217B51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2084C47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strateškog opredjeljenja za razvoj neprofitne stanogradnje, unapređenje upravljanja postojećim stambenim fondom i razvoj modela javno-privatnog partnerstva u stanovanju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2071F4C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</w:t>
            </w:r>
          </w:p>
        </w:tc>
      </w:tr>
      <w:tr w:rsidR="0056128D" w:rsidRPr="002D1C8B" w14:paraId="300E12AA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513BBE34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7BFCAAC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zakonodavnog i strateškog okvira koji pokriva prostorno planiranje, izgradnju objekata, energetsku efikasnost i socijalno stanovanje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2731797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PA09-15</w:t>
            </w:r>
          </w:p>
        </w:tc>
      </w:tr>
      <w:tr w:rsidR="0056128D" w:rsidRPr="002D1C8B" w14:paraId="4B143C08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6EED954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34142FA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Postojanje zakonskih mehanizama za legalizaciju i uklanjanje objekata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0573EB3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PA09-06</w:t>
            </w:r>
          </w:p>
        </w:tc>
      </w:tr>
      <w:tr w:rsidR="0056128D" w:rsidRPr="002D1C8B" w14:paraId="58ED115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24FD393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2B7491F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Potencijal za razvoj javno-privatnih partnerstava u oblasti stanovanja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3211336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</w:tr>
      <w:tr w:rsidR="0056128D" w:rsidRPr="002D1C8B" w14:paraId="49A64A6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19BF0F2C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51B5D94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Prepoznavanje značaja integrisanog pristupa stanovanju, energetskoj efikasnosti i lokalnoj infrastrukturi u strateškim dokumentima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485D983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PA09-09</w:t>
            </w:r>
          </w:p>
        </w:tc>
      </w:tr>
      <w:tr w:rsidR="0056128D" w:rsidRPr="002D1C8B" w14:paraId="6BA53910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0B804C80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5403752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Rast svijesti o značaju održive i zelene gradnje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23B180C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PA09-05</w:t>
            </w:r>
          </w:p>
        </w:tc>
      </w:tr>
      <w:tr w:rsidR="0056128D" w:rsidRPr="002D1C8B" w14:paraId="0263B738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C8B098F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3CFA786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Sprovođenje reformskih mjera u oblastima prostornog planiranja, energetske efikasnosti i socijalne politike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6FEA163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PA09-02, PA09-13</w:t>
            </w:r>
          </w:p>
        </w:tc>
      </w:tr>
      <w:tr w:rsidR="0056128D" w:rsidRPr="002D1C8B" w14:paraId="10538676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6789478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1AE4911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Uspostavljen normativni okvir za energetsku efikasnost i korišćenje obnovljivih izvora energije u zgradarstvu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4DA00E5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PA09-02, PA09-13</w:t>
            </w:r>
          </w:p>
        </w:tc>
      </w:tr>
      <w:tr w:rsidR="0056128D" w:rsidRPr="002D1C8B" w14:paraId="2820FF2A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F5A28B1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D9F2D0" w:themeFill="accent6" w:themeFillTint="33"/>
            <w:noWrap/>
            <w:hideMark/>
          </w:tcPr>
          <w:p w14:paraId="70D8079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Usvojena Strategija stambene politike Crne Gore do 2034. godine, koja identifikuje ključne izazove u oblasti pristupačnog stanovanja, energetske efikasnosti, legalizacije i upravljanja stambenim fondom</w:t>
            </w:r>
          </w:p>
        </w:tc>
        <w:tc>
          <w:tcPr>
            <w:tcW w:w="547" w:type="pct"/>
            <w:shd w:val="clear" w:color="auto" w:fill="D9F2D0" w:themeFill="accent6" w:themeFillTint="33"/>
            <w:noWrap/>
            <w:hideMark/>
          </w:tcPr>
          <w:p w14:paraId="2AA8C88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PA09-02, PA09-13</w:t>
            </w:r>
          </w:p>
        </w:tc>
      </w:tr>
      <w:tr w:rsidR="0056128D" w:rsidRPr="002D1C8B" w14:paraId="254C4EE9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 w:val="restart"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4E9C33B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  <w:t>SLABOSTI</w:t>
            </w: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66F3612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Fragmentiran institucionalni okvir i nedovoljna međusektorska koordinacija u planiranju i sprovođenju stambenih politika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21E33A9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PA09-16</w:t>
            </w:r>
          </w:p>
        </w:tc>
      </w:tr>
      <w:tr w:rsidR="0056128D" w:rsidRPr="002D1C8B" w14:paraId="34654654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B7C0B1F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60C3933B" w14:textId="34C02089" w:rsidR="0056128D" w:rsidRPr="002D1C8B" w:rsidRDefault="00DB6973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Kulturološki</w:t>
            </w:r>
            <w:r w:rsidR="0056128D"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obra</w:t>
            </w:r>
            <w:r w:rsidR="00B428DC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</w:t>
            </w:r>
            <w:r w:rsidR="0056128D"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ci o posjedovanju stana kao prepreka drugim modelima adekvatnog stanovanja sponzorisanim od strane drzave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49F418B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PA09-14</w:t>
            </w:r>
          </w:p>
        </w:tc>
      </w:tr>
      <w:tr w:rsidR="0056128D" w:rsidRPr="002D1C8B" w14:paraId="0E236740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C47C52E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5864462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Nedostatak detaljnih i ažurnih statističkih podataka o stanovanju, podstanarskim domaćinstvima i regionalnim razlikama, što otežava precizno planiranje politika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19E5561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</w:t>
            </w:r>
          </w:p>
        </w:tc>
      </w:tr>
      <w:tr w:rsidR="0056128D" w:rsidRPr="002D1C8B" w14:paraId="65664973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F3CC801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59D1D2A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Nedostatak lokalnih stambenih politika i njihova nedovoljna integracija u lokalnu plansku dokumentaciju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618C7B6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PA09-19</w:t>
            </w:r>
          </w:p>
        </w:tc>
      </w:tr>
      <w:tr w:rsidR="0056128D" w:rsidRPr="002D1C8B" w14:paraId="48BCD2B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01C9B5E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04812FC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Nedovoljan broj stanova u vlasništvu države I lokalne samouprave koji bi se davali u zakup po povoljnijim uslovima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6B12BBD5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PA09-14</w:t>
            </w:r>
          </w:p>
        </w:tc>
      </w:tr>
      <w:tr w:rsidR="0056128D" w:rsidRPr="002D1C8B" w14:paraId="62350000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EEC8588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22CB7E1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integracija stanovanja sa socijalnim, zdravstvenim i drugim uslugama u zajednici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73B0D70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</w:t>
            </w:r>
          </w:p>
        </w:tc>
      </w:tr>
      <w:tr w:rsidR="0056128D" w:rsidRPr="002D1C8B" w14:paraId="26100D35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64DFA82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18902665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otpornost postojećeg stambenog fonda na klimatske rizike i ekstremne vremenske uslove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6D1DAA0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PA09-08, PA09-14</w:t>
            </w:r>
          </w:p>
        </w:tc>
      </w:tr>
      <w:tr w:rsidR="0056128D" w:rsidRPr="002D1C8B" w14:paraId="35BEE79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0D7751B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74B4784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ponuda socijalnog i pristupačnog stanovanja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4A76419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PA09-07, PA09-09</w:t>
            </w:r>
          </w:p>
        </w:tc>
      </w:tr>
      <w:tr w:rsidR="0056128D" w:rsidRPr="002D1C8B" w14:paraId="43C609FE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7C76C5C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389503D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pristupačnost stanovanja za mlade, mlade porodice i osobe sa prosječnim prihodima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47C09FF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PA09-10</w:t>
            </w:r>
          </w:p>
        </w:tc>
      </w:tr>
      <w:tr w:rsidR="0056128D" w:rsidRPr="002D1C8B" w14:paraId="7186D41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F7A3CC0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2F7965A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svijest o koršćenju i brizi zajedničkih djelova stambenih zgrada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5F3E3BB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</w:t>
            </w:r>
          </w:p>
        </w:tc>
      </w:tr>
      <w:tr w:rsidR="0056128D" w:rsidRPr="002D1C8B" w14:paraId="226B57AF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C828D88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177C6FE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valorizacija i prenamjena praznih, napuštenih i nedovoljno iskorišćenih objekata, uključujući objekte u javnom vlasništvu, za potrebe socijalnog i pristupačnog stanovanja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1BDDAE1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PA09-07, PA09-09</w:t>
            </w:r>
          </w:p>
        </w:tc>
      </w:tr>
      <w:tr w:rsidR="0056128D" w:rsidRPr="002D1C8B" w14:paraId="4B750970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B0F8D13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6EA3C3B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zastupljenost standarda pristupačnosti za OSI i starije osobe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1B98AEC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PA09-10</w:t>
            </w:r>
          </w:p>
        </w:tc>
      </w:tr>
      <w:tr w:rsidR="0056128D" w:rsidRPr="002D1C8B" w14:paraId="4DCC9B52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3F7FA08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3B3FF7C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atraktivan javni sektor za za zapošljavanje i zadržavanje usko stručne poslove iz oblasti nadzora, planiranja, izgradnje.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20112BD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PA09-03</w:t>
            </w:r>
          </w:p>
        </w:tc>
      </w:tr>
      <w:tr w:rsidR="0056128D" w:rsidRPr="002D1C8B" w14:paraId="5C58AC7C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D6F710E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7750FED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korišćenje postojećeg stambenog fonda, uključujući rehabilitaciju i prenamjenu objekata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794EBA9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PA09-08, PA09-14</w:t>
            </w:r>
          </w:p>
        </w:tc>
      </w:tr>
      <w:tr w:rsidR="0056128D" w:rsidRPr="002D1C8B" w14:paraId="3CF76482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0DE0077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6FC4B2E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razvijena komunalna i lokalna infrastruktura u pojedinim područjima ograničava održivi razvoj stanovanja i teritorijalnu povezanost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680FB09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</w:tr>
      <w:tr w:rsidR="0056128D" w:rsidRPr="002D1C8B" w14:paraId="3C66C01F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9D79129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5DE8CC1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razvijena rješenja za specifične ciljne grupe definisane Zakonom o socijalnom stanovanju (samohrani roditelji/staratelji, lica preko 67 godina života, mladi koji su bili djeca bez roditeljskog staranja, porodice sa djecom sa smetnjama u razvoju, pripadnici Roma i Egipćana (RE populacija), OSI i dr.) kao i lica u procesu rehabilitacije i resocijalizacije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46EAE52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PA09-10</w:t>
            </w:r>
          </w:p>
        </w:tc>
      </w:tr>
      <w:tr w:rsidR="0056128D" w:rsidRPr="002D1C8B" w14:paraId="672B133C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CE537C2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1098E6C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razvijeni finansijski mehanizmi za obnovu objekata i razvoj socijalnog stanovanja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54DAC10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PA09-07, PA09-09</w:t>
            </w:r>
          </w:p>
        </w:tc>
      </w:tr>
      <w:tr w:rsidR="0056128D" w:rsidRPr="002D1C8B" w14:paraId="62372E13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A8DD6C2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2E74DB3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razvijeni modeli javnog, neprofitnog i rentalnog stanovanja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540BC2A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</w:t>
            </w:r>
          </w:p>
        </w:tc>
      </w:tr>
      <w:tr w:rsidR="0056128D" w:rsidRPr="002D1C8B" w14:paraId="7B9C9F16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9EF6B96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70FF4DC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razvijeni, nepovezani i neažurni informacioni sistemi i baze podataka za planiranje i upravljanje sektorom stanovanja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0D57C7E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PA09-17</w:t>
            </w:r>
          </w:p>
        </w:tc>
      </w:tr>
      <w:tr w:rsidR="0056128D" w:rsidRPr="002D1C8B" w14:paraId="1067BD39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2901BB5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2D83CD6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uređen i transparentan sektor zakupa stanova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346B389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</w:t>
            </w:r>
          </w:p>
        </w:tc>
      </w:tr>
      <w:tr w:rsidR="0056128D" w:rsidRPr="002D1C8B" w14:paraId="4CD808D8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6D2F38B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15D6126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Nepostojanje lokacije za odlaganje građevinskog otpada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508D03C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</w:t>
            </w:r>
          </w:p>
        </w:tc>
      </w:tr>
      <w:tr w:rsidR="0056128D" w:rsidRPr="002D1C8B" w14:paraId="76955C8D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6D82ED9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7E89EF4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Neujednačena primjena zakonodavnog okvira i ograničeni kapaciteti za nadzor i sprovođenje propisa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0CAD7CB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PA09-15</w:t>
            </w:r>
          </w:p>
        </w:tc>
      </w:tr>
      <w:tr w:rsidR="0056128D" w:rsidRPr="002D1C8B" w14:paraId="7F31EB1D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B0C8DA6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0BA3000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Ograničena finansijska sredstva za uklanjanje i sanaciju objekata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07450DD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PA09-06</w:t>
            </w:r>
          </w:p>
        </w:tc>
      </w:tr>
      <w:tr w:rsidR="0056128D" w:rsidRPr="002D1C8B" w14:paraId="3474F16D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915C633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1361666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Ograničena primjena standarda energetske efikasnosti u praksi, posebno u novoj gradnji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1AA12E2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PA09-02, PA09-13</w:t>
            </w:r>
          </w:p>
        </w:tc>
      </w:tr>
      <w:tr w:rsidR="009A2A7B" w:rsidRPr="002D1C8B" w14:paraId="684CC4E4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</w:tcPr>
          <w:p w14:paraId="319C09DB" w14:textId="77777777" w:rsidR="009A2A7B" w:rsidRPr="002D1C8B" w:rsidRDefault="009A2A7B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</w:tcPr>
          <w:p w14:paraId="4A32E41C" w14:textId="642A3C56" w:rsidR="009A2A7B" w:rsidRPr="002D1C8B" w:rsidRDefault="009A2A7B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A2A7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Nedostatak radne snage u građevinskom i tehničkom sektoru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</w:tcPr>
          <w:p w14:paraId="1D65DFF0" w14:textId="072DDED3" w:rsidR="009A2A7B" w:rsidRPr="002D1C8B" w:rsidRDefault="009A2A7B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</w:t>
            </w:r>
          </w:p>
        </w:tc>
      </w:tr>
      <w:tr w:rsidR="0056128D" w:rsidRPr="002D1C8B" w14:paraId="76BCF11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55EB938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1DF44BE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Ograničeni administrativni, stručni i tehnički kapaciteti za pripremu, sprovođenje i nadzor nad realizacijom projekata, planskih dokumenata i zakonskih rješenjaRasprostranjena bespravna gradnja i nedovoljno razvijeni preventivni mehanizmi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4011678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PA09-05</w:t>
            </w:r>
          </w:p>
        </w:tc>
      </w:tr>
      <w:tr w:rsidR="00DB6973" w:rsidRPr="002D1C8B" w14:paraId="4C7892F9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</w:tcPr>
          <w:p w14:paraId="34D2F10E" w14:textId="77777777" w:rsidR="00DB6973" w:rsidRPr="002D1C8B" w:rsidRDefault="00DB6973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</w:tcPr>
          <w:p w14:paraId="1B766481" w14:textId="736260C6" w:rsidR="00DB6973" w:rsidRPr="002D1C8B" w:rsidRDefault="009A2A7B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Odliv stručnog kadra i ograničeni administrativni kapaciteti na nacionalnom i lokalnom nivou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</w:tcPr>
          <w:p w14:paraId="27FA681B" w14:textId="047E8A3F" w:rsidR="00DB6973" w:rsidRPr="002D1C8B" w:rsidRDefault="009A2A7B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</w:t>
            </w: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19</w:t>
            </w:r>
          </w:p>
        </w:tc>
      </w:tr>
      <w:tr w:rsidR="0056128D" w:rsidRPr="002D1C8B" w14:paraId="133A26E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9790945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43656BB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Prisustvo energetskog siromaštva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24E2288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PA09-11</w:t>
            </w:r>
          </w:p>
        </w:tc>
      </w:tr>
      <w:tr w:rsidR="0056128D" w:rsidRPr="002D1C8B" w14:paraId="6F09F6E5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8F32D8E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64277EE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Složene i dugotrajne administrativne procedure u procesu planiranja i izgradnje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5A3CF18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PA09-03</w:t>
            </w:r>
          </w:p>
        </w:tc>
      </w:tr>
      <w:tr w:rsidR="0056128D" w:rsidRPr="002D1C8B" w14:paraId="56A7760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C5193E5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10A396D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Stambena deprivacija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6EDE066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PA09-18, PA09-19</w:t>
            </w:r>
          </w:p>
        </w:tc>
      </w:tr>
      <w:tr w:rsidR="0056128D" w:rsidRPr="002D1C8B" w14:paraId="04CF77F8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167CCC5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AE2D5" w:themeFill="accent2" w:themeFillTint="33"/>
            <w:noWrap/>
            <w:hideMark/>
          </w:tcPr>
          <w:p w14:paraId="3627A6C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Velika zavisnost sektora stanovanja od uvoza građevinskog materijala i energenata</w:t>
            </w:r>
          </w:p>
        </w:tc>
        <w:tc>
          <w:tcPr>
            <w:tcW w:w="547" w:type="pct"/>
            <w:shd w:val="clear" w:color="auto" w:fill="FAE2D5" w:themeFill="accent2" w:themeFillTint="33"/>
            <w:noWrap/>
            <w:hideMark/>
          </w:tcPr>
          <w:p w14:paraId="2A366BB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</w:tr>
      <w:tr w:rsidR="0056128D" w:rsidRPr="002D1C8B" w14:paraId="77B5B4A4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 w:val="restart"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263A1DD1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  <w:t>PRILIKE</w:t>
            </w: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1E96A1A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Dalji razvoj digitalizacije u prostornom planiranju, katastru i izdavanju dozvola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13C495D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PA09-04</w:t>
            </w:r>
          </w:p>
        </w:tc>
      </w:tr>
      <w:tr w:rsidR="0056128D" w:rsidRPr="002D1C8B" w14:paraId="09D8F1E5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10DFFFBA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7C6237B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Dostupnost EU fondova i finansijskih instrumenata za: energetsku efikasnost i obnovu zgrada; razvoj socijalnog i pristupačnog stanovanja; unapređenje institucionalnih kapaciteta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5EFF792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PA09-07, PA09-09</w:t>
            </w:r>
          </w:p>
        </w:tc>
      </w:tr>
      <w:tr w:rsidR="0056128D" w:rsidRPr="002D1C8B" w14:paraId="555892D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2C48E4B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2993C49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Dostupnost EU fondova, Plana rasta, budućeg NRPP-a i međunarodnih finansijskih instrumenata za podršku reformama i investicijama u sektoru stanovanja i infrastrukture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24EA8E0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</w:t>
            </w:r>
          </w:p>
        </w:tc>
      </w:tr>
      <w:tr w:rsidR="0056128D" w:rsidRPr="002D1C8B" w14:paraId="23C27FE5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42052CB3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5B90A18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EU i međunarodni fokus na: borbu protiv beskućništva; smanjenje energetskog siromaštva; unapređenje dostupnosti stanovanja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56916AF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</w:t>
            </w:r>
          </w:p>
        </w:tc>
      </w:tr>
      <w:tr w:rsidR="0056128D" w:rsidRPr="002D1C8B" w14:paraId="2B8F36A9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77B14410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668D0BC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EU politike i inicijative (Evropski zeleni plan, Renovation Wave, EPBD, Socijalni klimatski fond, Novi evropski Bauhaus) koje podstiču energetsku efikasnost, dekarbonizaciju i unapređenje kvaliteta stanovanja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4C09B5C5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PA09-13</w:t>
            </w:r>
          </w:p>
        </w:tc>
      </w:tr>
      <w:tr w:rsidR="0056128D" w:rsidRPr="002D1C8B" w14:paraId="77D1783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3030C10B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596AA00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Jačanje koncepta pametnih, održivih i inkluzivnih zajednica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6A8B29D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</w:t>
            </w:r>
          </w:p>
        </w:tc>
      </w:tr>
      <w:tr w:rsidR="0056128D" w:rsidRPr="002D1C8B" w14:paraId="249AE9AE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39FCF480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383CA05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Mogućnost korišćenja javne imovine i zemljišta za razvoj stambenih projekata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08E06BF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</w:t>
            </w:r>
          </w:p>
        </w:tc>
      </w:tr>
      <w:tr w:rsidR="0056128D" w:rsidRPr="002D1C8B" w14:paraId="6601740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60370DB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2D0D67B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Mogućnost prenamjene postojećih nestambenih i industrijskih objekata u stambene svrhe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764F948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PA09-08, PA09-14</w:t>
            </w:r>
          </w:p>
        </w:tc>
      </w:tr>
      <w:tr w:rsidR="0056128D" w:rsidRPr="002D1C8B" w14:paraId="0CF93EBE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0CD15EB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36CECF5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Mogućnost razvoja finansijskih instrumenata (subvencije, kreditne linije, garancije) za sektor stanovanja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36F5C0F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</w:tr>
      <w:tr w:rsidR="0056128D" w:rsidRPr="002D1C8B" w14:paraId="1B644B9B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50E8C588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0CEEC95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Mogućnost razvoja integrisanih pristupa koji povezuju stanovanje, infrastrukturu, energetsku efikasnost, socijalne usluge i teritorijalni razvoj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3FAE439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PA09-09</w:t>
            </w:r>
          </w:p>
        </w:tc>
      </w:tr>
      <w:tr w:rsidR="0056128D" w:rsidRPr="002D1C8B" w14:paraId="05A9E46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71B538EC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505597B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Mogućnost razvoja integrisanih projekata koji povezuju stanovanje, energetsku efikasnost, socijalnu inkluziju i teritorijalni razvoj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7EAB1DF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PA09-09</w:t>
            </w:r>
          </w:p>
        </w:tc>
      </w:tr>
      <w:tr w:rsidR="0056128D" w:rsidRPr="002D1C8B" w14:paraId="32A2EEEB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1AB07B9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79541DA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Mogućnost usklađivanja sa inicijativama Novog evropskog Bauhausa, posebno u oblastima održivosti, inkluzivnosti i kvaliteta života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2B0324A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</w:tr>
      <w:tr w:rsidR="0056128D" w:rsidRPr="002D1C8B" w14:paraId="28E8CE04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2FB480B1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3AB9DF8B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Mogućnost većeg usmjeravanja evropskih i međunarodnih sredstava na rehabilitaciju, energetsku obnovu i prenamjenu postojećeg stambenog fonda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07C197C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PA09-08, PA09-14</w:t>
            </w:r>
          </w:p>
        </w:tc>
      </w:tr>
      <w:tr w:rsidR="0056128D" w:rsidRPr="002D1C8B" w14:paraId="38252A8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06343AAF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1CBC0D2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Primjena principa kružne ekonomije u obnovi, rekonstrukciji i izgradnji objekata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7550CF1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</w:t>
            </w:r>
          </w:p>
        </w:tc>
      </w:tr>
      <w:tr w:rsidR="0056128D" w:rsidRPr="002D1C8B" w14:paraId="7DB3EDC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04DD450E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37AECC8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javno-privatnih i neprofitno-javno-privatnih partnerstava za finansiranje i realizaciju stambenih projekata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47EA2C5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</w:t>
            </w:r>
          </w:p>
        </w:tc>
      </w:tr>
      <w:tr w:rsidR="0056128D" w:rsidRPr="002D1C8B" w14:paraId="569E9202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7AB4F162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0A9D289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lokalnih energetskih zajednica i korišćenja obnovljivih izvora energije u stambenom sektoru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4A2A5F8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PA09-02, PA09-13</w:t>
            </w:r>
          </w:p>
        </w:tc>
      </w:tr>
      <w:tr w:rsidR="0056128D" w:rsidRPr="002D1C8B" w14:paraId="2E1EF19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1C542EC5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6492FF7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modela pristupačnog i neprofitnog stanovanja (affordable housing) u skladu sa evropskim praksama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765ECE5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PA09-07, PA09-09</w:t>
            </w:r>
          </w:p>
        </w:tc>
      </w:tr>
      <w:tr w:rsidR="0056128D" w:rsidRPr="002D1C8B" w14:paraId="1FE271F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74261B38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74EF217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modela stanovanja uz podršku za starije osobe, osobe sa invaliditetom i druge ranjive grupe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14E492D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PA09-10</w:t>
            </w:r>
          </w:p>
        </w:tc>
      </w:tr>
      <w:tr w:rsidR="0056128D" w:rsidRPr="002D1C8B" w14:paraId="01B148E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4D3AD01F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644F025C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novih tehnologija u građevinarstvu (energetski efikasna gradnja, prefabrikacija, digitalno projektovanje)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461A801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PA09-01</w:t>
            </w:r>
          </w:p>
        </w:tc>
      </w:tr>
      <w:tr w:rsidR="0056128D" w:rsidRPr="002D1C8B" w14:paraId="0BFD23D1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094594A4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4D641432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programa stanovanja kao instrumenta za zadržavanje stanovništva i ublažavanje regionalnih demografskih dispariteta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1367B0FA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</w:t>
            </w:r>
          </w:p>
        </w:tc>
      </w:tr>
      <w:tr w:rsidR="0056128D" w:rsidRPr="002D1C8B" w14:paraId="18D632AF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0953B6DC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CAEDFB" w:themeFill="accent4" w:themeFillTint="33"/>
            <w:noWrap/>
            <w:hideMark/>
          </w:tcPr>
          <w:p w14:paraId="6B9AD6A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Razvoj projekata „zelenog socijalnog stanovanja“ (green social housing) i objekata sa gotovo nultom emisijom (nZEB)</w:t>
            </w:r>
          </w:p>
        </w:tc>
        <w:tc>
          <w:tcPr>
            <w:tcW w:w="547" w:type="pct"/>
            <w:shd w:val="clear" w:color="auto" w:fill="CAEDFB" w:themeFill="accent4" w:themeFillTint="33"/>
            <w:noWrap/>
            <w:hideMark/>
          </w:tcPr>
          <w:p w14:paraId="2E29E8D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PA09-01</w:t>
            </w:r>
          </w:p>
        </w:tc>
      </w:tr>
      <w:tr w:rsidR="0056128D" w:rsidRPr="002D1C8B" w14:paraId="7B8E25C8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 w:val="restart"/>
            <w:shd w:val="clear" w:color="auto" w:fill="FFFFCC"/>
            <w:noWrap/>
            <w:textDirection w:val="btLr"/>
            <w:vAlign w:val="center"/>
            <w:hideMark/>
          </w:tcPr>
          <w:p w14:paraId="6C632E5A" w14:textId="77777777" w:rsidR="0056128D" w:rsidRPr="002D1C8B" w:rsidRDefault="0056128D" w:rsidP="002D1C8B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8"/>
                <w:szCs w:val="28"/>
                <w:lang w:val="hr-HR" w:eastAsia="en-GB"/>
                <w14:ligatures w14:val="none"/>
              </w:rPr>
              <w:t>PRIJETNJE</w:t>
            </w:r>
          </w:p>
        </w:tc>
        <w:tc>
          <w:tcPr>
            <w:tcW w:w="3828" w:type="pct"/>
            <w:shd w:val="clear" w:color="auto" w:fill="FFFFCC"/>
            <w:noWrap/>
            <w:hideMark/>
          </w:tcPr>
          <w:p w14:paraId="33F6172D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Geopolitičke nestabilnosti i oružani sukobi koji utiču na lance snabdijevanja i cijene resursa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02E3E32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PA09-14</w:t>
            </w:r>
          </w:p>
        </w:tc>
      </w:tr>
      <w:tr w:rsidR="0056128D" w:rsidRPr="002D1C8B" w14:paraId="249066E6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174C68F7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69638725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Inflacija i rast troškova života, koji smanjuju pristupačnost stanovanja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2A449838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</w:tr>
      <w:tr w:rsidR="0056128D" w:rsidRPr="002D1C8B" w14:paraId="170614CC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52C85521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6A76A91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Klimatski rizici (poplave, požari, ekstremne temperature, seizmički rizici) koji povećavaju troškove gradnje i održavanja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65415927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PA09-05</w:t>
            </w:r>
          </w:p>
        </w:tc>
      </w:tr>
      <w:tr w:rsidR="0056128D" w:rsidRPr="002D1C8B" w14:paraId="2DECA13A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5F58919A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63D6A35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Klimatski rizici i ekstremni vremenski događaji mogu povećati troškove održavanja i otpornosti stambene i komunalne infrastrukture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3C4493F3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PA09-13</w:t>
            </w:r>
          </w:p>
        </w:tc>
      </w:tr>
      <w:tr w:rsidR="009A2A7B" w:rsidRPr="002D1C8B" w14:paraId="2F36077C" w14:textId="77777777" w:rsidTr="009A2A7B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69F200A4" w14:textId="77777777" w:rsidR="009A2A7B" w:rsidRPr="002D1C8B" w:rsidRDefault="009A2A7B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040F73DD" w14:textId="77777777" w:rsidR="009A2A7B" w:rsidRPr="002D1C8B" w:rsidRDefault="009A2A7B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Nastavak depopulacije i migracije stanovništva iz ruralnih i sjevernih područja može dodatno smanjiti održivost lokalnih zajednica i povećati neiskorišćenost postojećeg stambenog fonda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5FDCA86B" w14:textId="77777777" w:rsidR="009A2A7B" w:rsidRPr="002D1C8B" w:rsidRDefault="009A2A7B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PA09-08, PA09-14</w:t>
            </w:r>
          </w:p>
        </w:tc>
      </w:tr>
      <w:tr w:rsidR="00DB6973" w:rsidRPr="002D1C8B" w14:paraId="4ACAF8A7" w14:textId="77777777" w:rsidTr="00DB6973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30452E8C" w14:textId="77777777" w:rsidR="00DB6973" w:rsidRPr="002D1C8B" w:rsidRDefault="00DB6973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69179004" w14:textId="77777777" w:rsidR="00DB6973" w:rsidRPr="002D1C8B" w:rsidRDefault="00DB6973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Povećanje kamatnih stopa i stroži uslovi finansiranja, što utiče na investicije u sektor stanovanja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47FCDD84" w14:textId="77777777" w:rsidR="00DB6973" w:rsidRPr="002D1C8B" w:rsidRDefault="00DB6973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PA09-08, PA09-14</w:t>
            </w:r>
          </w:p>
        </w:tc>
      </w:tr>
      <w:tr w:rsidR="0056128D" w:rsidRPr="002D1C8B" w14:paraId="7E78C6B0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1284C0A2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09DEC2A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Pritisak na tržište nekretnina (rast cijena i potražnje u urbanim i turističkim zonama)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41DE0BD5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PA09-09</w:t>
            </w:r>
          </w:p>
        </w:tc>
      </w:tr>
      <w:tr w:rsidR="0056128D" w:rsidRPr="002D1C8B" w14:paraId="23E4155C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7A6B45BF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005F9B5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Promjenjive i povećane cijene energije i goriva, koje utiču na troškove izgradnje i održavanja objekata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6ED60754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PA09-03</w:t>
            </w:r>
          </w:p>
        </w:tc>
      </w:tr>
      <w:tr w:rsidR="0056128D" w:rsidRPr="002D1C8B" w14:paraId="3DB6429A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0014253F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1FE5858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Rast cijena građevinskih materijala i radova na međunarodnom tržištu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43415DB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PA09-08</w:t>
            </w:r>
          </w:p>
        </w:tc>
      </w:tr>
      <w:tr w:rsidR="0056128D" w:rsidRPr="002D1C8B" w14:paraId="4C29EAE5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1425DC19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0B796FD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Rast cijena građevinskog materijala, energenata i nekretnina može dodatno ograničiti dostupnost pristupačnog stanovanja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4CC567B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PA09-07, PA09-09</w:t>
            </w:r>
          </w:p>
        </w:tc>
      </w:tr>
      <w:tr w:rsidR="0056128D" w:rsidRPr="002D1C8B" w14:paraId="0B8B97A3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7F252B3B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4FF860A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Rizik da primjena EU standarda poveća troškove izgradnje bez proporcionalnog povećanja dostupnosti stanovanja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06A1E2EF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PA09-03</w:t>
            </w:r>
          </w:p>
        </w:tc>
      </w:tr>
      <w:tr w:rsidR="0056128D" w:rsidRPr="002D1C8B" w14:paraId="1436A6B9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0544ED29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404AE010" w14:textId="611E6748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Rizik od daljeg rasta socijalnih i teritorijalnih nejednakosti usljed rasta cijena stanovanja, gentrifikacije urbanih područja i i</w:t>
            </w:r>
            <w:r w:rsidR="00DB697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migracije</w:t>
            </w: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lokalnog stanovništva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1382991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PA09-12</w:t>
            </w:r>
          </w:p>
        </w:tc>
      </w:tr>
      <w:tr w:rsidR="0056128D" w:rsidRPr="002D1C8B" w14:paraId="61E366D7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0FA6CB9F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0CDE4006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Rizik od formalnog usklađivanja sa EU politikama bez pune implementacije u praksi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454ACE9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PA09-15</w:t>
            </w:r>
          </w:p>
        </w:tc>
      </w:tr>
      <w:tr w:rsidR="0056128D" w:rsidRPr="002D1C8B" w14:paraId="38902762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6BED41F6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08085DE0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Rizik od nedovoljne apsorpcije EU sredstava zbog ograničenih administrativnih kapaciteta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4406163E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PA09-06</w:t>
            </w:r>
          </w:p>
        </w:tc>
      </w:tr>
      <w:tr w:rsidR="0056128D" w:rsidRPr="002D1C8B" w14:paraId="3A0C256C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0D43B2CC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792EE79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Rizik od nedovoljne koordinacije između nacionalnog i lokalnog nivoa upravljanja u planiranju i sprovođenju politika stanovanja i teritorijalnog razvoja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17768D0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PA09-18, PA09-12</w:t>
            </w:r>
          </w:p>
        </w:tc>
      </w:tr>
      <w:tr w:rsidR="0056128D" w:rsidRPr="002D1C8B" w14:paraId="39F7B49C" w14:textId="77777777" w:rsidTr="002D1C8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vMerge/>
            <w:shd w:val="clear" w:color="auto" w:fill="FFFFCC"/>
            <w:noWrap/>
            <w:hideMark/>
          </w:tcPr>
          <w:p w14:paraId="7F0473B3" w14:textId="77777777" w:rsidR="0056128D" w:rsidRPr="002D1C8B" w:rsidRDefault="0056128D" w:rsidP="0056128D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22"/>
                <w:szCs w:val="22"/>
                <w:lang w:val="hr-HR" w:eastAsia="en-GB"/>
                <w14:ligatures w14:val="none"/>
              </w:rPr>
            </w:pPr>
          </w:p>
        </w:tc>
        <w:tc>
          <w:tcPr>
            <w:tcW w:w="3828" w:type="pct"/>
            <w:shd w:val="clear" w:color="auto" w:fill="FFFFCC"/>
            <w:noWrap/>
            <w:hideMark/>
          </w:tcPr>
          <w:p w14:paraId="68D7A791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Rizik od povećanja energetskog siromaštva usljed klimatske i energetske krize</w:t>
            </w:r>
          </w:p>
        </w:tc>
        <w:tc>
          <w:tcPr>
            <w:tcW w:w="547" w:type="pct"/>
            <w:shd w:val="clear" w:color="auto" w:fill="FFFFCC"/>
            <w:noWrap/>
            <w:hideMark/>
          </w:tcPr>
          <w:p w14:paraId="34444429" w14:textId="77777777" w:rsidR="0056128D" w:rsidRPr="002D1C8B" w:rsidRDefault="0056128D" w:rsidP="0056128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2D1C8B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PA09-18, PA09-13</w:t>
            </w:r>
          </w:p>
        </w:tc>
      </w:tr>
    </w:tbl>
    <w:p w14:paraId="6A1FDD1A" w14:textId="77777777" w:rsidR="00035584" w:rsidRPr="002D1C8B" w:rsidRDefault="00035584" w:rsidP="00F579F5">
      <w:pPr>
        <w:rPr>
          <w:lang w:val="hr-HR"/>
        </w:rPr>
      </w:pPr>
    </w:p>
    <w:p w14:paraId="2D047888" w14:textId="77777777" w:rsidR="00035584" w:rsidRPr="002D1C8B" w:rsidRDefault="00035584" w:rsidP="00F579F5">
      <w:pPr>
        <w:rPr>
          <w:lang w:val="hr-HR"/>
        </w:rPr>
      </w:pPr>
    </w:p>
    <w:p w14:paraId="1899FC02" w14:textId="77777777" w:rsidR="00035584" w:rsidRPr="002D1C8B" w:rsidRDefault="00035584" w:rsidP="00F579F5">
      <w:pPr>
        <w:rPr>
          <w:lang w:val="hr-HR"/>
        </w:rPr>
      </w:pPr>
    </w:p>
    <w:p w14:paraId="1D5F7A88" w14:textId="717F2702" w:rsidR="00F579F5" w:rsidRPr="002D1C8B" w:rsidRDefault="0BB45BEF" w:rsidP="002D1C8B">
      <w:pPr>
        <w:pStyle w:val="Heading1"/>
        <w:rPr>
          <w:lang w:val="hr-HR"/>
        </w:rPr>
      </w:pPr>
      <w:r w:rsidRPr="002D1C8B">
        <w:rPr>
          <w:lang w:val="hr-HR"/>
        </w:rPr>
        <w:t>Lista referenci</w:t>
      </w:r>
    </w:p>
    <w:p w14:paraId="1C085C0F" w14:textId="35CE17E6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Prostorni plan Crne Gore </w:t>
      </w:r>
      <w:r w:rsidR="007C5637" w:rsidRPr="002D1C8B">
        <w:rPr>
          <w:rFonts w:ascii="Aptos" w:eastAsia="Aptos" w:hAnsi="Aptos" w:cs="Aptos"/>
          <w:szCs w:val="20"/>
          <w:lang w:val="hr-HR"/>
        </w:rPr>
        <w:t>do 2040</w:t>
      </w:r>
    </w:p>
    <w:p w14:paraId="693CCC60" w14:textId="77777777" w:rsidR="007C5637" w:rsidRPr="002D1C8B" w:rsidRDefault="00415FBD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Strategija stambene politike Crne Gore do 2034. godine</w:t>
      </w:r>
    </w:p>
    <w:p w14:paraId="180BF38B" w14:textId="2C3D60A5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Strategija niskokarbonskog razvoja Crne Gore, Akcioni plan 2026–2030 (2026</w:t>
      </w:r>
      <w:r w:rsidR="0013270A" w:rsidRPr="002D1C8B">
        <w:rPr>
          <w:rFonts w:ascii="Aptos" w:eastAsia="Aptos" w:hAnsi="Aptos" w:cs="Aptos"/>
          <w:szCs w:val="20"/>
          <w:lang w:val="hr-HR"/>
        </w:rPr>
        <w:t>)</w:t>
      </w:r>
    </w:p>
    <w:p w14:paraId="36F8B9BC" w14:textId="6E78127D" w:rsidR="0013270A" w:rsidRPr="002D1C8B" w:rsidRDefault="0013270A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Sreategija deinstitucionalizacije 2025-2028</w:t>
      </w:r>
    </w:p>
    <w:p w14:paraId="36F49B2B" w14:textId="004C9774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Nacionalni energetski i klimatski plan Crne Gore (NEKP) </w:t>
      </w:r>
    </w:p>
    <w:p w14:paraId="427D7985" w14:textId="2A258BA3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Studija za unapređenje energetske efikasnosti u zgradama u Crnoj Gori (2024)</w:t>
      </w:r>
    </w:p>
    <w:p w14:paraId="3304A7A7" w14:textId="5BB08569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uređenju prostora </w:t>
      </w:r>
    </w:p>
    <w:p w14:paraId="30C5B158" w14:textId="0545236A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izgradnji objekata </w:t>
      </w:r>
    </w:p>
    <w:p w14:paraId="22CC4E45" w14:textId="1173A16D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legalizaciji bespravnih objekata </w:t>
      </w:r>
    </w:p>
    <w:p w14:paraId="1ED2D40B" w14:textId="07A08FD3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održavanju stambenih zgrada </w:t>
      </w:r>
    </w:p>
    <w:p w14:paraId="20A46CB8" w14:textId="7904E4CE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socijalnom stanovanju </w:t>
      </w:r>
    </w:p>
    <w:p w14:paraId="3DD73F07" w14:textId="38B4FE3A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stambenim zadrugama </w:t>
      </w:r>
    </w:p>
    <w:p w14:paraId="04B4E4C9" w14:textId="6CACDC37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socijalnoj i dječijoj zaštiti </w:t>
      </w:r>
    </w:p>
    <w:p w14:paraId="66F7B001" w14:textId="27FA3E94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komunalnim djelatnostima </w:t>
      </w:r>
    </w:p>
    <w:p w14:paraId="77D2BADF" w14:textId="7089BE63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lokalnoj samoupravi </w:t>
      </w:r>
    </w:p>
    <w:p w14:paraId="3D39BBB4" w14:textId="5D68C509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energetskoj efikasnosti </w:t>
      </w:r>
    </w:p>
    <w:p w14:paraId="3816C03B" w14:textId="2FE66B08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energetici </w:t>
      </w:r>
    </w:p>
    <w:p w14:paraId="2E2AFF09" w14:textId="0454461B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korišćenju energije iz obnovljivih izvora </w:t>
      </w:r>
    </w:p>
    <w:p w14:paraId="2662595A" w14:textId="0278B11B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</w:t>
      </w:r>
      <w:r w:rsidR="00B93243" w:rsidRPr="002D1C8B">
        <w:rPr>
          <w:rFonts w:ascii="Aptos" w:eastAsia="Aptos" w:hAnsi="Aptos" w:cs="Aptos"/>
          <w:szCs w:val="20"/>
          <w:lang w:val="hr-HR"/>
        </w:rPr>
        <w:t>životnoj sredini</w:t>
      </w:r>
      <w:r w:rsidRPr="002D1C8B">
        <w:rPr>
          <w:rFonts w:ascii="Aptos" w:eastAsia="Aptos" w:hAnsi="Aptos" w:cs="Aptos"/>
          <w:szCs w:val="20"/>
          <w:lang w:val="hr-HR"/>
        </w:rPr>
        <w:t xml:space="preserve"> </w:t>
      </w:r>
    </w:p>
    <w:p w14:paraId="7FC12FF4" w14:textId="0057DEB2" w:rsidR="00F579F5" w:rsidRPr="002D1C8B" w:rsidRDefault="0BB45BEF" w:rsidP="0BB45BEF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Zakon o državnoj imovini </w:t>
      </w:r>
    </w:p>
    <w:p w14:paraId="6B2238C5" w14:textId="5479E523" w:rsidR="007C5637" w:rsidRPr="002D1C8B" w:rsidRDefault="000C4FB8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Profil države Crne Gore u oblasti urbanog razvoja, stanovanja i upravljanja zemljistem (2026</w:t>
      </w:r>
      <w:r w:rsidR="0013270A" w:rsidRPr="002D1C8B">
        <w:rPr>
          <w:rFonts w:ascii="Aptos" w:eastAsia="Aptos" w:hAnsi="Aptos" w:cs="Aptos"/>
          <w:szCs w:val="20"/>
          <w:lang w:val="hr-HR"/>
        </w:rPr>
        <w:t xml:space="preserve"> </w:t>
      </w:r>
      <w:r w:rsidRPr="002D1C8B">
        <w:rPr>
          <w:rFonts w:ascii="Aptos" w:eastAsia="Aptos" w:hAnsi="Aptos" w:cs="Aptos"/>
          <w:szCs w:val="20"/>
          <w:lang w:val="hr-HR"/>
        </w:rPr>
        <w:t>UNECE</w:t>
      </w:r>
      <w:r w:rsidR="0013270A" w:rsidRPr="002D1C8B">
        <w:rPr>
          <w:rFonts w:ascii="Aptos" w:eastAsia="Aptos" w:hAnsi="Aptos" w:cs="Aptos"/>
          <w:szCs w:val="20"/>
          <w:lang w:val="hr-HR"/>
        </w:rPr>
        <w:t>)</w:t>
      </w:r>
    </w:p>
    <w:p w14:paraId="4F214634" w14:textId="1CB43407" w:rsidR="0013270A" w:rsidRPr="002D1C8B" w:rsidRDefault="0013270A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Reformska agenda Crne Gore za Instrument EU za reforme i rast 2024–2027</w:t>
      </w:r>
    </w:p>
    <w:p w14:paraId="48B0640A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Agenda 2030 za održivi razvoj (2015) </w:t>
      </w:r>
    </w:p>
    <w:p w14:paraId="1DABF15A" w14:textId="791CB54A" w:rsidR="00E14B89" w:rsidRPr="002D1C8B" w:rsidRDefault="00E14B89" w:rsidP="00E14B89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Ugovor o osnivanju energetiskih zajednica(2005)</w:t>
      </w:r>
    </w:p>
    <w:p w14:paraId="64836385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Ciljevi održivog razvoja (SDGs, 2015) </w:t>
      </w:r>
    </w:p>
    <w:p w14:paraId="13ABECB5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Nova urbana agenda (Habitat III, 2016) </w:t>
      </w:r>
    </w:p>
    <w:p w14:paraId="4A33232D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Evropski zeleni plan (European Green Deal, 2019) </w:t>
      </w:r>
    </w:p>
    <w:p w14:paraId="4F04D788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EU Zakon o klimi – Uredba (EU) 2021/1119 </w:t>
      </w:r>
    </w:p>
    <w:p w14:paraId="60171DB6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 Renovation Wave for Europe (2020) </w:t>
      </w:r>
    </w:p>
    <w:p w14:paraId="33F00F00" w14:textId="5F8AB252" w:rsidR="0013270A" w:rsidRPr="002D1C8B" w:rsidRDefault="0013270A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>The New Leipzig Charter – The transformative power of cities for the common good (2020)</w:t>
      </w:r>
    </w:p>
    <w:p w14:paraId="7A8E043A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Evropski stub socijalnih prava (2017) </w:t>
      </w:r>
    </w:p>
    <w:p w14:paraId="4782254E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lastRenderedPageBreak/>
        <w:t xml:space="preserve">  Akcioni plan za Evropski stub socijalnih prava (2021) </w:t>
      </w:r>
    </w:p>
    <w:p w14:paraId="5F1E5697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 Evropska platforma za borbu protiv beskućništva (2021) </w:t>
      </w:r>
    </w:p>
    <w:p w14:paraId="0720FD09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 Novi evropski Bauhaus (2021) </w:t>
      </w:r>
    </w:p>
    <w:p w14:paraId="4828C83B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 Direktiva (EU) 2024/1275 o energetskim svojstvima zgrada (EPBD) </w:t>
      </w:r>
    </w:p>
    <w:p w14:paraId="469F1E12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Direktiva (EU) 2023/1791 o energetskoj efikasnosti (EED) </w:t>
      </w:r>
    </w:p>
    <w:p w14:paraId="780F89EF" w14:textId="77777777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Socijalni klimatski fond - Uredba (EU) 2023/955 </w:t>
      </w:r>
    </w:p>
    <w:p w14:paraId="30D90397" w14:textId="05C9EA32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Povelja Evropske unije o osnovnim pravima (2000, prilagođena 2007) </w:t>
      </w:r>
    </w:p>
    <w:p w14:paraId="3EC2F646" w14:textId="586EA216" w:rsidR="007C5637" w:rsidRPr="002D1C8B" w:rsidRDefault="007C5637" w:rsidP="007C5637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 Preporuka Vijeća (EU) 2021/1004 o uspostavljanju Evropske garancije za djecu</w:t>
      </w:r>
    </w:p>
    <w:p w14:paraId="45E5092C" w14:textId="77777777" w:rsidR="0013270A" w:rsidRPr="002D1C8B" w:rsidRDefault="007C5637" w:rsidP="0013270A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Cs w:val="20"/>
          <w:lang w:val="hr-HR"/>
        </w:rPr>
      </w:pPr>
      <w:r w:rsidRPr="002D1C8B">
        <w:rPr>
          <w:rFonts w:ascii="Aptos" w:eastAsia="Aptos" w:hAnsi="Aptos" w:cs="Aptos"/>
          <w:szCs w:val="20"/>
          <w:lang w:val="hr-HR"/>
        </w:rPr>
        <w:t xml:space="preserve">Preporuka Vijeća Evropske unije o adekvatnom minimalnom dohotku kojim se obezbjeđuje aktivna uključenost (2023) </w:t>
      </w:r>
    </w:p>
    <w:p w14:paraId="48FA5DBB" w14:textId="0EA5CDE9" w:rsidR="00F579F5" w:rsidRPr="002D1C8B" w:rsidRDefault="00F579F5" w:rsidP="0013270A">
      <w:pPr>
        <w:spacing w:after="0"/>
        <w:rPr>
          <w:rFonts w:ascii="Aptos" w:eastAsia="Aptos" w:hAnsi="Aptos" w:cs="Aptos"/>
          <w:szCs w:val="20"/>
          <w:lang w:val="hr-HR"/>
        </w:rPr>
      </w:pPr>
    </w:p>
    <w:sectPr w:rsidR="00F579F5" w:rsidRPr="002D1C8B" w:rsidSect="002550A2">
      <w:head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8E99C" w14:textId="77777777" w:rsidR="009702EF" w:rsidRDefault="009702EF" w:rsidP="00D02C7D">
      <w:pPr>
        <w:spacing w:after="0" w:line="240" w:lineRule="auto"/>
      </w:pPr>
      <w:r>
        <w:separator/>
      </w:r>
    </w:p>
  </w:endnote>
  <w:endnote w:type="continuationSeparator" w:id="0">
    <w:p w14:paraId="1A14F17F" w14:textId="77777777" w:rsidR="009702EF" w:rsidRDefault="009702EF" w:rsidP="00D0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A2C38" w14:textId="77777777" w:rsidR="009702EF" w:rsidRDefault="009702EF" w:rsidP="00D02C7D">
      <w:pPr>
        <w:spacing w:after="0" w:line="240" w:lineRule="auto"/>
      </w:pPr>
      <w:r>
        <w:separator/>
      </w:r>
    </w:p>
  </w:footnote>
  <w:footnote w:type="continuationSeparator" w:id="0">
    <w:p w14:paraId="0DD0B5EB" w14:textId="77777777" w:rsidR="009702EF" w:rsidRDefault="009702EF" w:rsidP="00D02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15A47" w14:textId="7AA6198B" w:rsidR="00B428DC" w:rsidRDefault="00B428DC">
    <w:pPr>
      <w:pStyle w:val="Header"/>
    </w:pPr>
    <w:r w:rsidRPr="00095509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527CB1A" wp14:editId="441F4588">
          <wp:simplePos x="0" y="0"/>
          <wp:positionH relativeFrom="column">
            <wp:posOffset>60486</wp:posOffset>
          </wp:positionH>
          <wp:positionV relativeFrom="paragraph">
            <wp:posOffset>47625</wp:posOffset>
          </wp:positionV>
          <wp:extent cx="1459865" cy="729615"/>
          <wp:effectExtent l="0" t="0" r="6985" b="0"/>
          <wp:wrapThrough wrapText="bothSides">
            <wp:wrapPolygon edited="0">
              <wp:start x="1973" y="3948"/>
              <wp:lineTo x="282" y="6768"/>
              <wp:lineTo x="282" y="12407"/>
              <wp:lineTo x="1973" y="14663"/>
              <wp:lineTo x="12120" y="16919"/>
              <wp:lineTo x="15784" y="16919"/>
              <wp:lineTo x="20858" y="14663"/>
              <wp:lineTo x="21421" y="12971"/>
              <wp:lineTo x="21421" y="5076"/>
              <wp:lineTo x="3382" y="3948"/>
              <wp:lineTo x="1973" y="3948"/>
            </wp:wrapPolygon>
          </wp:wrapThrough>
          <wp:docPr id="154918060" name="Picture 10">
            <a:extLst xmlns:a="http://schemas.openxmlformats.org/drawingml/2006/main">
              <a:ext uri="{FF2B5EF4-FFF2-40B4-BE49-F238E27FC236}">
                <a16:creationId xmlns:a16="http://schemas.microsoft.com/office/drawing/2014/main" id="{B462C3E9-0F16-3A9C-C01E-9CF55F5E68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B462C3E9-0F16-3A9C-C01E-9CF55F5E68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86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16792C" w14:textId="7A54FE20" w:rsidR="00B428DC" w:rsidRDefault="00B428DC">
    <w:pPr>
      <w:pStyle w:val="Header"/>
    </w:pPr>
  </w:p>
  <w:p w14:paraId="26352231" w14:textId="17209581" w:rsidR="00B428DC" w:rsidRDefault="00B428DC">
    <w:pPr>
      <w:pStyle w:val="Header"/>
    </w:pPr>
  </w:p>
  <w:p w14:paraId="030CA3E2" w14:textId="45EADDA9" w:rsidR="00B428DC" w:rsidRDefault="00B428DC">
    <w:pPr>
      <w:pStyle w:val="Header"/>
    </w:pPr>
  </w:p>
  <w:p w14:paraId="6D38E9FA" w14:textId="303BA141" w:rsidR="00B428DC" w:rsidRDefault="00B42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FC05"/>
    <w:multiLevelType w:val="hybridMultilevel"/>
    <w:tmpl w:val="FFFFFFFF"/>
    <w:lvl w:ilvl="0" w:tplc="475AC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A02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A68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42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65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62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E3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AD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DE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71E51"/>
    <w:multiLevelType w:val="multilevel"/>
    <w:tmpl w:val="8C4EED7A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CBA61"/>
    <w:multiLevelType w:val="hybridMultilevel"/>
    <w:tmpl w:val="FFFFFFFF"/>
    <w:lvl w:ilvl="0" w:tplc="3D1A7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6F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C42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CC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4F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42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C0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24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80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76BD"/>
    <w:multiLevelType w:val="hybridMultilevel"/>
    <w:tmpl w:val="0CC0739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EE4C58"/>
    <w:multiLevelType w:val="hybridMultilevel"/>
    <w:tmpl w:val="0D68CF0E"/>
    <w:lvl w:ilvl="0" w:tplc="95B4C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43F96"/>
    <w:multiLevelType w:val="hybridMultilevel"/>
    <w:tmpl w:val="BFF836D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315440B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ind w:left="99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1CC8F8A"/>
    <w:multiLevelType w:val="multilevel"/>
    <w:tmpl w:val="BE0A107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C5C17"/>
    <w:multiLevelType w:val="hybridMultilevel"/>
    <w:tmpl w:val="65F25D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14446A"/>
    <w:multiLevelType w:val="hybridMultilevel"/>
    <w:tmpl w:val="FFFFFFFF"/>
    <w:lvl w:ilvl="0" w:tplc="EADC8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E6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AB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63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C0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86E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03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89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20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15709"/>
    <w:multiLevelType w:val="hybridMultilevel"/>
    <w:tmpl w:val="673279D6"/>
    <w:lvl w:ilvl="0" w:tplc="63BA64D8">
      <w:start w:val="1"/>
      <w:numFmt w:val="bullet"/>
      <w:lvlText w:val="-"/>
      <w:lvlJc w:val="left"/>
      <w:pPr>
        <w:ind w:left="540" w:hanging="270"/>
      </w:pPr>
    </w:lvl>
    <w:lvl w:ilvl="1" w:tplc="50309060">
      <w:start w:val="1"/>
      <w:numFmt w:val="bullet"/>
      <w:lvlText w:val="-"/>
      <w:lvlJc w:val="left"/>
      <w:pPr>
        <w:ind w:left="1080" w:hanging="270"/>
      </w:pPr>
    </w:lvl>
    <w:lvl w:ilvl="2" w:tplc="3030F9CE">
      <w:numFmt w:val="decimal"/>
      <w:lvlText w:val=""/>
      <w:lvlJc w:val="left"/>
    </w:lvl>
    <w:lvl w:ilvl="3" w:tplc="1B4A2F5E">
      <w:numFmt w:val="decimal"/>
      <w:lvlText w:val=""/>
      <w:lvlJc w:val="left"/>
    </w:lvl>
    <w:lvl w:ilvl="4" w:tplc="750E0432">
      <w:numFmt w:val="decimal"/>
      <w:lvlText w:val=""/>
      <w:lvlJc w:val="left"/>
    </w:lvl>
    <w:lvl w:ilvl="5" w:tplc="539ACC1C">
      <w:numFmt w:val="decimal"/>
      <w:lvlText w:val=""/>
      <w:lvlJc w:val="left"/>
    </w:lvl>
    <w:lvl w:ilvl="6" w:tplc="FE80F772">
      <w:numFmt w:val="decimal"/>
      <w:lvlText w:val=""/>
      <w:lvlJc w:val="left"/>
    </w:lvl>
    <w:lvl w:ilvl="7" w:tplc="619C1118">
      <w:numFmt w:val="decimal"/>
      <w:lvlText w:val=""/>
      <w:lvlJc w:val="left"/>
    </w:lvl>
    <w:lvl w:ilvl="8" w:tplc="05AAAB5E">
      <w:numFmt w:val="decimal"/>
      <w:lvlText w:val=""/>
      <w:lvlJc w:val="left"/>
    </w:lvl>
  </w:abstractNum>
  <w:abstractNum w:abstractNumId="11" w15:restartNumberingAfterBreak="0">
    <w:nsid w:val="7B780D35"/>
    <w:multiLevelType w:val="hybridMultilevel"/>
    <w:tmpl w:val="2486A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928423">
    <w:abstractNumId w:val="7"/>
  </w:num>
  <w:num w:numId="2" w16cid:durableId="272828110">
    <w:abstractNumId w:val="0"/>
  </w:num>
  <w:num w:numId="3" w16cid:durableId="1733770726">
    <w:abstractNumId w:val="2"/>
  </w:num>
  <w:num w:numId="4" w16cid:durableId="78062050">
    <w:abstractNumId w:val="9"/>
  </w:num>
  <w:num w:numId="5" w16cid:durableId="643504154">
    <w:abstractNumId w:val="6"/>
  </w:num>
  <w:num w:numId="6" w16cid:durableId="552471794">
    <w:abstractNumId w:val="11"/>
  </w:num>
  <w:num w:numId="7" w16cid:durableId="1161386313">
    <w:abstractNumId w:val="1"/>
  </w:num>
  <w:num w:numId="8" w16cid:durableId="976765851">
    <w:abstractNumId w:val="10"/>
    <w:lvlOverride w:ilvl="0">
      <w:startOverride w:val="1"/>
    </w:lvlOverride>
  </w:num>
  <w:num w:numId="9" w16cid:durableId="908343765">
    <w:abstractNumId w:val="4"/>
  </w:num>
  <w:num w:numId="10" w16cid:durableId="1622764560">
    <w:abstractNumId w:val="5"/>
  </w:num>
  <w:num w:numId="11" w16cid:durableId="1016807087">
    <w:abstractNumId w:val="3"/>
  </w:num>
  <w:num w:numId="12" w16cid:durableId="1859272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F5"/>
    <w:rsid w:val="000330A5"/>
    <w:rsid w:val="00035584"/>
    <w:rsid w:val="000510AE"/>
    <w:rsid w:val="00052084"/>
    <w:rsid w:val="000846FF"/>
    <w:rsid w:val="000A668C"/>
    <w:rsid w:val="000C4FB8"/>
    <w:rsid w:val="001021C1"/>
    <w:rsid w:val="00112D31"/>
    <w:rsid w:val="00126603"/>
    <w:rsid w:val="0013270A"/>
    <w:rsid w:val="00147637"/>
    <w:rsid w:val="0015151E"/>
    <w:rsid w:val="00153363"/>
    <w:rsid w:val="00165A88"/>
    <w:rsid w:val="001A2324"/>
    <w:rsid w:val="001B01F9"/>
    <w:rsid w:val="001F05D0"/>
    <w:rsid w:val="0021066E"/>
    <w:rsid w:val="00232CC7"/>
    <w:rsid w:val="00254E76"/>
    <w:rsid w:val="002550A2"/>
    <w:rsid w:val="0028158D"/>
    <w:rsid w:val="00283504"/>
    <w:rsid w:val="00284965"/>
    <w:rsid w:val="002A663A"/>
    <w:rsid w:val="002B4A67"/>
    <w:rsid w:val="002D1C8B"/>
    <w:rsid w:val="002D6FE8"/>
    <w:rsid w:val="002F0BF6"/>
    <w:rsid w:val="002F3E2F"/>
    <w:rsid w:val="00311BC7"/>
    <w:rsid w:val="00315AE5"/>
    <w:rsid w:val="003630F9"/>
    <w:rsid w:val="00366676"/>
    <w:rsid w:val="0038468D"/>
    <w:rsid w:val="0038625C"/>
    <w:rsid w:val="003B6FCA"/>
    <w:rsid w:val="003F011E"/>
    <w:rsid w:val="003F0B93"/>
    <w:rsid w:val="003F7919"/>
    <w:rsid w:val="00415FBD"/>
    <w:rsid w:val="00423158"/>
    <w:rsid w:val="004235E1"/>
    <w:rsid w:val="00462173"/>
    <w:rsid w:val="004C5365"/>
    <w:rsid w:val="004E5D93"/>
    <w:rsid w:val="004E6529"/>
    <w:rsid w:val="00504662"/>
    <w:rsid w:val="0056128D"/>
    <w:rsid w:val="005F3FE8"/>
    <w:rsid w:val="00610222"/>
    <w:rsid w:val="00614015"/>
    <w:rsid w:val="00641C34"/>
    <w:rsid w:val="00661EAA"/>
    <w:rsid w:val="00672BA3"/>
    <w:rsid w:val="00674329"/>
    <w:rsid w:val="006A1BFC"/>
    <w:rsid w:val="006A6DBF"/>
    <w:rsid w:val="006C09AE"/>
    <w:rsid w:val="006C6CC0"/>
    <w:rsid w:val="00715DD8"/>
    <w:rsid w:val="007207B7"/>
    <w:rsid w:val="00731D75"/>
    <w:rsid w:val="00755FD5"/>
    <w:rsid w:val="00775F4F"/>
    <w:rsid w:val="007839FC"/>
    <w:rsid w:val="007A3028"/>
    <w:rsid w:val="007A48D8"/>
    <w:rsid w:val="007C5637"/>
    <w:rsid w:val="007E0DAB"/>
    <w:rsid w:val="007E4370"/>
    <w:rsid w:val="007E543D"/>
    <w:rsid w:val="007F1302"/>
    <w:rsid w:val="00802747"/>
    <w:rsid w:val="00803A8C"/>
    <w:rsid w:val="00811E78"/>
    <w:rsid w:val="00813707"/>
    <w:rsid w:val="00825B5D"/>
    <w:rsid w:val="0087152E"/>
    <w:rsid w:val="00875BAB"/>
    <w:rsid w:val="00925F88"/>
    <w:rsid w:val="00926455"/>
    <w:rsid w:val="0093136E"/>
    <w:rsid w:val="00967914"/>
    <w:rsid w:val="009701D2"/>
    <w:rsid w:val="009702EF"/>
    <w:rsid w:val="009A0264"/>
    <w:rsid w:val="009A2A7B"/>
    <w:rsid w:val="009B561A"/>
    <w:rsid w:val="009C4872"/>
    <w:rsid w:val="009D3A7D"/>
    <w:rsid w:val="009D431D"/>
    <w:rsid w:val="009E5D0A"/>
    <w:rsid w:val="00A024EF"/>
    <w:rsid w:val="00A10705"/>
    <w:rsid w:val="00A1491C"/>
    <w:rsid w:val="00A16799"/>
    <w:rsid w:val="00A62A16"/>
    <w:rsid w:val="00AB3C2C"/>
    <w:rsid w:val="00AC7C19"/>
    <w:rsid w:val="00AF1E38"/>
    <w:rsid w:val="00B060D4"/>
    <w:rsid w:val="00B1641E"/>
    <w:rsid w:val="00B17B5B"/>
    <w:rsid w:val="00B303BF"/>
    <w:rsid w:val="00B34051"/>
    <w:rsid w:val="00B428DC"/>
    <w:rsid w:val="00B626C6"/>
    <w:rsid w:val="00B722BD"/>
    <w:rsid w:val="00B93243"/>
    <w:rsid w:val="00B96841"/>
    <w:rsid w:val="00BA7AE2"/>
    <w:rsid w:val="00BD1487"/>
    <w:rsid w:val="00BD39B7"/>
    <w:rsid w:val="00BD3EE2"/>
    <w:rsid w:val="00BE21C1"/>
    <w:rsid w:val="00BF042F"/>
    <w:rsid w:val="00C4536A"/>
    <w:rsid w:val="00C55F67"/>
    <w:rsid w:val="00C91841"/>
    <w:rsid w:val="00C94037"/>
    <w:rsid w:val="00C95C9E"/>
    <w:rsid w:val="00CB0A57"/>
    <w:rsid w:val="00CC2E46"/>
    <w:rsid w:val="00CE6DD1"/>
    <w:rsid w:val="00D02C7D"/>
    <w:rsid w:val="00D1590C"/>
    <w:rsid w:val="00D35704"/>
    <w:rsid w:val="00D40F1C"/>
    <w:rsid w:val="00D41229"/>
    <w:rsid w:val="00D50D13"/>
    <w:rsid w:val="00D522E5"/>
    <w:rsid w:val="00D5438B"/>
    <w:rsid w:val="00D601D2"/>
    <w:rsid w:val="00D73C9B"/>
    <w:rsid w:val="00D76BD6"/>
    <w:rsid w:val="00D93D1E"/>
    <w:rsid w:val="00DB6973"/>
    <w:rsid w:val="00DF723B"/>
    <w:rsid w:val="00E14B89"/>
    <w:rsid w:val="00E2151A"/>
    <w:rsid w:val="00E46C86"/>
    <w:rsid w:val="00E65AB9"/>
    <w:rsid w:val="00E92DFE"/>
    <w:rsid w:val="00F01EA1"/>
    <w:rsid w:val="00F37A23"/>
    <w:rsid w:val="00F44D86"/>
    <w:rsid w:val="00F4622C"/>
    <w:rsid w:val="00F5034C"/>
    <w:rsid w:val="00F579F5"/>
    <w:rsid w:val="00FE24A4"/>
    <w:rsid w:val="00FF4438"/>
    <w:rsid w:val="036FE982"/>
    <w:rsid w:val="06A38136"/>
    <w:rsid w:val="0B87569C"/>
    <w:rsid w:val="0BB45BEF"/>
    <w:rsid w:val="2129FBE5"/>
    <w:rsid w:val="39DA3C0B"/>
    <w:rsid w:val="426208E5"/>
    <w:rsid w:val="43C7F2DD"/>
    <w:rsid w:val="462B1440"/>
    <w:rsid w:val="49F03FE1"/>
    <w:rsid w:val="63DAC6F6"/>
    <w:rsid w:val="6B09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2E6B"/>
  <w15:chartTrackingRefBased/>
  <w15:docId w15:val="{0C72166B-D21D-4F95-8D7D-B36869DD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A2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9F5"/>
    <w:pPr>
      <w:keepNext/>
      <w:keepLines/>
      <w:numPr>
        <w:numId w:val="5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9F5"/>
    <w:pPr>
      <w:keepNext/>
      <w:keepLines/>
      <w:numPr>
        <w:ilvl w:val="1"/>
        <w:numId w:val="5"/>
      </w:numPr>
      <w:spacing w:before="160" w:after="80"/>
      <w:ind w:left="57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9F5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9F5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9F5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9F5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9F5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9F5"/>
    <w:pPr>
      <w:keepNext/>
      <w:keepLines/>
      <w:numPr>
        <w:ilvl w:val="7"/>
        <w:numId w:val="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9F5"/>
    <w:pPr>
      <w:keepNext/>
      <w:keepLines/>
      <w:numPr>
        <w:ilvl w:val="8"/>
        <w:numId w:val="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9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9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9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F37A23"/>
    <w:rPr>
      <w:b/>
      <w:bCs/>
    </w:rPr>
  </w:style>
  <w:style w:type="character" w:styleId="Hyperlink">
    <w:name w:val="Hyperlink"/>
    <w:basedOn w:val="DefaultParagraphFont"/>
    <w:uiPriority w:val="99"/>
    <w:unhideWhenUsed/>
    <w:rsid w:val="007E43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3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4370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02C7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2C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C7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6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455"/>
  </w:style>
  <w:style w:type="paragraph" w:styleId="Footer">
    <w:name w:val="footer"/>
    <w:basedOn w:val="Normal"/>
    <w:link w:val="FooterChar"/>
    <w:uiPriority w:val="99"/>
    <w:unhideWhenUsed/>
    <w:rsid w:val="00926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455"/>
  </w:style>
  <w:style w:type="character" w:styleId="CommentReference">
    <w:name w:val="annotation reference"/>
    <w:basedOn w:val="DefaultParagraphFont"/>
    <w:uiPriority w:val="99"/>
    <w:semiHidden/>
    <w:unhideWhenUsed/>
    <w:rsid w:val="009D4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31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3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3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1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590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46C86"/>
    <w:rPr>
      <w:i/>
      <w:iCs/>
    </w:rPr>
  </w:style>
  <w:style w:type="table" w:styleId="GridTable1Light-Accent4">
    <w:name w:val="Grid Table 1 Light Accent 4"/>
    <w:basedOn w:val="TableNormal"/>
    <w:uiPriority w:val="46"/>
    <w:rsid w:val="0056128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c.europa.eu/eurostat/databrowser/view/ilc_mdho06a/default/tabl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eurostat/databrowser/view/ilc_lvho02/default/table" TargetMode="External"/><Relationship Id="rId17" Type="http://schemas.openxmlformats.org/officeDocument/2006/relationships/hyperlink" Target="https://ec.europa.eu/eurostat/databrowser/view/ilc_mdho06a/default/tabl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c.europa.eu/eurostat/databrowser/view/ilc_mded01/default/tabl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ilc_lvho07a/default/tabl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urostat/databrowser/view/nrg_ind_ren/default/table" TargetMode="External"/><Relationship Id="rId10" Type="http://schemas.openxmlformats.org/officeDocument/2006/relationships/hyperlink" Target="https://ec.europa.eu/eurostat/databrowser/view/ilc_lvho05a/default/tabl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c.europa.eu/eurostat/databrowser/view/ilc_peps01n/default/tab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F8C30-3CCC-4FBE-9642-110CF586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7649</Words>
  <Characters>43603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Kresimir Ivancic</dc:creator>
  <cp:keywords/>
  <dc:description/>
  <cp:lastModifiedBy>Maja Radunovic</cp:lastModifiedBy>
  <cp:revision>2</cp:revision>
  <dcterms:created xsi:type="dcterms:W3CDTF">2026-06-04T07:53:00Z</dcterms:created>
  <dcterms:modified xsi:type="dcterms:W3CDTF">2026-06-04T07:53:00Z</dcterms:modified>
</cp:coreProperties>
</file>