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7D27" w14:textId="4E59B306" w:rsidR="00B076A1" w:rsidRPr="00B076A1" w:rsidRDefault="00B076A1" w:rsidP="00B076A1">
      <w:pPr>
        <w:jc w:val="center"/>
        <w:rPr>
          <w:lang w:val="hr-HR"/>
        </w:rPr>
      </w:pPr>
      <w:r w:rsidRPr="00B076A1">
        <w:rPr>
          <w:noProof/>
          <w:lang w:val="hr-HR"/>
        </w:rPr>
        <w:drawing>
          <wp:inline distT="0" distB="0" distL="0" distR="0" wp14:anchorId="0E24C51A" wp14:editId="33AA30D1">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B076A1">
        <w:rPr>
          <w:noProof/>
          <w:lang w:val="hr-HR"/>
        </w:rPr>
        <w:drawing>
          <wp:inline distT="0" distB="0" distL="0" distR="0" wp14:anchorId="5878016E" wp14:editId="59773C85">
            <wp:extent cx="5752465" cy="5752465"/>
            <wp:effectExtent l="0" t="0" r="635" b="635"/>
            <wp:docPr id="6966375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5752465"/>
                    </a:xfrm>
                    <a:prstGeom prst="rect">
                      <a:avLst/>
                    </a:prstGeom>
                    <a:noFill/>
                    <a:ln>
                      <a:noFill/>
                    </a:ln>
                  </pic:spPr>
                </pic:pic>
              </a:graphicData>
            </a:graphic>
          </wp:inline>
        </w:drawing>
      </w:r>
    </w:p>
    <w:p w14:paraId="18D5C4FF" w14:textId="77777777" w:rsidR="00B076A1" w:rsidRPr="00B076A1" w:rsidRDefault="00B076A1">
      <w:pPr>
        <w:rPr>
          <w:lang w:val="hr-HR"/>
        </w:rPr>
      </w:pPr>
    </w:p>
    <w:p w14:paraId="6375972A" w14:textId="08EA1FE2" w:rsidR="00B076A1" w:rsidRPr="00B076A1" w:rsidRDefault="00B076A1">
      <w:pPr>
        <w:rPr>
          <w:rFonts w:asciiTheme="majorHAnsi" w:eastAsiaTheme="majorEastAsia" w:hAnsiTheme="majorHAnsi" w:cstheme="majorBidi"/>
          <w:color w:val="0F4761" w:themeColor="accent1" w:themeShade="BF"/>
          <w:sz w:val="40"/>
          <w:szCs w:val="40"/>
          <w:lang w:val="hr-HR"/>
        </w:rPr>
      </w:pPr>
      <w:r w:rsidRPr="00B076A1">
        <w:rPr>
          <w:lang w:val="hr-HR"/>
        </w:rPr>
        <w:br w:type="page"/>
      </w:r>
    </w:p>
    <w:p w14:paraId="6B615FC9" w14:textId="4DDAF1A8" w:rsidR="00F579F5" w:rsidRPr="00B076A1" w:rsidRDefault="66AB1CB1" w:rsidP="00F579F5">
      <w:pPr>
        <w:pStyle w:val="Heading1"/>
        <w:rPr>
          <w:lang w:val="hr-HR"/>
        </w:rPr>
      </w:pPr>
      <w:r w:rsidRPr="00B076A1">
        <w:rPr>
          <w:lang w:val="hr-HR"/>
        </w:rPr>
        <w:lastRenderedPageBreak/>
        <w:t>Uvod i važnost</w:t>
      </w:r>
    </w:p>
    <w:p w14:paraId="7A446DFA" w14:textId="0015B45F" w:rsidR="66AB1CB1" w:rsidRPr="00B076A1" w:rsidRDefault="66AB1CB1" w:rsidP="00B076A1">
      <w:pPr>
        <w:rPr>
          <w:lang w:val="hr-HR"/>
        </w:rPr>
      </w:pPr>
      <w:r w:rsidRPr="00B076A1">
        <w:rPr>
          <w:lang w:val="hr-HR"/>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34B0B13" w14:textId="3E357555" w:rsidR="66AB1CB1" w:rsidRPr="00B076A1" w:rsidRDefault="66AB1CB1" w:rsidP="66AB1CB1">
      <w:pPr>
        <w:rPr>
          <w:rFonts w:ascii="Aptos" w:eastAsia="Aptos" w:hAnsi="Aptos" w:cs="Aptos"/>
          <w:color w:val="000000" w:themeColor="text1"/>
          <w:lang w:val="hr-HR"/>
        </w:rPr>
      </w:pPr>
      <w:r w:rsidRPr="00B076A1">
        <w:rPr>
          <w:rFonts w:ascii="Aptos" w:eastAsia="Aptos" w:hAnsi="Aptos" w:cs="Aptos"/>
          <w:color w:val="000000" w:themeColor="text1"/>
          <w:lang w:val="hr-HR"/>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„Partnership Agreement“, a koji treba da obuhvati stratešku analizu, uključujući izazove, potrebe i ciljne grupe, odabrane prioritete i ciljeve, glavne očekivane rezultate, planirane tematske cjeline i izvore finansiranja, mehanizme za obezbjeđivanje usklađenosti sa relevantnim prioritetima i strategijama Evropske unije, kao i okvir upravljanja u skladu sa Evropskim kodeksom ponašanja o partnerstvu.</w:t>
      </w:r>
    </w:p>
    <w:p w14:paraId="39556EAD" w14:textId="29372E4B" w:rsidR="66AB1CB1" w:rsidRPr="00B076A1" w:rsidRDefault="66AB1CB1" w:rsidP="66AB1CB1">
      <w:pPr>
        <w:rPr>
          <w:rFonts w:ascii="Aptos" w:eastAsia="Aptos" w:hAnsi="Aptos" w:cs="Aptos"/>
          <w:color w:val="000000" w:themeColor="text1"/>
          <w:lang w:val="hr-HR"/>
        </w:rPr>
      </w:pPr>
      <w:r w:rsidRPr="00B076A1">
        <w:rPr>
          <w:rFonts w:ascii="Aptos" w:eastAsia="Aptos" w:hAnsi="Aptos" w:cs="Aptos"/>
          <w:color w:val="000000" w:themeColor="text1"/>
          <w:lang w:val="hr-HR"/>
        </w:rPr>
        <w:t>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javnopolitički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5658A174" w14:textId="3D0C2FB0" w:rsidR="66AB1CB1" w:rsidRPr="00B076A1" w:rsidRDefault="66AB1CB1" w:rsidP="66AB1CB1">
      <w:pPr>
        <w:rPr>
          <w:rFonts w:ascii="Aptos" w:eastAsia="Aptos" w:hAnsi="Aptos" w:cs="Aptos"/>
          <w:color w:val="000000" w:themeColor="text1"/>
          <w:lang w:val="hr-HR"/>
        </w:rPr>
      </w:pPr>
      <w:r w:rsidRPr="00B076A1">
        <w:rPr>
          <w:rFonts w:ascii="Aptos" w:eastAsia="Aptos" w:hAnsi="Aptos" w:cs="Aptos"/>
          <w:color w:val="000000" w:themeColor="text1"/>
          <w:lang w:val="hr-HR"/>
        </w:rPr>
        <w:t>Situaciona analiza istovremeno ima i važnu funkciju u obezbjeđivanju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22FDAF81" w14:textId="66ADD1B4" w:rsidR="66AB1CB1" w:rsidRPr="00B076A1" w:rsidRDefault="66AB1CB1" w:rsidP="66AB1CB1">
      <w:pPr>
        <w:rPr>
          <w:rFonts w:ascii="Aptos" w:eastAsia="Aptos" w:hAnsi="Aptos" w:cs="Aptos"/>
          <w:color w:val="000000" w:themeColor="text1"/>
          <w:lang w:val="hr-HR"/>
        </w:rPr>
      </w:pPr>
      <w:r w:rsidRPr="00B076A1">
        <w:rPr>
          <w:rFonts w:ascii="Aptos" w:eastAsia="Aptos" w:hAnsi="Aptos" w:cs="Aptos"/>
          <w:color w:val="000000" w:themeColor="text1"/>
          <w:lang w:val="hr-HR"/>
        </w:rPr>
        <w:t>Pored toga, situaciona analiza je važan alat za strukturiranje dijaloga unutar radnih grupa i sa širim krugom partnera. Njome se obezbjeđuje zajednička analitička osnova za SWOT razmatranje, validaciju nalaza i identifikaciju dugog spiska razvojnih izazova, koji će u narednim koracima biti prioritizovani. Na taj način, situaciona analiza doprinosi transparentnom, participativnom i metodološki utemeljenom procesu planiranja, u skladu sa principom partnerstva i višerazinskog upravljanja.</w:t>
      </w:r>
    </w:p>
    <w:p w14:paraId="68AAD0E9" w14:textId="4791CA14" w:rsidR="00F579F5" w:rsidRPr="00B076A1" w:rsidRDefault="66AB1CB1" w:rsidP="00F579F5">
      <w:pPr>
        <w:pStyle w:val="Heading1"/>
        <w:rPr>
          <w:lang w:val="hr-HR"/>
        </w:rPr>
      </w:pPr>
      <w:r w:rsidRPr="00B076A1">
        <w:rPr>
          <w:lang w:val="hr-HR"/>
        </w:rPr>
        <w:t>Opis prioritetnih područja unutar RG</w:t>
      </w:r>
    </w:p>
    <w:tbl>
      <w:tblPr>
        <w:tblStyle w:val="GridTable1Light-Accent4"/>
        <w:tblW w:w="8886" w:type="dxa"/>
        <w:tblLook w:val="04A0" w:firstRow="1" w:lastRow="0" w:firstColumn="1" w:lastColumn="0" w:noHBand="0" w:noVBand="1"/>
      </w:tblPr>
      <w:tblGrid>
        <w:gridCol w:w="1812"/>
        <w:gridCol w:w="2040"/>
        <w:gridCol w:w="2175"/>
        <w:gridCol w:w="2859"/>
      </w:tblGrid>
      <w:tr w:rsidR="007505AB" w:rsidRPr="00B076A1" w14:paraId="67D6893C" w14:textId="77777777" w:rsidTr="00B07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6A2249D1" w14:textId="5074E878" w:rsidR="66AB1CB1" w:rsidRPr="00B076A1" w:rsidRDefault="66AB1CB1" w:rsidP="66AB1CB1">
            <w:pPr>
              <w:rPr>
                <w:rFonts w:ascii="Aptos" w:eastAsia="Aptos" w:hAnsi="Aptos" w:cs="Aptos"/>
                <w:color w:val="000000" w:themeColor="text1"/>
                <w:sz w:val="16"/>
                <w:szCs w:val="16"/>
                <w:lang w:val="hr-HR"/>
              </w:rPr>
            </w:pPr>
            <w:r w:rsidRPr="00B076A1">
              <w:rPr>
                <w:rFonts w:ascii="Aptos" w:eastAsia="Aptos" w:hAnsi="Aptos" w:cs="Aptos"/>
                <w:color w:val="000000" w:themeColor="text1"/>
                <w:sz w:val="16"/>
                <w:szCs w:val="16"/>
                <w:lang w:val="hr-HR"/>
              </w:rPr>
              <w:t>Kod Prioritetnog područja nivo 1</w:t>
            </w:r>
          </w:p>
        </w:tc>
        <w:tc>
          <w:tcPr>
            <w:tcW w:w="2040" w:type="dxa"/>
          </w:tcPr>
          <w:p w14:paraId="675F3E9E" w14:textId="171B8903" w:rsidR="66AB1CB1" w:rsidRPr="00B076A1" w:rsidRDefault="66AB1CB1" w:rsidP="66AB1CB1">
            <w:pPr>
              <w:cnfStyle w:val="100000000000" w:firstRow="1" w:lastRow="0" w:firstColumn="0" w:lastColumn="0" w:oddVBand="0" w:evenVBand="0" w:oddHBand="0" w:evenHBand="0" w:firstRowFirstColumn="0" w:firstRowLastColumn="0" w:lastRowFirstColumn="0" w:lastRowLastColumn="0"/>
              <w:rPr>
                <w:rFonts w:ascii="Aptos" w:eastAsia="Aptos" w:hAnsi="Aptos" w:cs="Aptos"/>
                <w:color w:val="000000" w:themeColor="text1"/>
                <w:sz w:val="16"/>
                <w:szCs w:val="16"/>
                <w:lang w:val="hr-HR"/>
              </w:rPr>
            </w:pPr>
            <w:r w:rsidRPr="00B076A1">
              <w:rPr>
                <w:rFonts w:ascii="Aptos" w:eastAsia="Aptos" w:hAnsi="Aptos" w:cs="Aptos"/>
                <w:color w:val="000000" w:themeColor="text1"/>
                <w:sz w:val="16"/>
                <w:szCs w:val="16"/>
                <w:lang w:val="hr-HR"/>
              </w:rPr>
              <w:t>Naziv Prioritetnog područja nivo 1</w:t>
            </w:r>
          </w:p>
        </w:tc>
        <w:tc>
          <w:tcPr>
            <w:tcW w:w="2175" w:type="dxa"/>
          </w:tcPr>
          <w:p w14:paraId="79CC5457" w14:textId="393CE2AB" w:rsidR="66AB1CB1" w:rsidRPr="00B076A1" w:rsidRDefault="66AB1CB1" w:rsidP="66AB1CB1">
            <w:pPr>
              <w:cnfStyle w:val="100000000000" w:firstRow="1" w:lastRow="0" w:firstColumn="0" w:lastColumn="0" w:oddVBand="0" w:evenVBand="0" w:oddHBand="0" w:evenHBand="0" w:firstRowFirstColumn="0" w:firstRowLastColumn="0" w:lastRowFirstColumn="0" w:lastRowLastColumn="0"/>
              <w:rPr>
                <w:rFonts w:ascii="Aptos" w:eastAsia="Aptos" w:hAnsi="Aptos" w:cs="Aptos"/>
                <w:color w:val="000000" w:themeColor="text1"/>
                <w:sz w:val="16"/>
                <w:szCs w:val="16"/>
                <w:lang w:val="hr-HR"/>
              </w:rPr>
            </w:pPr>
            <w:r w:rsidRPr="00B076A1">
              <w:rPr>
                <w:rFonts w:ascii="Aptos" w:eastAsia="Aptos" w:hAnsi="Aptos" w:cs="Aptos"/>
                <w:color w:val="000000" w:themeColor="text1"/>
                <w:sz w:val="16"/>
                <w:szCs w:val="16"/>
                <w:lang w:val="hr-HR"/>
              </w:rPr>
              <w:t>Kod Prioritetnog područja nivo 2</w:t>
            </w:r>
          </w:p>
        </w:tc>
        <w:tc>
          <w:tcPr>
            <w:tcW w:w="2859" w:type="dxa"/>
          </w:tcPr>
          <w:p w14:paraId="4BB251E8" w14:textId="141F75BB" w:rsidR="66AB1CB1" w:rsidRPr="00B076A1" w:rsidRDefault="66AB1CB1" w:rsidP="66AB1CB1">
            <w:pPr>
              <w:cnfStyle w:val="100000000000" w:firstRow="1" w:lastRow="0" w:firstColumn="0" w:lastColumn="0" w:oddVBand="0" w:evenVBand="0" w:oddHBand="0" w:evenHBand="0" w:firstRowFirstColumn="0" w:firstRowLastColumn="0" w:lastRowFirstColumn="0" w:lastRowLastColumn="0"/>
              <w:rPr>
                <w:rFonts w:ascii="Aptos" w:eastAsia="Aptos" w:hAnsi="Aptos" w:cs="Aptos"/>
                <w:color w:val="000000" w:themeColor="text1"/>
                <w:sz w:val="16"/>
                <w:szCs w:val="16"/>
                <w:lang w:val="hr-HR"/>
              </w:rPr>
            </w:pPr>
            <w:r w:rsidRPr="00B076A1">
              <w:rPr>
                <w:rFonts w:ascii="Aptos" w:eastAsia="Aptos" w:hAnsi="Aptos" w:cs="Aptos"/>
                <w:color w:val="000000" w:themeColor="text1"/>
                <w:sz w:val="16"/>
                <w:szCs w:val="16"/>
                <w:lang w:val="hr-HR"/>
              </w:rPr>
              <w:t>Naziv Prioritetnog područja nivo 2</w:t>
            </w:r>
          </w:p>
        </w:tc>
      </w:tr>
      <w:tr w:rsidR="007505AB" w:rsidRPr="00DF2CBD" w14:paraId="08C78726" w14:textId="77777777" w:rsidTr="00B076A1">
        <w:tc>
          <w:tcPr>
            <w:cnfStyle w:val="001000000000" w:firstRow="0" w:lastRow="0" w:firstColumn="1" w:lastColumn="0" w:oddVBand="0" w:evenVBand="0" w:oddHBand="0" w:evenHBand="0" w:firstRowFirstColumn="0" w:firstRowLastColumn="0" w:lastRowFirstColumn="0" w:lastRowLastColumn="0"/>
            <w:tcW w:w="1812" w:type="dxa"/>
          </w:tcPr>
          <w:p w14:paraId="2124CD80" w14:textId="77777777" w:rsidR="007505AB" w:rsidRPr="00B076A1" w:rsidRDefault="66AB1CB1" w:rsidP="66AB1CB1">
            <w:pPr>
              <w:rPr>
                <w:b w:val="0"/>
                <w:bCs w:val="0"/>
                <w:sz w:val="16"/>
                <w:szCs w:val="16"/>
                <w:lang w:val="hr-HR"/>
              </w:rPr>
            </w:pPr>
            <w:r w:rsidRPr="00B076A1">
              <w:rPr>
                <w:sz w:val="16"/>
                <w:szCs w:val="16"/>
                <w:lang w:val="hr-HR"/>
              </w:rPr>
              <w:t>12</w:t>
            </w:r>
          </w:p>
        </w:tc>
        <w:tc>
          <w:tcPr>
            <w:tcW w:w="2040" w:type="dxa"/>
          </w:tcPr>
          <w:p w14:paraId="1BEC5CB4"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Multisektorska  podrška</w:t>
            </w:r>
          </w:p>
        </w:tc>
        <w:tc>
          <w:tcPr>
            <w:tcW w:w="2175" w:type="dxa"/>
          </w:tcPr>
          <w:p w14:paraId="55AD1784"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12.51</w:t>
            </w:r>
          </w:p>
        </w:tc>
        <w:tc>
          <w:tcPr>
            <w:tcW w:w="2859" w:type="dxa"/>
          </w:tcPr>
          <w:p w14:paraId="6C6C10A5"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 xml:space="preserve"> EU finansijski instrumenti i budžetske garancije </w:t>
            </w:r>
          </w:p>
        </w:tc>
      </w:tr>
      <w:tr w:rsidR="007505AB" w:rsidRPr="00B076A1" w14:paraId="08566860" w14:textId="77777777" w:rsidTr="00B076A1">
        <w:tc>
          <w:tcPr>
            <w:cnfStyle w:val="001000000000" w:firstRow="0" w:lastRow="0" w:firstColumn="1" w:lastColumn="0" w:oddVBand="0" w:evenVBand="0" w:oddHBand="0" w:evenHBand="0" w:firstRowFirstColumn="0" w:firstRowLastColumn="0" w:lastRowFirstColumn="0" w:lastRowLastColumn="0"/>
            <w:tcW w:w="1812" w:type="dxa"/>
          </w:tcPr>
          <w:p w14:paraId="6998845C" w14:textId="77777777" w:rsidR="007505AB" w:rsidRPr="00B076A1" w:rsidRDefault="007505AB" w:rsidP="66AB1CB1">
            <w:pPr>
              <w:rPr>
                <w:b w:val="0"/>
                <w:bCs w:val="0"/>
                <w:sz w:val="16"/>
                <w:szCs w:val="16"/>
                <w:lang w:val="hr-HR"/>
              </w:rPr>
            </w:pPr>
          </w:p>
        </w:tc>
        <w:tc>
          <w:tcPr>
            <w:tcW w:w="2040" w:type="dxa"/>
          </w:tcPr>
          <w:p w14:paraId="1B1AA92C" w14:textId="77777777" w:rsidR="007505AB" w:rsidRPr="00B076A1" w:rsidRDefault="007505AB"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p>
        </w:tc>
        <w:tc>
          <w:tcPr>
            <w:tcW w:w="2175" w:type="dxa"/>
          </w:tcPr>
          <w:p w14:paraId="68D8B81A"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12.52</w:t>
            </w:r>
          </w:p>
        </w:tc>
        <w:tc>
          <w:tcPr>
            <w:tcW w:w="2859" w:type="dxa"/>
          </w:tcPr>
          <w:p w14:paraId="5D1BA359"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 xml:space="preserve"> Integrisani teritorijalni alati </w:t>
            </w:r>
          </w:p>
        </w:tc>
      </w:tr>
      <w:tr w:rsidR="007505AB" w:rsidRPr="00DF2CBD" w14:paraId="49B06122" w14:textId="77777777" w:rsidTr="00B076A1">
        <w:tc>
          <w:tcPr>
            <w:cnfStyle w:val="001000000000" w:firstRow="0" w:lastRow="0" w:firstColumn="1" w:lastColumn="0" w:oddVBand="0" w:evenVBand="0" w:oddHBand="0" w:evenHBand="0" w:firstRowFirstColumn="0" w:firstRowLastColumn="0" w:lastRowFirstColumn="0" w:lastRowLastColumn="0"/>
            <w:tcW w:w="1812" w:type="dxa"/>
          </w:tcPr>
          <w:p w14:paraId="75EED296" w14:textId="77777777" w:rsidR="007505AB" w:rsidRPr="00B076A1" w:rsidRDefault="007505AB" w:rsidP="66AB1CB1">
            <w:pPr>
              <w:rPr>
                <w:b w:val="0"/>
                <w:bCs w:val="0"/>
                <w:sz w:val="16"/>
                <w:szCs w:val="16"/>
                <w:lang w:val="hr-HR"/>
              </w:rPr>
            </w:pPr>
          </w:p>
        </w:tc>
        <w:tc>
          <w:tcPr>
            <w:tcW w:w="2040" w:type="dxa"/>
          </w:tcPr>
          <w:p w14:paraId="6611A8AB" w14:textId="77777777" w:rsidR="007505AB" w:rsidRPr="00B076A1" w:rsidRDefault="007505AB"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p>
        </w:tc>
        <w:tc>
          <w:tcPr>
            <w:tcW w:w="2175" w:type="dxa"/>
          </w:tcPr>
          <w:p w14:paraId="4E80A2C7"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12.53</w:t>
            </w:r>
          </w:p>
        </w:tc>
        <w:tc>
          <w:tcPr>
            <w:tcW w:w="2859" w:type="dxa"/>
          </w:tcPr>
          <w:p w14:paraId="37F19365" w14:textId="77777777" w:rsidR="007505AB" w:rsidRPr="00B076A1" w:rsidRDefault="66AB1CB1" w:rsidP="66AB1CB1">
            <w:pPr>
              <w:cnfStyle w:val="000000000000" w:firstRow="0" w:lastRow="0" w:firstColumn="0" w:lastColumn="0" w:oddVBand="0" w:evenVBand="0" w:oddHBand="0" w:evenHBand="0" w:firstRowFirstColumn="0" w:firstRowLastColumn="0" w:lastRowFirstColumn="0" w:lastRowLastColumn="0"/>
              <w:rPr>
                <w:b/>
                <w:bCs/>
                <w:sz w:val="16"/>
                <w:szCs w:val="16"/>
                <w:lang w:val="hr-HR"/>
              </w:rPr>
            </w:pPr>
            <w:r w:rsidRPr="00B076A1">
              <w:rPr>
                <w:b/>
                <w:bCs/>
                <w:sz w:val="16"/>
                <w:szCs w:val="16"/>
                <w:lang w:val="hr-HR"/>
              </w:rPr>
              <w:t xml:space="preserve"> Multisektorska podrška u trećim zemljama</w:t>
            </w:r>
          </w:p>
        </w:tc>
      </w:tr>
    </w:tbl>
    <w:p w14:paraId="0FDA5261" w14:textId="77777777" w:rsidR="00F579F5" w:rsidRPr="00B076A1" w:rsidRDefault="00F579F5" w:rsidP="00F579F5">
      <w:pPr>
        <w:rPr>
          <w:lang w:val="hr-HR"/>
        </w:rPr>
      </w:pPr>
    </w:p>
    <w:p w14:paraId="1B481561" w14:textId="6D918026" w:rsidR="00F579F5" w:rsidRPr="00B076A1" w:rsidRDefault="00F579F5" w:rsidP="00F579F5">
      <w:pPr>
        <w:pStyle w:val="Heading1"/>
        <w:rPr>
          <w:lang w:val="hr-HR"/>
        </w:rPr>
      </w:pPr>
      <w:r w:rsidRPr="00B076A1">
        <w:rPr>
          <w:lang w:val="hr-HR"/>
        </w:rPr>
        <w:t>Situac</w:t>
      </w:r>
      <w:r w:rsidR="001C4584" w:rsidRPr="00B076A1">
        <w:rPr>
          <w:lang w:val="hr-HR"/>
        </w:rPr>
        <w:t>iona</w:t>
      </w:r>
      <w:r w:rsidRPr="00B076A1">
        <w:rPr>
          <w:lang w:val="hr-HR"/>
        </w:rPr>
        <w:t xml:space="preserve"> analiza</w:t>
      </w:r>
    </w:p>
    <w:p w14:paraId="370D6FC9" w14:textId="20126073" w:rsidR="00F579F5" w:rsidRPr="00B076A1" w:rsidRDefault="49105F08" w:rsidP="00F579F5">
      <w:pPr>
        <w:pStyle w:val="Heading2"/>
        <w:rPr>
          <w:lang w:val="hr-HR"/>
        </w:rPr>
      </w:pPr>
      <w:r w:rsidRPr="00B076A1">
        <w:rPr>
          <w:lang w:val="hr-HR"/>
        </w:rPr>
        <w:t>Prioritetno područje nivo 1</w:t>
      </w:r>
    </w:p>
    <w:p w14:paraId="4792E9AE" w14:textId="0E676F25" w:rsidR="49105F08" w:rsidRPr="00B076A1" w:rsidRDefault="49105F08" w:rsidP="00B076A1">
      <w:pPr>
        <w:rPr>
          <w:lang w:val="hr-HR"/>
        </w:rPr>
      </w:pPr>
      <w:r w:rsidRPr="00B076A1">
        <w:rPr>
          <w:lang w:val="hr-HR"/>
        </w:rPr>
        <w:t xml:space="preserve">Prioritetno područje </w:t>
      </w:r>
      <w:r w:rsidRPr="00B076A1">
        <w:rPr>
          <w:b/>
          <w:bCs/>
          <w:lang w:val="hr-HR"/>
        </w:rPr>
        <w:t>Multisektorska podrška</w:t>
      </w:r>
      <w:r w:rsidRPr="00B076A1">
        <w:rPr>
          <w:lang w:val="hr-HR"/>
        </w:rPr>
        <w:t>, stanovanje i infrastruktura – obuhvata intervencije usmjerene na unapređenje teritorijalnog i ekonomskog razvoja, efikasnije korišćenje finansijskih resursa i integrisano planiranje i implementaciju razvojnih politika. U okviru ovog područja, multisektorska podrška strukturirana je kroz tri komplementarna nivoa: finansijski instrumenti i budžetske garancije, integrisani teritorijalni alati i multisektorska podrška u trećim zemljama.</w:t>
      </w:r>
    </w:p>
    <w:p w14:paraId="2F95B0A3" w14:textId="7BA939D2" w:rsidR="49105F08" w:rsidRPr="00B076A1" w:rsidRDefault="4A78F004" w:rsidP="00B076A1">
      <w:pPr>
        <w:rPr>
          <w:lang w:val="hr-HR"/>
        </w:rPr>
      </w:pPr>
      <w:r w:rsidRPr="00B076A1">
        <w:rPr>
          <w:lang w:val="hr-HR"/>
        </w:rPr>
        <w:t>Jedan od ključnih elemenata ovog područja odnosi se na finansijske instrumente i budžetske garancije, čija je osnovna razvojna funkcija da odgovore na tržišne nedostatke i investicione jazove, posebno u situacijama kada privatni sektor ne obezbjeđuje dovoljno kapitala, kada je finansiranje preskupo ili kada su rizici previsoki da bi se ulaganja realizovala bez javne podrške. Za razliku od bespovratnih sredstava, ovi instrumenti zasnivaju se na povratnim oblicima podrške i tržišno bližim mehanizmima, najčešće kroz zajmove, garancije, vlasnička i kvazi-vlasnička ulaganja. Njihova posebna vrijednost leži u mogućnosti ponovne upotrebe sredstava, što im daje dugoročniji razvojni efekat i veći multiplikativni potencijal javnih ulaganja. Istovremeno, mogućnost njihovog kombinovanja sa grantovima dodatno povećava njihovu razvojnu relevantnost, jer omogućava prilagođavanje složenijim investicionim potrebama, uključujući ulaganja u MSP, inovacije, energetsku efikasnost, urbani razvoj, zelenu tranziciju i socijalne investicije.</w:t>
      </w:r>
    </w:p>
    <w:p w14:paraId="10137E49" w14:textId="716AA0D6" w:rsidR="49105F08" w:rsidRPr="00B076A1" w:rsidRDefault="49105F08" w:rsidP="00B076A1">
      <w:pPr>
        <w:rPr>
          <w:lang w:val="hr-HR"/>
        </w:rPr>
      </w:pPr>
      <w:r w:rsidRPr="00B076A1">
        <w:rPr>
          <w:lang w:val="hr-HR"/>
        </w:rPr>
        <w:t>Istovremeno, iskustvo Evropske unije pokazuje da je njihova primjena i dalje neravnomjerna i selektivna. Finansijski instrumenti su najrazvijeniji u oblastima sa jasnijom investicionom logikom, predvidivijim prihodima i standardizovanijim proizvodima, dok su znatno manje zastupljeni u socijalnim i drugim složenijim sektorima. Podaci ukazuju da interes za njihovu primjenu postoji, ali da njihova stvarna upotreba i dalje u velikoj mjeri zavisi od institucionalnih kapaciteta, kvaliteta ex ante procjena, razvijenosti finansijskog tržišta i prisustva pouzdanih implementacionih partnera. U praksi su zajmovi i garancije najzastupljeniji i operativno najjednostavniji oblici, dok su vlasnički instrumenti znatno zahtjevniji i karakteristični za razvijenije investicione ekosisteme.</w:t>
      </w:r>
    </w:p>
    <w:p w14:paraId="4B38BD91" w14:textId="5C36C9C2" w:rsidR="49105F08" w:rsidRPr="00B076A1" w:rsidRDefault="49105F08" w:rsidP="00B076A1">
      <w:pPr>
        <w:rPr>
          <w:lang w:val="hr-HR"/>
        </w:rPr>
      </w:pPr>
      <w:r w:rsidRPr="00B076A1">
        <w:rPr>
          <w:lang w:val="hr-HR"/>
        </w:rPr>
        <w:t>U crnogorskom kontekstu, pitanje finansijskih instrumenata treba posmatrati prije svega kroz prizmu ograničenog pristupa finansiranju, nedovoljno razvijenih alternativnih izvora kapitala i potrebe za efikasnijim i održivijim korišćenjem javnih sredstava. Ograničen pristup finansijama prepoznat je kao horizontalni razvojni problem, posebno za mikro, mala i srednja preduzeća, inovativne kompanije, projekte zelene tranzicije i druge investicije koje imaju razvojni potencijal, ali otežan pristup komercijalnom finansiranju. Ovo je posebno vidljivo u oblastima podrške privredi, istraživanja i inovacija, kao i dijelu energetskih ulaganja, gdje postoje jasne razvojne potrebe, ali nedostaju odgovarajući instrumenti podjele rizika, dugoročno finansiranje i razvijenije tržište rizičnog i vlasničkog kapitala.</w:t>
      </w:r>
    </w:p>
    <w:p w14:paraId="45419D30" w14:textId="217B1ACE" w:rsidR="49105F08" w:rsidRPr="00B076A1" w:rsidRDefault="49105F08" w:rsidP="00B076A1">
      <w:pPr>
        <w:rPr>
          <w:lang w:val="hr-HR"/>
        </w:rPr>
      </w:pPr>
      <w:r w:rsidRPr="00B076A1">
        <w:rPr>
          <w:lang w:val="hr-HR"/>
        </w:rPr>
        <w:t xml:space="preserve">Upravo zbog toga uključivanje finansijskih instrumenata u okviru multisektorske podrške ima jasnu razvojnu i metodološku logiku. Riječ je o alatima koji po svojoj prirodi ne pripadaju samo jednoj sektorskoj politici, već funkcionišu kao horizontalni mehanizmi za efikasnije usmjeravanje razvojnih sredstava i povezivanje više razvojnih ciljeva istovremeno. U tom smislu, oni povezuju regionalni razvoj, podršku </w:t>
      </w:r>
      <w:r w:rsidRPr="00B076A1">
        <w:rPr>
          <w:lang w:val="hr-HR"/>
        </w:rPr>
        <w:lastRenderedPageBreak/>
        <w:t>privredi, inovacije, zelenu tranziciju i javne investicije. Njihov značaj u Crnoj Gori ne proizlazi iz postojanja već zrelog i operativnog sistema njihove primjene, već upravo iz činjenice da su investicioni jazovi identifikovani, a potreba za sofisticiranijim i dugoročnije održivim korišćenjem javnih sredstava sve izraženija.</w:t>
      </w:r>
      <w:r w:rsidRPr="00B076A1">
        <w:rPr>
          <w:rFonts w:ascii="Aptos" w:eastAsia="Aptos" w:hAnsi="Aptos" w:cs="Aptos"/>
          <w:lang w:val="hr-HR"/>
        </w:rPr>
        <w:t xml:space="preserve"> U tom smislu, multisektorska podrška ima izrazito horizontalnu ulogu u okviru CPR-a, jer omogućava povezivanje i komplementarnost intervencija u različitim sektorima, uključujući podršku privredi, istraživanju i inovacijama, energetici, infrastrukturi i urbanom razvoju.</w:t>
      </w:r>
    </w:p>
    <w:p w14:paraId="4FF5CC10" w14:textId="137E68D0" w:rsidR="49105F08" w:rsidRPr="00B076A1" w:rsidRDefault="4A78F004" w:rsidP="00B076A1">
      <w:pPr>
        <w:rPr>
          <w:lang w:val="hr-HR"/>
        </w:rPr>
      </w:pPr>
      <w:r w:rsidRPr="00B076A1">
        <w:rPr>
          <w:lang w:val="hr-HR"/>
        </w:rPr>
        <w:t>Stoga, posebnu važnost ima i činjenica da je multisektorska podrška po svojoj prirodi zasnovana na saradnji velikog broja institucija sa različitim nadležnostima - od ekonomskog razvoja, finansija i energetike, do prostornog planiranja, socijalne politike i lokalne samouprave. Upravo takva institucionalna raznolikost predstavlja preduslov za integrisani pristup razvoju, ali istovremeno i izazov u pogledu koordinacije, usklađivanja prioriteta i efikasne implementacije mjera.</w:t>
      </w:r>
    </w:p>
    <w:p w14:paraId="73492B5B" w14:textId="069FB401" w:rsidR="49105F08" w:rsidRPr="00B076A1" w:rsidRDefault="49105F08" w:rsidP="00B076A1">
      <w:pPr>
        <w:rPr>
          <w:lang w:val="hr-HR"/>
        </w:rPr>
      </w:pPr>
      <w:r w:rsidRPr="00B076A1">
        <w:rPr>
          <w:lang w:val="hr-HR"/>
        </w:rPr>
        <w:t>Istovremeno, analiza pokazuje da je Crna Gora još uvijek u ranoj fazi spremnosti za punu primjenu finansijskih instrumenata u logici buduće kohezijske politike. Iako postoji određena institucionalna osnova, uključujući relevantne razvojne i finansijske institucije, kao i novije garantne mehanizme, ne može se govoriti o potpuno operacionalizovanom sistemu. Još uvijek nijesu u punoj mjeri uspostavljeni elementi kao što su sistematske procjene tržišnog jaza, standardizovani modeli sprovođenja, razvijena mreža implementacionih partnera i stabilni mehanizmi kombinovanja grantova i povratne podrške. Zbog toga finansijske instrumente u Crnoj Gori prije svega treba posmatrati kao oblast pripreme i postepenog uvođenja, a ne kao već uspostavljen sistem. Njihova buduća efikasnost zavisiće od jačanja administrativnih kapaciteta, razvoja tržišnog ekosistema i preciznijeg usmjeravanja prema stvarno dokazanim potrebama.</w:t>
      </w:r>
    </w:p>
    <w:p w14:paraId="7C8F4A14" w14:textId="6710C10E" w:rsidR="49105F08" w:rsidRPr="00B076A1" w:rsidRDefault="49105F08" w:rsidP="00B076A1">
      <w:pPr>
        <w:rPr>
          <w:lang w:val="hr-HR"/>
        </w:rPr>
      </w:pPr>
      <w:r w:rsidRPr="00B076A1">
        <w:rPr>
          <w:lang w:val="hr-HR"/>
        </w:rPr>
        <w:t>Drugi važan segment multisektorske podrške odnosi se na integrisane teritorijalne alate. Njihova osnovna vrijednost leži u tome što omogućavaju da se razvojni problemi ne sagledavaju isključivo sektorski, već kroz teritoriju kao funkcionalnu cjelinu u kojoj se prepliću ekonomski, socijalni, infrastrukturni, klimatski i prostorni izazovi. Ovakav pristup postaje posebno važan u uslovima kada razvojni problemi nijesu “čisto sektorski”, već su prostorno koncentrisani i međusobno povezani. U evropskom kontekstu, teritorijalni pristup je dobio na značaju upravo zato što se pokazalo da problemi poput urbane deprivacije, klimatske ranjivosti, demografskog pada, slabijeg pristupa uslugama i teritorijalnih nejednakosti ne mogu biti efikasno riješeni fragmentisanim sektorskim finansiranjem.</w:t>
      </w:r>
    </w:p>
    <w:p w14:paraId="314D112B" w14:textId="689CFD03" w:rsidR="00C1369E" w:rsidRPr="00B076A1" w:rsidRDefault="49105F08" w:rsidP="00B076A1">
      <w:pPr>
        <w:rPr>
          <w:lang w:val="hr-HR"/>
        </w:rPr>
      </w:pPr>
      <w:r w:rsidRPr="00B076A1">
        <w:rPr>
          <w:lang w:val="hr-HR"/>
        </w:rPr>
        <w:t xml:space="preserve">U Crnoj Gori je teritorijalna dimenzija razvoja prepoznata kao važna, ali integrisani teritorijalni alati još nijesu razvijeni kao operativna praksa. </w:t>
      </w:r>
      <w:r w:rsidR="00C1369E" w:rsidRPr="00B076A1">
        <w:rPr>
          <w:lang w:val="hr-HR"/>
        </w:rPr>
        <w:t>EU praksa pokazuje da uspješna primjena integrisanih teritorijalnih alata podrazumijeva postojanje teritorijalnih razvojnih strategija zasnovanih na funkcionalnim područjima, analizi razvojnih potreba, mjerljivim ciljevima i aktivnom uključivanju relevantnih partnera u planiranje i implementaciju intervencija. U tom kontekstu, Crna Gora se još uvijek nalazi u početnoj fazi uspostavljanja institucionalnih i metodoloških pretpostavki za njihovu primjenu.</w:t>
      </w:r>
    </w:p>
    <w:p w14:paraId="2FB1A716" w14:textId="73702BCB" w:rsidR="49105F08" w:rsidRPr="00B076A1" w:rsidRDefault="49105F08" w:rsidP="00B076A1">
      <w:pPr>
        <w:rPr>
          <w:lang w:val="hr-HR"/>
        </w:rPr>
      </w:pPr>
      <w:r w:rsidRPr="00B076A1">
        <w:rPr>
          <w:lang w:val="hr-HR"/>
        </w:rPr>
        <w:t>Razvoj se i dalje dominantno obrađuje kroz sektorske politike, lokalne intervencije i opšti okvir regionalnog razvoja, dok integrisani teritorijalni instrumenti još nijesu uspostavljeni u punom smislu. Iako postoji određena osnova za njihov budući razvoj kroz strateški i institucionalni okvir regionalnog razvoja, prostornog planiranja i lokalnog razvoja, operativni preduslovi još nijesu dovoljno razvijeni. Posebno su izraženi izazovi u pogledu koordinacije između nivoa vlasti, neujednačenih kapaciteta lokalnih samouprava, odsustva formalnog regionalnog nivoa upravljanja i nedostatka dovoljno granularnih teritorijalnih podataka za kvalitetno oblikovanje ovakvih alata.</w:t>
      </w:r>
    </w:p>
    <w:p w14:paraId="2AB8A0B0" w14:textId="64C7FE73" w:rsidR="49105F08" w:rsidRPr="00B076A1" w:rsidRDefault="4A78F004" w:rsidP="00B076A1">
      <w:pPr>
        <w:rPr>
          <w:lang w:val="hr-HR"/>
        </w:rPr>
      </w:pPr>
      <w:r w:rsidRPr="00B076A1">
        <w:rPr>
          <w:lang w:val="hr-HR"/>
        </w:rPr>
        <w:lastRenderedPageBreak/>
        <w:t>Za Crnu Goru je pri tome posebno važno to što teritorijalne razlike i prostorno koncentrisani razvojni problemi objektivno postoje. Razlike između sjevernog, centralnog i primorskog dijela zemlje, kao i razlike u pristupu infrastrukturi, uslugama, ekonomskim mogućnostima i fiskalnim kapacitetima lokalnog nivoa, ukazuju da teritorijalni pristup nije samo pitanje usklađivanja sa evropskim modelima, već i odgovor na unutrašnju razvojnu strukturu zemlje. U tom smislu, integrisani teritorijalni alati imaju jasnu razvojnu opravdanost, ali njihova efektivna primjena zahtijeva prethodno jačanje teritorijalnog planiranja, koordinacije između centralnog i lokalnog nivoa i sposobnosti da se investicije planiraju oko funkcionalnih teritorija, a ne samo oko sektorskih ili administrativnih granica.</w:t>
      </w:r>
      <w:r w:rsidRPr="00B076A1">
        <w:rPr>
          <w:rFonts w:ascii="Aptos" w:eastAsia="Aptos" w:hAnsi="Aptos" w:cs="Aptos"/>
          <w:lang w:val="hr-HR"/>
        </w:rPr>
        <w:t xml:space="preserve"> Takođe, izazov predstavlja i ograničena razvijenost investicionog pipeline-a i nedovoljan broj projekata sa jasno definisanim povratnim potencijalom, što je ključni preduslov za širu primjenu finansijskih instrumenata.</w:t>
      </w:r>
    </w:p>
    <w:p w14:paraId="7B4EFCE7" w14:textId="300B28ED" w:rsidR="49105F08" w:rsidRPr="00B076A1" w:rsidRDefault="49105F08" w:rsidP="00B076A1">
      <w:pPr>
        <w:rPr>
          <w:lang w:val="hr-HR"/>
        </w:rPr>
      </w:pPr>
      <w:r w:rsidRPr="00B076A1">
        <w:rPr>
          <w:lang w:val="hr-HR"/>
        </w:rPr>
        <w:t>Ukupno posmatrano, multisektorska podrška u Crnoj Gori ima jasnu razvojnu logiku, jer odgovara na izazove koji su po svojoj prirodi horizontalni, međusobno povezani i teritorijalno diferencirani. I finansijski instrumenti i integrisani teritorijalni alati predstavljaju važne buduće mehanizme za efikasnije korišćenje javnih sredstava, bolju koordinaciju razvojnih intervencija i postepeni prelazak sa fragmentiranog sektorskog pristupa na integrisaniji model razvoja. Međutim, osnovna situacijska ocjena pokazuje da se oba segmenta još uvijek nalaze prije svega u fazi pripreme, postepenog uvođenja i institucionalnog sazrijevanja. Razvojna potreba i potencijal su jasno prisutni, ali njihova puna funkcionalnost i operativna primjena i dalje zavise od daljeg jačanja upravljačkih kapaciteta, tržišnih pretpostavki i ukupnog programskog okvira.</w:t>
      </w:r>
    </w:p>
    <w:p w14:paraId="496280FB" w14:textId="28B028EF" w:rsidR="00F579F5" w:rsidRPr="00B076A1" w:rsidRDefault="4A78F004" w:rsidP="00F579F5">
      <w:pPr>
        <w:pStyle w:val="Heading3"/>
        <w:rPr>
          <w:lang w:val="hr-HR"/>
        </w:rPr>
      </w:pPr>
      <w:r w:rsidRPr="00B076A1">
        <w:rPr>
          <w:lang w:val="hr-HR"/>
        </w:rPr>
        <w:t>Međunarodni i EU Strateški i pravni okvir</w:t>
      </w:r>
    </w:p>
    <w:p w14:paraId="4368C4F0" w14:textId="1129D1D6" w:rsidR="4A78F004" w:rsidRPr="00B076A1" w:rsidRDefault="4A78F004" w:rsidP="00B076A1">
      <w:pPr>
        <w:rPr>
          <w:lang w:val="hr-HR"/>
        </w:rPr>
      </w:pPr>
      <w:r w:rsidRPr="00B076A1">
        <w:rPr>
          <w:lang w:val="hr-HR"/>
        </w:rPr>
        <w:t>Međunarodni i EU pravni i strateški okvir za multisektorsku podršku zasniva se na kombinaciji bilateralnih sporazuma sa Crnom Gorom, pravila za korišćenje finansijske pomoći Evropske unije i šireg okvira kohezijske i spoljne politike EU, kao i strateških dokumenata koji promovišu integrisani i teritorijalni pristup razvoju.</w:t>
      </w:r>
    </w:p>
    <w:p w14:paraId="4CA67C6D" w14:textId="3B9A997B" w:rsidR="4A78F004" w:rsidRPr="00B076A1" w:rsidRDefault="4A78F004" w:rsidP="00B076A1">
      <w:pPr>
        <w:rPr>
          <w:lang w:val="hr-HR"/>
        </w:rPr>
      </w:pPr>
      <w:r w:rsidRPr="00B076A1">
        <w:rPr>
          <w:lang w:val="hr-HR"/>
        </w:rPr>
        <w:t>Na bilateralnom nivou, osnov saradnje između Evropske unije i Crne Gore predstavlja Sporazum o stabilizaciji i pridruživanju (SAA), dok je operativni okvir za korišćenje finansijske pomoći definisan kroz Finansijski okvirni sporazum o partnerstvu (FFPA), kojim se uređuju pravila upravljanja, kontrole i institucionalne odgovornosti.</w:t>
      </w:r>
    </w:p>
    <w:p w14:paraId="49E4F3B3" w14:textId="6C6877FA" w:rsidR="4A78F004" w:rsidRPr="00B076A1" w:rsidRDefault="4A78F004" w:rsidP="00B076A1">
      <w:pPr>
        <w:rPr>
          <w:lang w:val="hr-HR"/>
        </w:rPr>
      </w:pPr>
      <w:r w:rsidRPr="00B076A1">
        <w:rPr>
          <w:lang w:val="hr-HR"/>
        </w:rPr>
        <w:t>Ključni pravni osnov za pretpristupnu podršku predstavlja Uredba (EU) 2021/1529 (IPA III), zajedno sa Uredbom Komisije za sprovođenje (EU) 2021/2236, kojima se definišu ciljevi i modaliteti podrške, uključujući finansijske instrumente, budžetske garancije i kombinovane oblike finansiranja. U širem kontekstu, primjena finansijskih instrumenata i integrisanih pristupa dodatno je uređena kroz Uredbu (EU) 2021/1060 (Uredba o zajedničkim odredbama – CPR), uključujući relevantne odredbe o finansijskim instrumentima (npr. čl. 58, 59 i 68), kao i kroz Uredbu (EU, Euratom) 2018/1046 (Finansijska uredba), koja definiše opšta pravila za upravljanje budžetom Evropske unije i korišćenje finansijskih instrumenata. U okviru spoljnog djelovanja EU, relevantna je i Uredba (EU) 2021/947 (NDICI – Globalna Evropa), koja omogućava korišćenje finansijskih instrumenata i garancija u podršci investicijama u partnerskim zemljama.</w:t>
      </w:r>
    </w:p>
    <w:p w14:paraId="0948829C" w14:textId="3F06E2F1" w:rsidR="4A78F004" w:rsidRPr="00B076A1" w:rsidRDefault="4A78F004" w:rsidP="00B076A1">
      <w:pPr>
        <w:rPr>
          <w:lang w:val="hr-HR"/>
        </w:rPr>
      </w:pPr>
      <w:r w:rsidRPr="00B076A1">
        <w:rPr>
          <w:lang w:val="hr-HR"/>
        </w:rPr>
        <w:t xml:space="preserve">Strateški okvir multisektorske i teritorijalne dimenzije razvoja oblikovan je kroz Teritorijalnu agendu 2030, Novu Lajpcišku povelju o održivim evropskim gradovima (2020) i Urbanu agendu za Evropsku uniju (Amsterdamski pakt), koji promovišu integrisani, teritorijalno zasnovan pristup razvoju i povezivanje ekonomskih, socijalnih, infrastrukturnih i ekoloških politika. Ovaj pristup dodatno je operacionalizovan </w:t>
      </w:r>
      <w:r w:rsidRPr="00B076A1">
        <w:rPr>
          <w:lang w:val="hr-HR"/>
        </w:rPr>
        <w:lastRenderedPageBreak/>
        <w:t>kroz kohezionu politiku EU, uključujući obavezu izdvajanja dijela sredstava za održivi urbani razvoj u okviru Evropskog fonda za regionalni razvoj (EFRR) (npr. najmanje 8%), što potvrđuje značaj integrisanih teritorijalnih ulaganja.</w:t>
      </w:r>
    </w:p>
    <w:p w14:paraId="68EB32A4" w14:textId="25C1B4B8" w:rsidR="002E66A9" w:rsidRPr="00B076A1" w:rsidRDefault="002E66A9" w:rsidP="00B076A1">
      <w:pPr>
        <w:rPr>
          <w:lang w:val="hr-HR"/>
        </w:rPr>
      </w:pPr>
      <w:r w:rsidRPr="00B076A1">
        <w:rPr>
          <w:lang w:val="hr-HR"/>
        </w:rPr>
        <w:t>Prema prijedlogu regulatornog okvira za period 2028–2034, integrisani teritorijalni i urbani razvoj ostaju važan instrument kohezione politike, ali više nije predviđeno obavezno izdvajanje minimalnog procenta sredstava za održivi urbani razvoj, čime se državama ostavlja veća fleksibilnost u odabiru teritorijalnih pristupa u skladu sa nacionalnim razvojnim potrebama.</w:t>
      </w:r>
    </w:p>
    <w:p w14:paraId="7C4D8283" w14:textId="36C87874" w:rsidR="4A78F004" w:rsidRPr="00B076A1" w:rsidRDefault="4A78F004" w:rsidP="00B076A1">
      <w:pPr>
        <w:rPr>
          <w:lang w:val="hr-HR"/>
        </w:rPr>
      </w:pPr>
      <w:r w:rsidRPr="00B076A1">
        <w:rPr>
          <w:lang w:val="hr-HR"/>
        </w:rPr>
        <w:t>Pored zakonodavnog i strateškog okvira, važnu ulogu imaju i prateći analitički i operativni izvori koji podržavaju implementaciju ovih instrumenata. To uključuje materijale fi-compass, posebno u dijelu kombinovanja finansijskih instrumenata i bespovratnih sredstava i njihove primjene u okviru različitih fondova (uključujući ESF+), kao i analitičke materijale Zajedničkog istraživačkog centra (engl. „Joint Research Centre – JRC“) o urbanim strategijama i teritorijalnom razvoju. Dodatni uvid u pravac razvoja kohezijske politike pružaju i zvanični materijali Evropske komisije o zakonodavnom paketu za period 2021–2027, kao i primjeri programiranja u državama članicama kroz partnerske sporazume.</w:t>
      </w:r>
    </w:p>
    <w:p w14:paraId="2262B860" w14:textId="05384A89" w:rsidR="4A78F004" w:rsidRPr="00B076A1" w:rsidRDefault="4A78F004" w:rsidP="00B076A1">
      <w:pPr>
        <w:rPr>
          <w:lang w:val="hr-HR"/>
        </w:rPr>
      </w:pPr>
      <w:r w:rsidRPr="00B076A1">
        <w:rPr>
          <w:lang w:val="hr-HR"/>
        </w:rPr>
        <w:t>Ukupno posmatrano, ovaj okvir pokazuje da multisektorska podrška u EU obuhvata kombinaciju finansijskih instrumenata, bespovratnih sredstava i teritorijalnih pristupa, uz naglasak na integraciji politika, efikasnijem korišćenju javnih sredstava i mobilizaciji privatnog kapitala. Za Crnu Goru, ovaj okvir predstavlja referentni model buduće kohezijske politike, ali i ukazuje na potrebu postepenog razvoja institucionalnih i tržišnih kapaciteta za njegovu punu primjenu.</w:t>
      </w:r>
    </w:p>
    <w:p w14:paraId="096F3D65" w14:textId="428F1E78" w:rsidR="00F579F5" w:rsidRPr="00B076A1" w:rsidRDefault="7EAEECE6" w:rsidP="7EAEECE6">
      <w:pPr>
        <w:pStyle w:val="Heading3"/>
        <w:rPr>
          <w:lang w:val="hr-HR"/>
        </w:rPr>
      </w:pPr>
      <w:r w:rsidRPr="00B076A1">
        <w:rPr>
          <w:lang w:val="hr-HR"/>
        </w:rPr>
        <w:t>Crnogorski strateški i pravni okvir</w:t>
      </w:r>
    </w:p>
    <w:p w14:paraId="3C789EDD" w14:textId="2F507010" w:rsidR="00205C23" w:rsidRPr="00B076A1" w:rsidRDefault="00205C23" w:rsidP="00B076A1">
      <w:pPr>
        <w:rPr>
          <w:lang w:val="hr-HR"/>
        </w:rPr>
      </w:pPr>
      <w:r w:rsidRPr="00B076A1">
        <w:rPr>
          <w:lang w:val="hr-HR"/>
        </w:rPr>
        <w:t>Crnogorski strateški i pravni okvir za multisektorsku podršku zasniva se na zakonodavnim i institucionalnim rješenjima koja uređuju upravljanje sredstvima Evropske unije, javnim finansijama i sprovođenje razvojnih intervencija, uključujući primjenu finansijskih instrumenata i teritorijalnih pristupa.</w:t>
      </w:r>
      <w:r w:rsidR="7EAEECE6" w:rsidRPr="00B076A1">
        <w:rPr>
          <w:lang w:val="hr-HR"/>
        </w:rPr>
        <w:t xml:space="preserve"> Ovaj okvir je u velikoj mjeri oblikovan procesom pristupanja Evropskoj uniji i postepenim usklađivanjem sa pravilima kohezijske politike i sistema upravljanja fondovima EU.</w:t>
      </w:r>
    </w:p>
    <w:p w14:paraId="482DA498" w14:textId="45E17C10" w:rsidR="00205C23" w:rsidRPr="00B076A1" w:rsidRDefault="7EAEECE6" w:rsidP="00B076A1">
      <w:pPr>
        <w:rPr>
          <w:lang w:val="hr-HR"/>
        </w:rPr>
      </w:pPr>
      <w:r w:rsidRPr="00B076A1">
        <w:rPr>
          <w:lang w:val="hr-HR"/>
        </w:rPr>
        <w:t xml:space="preserve">Osnov za implementaciju pretpristupne pomoći definisan je kroz Zakon o ratifikaciji Finansijskog okvirnog sporazuma o partnerstvu (FFPA), kao i kroz finansijske sporazume za sprovođenje IPA III programa i relevantne sektorske sporazume, </w:t>
      </w:r>
      <w:r w:rsidR="002206BE" w:rsidRPr="002206BE">
        <w:rPr>
          <w:lang w:val="hr-HR"/>
        </w:rPr>
        <w:t>uključujući sektorske sporazume za sprovođenje programa IPARD III i drugih programa finansiranih iz Instrumenta pretpristupne pomoći (IPA III)</w:t>
      </w:r>
      <w:r w:rsidRPr="00B076A1">
        <w:rPr>
          <w:lang w:val="hr-HR"/>
        </w:rPr>
        <w:t>. Ovaj okvir dodatno je razrađen kroz Uredbu o bližem načinu organizacije indirektnog upravljanja za sprovođenje finansijske pomoći Evropske unije u okviru Instrumenta pretpristupne podrške (IPA III), kojom se definišu nadležnosti i uloge institucija uključenih u sistem upravljanja i kontrole.</w:t>
      </w:r>
    </w:p>
    <w:p w14:paraId="63AA86E3" w14:textId="33245D09" w:rsidR="006366FD" w:rsidRDefault="006366FD" w:rsidP="00B076A1">
      <w:pPr>
        <w:rPr>
          <w:lang w:val="hr-HR"/>
        </w:rPr>
      </w:pPr>
      <w:r w:rsidRPr="006366FD">
        <w:rPr>
          <w:lang w:val="hr-HR"/>
        </w:rPr>
        <w:t>U dijelu koji se odnosi na finansijsko upravljanje, ključni okvir čine Zakon o budžetu i fiskalnoj odgovornosti, Zakon o upravljanju i unutrašnjim kontrolama u javnom sektoru, Zakon o reviziji sredstava iz fondova Evropske unije i Zakon o Državnoj revizorskoj instituciji, kojima se uređuju sistem finansijskog upravljanja i kontrole, revizija i nadzor nad korišćenjem javnih sredstava i sredstava Evropske unije.</w:t>
      </w:r>
    </w:p>
    <w:p w14:paraId="1A98B1B6" w14:textId="53684EF9" w:rsidR="00205C23" w:rsidRPr="00B076A1" w:rsidRDefault="7EAEECE6" w:rsidP="00B076A1">
      <w:pPr>
        <w:rPr>
          <w:lang w:val="hr-HR"/>
        </w:rPr>
      </w:pPr>
      <w:r w:rsidRPr="00B076A1">
        <w:rPr>
          <w:lang w:val="hr-HR"/>
        </w:rPr>
        <w:t>Institucionalni okvir dodatno je definisan kroz Zakon o državnoj upravi i Uredbu o organizaciji i načinu rada državne uprave, kao i kroz odluke o uspostavljanju struktura za upravljanje pretpristupnim fondovima Evropske unije.</w:t>
      </w:r>
    </w:p>
    <w:p w14:paraId="5D660927" w14:textId="2E79F31D" w:rsidR="002206BE" w:rsidRPr="00B076A1" w:rsidRDefault="00C1369E" w:rsidP="00B076A1">
      <w:pPr>
        <w:rPr>
          <w:lang w:val="hr-HR"/>
        </w:rPr>
      </w:pPr>
      <w:r w:rsidRPr="00B076A1">
        <w:rPr>
          <w:lang w:val="hr-HR"/>
        </w:rPr>
        <w:lastRenderedPageBreak/>
        <w:t>Dodatno, okvir za unapređenje pristupa finansiranju i razvoj investicionih mehanizama dopunjen je Zakonom o Razvojnoj banci Crne Gore, Zakonom o Kreditno-garantnom fondu Crne Gore, Zakonom o tržištu kapitala, Zakonom o alternativnim investicionim fondovima</w:t>
      </w:r>
      <w:r w:rsidR="002206BE">
        <w:rPr>
          <w:lang w:val="hr-HR"/>
        </w:rPr>
        <w:t>,</w:t>
      </w:r>
      <w:r w:rsidR="002206BE" w:rsidRPr="002206BE">
        <w:rPr>
          <w:lang w:val="hr-HR"/>
        </w:rPr>
        <w:t xml:space="preserve"> Zakonom o otvorenim investicionim fondovima sa javnom ponudom, Zakonom o kreditnim institucijama</w:t>
      </w:r>
      <w:r w:rsidR="002206BE">
        <w:rPr>
          <w:lang w:val="hr-HR"/>
        </w:rPr>
        <w:t xml:space="preserve"> i</w:t>
      </w:r>
      <w:r w:rsidRPr="00B076A1">
        <w:rPr>
          <w:lang w:val="hr-HR"/>
        </w:rPr>
        <w:t xml:space="preserve"> drugim propisima koji uređuju razvoj finansijskih instrumenata. Institucionalni okvir obuhvata Razvojnu banku Crne Gore AD, Kreditno-garantni fond Crne Gore, Fond za inovacije Crne Gore i Fond za zaštitu životne sredine (Eko-fond), koji predstavljaju ključne nacionalne mehanizme za finansiranje razvoja, podršku konkurentnosti privrede, inovacijama, zelenoj i digitalnoj tranziciji i ravnomjernijem regionalnom razvoju.</w:t>
      </w:r>
    </w:p>
    <w:p w14:paraId="4071EAC6" w14:textId="087D56AF" w:rsidR="002206BE" w:rsidRPr="006366FD" w:rsidRDefault="002206BE" w:rsidP="00B076A1">
      <w:pPr>
        <w:rPr>
          <w:rFonts w:ascii="Aptos" w:eastAsia="Aptos" w:hAnsi="Aptos" w:cs="Aptos"/>
          <w:lang w:val="hr-HR"/>
        </w:rPr>
      </w:pPr>
      <w:r w:rsidRPr="002206BE">
        <w:rPr>
          <w:lang w:val="hr-HR"/>
        </w:rPr>
        <w:t>Za teritorijalni razvoj i regionalno usmjeravanje intervencija značajan okvir obezbjeđuju Zakon o regionalnom razvoju i Strategija regionalnog razvoja Crne Gore 2023–2027, koji uređuju planiranje razvoja na lokalnom i regionalnom nivou i predstavljaju osnov za postepeno uvođenje integrisanih teritorijalnih pristupa.</w:t>
      </w:r>
      <w:r>
        <w:rPr>
          <w:lang w:val="hr-HR"/>
        </w:rPr>
        <w:t xml:space="preserve"> </w:t>
      </w:r>
      <w:r w:rsidR="00C1369E" w:rsidRPr="00B076A1">
        <w:rPr>
          <w:rFonts w:ascii="Aptos" w:eastAsia="Aptos" w:hAnsi="Aptos" w:cs="Aptos"/>
          <w:lang w:val="hr-HR"/>
        </w:rPr>
        <w:t>Ovi dokumenti posebno ukazuju na izazove neravnomjernog regionalnog razvoja i izraženih teritorijalnih dispariteta između različitih djelova Crne Gore, naročito u pogledu ekonomskih pokazatelja, dostupnosti infrastrukture i usluga, investicionih kapaciteta i administrativne spremnosti lokalnog nivoa, kao i neujednačenih fiskalnih kapaciteta jedinica lokalne samouprave</w:t>
      </w:r>
      <w:r w:rsidR="072CCF70" w:rsidRPr="00B076A1">
        <w:rPr>
          <w:rFonts w:ascii="Aptos" w:eastAsia="Aptos" w:hAnsi="Aptos" w:cs="Aptos"/>
          <w:lang w:val="hr-HR"/>
        </w:rPr>
        <w:t>.</w:t>
      </w:r>
      <w:r w:rsidR="006366FD" w:rsidRPr="006366FD">
        <w:rPr>
          <w:i/>
          <w:iCs/>
          <w:lang w:val="hr-HR"/>
        </w:rPr>
        <w:t xml:space="preserve"> </w:t>
      </w:r>
      <w:r w:rsidR="006366FD" w:rsidRPr="006366FD">
        <w:rPr>
          <w:rFonts w:ascii="Aptos" w:eastAsia="Aptos" w:hAnsi="Aptos" w:cs="Aptos"/>
          <w:lang w:val="hr-HR"/>
        </w:rPr>
        <w:t>Poseban izazov predstavljaju ograničeni kapaciteti manjih i ruralnih opština za pripremu i sprovođenje složenijih međuopštinskih i integrisanih projekata, što otežava razvoj funkcionalnih teritorijalnih partnerstava i efikasnije korišćenje dostupnih izvora finansiranja.</w:t>
      </w:r>
    </w:p>
    <w:p w14:paraId="550142E3" w14:textId="24C4F62A" w:rsidR="006366FD" w:rsidRDefault="009B19C4" w:rsidP="00B076A1">
      <w:pPr>
        <w:rPr>
          <w:lang w:val="hr-HR"/>
        </w:rPr>
      </w:pPr>
      <w:r w:rsidRPr="009B19C4">
        <w:rPr>
          <w:rFonts w:ascii="Aptos" w:eastAsia="Aptos" w:hAnsi="Aptos" w:cs="Aptos"/>
          <w:lang w:val="hr-HR"/>
        </w:rPr>
        <w:t>Dodatni strateški, programski i reformski okvir čine Strategija razvoja mikro, malih i srednjih preduzeća Crne Gore 202</w:t>
      </w:r>
      <w:r>
        <w:rPr>
          <w:rFonts w:ascii="Aptos" w:eastAsia="Aptos" w:hAnsi="Aptos" w:cs="Aptos"/>
          <w:lang w:val="hr-HR"/>
        </w:rPr>
        <w:t>3</w:t>
      </w:r>
      <w:r w:rsidRPr="009B19C4">
        <w:rPr>
          <w:rFonts w:ascii="Aptos" w:eastAsia="Aptos" w:hAnsi="Aptos" w:cs="Aptos"/>
          <w:lang w:val="hr-HR"/>
        </w:rPr>
        <w:t>–202</w:t>
      </w:r>
      <w:r>
        <w:rPr>
          <w:rFonts w:ascii="Aptos" w:eastAsia="Aptos" w:hAnsi="Aptos" w:cs="Aptos"/>
          <w:lang w:val="hr-HR"/>
        </w:rPr>
        <w:t>6</w:t>
      </w:r>
      <w:r w:rsidRPr="009B19C4">
        <w:rPr>
          <w:rFonts w:ascii="Aptos" w:eastAsia="Aptos" w:hAnsi="Aptos" w:cs="Aptos"/>
          <w:lang w:val="hr-HR"/>
        </w:rPr>
        <w:t xml:space="preserve">, Strategija digitalne transformacije Crne Gore 2022–2026, Industrijska politika Crne Gore 2024–2028, Program ekonomskih reformi Crne Gore 2025–2027, Reformska agenda Crne Gore 2024–2027 i Nacionalna strategija održivog razvoja do 2030. godine. Ovi dokumenti definišu razvojne prioritete u oblastima konkurentnosti, inovacija, digitalizacije, održivog razvoja, ekonomskog upravljanja i teritorijalne kohezije, te predstavljaju važan okvir za planiranje i sprovođenje razvojnih intervencija. </w:t>
      </w:r>
      <w:r w:rsidR="006366FD" w:rsidRPr="006366FD">
        <w:rPr>
          <w:lang w:val="hr-HR"/>
        </w:rPr>
        <w:t>U dijelu koji se odnosi na teritorijalni razvoj i saradnju, relevantni su i sporazumi u okviru programa prekogranične saradnje, koji doprinose primjeni teritorijalnih pristupa, jačanju regionalne saradnje i razvoju funkcionalnih teritorijalnih partnerstava.</w:t>
      </w:r>
    </w:p>
    <w:p w14:paraId="7B1F921B" w14:textId="77777777" w:rsidR="00DD6F21" w:rsidRPr="00DD6F21" w:rsidRDefault="00DD6F21" w:rsidP="00B076A1">
      <w:pPr>
        <w:rPr>
          <w:lang w:val="pt-BR"/>
        </w:rPr>
      </w:pPr>
      <w:r w:rsidRPr="00DD6F21">
        <w:rPr>
          <w:lang w:val="hr-HR"/>
        </w:rPr>
        <w:t xml:space="preserve">U oblasti inovacija, ključni strateški i normativni okvir čine Zakon o inovacionoj djelatnosti, Strategija pametne specijalizacije (S3) Crne Gore 2026–2031 sa Akcionim planom za period 2026–2027. godine, kao krovni strateški dokument za usmjeravanje ulaganja u istraživanje, razvoj i inovacije, te Program za nauku i inovacije 2026–2030. </w:t>
      </w:r>
      <w:r w:rsidRPr="00DD6F21">
        <w:rPr>
          <w:lang w:val="pt-BR"/>
        </w:rPr>
        <w:t xml:space="preserve">Ovi dokumenti definišu prioritete u oblastima istraživanja, razvoja i primjene inovacija, transfera znanja, digitalne i zelene tranzicije, kao i jačanja konkurentnosti privrede i nacionalnog inovacionog sistema. Fond za inovacije Crne Gore predstavlja ključni institucionalni mehanizam za finansijsku i stručnu podršku inovacionim projektima, tehnološkom razvoju, komercijalizaciji rezultata istraživanja, transferu znanja i jačanju saradnje između nauke i privrede. Strategija pametne specijalizacije posebno identifikuje prioritetne oblasti razvoja i usmjerava javne i privatne investicije ka sektorima sa najvećim potencijalom za održivi rast, inovacije i povećanje dodate vrijednosti. </w:t>
      </w:r>
    </w:p>
    <w:p w14:paraId="72AEE4E6" w14:textId="0525183D" w:rsidR="00205C23" w:rsidRPr="00B076A1" w:rsidRDefault="1D771DCC" w:rsidP="00B076A1">
      <w:pPr>
        <w:rPr>
          <w:lang w:val="hr-HR"/>
        </w:rPr>
      </w:pPr>
      <w:r w:rsidRPr="00B076A1">
        <w:rPr>
          <w:lang w:val="hr-HR"/>
        </w:rPr>
        <w:t>Operativni aspekt implementacije dodatno je definisan kroz finansijske sporazume za sprovođenje IPA III programa, uključujući Finansijski sporazum za Višegodišnji program za Crnu Goru 2025–2027, kojim se utvrđuju prioritetne oblasti podrške, modaliteti implementacije i okvir za finansiranje konkretnih intervencija, uključujući mogućnost primjene različitih oblika finansiranja i njihove kombinacije.</w:t>
      </w:r>
    </w:p>
    <w:p w14:paraId="1A0B19BA" w14:textId="58AC4493" w:rsidR="00C1369E" w:rsidRPr="00B076A1" w:rsidRDefault="009B19C4" w:rsidP="00B076A1">
      <w:pPr>
        <w:rPr>
          <w:lang w:val="hr-HR"/>
        </w:rPr>
      </w:pPr>
      <w:r w:rsidRPr="009B19C4">
        <w:rPr>
          <w:lang w:val="hr-HR"/>
        </w:rPr>
        <w:t>Strateški okvir dodatno obuhvata Strategiju razvoja mikro, malih i srednjih preduzeća Crne Gore 202</w:t>
      </w:r>
      <w:r w:rsidR="00DD6F21">
        <w:rPr>
          <w:lang w:val="hr-HR"/>
        </w:rPr>
        <w:t>3</w:t>
      </w:r>
      <w:r w:rsidRPr="009B19C4">
        <w:rPr>
          <w:lang w:val="hr-HR"/>
        </w:rPr>
        <w:t>–202</w:t>
      </w:r>
      <w:r w:rsidR="00DD6F21">
        <w:rPr>
          <w:lang w:val="hr-HR"/>
        </w:rPr>
        <w:t>6</w:t>
      </w:r>
      <w:r w:rsidRPr="009B19C4">
        <w:rPr>
          <w:lang w:val="hr-HR"/>
        </w:rPr>
        <w:t xml:space="preserve">, Strategiju digitalne transformacije Crne Gore 2022–2026, Industrijsku politiku Crne Gore 2024–2028, </w:t>
      </w:r>
      <w:r w:rsidRPr="009B19C4">
        <w:rPr>
          <w:lang w:val="hr-HR"/>
        </w:rPr>
        <w:lastRenderedPageBreak/>
        <w:t>Program za nauku i inovacije 2026–2030, Program ekonomskih reformi Crne Gore 2025–2027, Reformsku agendu Crne Gore 2024–2027 i Nacionalnu strategiju održivog razvoja do 2030. godine. Ovi dokumenti definišu razvojne prioritete u oblastima konkurentnosti, inovacija, digitalizacije, održivog razvoja, ekonomskog upravljanja i teritorijalne kohezije, te predstavljaju važan okvir za planiranje i sprovođenje razvojnih intervencija</w:t>
      </w:r>
      <w:r w:rsidR="00C1369E" w:rsidRPr="00B076A1">
        <w:rPr>
          <w:lang w:val="hr-HR"/>
        </w:rPr>
        <w:t>.</w:t>
      </w:r>
    </w:p>
    <w:p w14:paraId="42164ED2" w14:textId="222C8788" w:rsidR="00F579F5" w:rsidRPr="00B076A1" w:rsidRDefault="00F579F5" w:rsidP="00F579F5">
      <w:pPr>
        <w:pStyle w:val="Heading3"/>
        <w:rPr>
          <w:lang w:val="hr-HR"/>
        </w:rPr>
      </w:pPr>
      <w:r w:rsidRPr="00B076A1">
        <w:rPr>
          <w:lang w:val="hr-HR"/>
        </w:rPr>
        <w:t>Planirane i trenutne reforme</w:t>
      </w:r>
      <w:r w:rsidR="00985F9D" w:rsidRPr="00B076A1">
        <w:rPr>
          <w:lang w:val="hr-HR"/>
        </w:rPr>
        <w:t xml:space="preserve"> i investicije</w:t>
      </w:r>
    </w:p>
    <w:p w14:paraId="22AB52FA" w14:textId="77777777" w:rsidR="00440836" w:rsidRPr="00B076A1" w:rsidRDefault="00440836" w:rsidP="00B076A1">
      <w:pPr>
        <w:rPr>
          <w:lang w:val="hr-HR"/>
        </w:rPr>
      </w:pPr>
      <w:r w:rsidRPr="00B076A1">
        <w:rPr>
          <w:lang w:val="hr-HR"/>
        </w:rPr>
        <w:t>Planirane i tekuće reforme u ovom prioritetnom području proizlaze iz Programa ekonomskih reformi i Reformske agende 2024–2027, koje su međusobno usklađene i usmjerene na unapređenje poslovnog okruženja, jačanje konkurentnosti privrede i unapređenje investicionog i regulatornog okvira.</w:t>
      </w:r>
    </w:p>
    <w:p w14:paraId="219B10EC" w14:textId="604F7C3A" w:rsidR="00440836" w:rsidRPr="00B076A1" w:rsidRDefault="00440836" w:rsidP="00B076A1">
      <w:pPr>
        <w:rPr>
          <w:lang w:val="hr-HR"/>
        </w:rPr>
      </w:pPr>
      <w:r w:rsidRPr="00B076A1">
        <w:rPr>
          <w:lang w:val="hr-HR"/>
        </w:rPr>
        <w:t xml:space="preserve">U okviru Reformske agende, reforme u oblasti poslovnog okruženja i razvoja privatnog sektora usmjerene su na unapređenje regulatornog okvira, jačanje tržišnih uslova i stvaranje stabilnog investicionog ambijenta. U tom kontekstu, Reforma 1.1.1 </w:t>
      </w:r>
      <w:r w:rsidR="00547B28" w:rsidRPr="00B076A1">
        <w:rPr>
          <w:lang w:val="hr-HR"/>
        </w:rPr>
        <w:t>-</w:t>
      </w:r>
      <w:r w:rsidRPr="00B076A1">
        <w:rPr>
          <w:lang w:val="hr-HR"/>
        </w:rPr>
        <w:t xml:space="preserve"> Reforma upravljanja preduzećima u vlasništvu države doprinosi unapređenju efikasnosti i transparentnosti u upravljanju javnim resursima, dok Reforma 1.1.2 </w:t>
      </w:r>
      <w:r w:rsidR="00547B28" w:rsidRPr="00B076A1">
        <w:rPr>
          <w:lang w:val="hr-HR"/>
        </w:rPr>
        <w:t>-</w:t>
      </w:r>
      <w:r w:rsidRPr="00B076A1">
        <w:rPr>
          <w:lang w:val="hr-HR"/>
        </w:rPr>
        <w:t xml:space="preserve"> Revizija procesa javnih nabavki i politike državne pomoći ima za cilj usklađivanje sa pravilima Evropske unije i unapređenje tržišne konkurencije. Reforma 1.1.3 </w:t>
      </w:r>
      <w:r w:rsidR="00547B28" w:rsidRPr="00B076A1">
        <w:rPr>
          <w:lang w:val="hr-HR"/>
        </w:rPr>
        <w:t xml:space="preserve">- </w:t>
      </w:r>
      <w:r w:rsidRPr="00B076A1">
        <w:rPr>
          <w:lang w:val="hr-HR"/>
        </w:rPr>
        <w:t xml:space="preserve">Uklanjanje regulatornih barijera i olakšavanje poslovanja usmjerena je na smanjenje administrativnog opterećenja i unapređenje uslova poslovanja, dok Reforma 1.1.4 </w:t>
      </w:r>
      <w:r w:rsidR="00547B28" w:rsidRPr="00B076A1">
        <w:rPr>
          <w:lang w:val="hr-HR"/>
        </w:rPr>
        <w:t xml:space="preserve">- </w:t>
      </w:r>
      <w:r w:rsidRPr="00B076A1">
        <w:rPr>
          <w:lang w:val="hr-HR"/>
        </w:rPr>
        <w:t xml:space="preserve">Poboljšanje elektronskog katastra i prostornog planiranja doprinosi sigurnosti investicija i efikasnijem korišćenju prostora. </w:t>
      </w:r>
      <w:r w:rsidR="3FD6DC92" w:rsidRPr="00B076A1">
        <w:rPr>
          <w:lang w:val="hr-HR"/>
        </w:rPr>
        <w:t xml:space="preserve">Dodatno, Reforma 1.1.5 </w:t>
      </w:r>
      <w:r w:rsidR="00547B28" w:rsidRPr="00B076A1">
        <w:rPr>
          <w:lang w:val="hr-HR"/>
        </w:rPr>
        <w:t>-</w:t>
      </w:r>
      <w:r w:rsidR="3FD6DC92" w:rsidRPr="00B076A1">
        <w:rPr>
          <w:lang w:val="hr-HR"/>
        </w:rPr>
        <w:t xml:space="preserve"> Unapređenje rada inspekcijskih službi usmjerena je na jačanje efikasnosti nadzora, smanjenje neformalne ekonomije i unapređenje primjene propisa u praksi. </w:t>
      </w:r>
      <w:r w:rsidRPr="00B076A1">
        <w:rPr>
          <w:lang w:val="hr-HR"/>
        </w:rPr>
        <w:t xml:space="preserve">U dijelu koji se odnosi na inovacije, Reforma 1.2.2 </w:t>
      </w:r>
      <w:r w:rsidR="00547B28" w:rsidRPr="00B076A1">
        <w:rPr>
          <w:lang w:val="hr-HR"/>
        </w:rPr>
        <w:t>-</w:t>
      </w:r>
      <w:r w:rsidRPr="00B076A1">
        <w:rPr>
          <w:lang w:val="hr-HR"/>
        </w:rPr>
        <w:t xml:space="preserve"> Razvoj ekosistema istraživanja i inovacija usmjerena je na jačanje kapaciteta za razvoj inovacija i konkurentnosti privrede.</w:t>
      </w:r>
    </w:p>
    <w:p w14:paraId="6E6169CC" w14:textId="09FE152A" w:rsidR="00440836" w:rsidRPr="00B076A1" w:rsidRDefault="00440836" w:rsidP="00B076A1">
      <w:pPr>
        <w:rPr>
          <w:lang w:val="hr-HR"/>
        </w:rPr>
      </w:pPr>
      <w:r w:rsidRPr="00B076A1">
        <w:rPr>
          <w:lang w:val="hr-HR"/>
        </w:rPr>
        <w:t xml:space="preserve">Reformska agenda dodatno naglašava unapređenje poslovnog okruženja kroz omogućavanje lakšeg pristupa finansijskim sredstvima za kompanije, kao i razvoj odgovarajućeg finansijskog okvira koji obezbjeđuje dostupnost različitih modela finansiranja i njihovo prilagođavanje potrebama privrede. </w:t>
      </w:r>
      <w:r w:rsidR="4A78F004" w:rsidRPr="00B076A1">
        <w:rPr>
          <w:lang w:val="hr-HR"/>
        </w:rPr>
        <w:t>U tom kontekstu, poseban akcenat stavljen je na unapređenje regulatornog okruženja, smanjenje administrativnog opterećenja za kompanije i formalizaciju neformalne ekonomije, što predstavlja važan preduslov za podsticanje investicija i razvoja privatnog sektora.</w:t>
      </w:r>
    </w:p>
    <w:p w14:paraId="6CA07AC7" w14:textId="77777777" w:rsidR="00440836" w:rsidRPr="00B076A1" w:rsidRDefault="00440836" w:rsidP="00B076A1">
      <w:pPr>
        <w:rPr>
          <w:lang w:val="hr-HR"/>
        </w:rPr>
      </w:pPr>
      <w:r w:rsidRPr="00B076A1">
        <w:rPr>
          <w:lang w:val="hr-HR"/>
        </w:rPr>
        <w:t>Program ekonomskih reformi predstavlja komplementaran okvir koji podržava sprovođenje ovih reformi, uz fokus na unapređenje poslovnog ambijenta i jačanje konkurentnosti, čime se obezbjeđuje kontinuitet između reformskih prioriteta i njihove implementacije.</w:t>
      </w:r>
    </w:p>
    <w:p w14:paraId="63930E8A" w14:textId="77777777" w:rsidR="00440836" w:rsidRPr="00B076A1" w:rsidRDefault="00440836" w:rsidP="00B076A1">
      <w:pPr>
        <w:rPr>
          <w:lang w:val="hr-HR"/>
        </w:rPr>
      </w:pPr>
      <w:r w:rsidRPr="00B076A1">
        <w:rPr>
          <w:lang w:val="hr-HR"/>
        </w:rPr>
        <w:t>Posmatrano u cjelini, reformski okvir ukazuje na usmjerenost ka stvaranju stabilnog i predvidivog poslovnog okruženja, unapređenju investicionih uslova i jačanju konkurentnosti privrede, uz paralelno unapređenje regulatornog i prostornog planiranja. Takav pristup omogućava povezivanje reformskih i investicionih intervencija, kao i primjenu finansijskih instrumenata i teritorijalnih mehanizama u skladu sa razvojnim potrebama i institucionalnim kapacitetima.</w:t>
      </w:r>
    </w:p>
    <w:p w14:paraId="3C698635" w14:textId="5863FA6B" w:rsidR="00F579F5" w:rsidRPr="00B076A1" w:rsidRDefault="4E0B2DF9" w:rsidP="0021066E">
      <w:pPr>
        <w:pStyle w:val="Heading2"/>
        <w:rPr>
          <w:lang w:val="hr-HR"/>
        </w:rPr>
      </w:pPr>
      <w:r w:rsidRPr="00B076A1">
        <w:rPr>
          <w:lang w:val="hr-HR"/>
        </w:rPr>
        <w:t>Ključni indikatori</w:t>
      </w:r>
    </w:p>
    <w:tbl>
      <w:tblPr>
        <w:tblStyle w:val="GridTable1Light-Accent4"/>
        <w:tblW w:w="0" w:type="auto"/>
        <w:tblLook w:val="04A0" w:firstRow="1" w:lastRow="0" w:firstColumn="1" w:lastColumn="0" w:noHBand="0" w:noVBand="1"/>
      </w:tblPr>
      <w:tblGrid>
        <w:gridCol w:w="1812"/>
        <w:gridCol w:w="1812"/>
        <w:gridCol w:w="1812"/>
        <w:gridCol w:w="1812"/>
        <w:gridCol w:w="1812"/>
      </w:tblGrid>
      <w:tr w:rsidR="4E0B2DF9" w:rsidRPr="00B076A1" w14:paraId="039011DF" w14:textId="77777777" w:rsidTr="00B076A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12" w:type="dxa"/>
          </w:tcPr>
          <w:p w14:paraId="3AE0A1C4" w14:textId="2A07DAE5" w:rsidR="4E0B2DF9" w:rsidRPr="00B076A1" w:rsidRDefault="4E0B2DF9" w:rsidP="4E0B2DF9">
            <w:pPr>
              <w:spacing w:line="276" w:lineRule="auto"/>
              <w:rPr>
                <w:rFonts w:ascii="Calibri" w:eastAsia="Calibri" w:hAnsi="Calibri" w:cs="Calibri"/>
                <w:b w:val="0"/>
                <w:bCs w:val="0"/>
                <w:sz w:val="16"/>
                <w:szCs w:val="16"/>
                <w:lang w:val="hr-HR"/>
              </w:rPr>
            </w:pPr>
            <w:r w:rsidRPr="00B076A1">
              <w:rPr>
                <w:rFonts w:ascii="Calibri" w:eastAsia="Calibri" w:hAnsi="Calibri" w:cs="Calibri"/>
                <w:sz w:val="16"/>
                <w:szCs w:val="16"/>
                <w:lang w:val="hr-HR"/>
              </w:rPr>
              <w:t>Indikator</w:t>
            </w:r>
          </w:p>
        </w:tc>
        <w:tc>
          <w:tcPr>
            <w:tcW w:w="1812" w:type="dxa"/>
          </w:tcPr>
          <w:p w14:paraId="4C23F22C" w14:textId="749CD06A" w:rsidR="4E0B2DF9" w:rsidRPr="00B076A1" w:rsidRDefault="4E0B2DF9" w:rsidP="4E0B2DF9">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lang w:val="hr-HR"/>
              </w:rPr>
            </w:pPr>
            <w:r w:rsidRPr="00B076A1">
              <w:rPr>
                <w:rFonts w:ascii="Calibri" w:eastAsia="Calibri" w:hAnsi="Calibri" w:cs="Calibri"/>
                <w:sz w:val="16"/>
                <w:szCs w:val="16"/>
                <w:lang w:val="hr-HR"/>
              </w:rPr>
              <w:t>CG vrijednost</w:t>
            </w:r>
          </w:p>
        </w:tc>
        <w:tc>
          <w:tcPr>
            <w:tcW w:w="1812" w:type="dxa"/>
          </w:tcPr>
          <w:p w14:paraId="3FDF01AC" w14:textId="404AB53A" w:rsidR="4E0B2DF9" w:rsidRPr="00B076A1" w:rsidRDefault="4E0B2DF9" w:rsidP="4E0B2DF9">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lang w:val="hr-HR"/>
              </w:rPr>
            </w:pPr>
            <w:r w:rsidRPr="00B076A1">
              <w:rPr>
                <w:rFonts w:ascii="Calibri" w:eastAsia="Calibri" w:hAnsi="Calibri" w:cs="Calibri"/>
                <w:sz w:val="16"/>
                <w:szCs w:val="16"/>
                <w:lang w:val="hr-HR"/>
              </w:rPr>
              <w:t>EU-27 vrijednost</w:t>
            </w:r>
          </w:p>
        </w:tc>
        <w:tc>
          <w:tcPr>
            <w:tcW w:w="1812" w:type="dxa"/>
          </w:tcPr>
          <w:p w14:paraId="72BEFCF3" w14:textId="7FC3B239" w:rsidR="4E0B2DF9" w:rsidRPr="00B076A1" w:rsidRDefault="4E0B2DF9" w:rsidP="4E0B2DF9">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lang w:val="hr-HR"/>
              </w:rPr>
            </w:pPr>
            <w:r w:rsidRPr="00B076A1">
              <w:rPr>
                <w:rFonts w:ascii="Calibri" w:eastAsia="Calibri" w:hAnsi="Calibri" w:cs="Calibri"/>
                <w:sz w:val="16"/>
                <w:szCs w:val="16"/>
                <w:lang w:val="hr-HR"/>
              </w:rPr>
              <w:t>Godina</w:t>
            </w:r>
          </w:p>
        </w:tc>
        <w:tc>
          <w:tcPr>
            <w:tcW w:w="1812" w:type="dxa"/>
          </w:tcPr>
          <w:p w14:paraId="6CDC0126" w14:textId="5588DC17" w:rsidR="4E0B2DF9" w:rsidRPr="00B076A1" w:rsidRDefault="4E0B2DF9" w:rsidP="4E0B2DF9">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lang w:val="hr-HR"/>
              </w:rPr>
            </w:pPr>
            <w:r w:rsidRPr="00B076A1">
              <w:rPr>
                <w:rFonts w:ascii="Calibri" w:eastAsia="Calibri" w:hAnsi="Calibri" w:cs="Calibri"/>
                <w:sz w:val="16"/>
                <w:szCs w:val="16"/>
                <w:lang w:val="hr-HR"/>
              </w:rPr>
              <w:t>Izvor</w:t>
            </w:r>
          </w:p>
        </w:tc>
      </w:tr>
      <w:tr w:rsidR="4E0B2DF9" w:rsidRPr="00B076A1" w14:paraId="236AF434" w14:textId="77777777" w:rsidTr="00B076A1">
        <w:trPr>
          <w:trHeight w:val="705"/>
        </w:trPr>
        <w:tc>
          <w:tcPr>
            <w:cnfStyle w:val="001000000000" w:firstRow="0" w:lastRow="0" w:firstColumn="1" w:lastColumn="0" w:oddVBand="0" w:evenVBand="0" w:oddHBand="0" w:evenHBand="0" w:firstRowFirstColumn="0" w:firstRowLastColumn="0" w:lastRowFirstColumn="0" w:lastRowLastColumn="0"/>
            <w:tcW w:w="1812" w:type="dxa"/>
          </w:tcPr>
          <w:p w14:paraId="6E9AF26F" w14:textId="4D2C8096" w:rsidR="4E0B2DF9" w:rsidRPr="00B076A1" w:rsidRDefault="4E0B2DF9" w:rsidP="4E0B2DF9">
            <w:pPr>
              <w:spacing w:line="276" w:lineRule="auto"/>
              <w:rPr>
                <w:rFonts w:ascii="Calibri" w:eastAsia="Calibri" w:hAnsi="Calibri" w:cs="Calibri"/>
                <w:b w:val="0"/>
                <w:bCs w:val="0"/>
                <w:sz w:val="16"/>
                <w:szCs w:val="16"/>
                <w:lang w:val="hr-HR"/>
              </w:rPr>
            </w:pPr>
            <w:r w:rsidRPr="00B076A1">
              <w:rPr>
                <w:rFonts w:ascii="Calibri" w:eastAsia="Calibri" w:hAnsi="Calibri" w:cs="Calibri"/>
                <w:sz w:val="16"/>
                <w:szCs w:val="16"/>
                <w:lang w:val="hr-HR"/>
              </w:rPr>
              <w:t>Krediti privatnom sektoru (% BDP)</w:t>
            </w:r>
          </w:p>
        </w:tc>
        <w:tc>
          <w:tcPr>
            <w:tcW w:w="1812" w:type="dxa"/>
          </w:tcPr>
          <w:p w14:paraId="4C086504" w14:textId="10FF2FB0" w:rsidR="4E0B2DF9" w:rsidRPr="00B076A1" w:rsidRDefault="4E0B2DF9" w:rsidP="4E0B2DF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6"/>
                <w:szCs w:val="16"/>
                <w:lang w:val="hr-HR"/>
              </w:rPr>
            </w:pPr>
            <w:r w:rsidRPr="00B076A1">
              <w:rPr>
                <w:rFonts w:ascii="Calibri" w:eastAsia="Calibri" w:hAnsi="Calibri" w:cs="Calibri"/>
                <w:b/>
                <w:bCs/>
                <w:sz w:val="16"/>
                <w:szCs w:val="16"/>
                <w:lang w:val="hr-HR"/>
              </w:rPr>
              <w:t>45,3</w:t>
            </w:r>
          </w:p>
        </w:tc>
        <w:tc>
          <w:tcPr>
            <w:tcW w:w="1812" w:type="dxa"/>
          </w:tcPr>
          <w:p w14:paraId="2FABA685" w14:textId="47522E25" w:rsidR="4E0B2DF9" w:rsidRPr="00B076A1" w:rsidRDefault="4E0B2DF9" w:rsidP="4E0B2DF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6"/>
                <w:szCs w:val="16"/>
                <w:lang w:val="hr-HR"/>
              </w:rPr>
            </w:pPr>
            <w:r w:rsidRPr="00B076A1">
              <w:rPr>
                <w:rFonts w:ascii="Calibri" w:eastAsia="Calibri" w:hAnsi="Calibri" w:cs="Calibri"/>
                <w:b/>
                <w:bCs/>
                <w:sz w:val="16"/>
                <w:szCs w:val="16"/>
                <w:lang w:val="hr-HR"/>
              </w:rPr>
              <w:t>74,3</w:t>
            </w:r>
          </w:p>
        </w:tc>
        <w:tc>
          <w:tcPr>
            <w:tcW w:w="1812" w:type="dxa"/>
          </w:tcPr>
          <w:p w14:paraId="32B029C7" w14:textId="2710D9DA" w:rsidR="4E0B2DF9" w:rsidRPr="00B076A1" w:rsidRDefault="4E0B2DF9" w:rsidP="4E0B2DF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6"/>
                <w:szCs w:val="16"/>
                <w:lang w:val="hr-HR"/>
              </w:rPr>
            </w:pPr>
            <w:r w:rsidRPr="00B076A1">
              <w:rPr>
                <w:rFonts w:ascii="Calibri" w:eastAsia="Calibri" w:hAnsi="Calibri" w:cs="Calibri"/>
                <w:b/>
                <w:bCs/>
                <w:sz w:val="16"/>
                <w:szCs w:val="16"/>
                <w:lang w:val="hr-HR"/>
              </w:rPr>
              <w:t>2024</w:t>
            </w:r>
          </w:p>
        </w:tc>
        <w:tc>
          <w:tcPr>
            <w:tcW w:w="1812" w:type="dxa"/>
          </w:tcPr>
          <w:p w14:paraId="77FAD84C" w14:textId="3A8058AC" w:rsidR="4E0B2DF9" w:rsidRPr="00B076A1" w:rsidRDefault="4E0B2DF9" w:rsidP="4E0B2DF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6"/>
                <w:szCs w:val="16"/>
                <w:lang w:val="hr-HR"/>
              </w:rPr>
            </w:pPr>
            <w:r w:rsidRPr="00B076A1">
              <w:rPr>
                <w:rFonts w:ascii="Calibri" w:eastAsia="Calibri" w:hAnsi="Calibri" w:cs="Calibri"/>
                <w:b/>
                <w:bCs/>
                <w:sz w:val="16"/>
                <w:szCs w:val="16"/>
                <w:lang w:val="hr-HR"/>
              </w:rPr>
              <w:t>World Bank</w:t>
            </w:r>
          </w:p>
        </w:tc>
      </w:tr>
    </w:tbl>
    <w:p w14:paraId="4A2C51A2" w14:textId="6D96FCA9" w:rsidR="006F625A" w:rsidRPr="00B076A1" w:rsidRDefault="006F625A" w:rsidP="4E0B2DF9">
      <w:pPr>
        <w:rPr>
          <w:lang w:val="hr-HR"/>
        </w:rPr>
      </w:pPr>
    </w:p>
    <w:p w14:paraId="55AE590B" w14:textId="77777777" w:rsidR="0021066E" w:rsidRPr="00B076A1" w:rsidRDefault="0021066E" w:rsidP="0021066E">
      <w:pPr>
        <w:pStyle w:val="Heading2"/>
        <w:rPr>
          <w:lang w:val="hr-HR"/>
        </w:rPr>
      </w:pPr>
      <w:r w:rsidRPr="00B076A1">
        <w:rPr>
          <w:lang w:val="hr-HR"/>
        </w:rPr>
        <w:t>Tematske cjeline</w:t>
      </w:r>
    </w:p>
    <w:p w14:paraId="54FEA23F" w14:textId="77777777" w:rsidR="00440836" w:rsidRPr="00B076A1" w:rsidRDefault="00440836" w:rsidP="00B076A1">
      <w:pPr>
        <w:rPr>
          <w:lang w:val="hr-HR"/>
        </w:rPr>
      </w:pPr>
      <w:r w:rsidRPr="00B076A1">
        <w:rPr>
          <w:lang w:val="hr-HR"/>
        </w:rPr>
        <w:t>Tematske cjeline definisane su na osnovu dominantnih intervencionih polja koja se odnose na primjenu finansijskih instrumenata i budžetskih garancija, kao i na integrisane teritorijalne pristupe razvoju. Njihov izbor zasniva se na potrebi da se podrška privredi kroz finansijske mehanizme poveže sa teritorijalnim planiranjem i lokalnim razvojnim potencijalima, uz istovremeno jačanje kapaciteta za implementaciju.</w:t>
      </w:r>
    </w:p>
    <w:p w14:paraId="47A32EB1" w14:textId="77777777" w:rsidR="00440836" w:rsidRPr="00B076A1" w:rsidRDefault="00440836" w:rsidP="00B076A1">
      <w:pPr>
        <w:rPr>
          <w:lang w:val="hr-HR"/>
        </w:rPr>
      </w:pPr>
      <w:r w:rsidRPr="00B076A1">
        <w:rPr>
          <w:lang w:val="hr-HR"/>
        </w:rPr>
        <w:t>Tematske cjeline su strukturirane tako da obuhvate ključne segmente: pristup finansiranju, razvoj konkretnih finansijskih instrumenata i investicionih mehanizama, teritorijalno usmjeravanje podrške, kao i institucionalni okvir za njihovu primjenu.</w:t>
      </w:r>
    </w:p>
    <w:tbl>
      <w:tblPr>
        <w:tblStyle w:val="GridTable1Light-Accent4"/>
        <w:tblW w:w="0" w:type="auto"/>
        <w:tblLook w:val="04A0" w:firstRow="1" w:lastRow="0" w:firstColumn="1" w:lastColumn="0" w:noHBand="0" w:noVBand="1"/>
      </w:tblPr>
      <w:tblGrid>
        <w:gridCol w:w="2385"/>
        <w:gridCol w:w="6465"/>
      </w:tblGrid>
      <w:tr w:rsidR="66AB1CB1" w:rsidRPr="00B076A1" w14:paraId="1487216F" w14:textId="77777777" w:rsidTr="00B076A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dxa"/>
          </w:tcPr>
          <w:p w14:paraId="760E0E27" w14:textId="57F70EC0" w:rsidR="66AB1CB1" w:rsidRPr="00B076A1" w:rsidRDefault="66AB1CB1" w:rsidP="66AB1CB1">
            <w:pPr>
              <w:spacing w:line="276" w:lineRule="auto"/>
              <w:rPr>
                <w:rFonts w:ascii="Calibri" w:eastAsia="Calibri" w:hAnsi="Calibri" w:cs="Calibri"/>
                <w:sz w:val="16"/>
                <w:szCs w:val="16"/>
                <w:lang w:val="hr-HR"/>
              </w:rPr>
            </w:pPr>
            <w:r w:rsidRPr="00B076A1">
              <w:rPr>
                <w:rFonts w:ascii="Calibri" w:eastAsia="Calibri" w:hAnsi="Calibri" w:cs="Calibri"/>
                <w:sz w:val="16"/>
                <w:szCs w:val="16"/>
                <w:lang w:val="hr-HR"/>
              </w:rPr>
              <w:t xml:space="preserve">Kod tematske cjeline </w:t>
            </w:r>
          </w:p>
        </w:tc>
        <w:tc>
          <w:tcPr>
            <w:tcW w:w="6465" w:type="dxa"/>
          </w:tcPr>
          <w:p w14:paraId="39EF8C7D" w14:textId="48A4F3D9" w:rsidR="66AB1CB1" w:rsidRPr="00B076A1" w:rsidRDefault="66AB1CB1" w:rsidP="66AB1CB1">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6"/>
                <w:lang w:val="hr-HR"/>
              </w:rPr>
            </w:pPr>
            <w:r w:rsidRPr="00B076A1">
              <w:rPr>
                <w:rFonts w:ascii="Calibri" w:eastAsia="Calibri" w:hAnsi="Calibri" w:cs="Calibri"/>
                <w:sz w:val="16"/>
                <w:szCs w:val="16"/>
                <w:lang w:val="hr-HR"/>
              </w:rPr>
              <w:t xml:space="preserve">Naziv tematske cjeline </w:t>
            </w:r>
          </w:p>
        </w:tc>
      </w:tr>
      <w:tr w:rsidR="66AB1CB1" w:rsidRPr="00DF2CBD" w14:paraId="0C821285" w14:textId="77777777" w:rsidTr="00B076A1">
        <w:trPr>
          <w:trHeight w:val="300"/>
        </w:trPr>
        <w:tc>
          <w:tcPr>
            <w:cnfStyle w:val="001000000000" w:firstRow="0" w:lastRow="0" w:firstColumn="1" w:lastColumn="0" w:oddVBand="0" w:evenVBand="0" w:oddHBand="0" w:evenHBand="0" w:firstRowFirstColumn="0" w:firstRowLastColumn="0" w:lastRowFirstColumn="0" w:lastRowLastColumn="0"/>
            <w:tcW w:w="2385" w:type="dxa"/>
          </w:tcPr>
          <w:p w14:paraId="5656CE69" w14:textId="11309AA7" w:rsidR="66AB1CB1" w:rsidRPr="00B076A1" w:rsidRDefault="66AB1CB1" w:rsidP="66AB1CB1">
            <w:pPr>
              <w:spacing w:line="276" w:lineRule="auto"/>
              <w:rPr>
                <w:rFonts w:ascii="Calibri" w:eastAsia="Calibri" w:hAnsi="Calibri" w:cs="Calibri"/>
                <w:sz w:val="16"/>
                <w:szCs w:val="16"/>
                <w:lang w:val="hr-HR"/>
              </w:rPr>
            </w:pPr>
            <w:r w:rsidRPr="00B076A1">
              <w:rPr>
                <w:rFonts w:ascii="Calibri" w:eastAsia="Calibri" w:hAnsi="Calibri" w:cs="Calibri"/>
                <w:sz w:val="16"/>
                <w:szCs w:val="16"/>
                <w:lang w:val="hr-HR"/>
              </w:rPr>
              <w:t xml:space="preserve">[PA2]12.1 </w:t>
            </w:r>
          </w:p>
        </w:tc>
        <w:tc>
          <w:tcPr>
            <w:tcW w:w="6465" w:type="dxa"/>
          </w:tcPr>
          <w:p w14:paraId="6A210102" w14:textId="0878A969" w:rsidR="66AB1CB1" w:rsidRPr="00B076A1" w:rsidRDefault="66AB1CB1" w:rsidP="66AB1CB1">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lang w:val="hr-HR"/>
              </w:rPr>
            </w:pPr>
            <w:r w:rsidRPr="00B076A1">
              <w:rPr>
                <w:rFonts w:ascii="Calibri" w:eastAsia="Calibri" w:hAnsi="Calibri" w:cs="Calibri"/>
                <w:sz w:val="16"/>
                <w:szCs w:val="16"/>
                <w:lang w:val="hr-HR"/>
              </w:rPr>
              <w:t xml:space="preserve">Finansijski instrumenti i garantne šeme za podršku privredi </w:t>
            </w:r>
          </w:p>
        </w:tc>
      </w:tr>
      <w:tr w:rsidR="66AB1CB1" w:rsidRPr="00DF2CBD" w14:paraId="50447F90" w14:textId="77777777" w:rsidTr="00B076A1">
        <w:trPr>
          <w:trHeight w:val="300"/>
        </w:trPr>
        <w:tc>
          <w:tcPr>
            <w:cnfStyle w:val="001000000000" w:firstRow="0" w:lastRow="0" w:firstColumn="1" w:lastColumn="0" w:oddVBand="0" w:evenVBand="0" w:oddHBand="0" w:evenHBand="0" w:firstRowFirstColumn="0" w:firstRowLastColumn="0" w:lastRowFirstColumn="0" w:lastRowLastColumn="0"/>
            <w:tcW w:w="2385" w:type="dxa"/>
          </w:tcPr>
          <w:p w14:paraId="71445482" w14:textId="6629460F" w:rsidR="66AB1CB1" w:rsidRPr="00B076A1" w:rsidRDefault="66AB1CB1" w:rsidP="66AB1CB1">
            <w:pPr>
              <w:spacing w:line="276" w:lineRule="auto"/>
              <w:rPr>
                <w:rFonts w:ascii="Calibri" w:eastAsia="Calibri" w:hAnsi="Calibri" w:cs="Calibri"/>
                <w:sz w:val="16"/>
                <w:szCs w:val="16"/>
                <w:lang w:val="hr-HR"/>
              </w:rPr>
            </w:pPr>
            <w:r w:rsidRPr="00B076A1">
              <w:rPr>
                <w:rFonts w:ascii="Calibri" w:eastAsia="Calibri" w:hAnsi="Calibri" w:cs="Calibri"/>
                <w:sz w:val="16"/>
                <w:szCs w:val="16"/>
                <w:lang w:val="hr-HR"/>
              </w:rPr>
              <w:t xml:space="preserve">[PA2]12.2 </w:t>
            </w:r>
          </w:p>
        </w:tc>
        <w:tc>
          <w:tcPr>
            <w:tcW w:w="6465" w:type="dxa"/>
          </w:tcPr>
          <w:p w14:paraId="1B1DA706" w14:textId="4FF1BFD6" w:rsidR="66AB1CB1" w:rsidRPr="00B076A1" w:rsidRDefault="66AB1CB1" w:rsidP="66AB1CB1">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lang w:val="hr-HR"/>
              </w:rPr>
            </w:pPr>
            <w:r w:rsidRPr="00B076A1">
              <w:rPr>
                <w:rFonts w:ascii="Calibri" w:eastAsia="Calibri" w:hAnsi="Calibri" w:cs="Calibri"/>
                <w:sz w:val="16"/>
                <w:szCs w:val="16"/>
                <w:lang w:val="hr-HR"/>
              </w:rPr>
              <w:t xml:space="preserve">Investiciona podrška i kombinovani modeli finansiranja </w:t>
            </w:r>
          </w:p>
        </w:tc>
      </w:tr>
      <w:tr w:rsidR="66AB1CB1" w:rsidRPr="00DF2CBD" w14:paraId="5CED7100" w14:textId="77777777" w:rsidTr="00B076A1">
        <w:trPr>
          <w:trHeight w:val="300"/>
        </w:trPr>
        <w:tc>
          <w:tcPr>
            <w:cnfStyle w:val="001000000000" w:firstRow="0" w:lastRow="0" w:firstColumn="1" w:lastColumn="0" w:oddVBand="0" w:evenVBand="0" w:oddHBand="0" w:evenHBand="0" w:firstRowFirstColumn="0" w:firstRowLastColumn="0" w:lastRowFirstColumn="0" w:lastRowLastColumn="0"/>
            <w:tcW w:w="2385" w:type="dxa"/>
          </w:tcPr>
          <w:p w14:paraId="08D8D2CB" w14:textId="58699B00" w:rsidR="66AB1CB1" w:rsidRPr="00B076A1" w:rsidRDefault="66AB1CB1" w:rsidP="66AB1CB1">
            <w:pPr>
              <w:spacing w:line="276" w:lineRule="auto"/>
              <w:rPr>
                <w:rFonts w:ascii="Calibri" w:eastAsia="Calibri" w:hAnsi="Calibri" w:cs="Calibri"/>
                <w:sz w:val="16"/>
                <w:szCs w:val="16"/>
                <w:lang w:val="hr-HR"/>
              </w:rPr>
            </w:pPr>
            <w:r w:rsidRPr="00B076A1">
              <w:rPr>
                <w:rFonts w:ascii="Calibri" w:eastAsia="Calibri" w:hAnsi="Calibri" w:cs="Calibri"/>
                <w:sz w:val="16"/>
                <w:szCs w:val="16"/>
                <w:lang w:val="hr-HR"/>
              </w:rPr>
              <w:t xml:space="preserve">[PA2]12.3 </w:t>
            </w:r>
          </w:p>
        </w:tc>
        <w:tc>
          <w:tcPr>
            <w:tcW w:w="6465" w:type="dxa"/>
          </w:tcPr>
          <w:p w14:paraId="7D4D6D97" w14:textId="30BAEF8C" w:rsidR="66AB1CB1" w:rsidRPr="00B076A1" w:rsidRDefault="66AB1CB1" w:rsidP="66AB1CB1">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lang w:val="hr-HR"/>
              </w:rPr>
            </w:pPr>
            <w:r w:rsidRPr="00B076A1">
              <w:rPr>
                <w:rFonts w:ascii="Calibri" w:eastAsia="Calibri" w:hAnsi="Calibri" w:cs="Calibri"/>
                <w:sz w:val="16"/>
                <w:szCs w:val="16"/>
                <w:lang w:val="hr-HR"/>
              </w:rPr>
              <w:t xml:space="preserve">Integrisani teritorijalni razvoj i lokalne razvojne strategije </w:t>
            </w:r>
          </w:p>
        </w:tc>
      </w:tr>
      <w:tr w:rsidR="66AB1CB1" w:rsidRPr="00DF2CBD" w14:paraId="14240031" w14:textId="77777777" w:rsidTr="00B076A1">
        <w:trPr>
          <w:trHeight w:val="300"/>
        </w:trPr>
        <w:tc>
          <w:tcPr>
            <w:cnfStyle w:val="001000000000" w:firstRow="0" w:lastRow="0" w:firstColumn="1" w:lastColumn="0" w:oddVBand="0" w:evenVBand="0" w:oddHBand="0" w:evenHBand="0" w:firstRowFirstColumn="0" w:firstRowLastColumn="0" w:lastRowFirstColumn="0" w:lastRowLastColumn="0"/>
            <w:tcW w:w="2385" w:type="dxa"/>
          </w:tcPr>
          <w:p w14:paraId="47EEB04F" w14:textId="21F3E41D" w:rsidR="66AB1CB1" w:rsidRPr="00B076A1" w:rsidRDefault="66AB1CB1" w:rsidP="66AB1CB1">
            <w:pPr>
              <w:spacing w:line="276" w:lineRule="auto"/>
              <w:rPr>
                <w:rFonts w:ascii="Calibri" w:eastAsia="Calibri" w:hAnsi="Calibri" w:cs="Calibri"/>
                <w:sz w:val="16"/>
                <w:szCs w:val="16"/>
                <w:lang w:val="hr-HR"/>
              </w:rPr>
            </w:pPr>
            <w:r w:rsidRPr="00B076A1">
              <w:rPr>
                <w:rFonts w:ascii="Calibri" w:eastAsia="Calibri" w:hAnsi="Calibri" w:cs="Calibri"/>
                <w:sz w:val="16"/>
                <w:szCs w:val="16"/>
                <w:lang w:val="hr-HR"/>
              </w:rPr>
              <w:t xml:space="preserve">[PA2]12.4 </w:t>
            </w:r>
          </w:p>
        </w:tc>
        <w:tc>
          <w:tcPr>
            <w:tcW w:w="6465" w:type="dxa"/>
          </w:tcPr>
          <w:p w14:paraId="1A6892B1" w14:textId="41011AF1" w:rsidR="66AB1CB1" w:rsidRPr="00B076A1" w:rsidRDefault="4A78F004" w:rsidP="4A78F004">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lang w:val="hr-HR"/>
              </w:rPr>
            </w:pPr>
            <w:r w:rsidRPr="00B076A1">
              <w:rPr>
                <w:rFonts w:ascii="Calibri" w:eastAsia="Calibri" w:hAnsi="Calibri" w:cs="Calibri"/>
                <w:sz w:val="16"/>
                <w:szCs w:val="16"/>
                <w:lang w:val="hr-HR"/>
              </w:rPr>
              <w:t>I Institucionalni, regulatorni i implementacioni okvir multisektorskih intervencija</w:t>
            </w:r>
          </w:p>
        </w:tc>
      </w:tr>
    </w:tbl>
    <w:p w14:paraId="66829AF8" w14:textId="46F7CE44" w:rsidR="0021066E" w:rsidRPr="00B076A1" w:rsidRDefault="0021066E" w:rsidP="66AB1CB1">
      <w:pPr>
        <w:rPr>
          <w:lang w:val="hr-HR"/>
        </w:rPr>
      </w:pPr>
    </w:p>
    <w:p w14:paraId="58EFB3FB" w14:textId="5CCA7394" w:rsidR="4A78F004" w:rsidRPr="00B076A1" w:rsidRDefault="4A78F004" w:rsidP="00B076A1">
      <w:pPr>
        <w:rPr>
          <w:lang w:val="hr-HR"/>
        </w:rPr>
      </w:pPr>
      <w:r w:rsidRPr="00B076A1">
        <w:rPr>
          <w:b/>
          <w:bCs/>
          <w:lang w:val="hr-HR"/>
        </w:rPr>
        <w:t xml:space="preserve">[PA2]12.1 Finansijski instrumenti i garantne šeme za podršku privredi </w:t>
      </w:r>
      <w:r w:rsidRPr="00B076A1">
        <w:rPr>
          <w:lang w:val="hr-HR"/>
        </w:rPr>
        <w:t>ova tematska cjelina obuhvata pitanja pristupa finansiranju za mikro, mala i srednja preduzeća, inovativne kompanije i druge subjekte sa razvojnim potencijalom, sa posebnim fokusom na zajmove, garancije i druge oblike podjele rizika. Njen cilj je da odgovori na prepoznate tržišne nedostatke i investicione jazove, posebno u dijelu gdje komercijalno finansiranje nije dovoljno dostupno ili prilagođeno potrebama privrede.</w:t>
      </w:r>
    </w:p>
    <w:p w14:paraId="77320CBE" w14:textId="0D7351C4" w:rsidR="4A78F004" w:rsidRPr="00B076A1" w:rsidRDefault="4A78F004" w:rsidP="00B076A1">
      <w:pPr>
        <w:rPr>
          <w:lang w:val="hr-HR"/>
        </w:rPr>
      </w:pPr>
      <w:r w:rsidRPr="00B076A1">
        <w:rPr>
          <w:b/>
          <w:bCs/>
          <w:lang w:val="hr-HR"/>
        </w:rPr>
        <w:t xml:space="preserve">[PA2]12.2 Investiciona podrška i kombinovani modeli finansiranjan </w:t>
      </w:r>
      <w:r w:rsidRPr="00B076A1">
        <w:rPr>
          <w:lang w:val="hr-HR"/>
        </w:rPr>
        <w:t>ova cjelina odnosi se na razvoj investicionih mehanizama koji omogućavaju kombinovanje bespovratne i povratne podrške, u skladu sa složenijim razvojnim potrebama. Obuhvata mogućnosti povezivanja grantova, finansijskih instrumenata, tehničke pomoći i drugih oblika podrške radi jačanja investicione aktivnosti, mobilizacije privatnog kapitala i povećanja efekta javnih sredstava.</w:t>
      </w:r>
    </w:p>
    <w:p w14:paraId="1A0335E5" w14:textId="0BA2D354" w:rsidR="4A78F004" w:rsidRPr="00B076A1" w:rsidRDefault="4A78F004" w:rsidP="00B076A1">
      <w:pPr>
        <w:rPr>
          <w:lang w:val="hr-HR"/>
        </w:rPr>
      </w:pPr>
      <w:r w:rsidRPr="00B076A1">
        <w:rPr>
          <w:b/>
          <w:bCs/>
          <w:lang w:val="hr-HR"/>
        </w:rPr>
        <w:t xml:space="preserve">[PA2]12.3 Integrisani teritorijalni razvoj i lokalne razvojne strategije </w:t>
      </w:r>
      <w:r w:rsidRPr="00B076A1">
        <w:rPr>
          <w:lang w:val="hr-HR"/>
        </w:rPr>
        <w:t>ova tematska cjelina fokusira se na teritorijalno usmjeravanje razvojnih intervencija kroz integrisane pristupe, lokalne razvojne strategije i mehanizme zasnovane na funkcionalnim teritorijama. Njen cilj je da omogući bolje povezivanje ekonomskih, socijalnih, infrastrukturnih i prostornih dimenzija razvoja, posebno u kontekstu regionalnih razlika i potreba lokalnog nivoa.</w:t>
      </w:r>
    </w:p>
    <w:p w14:paraId="78D807BF" w14:textId="67CC159A" w:rsidR="006F625A" w:rsidRPr="00B076A1" w:rsidRDefault="4A78F004" w:rsidP="00B076A1">
      <w:pPr>
        <w:rPr>
          <w:lang w:val="hr-HR"/>
        </w:rPr>
      </w:pPr>
      <w:r w:rsidRPr="00B076A1">
        <w:rPr>
          <w:b/>
          <w:bCs/>
          <w:lang w:val="hr-HR"/>
        </w:rPr>
        <w:t xml:space="preserve">[PA2]12.4 Institucionalni okvir i koordinacija multisektorskih intervencija </w:t>
      </w:r>
      <w:r w:rsidRPr="00B076A1">
        <w:rPr>
          <w:lang w:val="hr-HR"/>
        </w:rPr>
        <w:t>ova cjelina obuhvata uslove potrebne za efektivnu primjenu finansijskih instrumenata i teritorijalnih mehanizama, uključujući regulatorni okvir, institucionalne nadležnosti, koordinaciju između aktera i jačanje administrativnih kapaciteta. Poseban fokus stavlja se na razvoj implementacionog ekosistema, unapređenje procedura i uspostavljanje održivih modela sprovođenja multisektorskih intervencija.</w:t>
      </w:r>
    </w:p>
    <w:p w14:paraId="0786127C" w14:textId="1A2AD91E" w:rsidR="00440836" w:rsidRPr="00B076A1" w:rsidRDefault="00440836" w:rsidP="00B076A1">
      <w:pPr>
        <w:rPr>
          <w:lang w:val="hr-HR"/>
        </w:rPr>
      </w:pPr>
      <w:r w:rsidRPr="00B076A1">
        <w:rPr>
          <w:lang w:val="hr-HR"/>
        </w:rPr>
        <w:t>Napomena:</w:t>
      </w:r>
    </w:p>
    <w:p w14:paraId="445A2709" w14:textId="5F16D10A" w:rsidR="00440836" w:rsidRPr="00B076A1" w:rsidRDefault="00440836" w:rsidP="00B076A1">
      <w:pPr>
        <w:rPr>
          <w:lang w:val="hr-HR"/>
        </w:rPr>
      </w:pPr>
      <w:r w:rsidRPr="00B076A1">
        <w:rPr>
          <w:lang w:val="hr-HR"/>
        </w:rPr>
        <w:t xml:space="preserve">Pored navedenih tematskih cjelina, određeni aspekti multisektorske podrške mogu uključivati i aktivnosti u kontekstu međunarodne saradnje i djelovanja u trećim zemljama, posebno u dijelu razmjene iskustava, prenosa znanja i jačanja institucionalnih kapaciteta. Ove aktivnosti imaju dopunski karakter i prvenstveno </w:t>
      </w:r>
      <w:r w:rsidRPr="00B076A1">
        <w:rPr>
          <w:lang w:val="hr-HR"/>
        </w:rPr>
        <w:lastRenderedPageBreak/>
        <w:t>su usmjerene na unapređenje primjene finansijskih i teritorijalnih mehanizama kroz saradnju sa relevantnim međunarodnim partnerima.</w:t>
      </w:r>
    </w:p>
    <w:p w14:paraId="3CB8CDA5" w14:textId="77777777" w:rsidR="00F579F5" w:rsidRPr="00B076A1" w:rsidRDefault="00F579F5" w:rsidP="00F579F5">
      <w:pPr>
        <w:rPr>
          <w:lang w:val="hr-HR"/>
        </w:rPr>
      </w:pPr>
    </w:p>
    <w:p w14:paraId="22E5F6F1" w14:textId="2EDF42AA" w:rsidR="006F625A" w:rsidRPr="00B076A1" w:rsidRDefault="00B076A1" w:rsidP="66AB1CB1">
      <w:pPr>
        <w:pStyle w:val="Heading2"/>
        <w:rPr>
          <w:lang w:val="hr-HR"/>
        </w:rPr>
      </w:pPr>
      <w:r w:rsidRPr="00B076A1">
        <w:rPr>
          <w:lang w:val="hr-HR"/>
        </w:rPr>
        <w:t>L</w:t>
      </w:r>
      <w:r w:rsidR="66AB1CB1" w:rsidRPr="00B076A1">
        <w:rPr>
          <w:lang w:val="hr-HR"/>
        </w:rPr>
        <w:t>ista razvojnih izazova</w:t>
      </w:r>
    </w:p>
    <w:tbl>
      <w:tblPr>
        <w:tblStyle w:val="GridTable1Light-Accent4"/>
        <w:tblW w:w="4925" w:type="pct"/>
        <w:tblLayout w:type="fixed"/>
        <w:tblLook w:val="04A0" w:firstRow="1" w:lastRow="0" w:firstColumn="1" w:lastColumn="0" w:noHBand="0" w:noVBand="1"/>
      </w:tblPr>
      <w:tblGrid>
        <w:gridCol w:w="562"/>
        <w:gridCol w:w="852"/>
        <w:gridCol w:w="2694"/>
        <w:gridCol w:w="4818"/>
      </w:tblGrid>
      <w:tr w:rsidR="00B076A1" w:rsidRPr="00B076A1" w14:paraId="248AEDE5" w14:textId="77777777" w:rsidTr="00B076A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7E63B240" w14:textId="77777777" w:rsidR="00B076A1" w:rsidRPr="00B076A1" w:rsidRDefault="00B076A1" w:rsidP="00B076A1">
            <w:pPr>
              <w:jc w:val="lef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Broj</w:t>
            </w:r>
          </w:p>
        </w:tc>
        <w:tc>
          <w:tcPr>
            <w:tcW w:w="477" w:type="pct"/>
            <w:noWrap/>
            <w:hideMark/>
          </w:tcPr>
          <w:p w14:paraId="51BA4413" w14:textId="77777777" w:rsidR="00B076A1" w:rsidRPr="00B076A1" w:rsidRDefault="00B076A1" w:rsidP="00B076A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Kod</w:t>
            </w:r>
          </w:p>
        </w:tc>
        <w:tc>
          <w:tcPr>
            <w:tcW w:w="1509" w:type="pct"/>
            <w:noWrap/>
            <w:hideMark/>
          </w:tcPr>
          <w:p w14:paraId="71D26C6F" w14:textId="77777777" w:rsidR="00B076A1" w:rsidRPr="00B076A1" w:rsidRDefault="00B076A1" w:rsidP="00B076A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Naziv razvojnog izazova</w:t>
            </w:r>
          </w:p>
        </w:tc>
        <w:tc>
          <w:tcPr>
            <w:tcW w:w="2700" w:type="pct"/>
            <w:noWrap/>
            <w:hideMark/>
          </w:tcPr>
          <w:p w14:paraId="3096CEDE" w14:textId="77777777" w:rsidR="00B076A1" w:rsidRPr="00B076A1" w:rsidRDefault="00B076A1" w:rsidP="00B076A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Obrazloženje</w:t>
            </w:r>
          </w:p>
        </w:tc>
      </w:tr>
      <w:tr w:rsidR="00B076A1" w:rsidRPr="00DF2CBD" w14:paraId="46145525"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00D53C78"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01</w:t>
            </w:r>
          </w:p>
        </w:tc>
        <w:tc>
          <w:tcPr>
            <w:tcW w:w="477" w:type="pct"/>
            <w:noWrap/>
            <w:hideMark/>
          </w:tcPr>
          <w:p w14:paraId="0F7D65A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PA12-01</w:t>
            </w:r>
          </w:p>
        </w:tc>
        <w:tc>
          <w:tcPr>
            <w:tcW w:w="1509" w:type="pct"/>
            <w:noWrap/>
            <w:hideMark/>
          </w:tcPr>
          <w:p w14:paraId="58B1183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Ograničen pristup finansijskim sredstvima za privredu </w:t>
            </w:r>
          </w:p>
        </w:tc>
        <w:tc>
          <w:tcPr>
            <w:tcW w:w="2700" w:type="pct"/>
            <w:noWrap/>
            <w:hideMark/>
          </w:tcPr>
          <w:p w14:paraId="1CFA36C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Privreda se suočava sa ograničenim pristupom finansiranju usljed zahtjeva finansijskog tržišta i strukture dostupnih izvora finansiranja, što utiče na obim investicionih aktivnosti. </w:t>
            </w:r>
          </w:p>
        </w:tc>
      </w:tr>
      <w:tr w:rsidR="00B076A1" w:rsidRPr="00DF2CBD" w14:paraId="3C69F9B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15135904"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02</w:t>
            </w:r>
          </w:p>
        </w:tc>
        <w:tc>
          <w:tcPr>
            <w:tcW w:w="477" w:type="pct"/>
            <w:noWrap/>
            <w:hideMark/>
          </w:tcPr>
          <w:p w14:paraId="224AA98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PA12-02</w:t>
            </w:r>
          </w:p>
        </w:tc>
        <w:tc>
          <w:tcPr>
            <w:tcW w:w="1509" w:type="pct"/>
            <w:noWrap/>
            <w:hideMark/>
          </w:tcPr>
          <w:p w14:paraId="25554C1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Nedovoljna dostupnost i diverzifikacija finansijskih instrumenata</w:t>
            </w:r>
          </w:p>
        </w:tc>
        <w:tc>
          <w:tcPr>
            <w:tcW w:w="2700" w:type="pct"/>
            <w:noWrap/>
            <w:hideMark/>
          </w:tcPr>
          <w:p w14:paraId="54542DB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Ponuda finansijskih instrumenata i modela finansiranja nije dovoljno diverzifikovana u odnosu na potrebe privrede, posebno u dijelu vlasničkog kapitala, rizičnog finansiranja, zelenih i digitalnih investicija, što ograničava njihovu širu primjenu i mobilizaciju privatnog kapitala.</w:t>
            </w:r>
          </w:p>
        </w:tc>
      </w:tr>
      <w:tr w:rsidR="00B076A1" w:rsidRPr="00DF2CBD" w14:paraId="3205D46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489E3C45"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03</w:t>
            </w:r>
          </w:p>
        </w:tc>
        <w:tc>
          <w:tcPr>
            <w:tcW w:w="477" w:type="pct"/>
            <w:noWrap/>
            <w:hideMark/>
          </w:tcPr>
          <w:p w14:paraId="797B0BE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PA12-03</w:t>
            </w:r>
          </w:p>
        </w:tc>
        <w:tc>
          <w:tcPr>
            <w:tcW w:w="1509" w:type="pct"/>
            <w:noWrap/>
            <w:hideMark/>
          </w:tcPr>
          <w:p w14:paraId="0084081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sistem identifikacije tržišnih nedostataka (market gap)</w:t>
            </w:r>
          </w:p>
        </w:tc>
        <w:tc>
          <w:tcPr>
            <w:tcW w:w="2700" w:type="pct"/>
            <w:noWrap/>
            <w:hideMark/>
          </w:tcPr>
          <w:p w14:paraId="6437215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Primjena finansijskih instrumenata nije u dovoljnoj mjeri zasnovana na sistematskim procjenama tržišnog jaza, investicionih potreba i razvojnih potencijala, što otežava precizno usmjeravanje podrške prema segmentima sa ograničenim pristupom finansiranju.</w:t>
            </w:r>
          </w:p>
        </w:tc>
      </w:tr>
      <w:tr w:rsidR="00B076A1" w:rsidRPr="00DF2CBD" w14:paraId="134D51AA"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24B34127"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04</w:t>
            </w:r>
          </w:p>
        </w:tc>
        <w:tc>
          <w:tcPr>
            <w:tcW w:w="477" w:type="pct"/>
            <w:noWrap/>
            <w:hideMark/>
          </w:tcPr>
          <w:p w14:paraId="0BD729B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PA12-04</w:t>
            </w:r>
          </w:p>
        </w:tc>
        <w:tc>
          <w:tcPr>
            <w:tcW w:w="1509" w:type="pct"/>
            <w:noWrap/>
            <w:hideMark/>
          </w:tcPr>
          <w:p w14:paraId="586751C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Visoka zavisnost od eksternih izvora finansiranja</w:t>
            </w:r>
          </w:p>
        </w:tc>
        <w:tc>
          <w:tcPr>
            <w:tcW w:w="2700" w:type="pct"/>
            <w:noWrap/>
            <w:hideMark/>
          </w:tcPr>
          <w:p w14:paraId="0EBA11E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Finansiranje razvojnih intervencija u značajnoj mjeri zavisi od sredstava Evropske unije i međunarodnih finansijskih institucija, dok su domaći izvori finansiranja i tržišni instrumenti i dalje ograničeno razvijeni.</w:t>
            </w:r>
          </w:p>
        </w:tc>
      </w:tr>
      <w:tr w:rsidR="00B076A1" w:rsidRPr="00DF2CBD" w14:paraId="5C181D8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1842A793"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05</w:t>
            </w:r>
          </w:p>
        </w:tc>
        <w:tc>
          <w:tcPr>
            <w:tcW w:w="477" w:type="pct"/>
            <w:noWrap/>
            <w:hideMark/>
          </w:tcPr>
          <w:p w14:paraId="50236A7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PA12-05</w:t>
            </w:r>
          </w:p>
        </w:tc>
        <w:tc>
          <w:tcPr>
            <w:tcW w:w="1509" w:type="pct"/>
            <w:noWrap/>
            <w:hideMark/>
          </w:tcPr>
          <w:p w14:paraId="79B7928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Nedovoljno razvijeni modeli kombinovanja različitih izvora finansiranja </w:t>
            </w:r>
          </w:p>
        </w:tc>
        <w:tc>
          <w:tcPr>
            <w:tcW w:w="2700" w:type="pct"/>
            <w:noWrap/>
            <w:hideMark/>
          </w:tcPr>
          <w:p w14:paraId="127CE2D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Praksa kombinovanja bespovratnih sredstava i drugih oblika finansiranja nije u dovoljnoj mjeri razvijena, što utiče na obim i strukturu investicija. </w:t>
            </w:r>
          </w:p>
        </w:tc>
      </w:tr>
      <w:tr w:rsidR="00B076A1" w:rsidRPr="00DF2CBD" w14:paraId="3B6BF669"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243113A4"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06</w:t>
            </w:r>
          </w:p>
        </w:tc>
        <w:tc>
          <w:tcPr>
            <w:tcW w:w="477" w:type="pct"/>
            <w:noWrap/>
            <w:hideMark/>
          </w:tcPr>
          <w:p w14:paraId="09CB476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PA12-06</w:t>
            </w:r>
          </w:p>
        </w:tc>
        <w:tc>
          <w:tcPr>
            <w:tcW w:w="1509" w:type="pct"/>
            <w:noWrap/>
            <w:hideMark/>
          </w:tcPr>
          <w:p w14:paraId="567E350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Ograničeni kapaciteti za pripremu i realizaciju investicionih projekata</w:t>
            </w:r>
          </w:p>
        </w:tc>
        <w:tc>
          <w:tcPr>
            <w:tcW w:w="2700" w:type="pct"/>
            <w:noWrap/>
            <w:hideMark/>
          </w:tcPr>
          <w:p w14:paraId="42C5DAE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Priprema investicionih projekata zahtijeva koordinaciju više aktera i odgovarajuće tehničke kapacitete, što može uticati na njihovu spremnost za finansiranje i realizaciju. </w:t>
            </w:r>
          </w:p>
        </w:tc>
      </w:tr>
      <w:tr w:rsidR="00B076A1" w:rsidRPr="00DF2CBD" w14:paraId="6533F2E5"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37D8E4D9"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07</w:t>
            </w:r>
          </w:p>
        </w:tc>
        <w:tc>
          <w:tcPr>
            <w:tcW w:w="477" w:type="pct"/>
            <w:noWrap/>
            <w:hideMark/>
          </w:tcPr>
          <w:p w14:paraId="16D0365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PA12-07</w:t>
            </w:r>
          </w:p>
        </w:tc>
        <w:tc>
          <w:tcPr>
            <w:tcW w:w="1509" w:type="pct"/>
            <w:noWrap/>
            <w:hideMark/>
          </w:tcPr>
          <w:p w14:paraId="4CC19BD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investicioni pipeline (zrelost projekata)</w:t>
            </w:r>
          </w:p>
        </w:tc>
        <w:tc>
          <w:tcPr>
            <w:tcW w:w="2700" w:type="pct"/>
            <w:noWrap/>
            <w:hideMark/>
          </w:tcPr>
          <w:p w14:paraId="3A839690" w14:textId="47627060" w:rsidR="00B076A1" w:rsidRPr="007A2223"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Postoji ograničen broj projekata sa jasnim finansijskim, tehničkim i operativnim modelima, što otežava primjenu finansijskih instrumenata, kombinovanje izvora finansiranja i realizaciju investicija sa povratnim potencijalom.</w:t>
            </w:r>
            <w:r w:rsidR="007A2223" w:rsidRPr="007A2223">
              <w:rPr>
                <w:rFonts w:ascii="Aptos Narrow" w:eastAsia="Times New Roman" w:hAnsi="Aptos Narrow" w:cs="Times New Roman"/>
                <w:color w:val="000000"/>
                <w:sz w:val="16"/>
                <w:szCs w:val="16"/>
                <w:lang w:val="hr-HR" w:eastAsia="en-GB"/>
                <w14:ligatures w14:val="none"/>
              </w:rPr>
              <w:t xml:space="preserve"> Poseban izazov predstavlja ograničena dostupnost finansijske i stručne podrške za pripremu tehničke dokumentacije, studija izvodljivosti i cost-benefit analiza u manje razvijenim i ruralnim opštinama, što utiče na njihovu sposobnost da razviju projekte spremne za finansiranje iz EU i drugih razvojnih izvora.</w:t>
            </w:r>
          </w:p>
        </w:tc>
      </w:tr>
      <w:tr w:rsidR="00B076A1" w:rsidRPr="00DF2CBD" w14:paraId="0D4FBEB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14FA1A34"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08</w:t>
            </w:r>
          </w:p>
        </w:tc>
        <w:tc>
          <w:tcPr>
            <w:tcW w:w="477" w:type="pct"/>
            <w:noWrap/>
            <w:hideMark/>
          </w:tcPr>
          <w:p w14:paraId="59CBFCA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PA12-08</w:t>
            </w:r>
          </w:p>
        </w:tc>
        <w:tc>
          <w:tcPr>
            <w:tcW w:w="1509" w:type="pct"/>
            <w:noWrap/>
            <w:hideMark/>
          </w:tcPr>
          <w:p w14:paraId="01A8829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Nedovoljna integracija teritorijalne dimenzije u razvojne politike</w:t>
            </w:r>
          </w:p>
        </w:tc>
        <w:tc>
          <w:tcPr>
            <w:tcW w:w="2700" w:type="pct"/>
            <w:noWrap/>
            <w:hideMark/>
          </w:tcPr>
          <w:p w14:paraId="38A782B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Razvojne intervencije nijesu uvijek dovoljno usklađene sa specifičnostima lokalnih i regionalnih područja i njihovim ekonomskim potencijalima. Dominantno sektorski pristup i nedovoljna integracija teritorijalne dimenzije razvoja ograničavaju povezivanje ekonomskih, socijalnih, infrastrukturnih i ekoloških razvojnih prioriteta.</w:t>
            </w:r>
          </w:p>
        </w:tc>
      </w:tr>
      <w:tr w:rsidR="00B076A1" w:rsidRPr="00DF2CBD" w14:paraId="7E6E2DD7"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4753616B"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09</w:t>
            </w:r>
          </w:p>
        </w:tc>
        <w:tc>
          <w:tcPr>
            <w:tcW w:w="477" w:type="pct"/>
            <w:noWrap/>
            <w:hideMark/>
          </w:tcPr>
          <w:p w14:paraId="64CD2CE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PA12-09</w:t>
            </w:r>
          </w:p>
        </w:tc>
        <w:tc>
          <w:tcPr>
            <w:tcW w:w="1509" w:type="pct"/>
            <w:noWrap/>
            <w:hideMark/>
          </w:tcPr>
          <w:p w14:paraId="2E40440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Ograničeni kapaciteti za planiranje i implementaciju integrisanih teritorijalnih intervencija na lokalnom nivou</w:t>
            </w:r>
          </w:p>
        </w:tc>
        <w:tc>
          <w:tcPr>
            <w:tcW w:w="2700" w:type="pct"/>
            <w:noWrap/>
            <w:hideMark/>
          </w:tcPr>
          <w:p w14:paraId="727E9D87" w14:textId="7DF0EE20" w:rsidR="00B076A1" w:rsidRPr="007A2223" w:rsidRDefault="007A2223" w:rsidP="007A222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7A2223">
              <w:rPr>
                <w:rFonts w:ascii="Aptos Narrow" w:eastAsia="Times New Roman" w:hAnsi="Aptos Narrow" w:cs="Times New Roman"/>
                <w:color w:val="000000"/>
                <w:sz w:val="16"/>
                <w:szCs w:val="16"/>
                <w:lang w:val="hr-HR" w:eastAsia="en-GB"/>
                <w14:ligatures w14:val="none"/>
              </w:rPr>
              <w:t>Ograničeni administrativni, tehnički i finansijski kapaciteti posebno dolaze do izražaja kod pripreme složenijih međuopštinskih i integrisanih projekata, koji zahtijevaju koordinaciju više lokalnih samouprava, izradu tehničke dokumentacije, procjenu izvodljivosti i kombinovanje različitih izvora finansiranja. Ograničenja su posebno izražena u manjim i ruralnim opštinama, što otežava razvoj funkcionalnih teritorijalnih partnerstava, pripremu zajedničkih projekata i efikasno korišćenje integrisanih teritorijalnih instrumenata i dostupnih razvojnih fondova.</w:t>
            </w:r>
          </w:p>
        </w:tc>
      </w:tr>
      <w:tr w:rsidR="00B076A1" w:rsidRPr="00DF2CBD" w14:paraId="393D928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63E17D3A"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10</w:t>
            </w:r>
          </w:p>
        </w:tc>
        <w:tc>
          <w:tcPr>
            <w:tcW w:w="477" w:type="pct"/>
            <w:noWrap/>
            <w:hideMark/>
          </w:tcPr>
          <w:p w14:paraId="5C8DF81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PA12-10</w:t>
            </w:r>
          </w:p>
        </w:tc>
        <w:tc>
          <w:tcPr>
            <w:tcW w:w="1509" w:type="pct"/>
            <w:noWrap/>
            <w:hideMark/>
          </w:tcPr>
          <w:p w14:paraId="4D73FC1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Nedovoljna uključenost socio-ekonomskih partnera </w:t>
            </w:r>
          </w:p>
        </w:tc>
        <w:tc>
          <w:tcPr>
            <w:tcW w:w="2700" w:type="pct"/>
            <w:noWrap/>
            <w:hideMark/>
          </w:tcPr>
          <w:p w14:paraId="759A3DB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Poslovne asocijacije, komore, sindikati i organizacije civilnog društva nijesu u potpunosti uključeni u planiranje i implementaciju razvojnih intervencija. </w:t>
            </w:r>
          </w:p>
        </w:tc>
      </w:tr>
      <w:tr w:rsidR="00B076A1" w:rsidRPr="00DF2CBD" w14:paraId="407106A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0A2A4B96"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11</w:t>
            </w:r>
          </w:p>
        </w:tc>
        <w:tc>
          <w:tcPr>
            <w:tcW w:w="477" w:type="pct"/>
            <w:noWrap/>
            <w:hideMark/>
          </w:tcPr>
          <w:p w14:paraId="13A2827A"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PA12-11</w:t>
            </w:r>
          </w:p>
        </w:tc>
        <w:tc>
          <w:tcPr>
            <w:tcW w:w="1509" w:type="pct"/>
            <w:noWrap/>
            <w:hideMark/>
          </w:tcPr>
          <w:p w14:paraId="5C7432A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Izraženi teritorijalni razvojni dispariteti</w:t>
            </w:r>
          </w:p>
        </w:tc>
        <w:tc>
          <w:tcPr>
            <w:tcW w:w="2700" w:type="pct"/>
            <w:noWrap/>
            <w:hideMark/>
          </w:tcPr>
          <w:p w14:paraId="70C7EA3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Razlike u stepenu razvijenosti, investicionim kapacitetima, dostupnosti razvojnih instrumenata, javnih usluga, nivou digitalne transformacije i administrativnim mogućnostima između Sjevernog, Središnjeg i Primorskog regiona, kao i između jedinica lokalne samouprave, utiču na neravnomjernu realizaciju razvojnih intervencija i ograničavaju primjenu integrisanih teritorijalnih pristupa.</w:t>
            </w:r>
          </w:p>
        </w:tc>
      </w:tr>
      <w:tr w:rsidR="00B076A1" w:rsidRPr="00DF2CBD" w14:paraId="142103B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4B188025"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12</w:t>
            </w:r>
          </w:p>
        </w:tc>
        <w:tc>
          <w:tcPr>
            <w:tcW w:w="477" w:type="pct"/>
            <w:noWrap/>
            <w:hideMark/>
          </w:tcPr>
          <w:p w14:paraId="05F8D89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PA12-12</w:t>
            </w:r>
          </w:p>
        </w:tc>
        <w:tc>
          <w:tcPr>
            <w:tcW w:w="1509" w:type="pct"/>
            <w:noWrap/>
            <w:hideMark/>
          </w:tcPr>
          <w:p w14:paraId="369B02A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razvijeni teritorijalni razvojni modeli zasnovani na funkcionalnim područjima</w:t>
            </w:r>
          </w:p>
        </w:tc>
        <w:tc>
          <w:tcPr>
            <w:tcW w:w="2700" w:type="pct"/>
            <w:noWrap/>
            <w:hideMark/>
          </w:tcPr>
          <w:p w14:paraId="73C2D2E1" w14:textId="0A91A96B" w:rsidR="00B076A1" w:rsidRPr="007A2223"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pt-BR" w:eastAsia="en-GB"/>
                <w14:ligatures w14:val="none"/>
              </w:rPr>
            </w:pPr>
            <w:r w:rsidRPr="00B076A1">
              <w:rPr>
                <w:rFonts w:ascii="Aptos Narrow" w:eastAsia="Times New Roman" w:hAnsi="Aptos Narrow" w:cs="Times New Roman"/>
                <w:color w:val="000000"/>
                <w:sz w:val="16"/>
                <w:szCs w:val="16"/>
                <w:lang w:val="hr-HR" w:eastAsia="en-GB"/>
                <w14:ligatures w14:val="none"/>
              </w:rPr>
              <w:t>Planiranje razvoja i dalje se dominantno zasniva na administrativnim granicama, dok su pristupi zasnovani na funkcionalnim područjima, međuopštinskoj saradnji i integrisanim teritorijalnim strategijama još uvijek nedovoljno razvijeni.</w:t>
            </w:r>
            <w:r w:rsidR="007A2223" w:rsidRPr="007A2223">
              <w:rPr>
                <w:lang w:val="pt-BR"/>
              </w:rPr>
              <w:t xml:space="preserve"> </w:t>
            </w:r>
            <w:r w:rsidR="007A2223" w:rsidRPr="007A2223">
              <w:rPr>
                <w:rFonts w:ascii="Aptos Narrow" w:eastAsia="Times New Roman" w:hAnsi="Aptos Narrow" w:cs="Times New Roman"/>
                <w:color w:val="000000"/>
                <w:sz w:val="16"/>
                <w:szCs w:val="16"/>
                <w:lang w:val="pt-BR" w:eastAsia="en-GB"/>
                <w14:ligatures w14:val="none"/>
              </w:rPr>
              <w:t xml:space="preserve">Nedostaju i sistemski podsticaji za razvoj međuopštinskih integrisanih projekata, posebno u sjevernom regionu, </w:t>
            </w:r>
            <w:r w:rsidR="007A2223" w:rsidRPr="007A2223">
              <w:rPr>
                <w:rFonts w:ascii="Aptos Narrow" w:eastAsia="Times New Roman" w:hAnsi="Aptos Narrow" w:cs="Times New Roman"/>
                <w:color w:val="000000"/>
                <w:sz w:val="16"/>
                <w:szCs w:val="16"/>
                <w:lang w:val="pt-BR" w:eastAsia="en-GB"/>
                <w14:ligatures w14:val="none"/>
              </w:rPr>
              <w:lastRenderedPageBreak/>
              <w:t>koji bi omogućili zajedničko planiranje, efikasnije korišćenje resursa i zajednički pristup dostupnim izvorima finansiranja za razvoj turizma, poljoprivrede i drugih lokalnih razvojnih potencijala.</w:t>
            </w:r>
          </w:p>
        </w:tc>
      </w:tr>
      <w:tr w:rsidR="00B076A1" w:rsidRPr="00DF2CBD" w14:paraId="105CE5BF"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51994931"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lastRenderedPageBreak/>
              <w:t>13</w:t>
            </w:r>
          </w:p>
        </w:tc>
        <w:tc>
          <w:tcPr>
            <w:tcW w:w="477" w:type="pct"/>
            <w:noWrap/>
            <w:hideMark/>
          </w:tcPr>
          <w:p w14:paraId="0099CD5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PA12-13</w:t>
            </w:r>
          </w:p>
        </w:tc>
        <w:tc>
          <w:tcPr>
            <w:tcW w:w="1509" w:type="pct"/>
            <w:noWrap/>
            <w:hideMark/>
          </w:tcPr>
          <w:p w14:paraId="27677C1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integracija rodne perspektive u regionalni i ekonomski razvoj</w:t>
            </w:r>
          </w:p>
        </w:tc>
        <w:tc>
          <w:tcPr>
            <w:tcW w:w="2700" w:type="pct"/>
            <w:noWrap/>
            <w:hideMark/>
          </w:tcPr>
          <w:p w14:paraId="480F5C8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Rodna dimenzija nije u dovoljnoj mjeri integrisana u planiranje i sprovođenje razvojnih intervencija, dok je dostupnost specijalizovanih finansijskih i nefinansijskih instrumenata podrške za žene preduzetnice i dalje ograničena, posebno u manje razvijenim područjima.</w:t>
            </w:r>
          </w:p>
        </w:tc>
      </w:tr>
      <w:tr w:rsidR="00B076A1" w:rsidRPr="00DF2CBD" w14:paraId="1E6A882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56E68B94"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14</w:t>
            </w:r>
          </w:p>
        </w:tc>
        <w:tc>
          <w:tcPr>
            <w:tcW w:w="477" w:type="pct"/>
            <w:noWrap/>
            <w:hideMark/>
          </w:tcPr>
          <w:p w14:paraId="658599A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PA12-14</w:t>
            </w:r>
          </w:p>
        </w:tc>
        <w:tc>
          <w:tcPr>
            <w:tcW w:w="1509" w:type="pct"/>
            <w:noWrap/>
            <w:hideMark/>
          </w:tcPr>
          <w:p w14:paraId="5163D92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Potreba za unapređenjem koordinacije između institucija </w:t>
            </w:r>
          </w:p>
        </w:tc>
        <w:tc>
          <w:tcPr>
            <w:tcW w:w="2700" w:type="pct"/>
            <w:noWrap/>
            <w:hideMark/>
          </w:tcPr>
          <w:p w14:paraId="7E8DBBC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Uključivanje većeg broja institucija u planiranje i sprovođenje intervencija zahtijeva dodatno jačanje mehanizama koordinacije i bolje usklađivanje sektorskih politika sa ciljevima uravnoteženog regionalnog razvoja i teritorijalne kohezije.</w:t>
            </w:r>
          </w:p>
        </w:tc>
      </w:tr>
      <w:tr w:rsidR="00B076A1" w:rsidRPr="00DF2CBD" w14:paraId="1774B714"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77F5401D"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15</w:t>
            </w:r>
          </w:p>
        </w:tc>
        <w:tc>
          <w:tcPr>
            <w:tcW w:w="477" w:type="pct"/>
            <w:noWrap/>
            <w:hideMark/>
          </w:tcPr>
          <w:p w14:paraId="16A9887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PA12-15</w:t>
            </w:r>
          </w:p>
        </w:tc>
        <w:tc>
          <w:tcPr>
            <w:tcW w:w="1509" w:type="pct"/>
            <w:noWrap/>
            <w:hideMark/>
          </w:tcPr>
          <w:p w14:paraId="00E5988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Složenost institucionalnog okvira za sprovođenje intervencija </w:t>
            </w:r>
          </w:p>
        </w:tc>
        <w:tc>
          <w:tcPr>
            <w:tcW w:w="2700" w:type="pct"/>
            <w:noWrap/>
            <w:hideMark/>
          </w:tcPr>
          <w:p w14:paraId="0319FFB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Višeslojni institucionalni okvir može uticati na efikasnost implementacije i zahtijeva jasno definisane uloge i procedure. </w:t>
            </w:r>
          </w:p>
        </w:tc>
      </w:tr>
      <w:tr w:rsidR="00B076A1" w:rsidRPr="00DF2CBD" w14:paraId="6FB904D7"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73A028D4"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16</w:t>
            </w:r>
          </w:p>
        </w:tc>
        <w:tc>
          <w:tcPr>
            <w:tcW w:w="477" w:type="pct"/>
            <w:noWrap/>
            <w:hideMark/>
          </w:tcPr>
          <w:p w14:paraId="624B452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PA12-16</w:t>
            </w:r>
          </w:p>
        </w:tc>
        <w:tc>
          <w:tcPr>
            <w:tcW w:w="1509" w:type="pct"/>
            <w:noWrap/>
            <w:hideMark/>
          </w:tcPr>
          <w:p w14:paraId="7CA92CF4"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Potreba za jačanjem saradnje između nacionalnog i lokalnog nivoa </w:t>
            </w:r>
          </w:p>
        </w:tc>
        <w:tc>
          <w:tcPr>
            <w:tcW w:w="2700" w:type="pct"/>
            <w:noWrap/>
            <w:hideMark/>
          </w:tcPr>
          <w:p w14:paraId="012E7E8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Manje lokalne samouprave često nemaju dovoljne institucionalne, tehničke i finansijske kapacitete za samostalnu pripremu i sprovođenje kompleksnih razvojnih projekata, zbog čega je potrebna snažnija podrška centralnog nivoa u planiranju, pripremi dokumentacije i koordinaciji potencijalnih izvora finansiranja.</w:t>
            </w:r>
          </w:p>
        </w:tc>
      </w:tr>
      <w:tr w:rsidR="00B076A1" w:rsidRPr="00DF2CBD" w14:paraId="0F78EACF"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27FB995B"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17</w:t>
            </w:r>
          </w:p>
        </w:tc>
        <w:tc>
          <w:tcPr>
            <w:tcW w:w="477" w:type="pct"/>
            <w:noWrap/>
            <w:hideMark/>
          </w:tcPr>
          <w:p w14:paraId="7A36F0A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PA12-17</w:t>
            </w:r>
          </w:p>
        </w:tc>
        <w:tc>
          <w:tcPr>
            <w:tcW w:w="1509" w:type="pct"/>
            <w:noWrap/>
            <w:hideMark/>
          </w:tcPr>
          <w:p w14:paraId="28BA2FA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razvijeni kapaciteti za implementaciju finansijskih instrumenata</w:t>
            </w:r>
          </w:p>
        </w:tc>
        <w:tc>
          <w:tcPr>
            <w:tcW w:w="2700" w:type="pct"/>
            <w:noWrap/>
            <w:hideMark/>
          </w:tcPr>
          <w:p w14:paraId="09C2C12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Ograničeno prisustvo specijalizovanih finansijskih posrednika i implementacionih partnera otežava razvoj i sprovođenje složenijih finansijskih instrumenata</w:t>
            </w:r>
          </w:p>
        </w:tc>
      </w:tr>
      <w:tr w:rsidR="00B076A1" w:rsidRPr="00DF2CBD" w14:paraId="09CAE805"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315" w:type="pct"/>
            <w:noWrap/>
            <w:hideMark/>
          </w:tcPr>
          <w:p w14:paraId="2CD4C16C" w14:textId="77777777" w:rsidR="00B076A1" w:rsidRPr="00B076A1" w:rsidRDefault="00B076A1" w:rsidP="00B076A1">
            <w:pPr>
              <w:jc w:val="right"/>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18</w:t>
            </w:r>
          </w:p>
        </w:tc>
        <w:tc>
          <w:tcPr>
            <w:tcW w:w="477" w:type="pct"/>
            <w:noWrap/>
            <w:hideMark/>
          </w:tcPr>
          <w:p w14:paraId="790D04E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B076A1">
              <w:rPr>
                <w:rFonts w:ascii="Aptos Narrow" w:eastAsia="Times New Roman" w:hAnsi="Aptos Narrow" w:cs="Times New Roman"/>
                <w:b/>
                <w:bCs/>
                <w:color w:val="000000"/>
                <w:sz w:val="16"/>
                <w:szCs w:val="16"/>
                <w:lang w:val="hr-HR" w:eastAsia="en-GB"/>
                <w14:ligatures w14:val="none"/>
              </w:rPr>
              <w:t>PA12-18</w:t>
            </w:r>
          </w:p>
        </w:tc>
        <w:tc>
          <w:tcPr>
            <w:tcW w:w="1509" w:type="pct"/>
            <w:noWrap/>
            <w:hideMark/>
          </w:tcPr>
          <w:p w14:paraId="038111D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raspoloživost podataka i analitičkih alata za teritorijalno planiranje i evaluaciju</w:t>
            </w:r>
          </w:p>
        </w:tc>
        <w:tc>
          <w:tcPr>
            <w:tcW w:w="2700" w:type="pct"/>
            <w:noWrap/>
            <w:hideMark/>
          </w:tcPr>
          <w:p w14:paraId="09973B4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 xml:space="preserve">Postojeći sistem podataka i analitičkih alata nije dovoljno razvijen za kvalitetno planiranje, praćenje i evaluaciju teritorijalno usmjerenih intervencija, što otežava donošenje odluka zasnovanih na dokazima. </w:t>
            </w:r>
          </w:p>
        </w:tc>
      </w:tr>
    </w:tbl>
    <w:p w14:paraId="797EADA3" w14:textId="66F6566F" w:rsidR="006F625A" w:rsidRPr="00B076A1" w:rsidRDefault="006F625A" w:rsidP="006F625A">
      <w:pPr>
        <w:rPr>
          <w:lang w:val="hr-HR"/>
        </w:rPr>
      </w:pPr>
    </w:p>
    <w:p w14:paraId="6E7BEBA9" w14:textId="27CD7207" w:rsidR="00EE0A94" w:rsidRPr="00B076A1" w:rsidRDefault="00B076A1" w:rsidP="00B076A1">
      <w:pPr>
        <w:pStyle w:val="Heading1"/>
        <w:rPr>
          <w:lang w:val="hr-HR"/>
        </w:rPr>
      </w:pPr>
      <w:r w:rsidRPr="00B076A1">
        <w:rPr>
          <w:lang w:val="hr-HR"/>
        </w:rPr>
        <w:t>SWOT</w:t>
      </w:r>
    </w:p>
    <w:tbl>
      <w:tblPr>
        <w:tblStyle w:val="GridTable1Light-Accent4"/>
        <w:tblW w:w="4847" w:type="pct"/>
        <w:tblLayout w:type="fixed"/>
        <w:tblLook w:val="04A0" w:firstRow="1" w:lastRow="0" w:firstColumn="1" w:lastColumn="0" w:noHBand="0" w:noVBand="1"/>
      </w:tblPr>
      <w:tblGrid>
        <w:gridCol w:w="1129"/>
        <w:gridCol w:w="6236"/>
        <w:gridCol w:w="1420"/>
      </w:tblGrid>
      <w:tr w:rsidR="00B076A1" w:rsidRPr="00B076A1" w14:paraId="7F25F3B1" w14:textId="77777777" w:rsidTr="00B076A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43" w:type="pct"/>
            <w:noWrap/>
            <w:hideMark/>
          </w:tcPr>
          <w:p w14:paraId="35DFDA2A"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r w:rsidRPr="00B076A1">
              <w:rPr>
                <w:rFonts w:ascii="Aptos Narrow" w:eastAsia="Times New Roman" w:hAnsi="Aptos Narrow" w:cs="Times New Roman"/>
                <w:b w:val="0"/>
                <w:bCs w:val="0"/>
                <w:color w:val="000000"/>
                <w:sz w:val="16"/>
                <w:szCs w:val="16"/>
                <w:lang w:val="hr-HR" w:eastAsia="en-GB"/>
                <w14:ligatures w14:val="none"/>
              </w:rPr>
              <w:t>S-W-O-T</w:t>
            </w:r>
          </w:p>
        </w:tc>
        <w:tc>
          <w:tcPr>
            <w:tcW w:w="3549" w:type="pct"/>
            <w:noWrap/>
            <w:hideMark/>
          </w:tcPr>
          <w:p w14:paraId="67C14317" w14:textId="77777777" w:rsidR="00B076A1" w:rsidRPr="00B076A1" w:rsidRDefault="00B076A1" w:rsidP="00B076A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B076A1">
              <w:rPr>
                <w:rFonts w:ascii="Aptos Narrow" w:eastAsia="Times New Roman" w:hAnsi="Aptos Narrow" w:cs="Times New Roman"/>
                <w:b w:val="0"/>
                <w:bCs w:val="0"/>
                <w:color w:val="000000"/>
                <w:sz w:val="16"/>
                <w:szCs w:val="16"/>
                <w:lang w:val="hr-HR" w:eastAsia="en-GB"/>
                <w14:ligatures w14:val="none"/>
              </w:rPr>
              <w:t>IZJAVA</w:t>
            </w:r>
          </w:p>
        </w:tc>
        <w:tc>
          <w:tcPr>
            <w:tcW w:w="808" w:type="pct"/>
            <w:noWrap/>
            <w:hideMark/>
          </w:tcPr>
          <w:p w14:paraId="7C37AE48" w14:textId="77777777" w:rsidR="00B076A1" w:rsidRPr="00B076A1" w:rsidRDefault="00B076A1" w:rsidP="00B076A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B076A1">
              <w:rPr>
                <w:rFonts w:ascii="Aptos Narrow" w:eastAsia="Times New Roman" w:hAnsi="Aptos Narrow" w:cs="Times New Roman"/>
                <w:b w:val="0"/>
                <w:bCs w:val="0"/>
                <w:color w:val="000000"/>
                <w:sz w:val="16"/>
                <w:szCs w:val="16"/>
                <w:lang w:val="hr-HR" w:eastAsia="en-GB"/>
                <w14:ligatures w14:val="none"/>
              </w:rPr>
              <w:t>Povezani izazovi</w:t>
            </w:r>
          </w:p>
        </w:tc>
      </w:tr>
      <w:tr w:rsidR="00B076A1" w:rsidRPr="00B076A1" w14:paraId="26B35AB1"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val="restart"/>
            <w:shd w:val="clear" w:color="auto" w:fill="D9F2D0" w:themeFill="accent6" w:themeFillTint="33"/>
            <w:noWrap/>
            <w:textDirection w:val="btLr"/>
            <w:vAlign w:val="center"/>
            <w:hideMark/>
          </w:tcPr>
          <w:p w14:paraId="6E02D119"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r w:rsidRPr="00B076A1">
              <w:rPr>
                <w:rFonts w:ascii="Aptos Narrow" w:eastAsia="Times New Roman" w:hAnsi="Aptos Narrow" w:cs="Times New Roman"/>
                <w:color w:val="000000"/>
                <w:sz w:val="36"/>
                <w:szCs w:val="36"/>
                <w:lang w:val="hr-HR" w:eastAsia="en-GB"/>
                <w14:ligatures w14:val="none"/>
              </w:rPr>
              <w:t>SNAGE</w:t>
            </w:r>
          </w:p>
        </w:tc>
        <w:tc>
          <w:tcPr>
            <w:tcW w:w="3549" w:type="pct"/>
            <w:shd w:val="clear" w:color="auto" w:fill="D9F2D0" w:themeFill="accent6" w:themeFillTint="33"/>
            <w:noWrap/>
            <w:hideMark/>
          </w:tcPr>
          <w:p w14:paraId="7D1C996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EU integracioni proces kao okvir za reforme i institucionalno jačanje</w:t>
            </w:r>
          </w:p>
        </w:tc>
        <w:tc>
          <w:tcPr>
            <w:tcW w:w="808" w:type="pct"/>
            <w:shd w:val="clear" w:color="auto" w:fill="D9F2D0" w:themeFill="accent6" w:themeFillTint="33"/>
            <w:noWrap/>
            <w:hideMark/>
          </w:tcPr>
          <w:p w14:paraId="4D35DED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PA12-16</w:t>
            </w:r>
          </w:p>
        </w:tc>
      </w:tr>
      <w:tr w:rsidR="00B076A1" w:rsidRPr="00B076A1" w14:paraId="04221EB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49AAF7B1"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3EED0E6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Početna iskustva u međunarodnim finansijskim i razvojnim programima</w:t>
            </w:r>
          </w:p>
        </w:tc>
        <w:tc>
          <w:tcPr>
            <w:tcW w:w="808" w:type="pct"/>
            <w:shd w:val="clear" w:color="auto" w:fill="D9F2D0" w:themeFill="accent6" w:themeFillTint="33"/>
            <w:noWrap/>
            <w:hideMark/>
          </w:tcPr>
          <w:p w14:paraId="274E5BB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PA12-17</w:t>
            </w:r>
          </w:p>
        </w:tc>
      </w:tr>
      <w:tr w:rsidR="00B076A1" w:rsidRPr="00B076A1" w14:paraId="04F4548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2C01A0D6"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5583EE5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Postojanje ministarstva nadležnog za regionalni razvoj</w:t>
            </w:r>
          </w:p>
        </w:tc>
        <w:tc>
          <w:tcPr>
            <w:tcW w:w="808" w:type="pct"/>
            <w:shd w:val="clear" w:color="auto" w:fill="D9F2D0" w:themeFill="accent6" w:themeFillTint="33"/>
            <w:noWrap/>
            <w:hideMark/>
          </w:tcPr>
          <w:p w14:paraId="415C173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PA12-13</w:t>
            </w:r>
          </w:p>
        </w:tc>
      </w:tr>
      <w:tr w:rsidR="00B076A1" w:rsidRPr="00B076A1" w14:paraId="0DED7D90"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2C5AAE6F"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2DE29C6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Postojanje osnovnog institucionalnog i finansijskog okvira za razvoj i primjenu finansijskih instrumenata (Razvojna banka Crne Gore, Kreditno-garantni fond, Fond za inovacije i Eko-fond).</w:t>
            </w:r>
          </w:p>
        </w:tc>
        <w:tc>
          <w:tcPr>
            <w:tcW w:w="808" w:type="pct"/>
            <w:shd w:val="clear" w:color="auto" w:fill="D9F2D0" w:themeFill="accent6" w:themeFillTint="33"/>
            <w:noWrap/>
            <w:hideMark/>
          </w:tcPr>
          <w:p w14:paraId="69982C6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720BC16C"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6AF6AB9E"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1422AFF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Postojanje razvojnih institucija sa iskustvom u sprovođenju programa finansijske podrške privredi i razvoju.</w:t>
            </w:r>
          </w:p>
        </w:tc>
        <w:tc>
          <w:tcPr>
            <w:tcW w:w="808" w:type="pct"/>
            <w:shd w:val="clear" w:color="auto" w:fill="D9F2D0" w:themeFill="accent6" w:themeFillTint="33"/>
            <w:noWrap/>
            <w:hideMark/>
          </w:tcPr>
          <w:p w14:paraId="11C5F31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w:t>
            </w:r>
          </w:p>
        </w:tc>
      </w:tr>
      <w:tr w:rsidR="00B076A1" w:rsidRPr="00B076A1" w14:paraId="7B2E1514"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4808470B"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009A3FC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Prepoznat značaj pristupa finansijama i FI u strateškim dokumentima</w:t>
            </w:r>
          </w:p>
        </w:tc>
        <w:tc>
          <w:tcPr>
            <w:tcW w:w="808" w:type="pct"/>
            <w:shd w:val="clear" w:color="auto" w:fill="D9F2D0" w:themeFill="accent6" w:themeFillTint="33"/>
            <w:noWrap/>
            <w:hideMark/>
          </w:tcPr>
          <w:p w14:paraId="388C588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w:t>
            </w:r>
          </w:p>
        </w:tc>
      </w:tr>
      <w:tr w:rsidR="00B076A1" w:rsidRPr="00B076A1" w14:paraId="3FC3793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31EB8F3C"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34E2CB1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Rast startup i inovacionog ekosistema (ICT, emerging sektor)</w:t>
            </w:r>
          </w:p>
        </w:tc>
        <w:tc>
          <w:tcPr>
            <w:tcW w:w="808" w:type="pct"/>
            <w:shd w:val="clear" w:color="auto" w:fill="D9F2D0" w:themeFill="accent6" w:themeFillTint="33"/>
            <w:noWrap/>
            <w:hideMark/>
          </w:tcPr>
          <w:p w14:paraId="7B95E01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PA12-14</w:t>
            </w:r>
          </w:p>
        </w:tc>
      </w:tr>
      <w:tr w:rsidR="00B076A1" w:rsidRPr="00B076A1" w14:paraId="2B15134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D9F2D0" w:themeFill="accent6" w:themeFillTint="33"/>
            <w:noWrap/>
            <w:textDirection w:val="btLr"/>
            <w:vAlign w:val="center"/>
            <w:hideMark/>
          </w:tcPr>
          <w:p w14:paraId="490D6A1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D9F2D0" w:themeFill="accent6" w:themeFillTint="33"/>
            <w:noWrap/>
            <w:hideMark/>
          </w:tcPr>
          <w:p w14:paraId="22AB3ED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Uspostavljen strateški i institucionalni okvir za regionalni razvoj i teritorijalnu koheziju.</w:t>
            </w:r>
          </w:p>
        </w:tc>
        <w:tc>
          <w:tcPr>
            <w:tcW w:w="808" w:type="pct"/>
            <w:shd w:val="clear" w:color="auto" w:fill="D9F2D0" w:themeFill="accent6" w:themeFillTint="33"/>
            <w:noWrap/>
            <w:hideMark/>
          </w:tcPr>
          <w:p w14:paraId="1E973D3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600CE3A6"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val="restart"/>
            <w:shd w:val="clear" w:color="auto" w:fill="FAE2D5" w:themeFill="accent2" w:themeFillTint="33"/>
            <w:noWrap/>
            <w:textDirection w:val="btLr"/>
            <w:vAlign w:val="center"/>
            <w:hideMark/>
          </w:tcPr>
          <w:p w14:paraId="6291FEAF"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r w:rsidRPr="00B076A1">
              <w:rPr>
                <w:rFonts w:ascii="Aptos Narrow" w:eastAsia="Times New Roman" w:hAnsi="Aptos Narrow" w:cs="Times New Roman"/>
                <w:color w:val="000000"/>
                <w:sz w:val="36"/>
                <w:szCs w:val="36"/>
                <w:lang w:val="hr-HR" w:eastAsia="en-GB"/>
                <w14:ligatures w14:val="none"/>
              </w:rPr>
              <w:t>SLABOSTI</w:t>
            </w:r>
          </w:p>
        </w:tc>
        <w:tc>
          <w:tcPr>
            <w:tcW w:w="3549" w:type="pct"/>
            <w:shd w:val="clear" w:color="auto" w:fill="FAE2D5" w:themeFill="accent2" w:themeFillTint="33"/>
            <w:noWrap/>
            <w:hideMark/>
          </w:tcPr>
          <w:p w14:paraId="15E462A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Dominantno sektorski pristup i nedovoljna integracija teritorijalne dimenzije razvoja, uključujući ograničenu primjenu funkcionalnih teritorijalnih pristupa i međuopštinske saradnje</w:t>
            </w:r>
          </w:p>
        </w:tc>
        <w:tc>
          <w:tcPr>
            <w:tcW w:w="808" w:type="pct"/>
            <w:shd w:val="clear" w:color="auto" w:fill="FAE2D5" w:themeFill="accent2" w:themeFillTint="33"/>
            <w:noWrap/>
            <w:hideMark/>
          </w:tcPr>
          <w:p w14:paraId="75A8994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66D03698"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6986539C"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61426E9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Izraženi regionalni i teritorijalni dispariteti u stepenu razvijenosti, investicionim kapacitetima, dostupnosti razvojnih instrumenata i nivou digitalne transformacije između regiona i jedinica lokalne samouprave</w:t>
            </w:r>
          </w:p>
        </w:tc>
        <w:tc>
          <w:tcPr>
            <w:tcW w:w="808" w:type="pct"/>
            <w:shd w:val="clear" w:color="auto" w:fill="FAE2D5" w:themeFill="accent2" w:themeFillTint="33"/>
            <w:noWrap/>
            <w:hideMark/>
          </w:tcPr>
          <w:p w14:paraId="4C9AB9A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4AC75925"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5CCB4EA4"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7E94D93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Nedovoljna integracija rodne perspektive u razvojne politike i ograničena dostupnost specijalizovanih finansijskih i nefinansijskih instrumenata podrške za žene preduzetnice, posebno u manje razvijenim regionima</w:t>
            </w:r>
          </w:p>
        </w:tc>
        <w:tc>
          <w:tcPr>
            <w:tcW w:w="808" w:type="pct"/>
            <w:shd w:val="clear" w:color="auto" w:fill="FAE2D5" w:themeFill="accent2" w:themeFillTint="33"/>
            <w:noWrap/>
            <w:hideMark/>
          </w:tcPr>
          <w:p w14:paraId="2F5E2BE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20EF522A"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5CB3AF90"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7463205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Nedovoljna usklađenost sektorskih politika sa ciljevima uravnoteženog regionalnog razvoja i teritorijalne kohezije.</w:t>
            </w:r>
          </w:p>
        </w:tc>
        <w:tc>
          <w:tcPr>
            <w:tcW w:w="808" w:type="pct"/>
            <w:shd w:val="clear" w:color="auto" w:fill="FAE2D5" w:themeFill="accent2" w:themeFillTint="33"/>
            <w:noWrap/>
            <w:hideMark/>
          </w:tcPr>
          <w:p w14:paraId="19DBD10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36AAC40C"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182FCD75"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7CE9BDD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i operativan sistem finansijskih instrumenata (nema fonda fondova, standardizovanih modela, ex-ante analiza)</w:t>
            </w:r>
          </w:p>
        </w:tc>
        <w:tc>
          <w:tcPr>
            <w:tcW w:w="808" w:type="pct"/>
            <w:shd w:val="clear" w:color="auto" w:fill="FAE2D5" w:themeFill="accent2" w:themeFillTint="33"/>
            <w:noWrap/>
            <w:hideMark/>
          </w:tcPr>
          <w:p w14:paraId="2E24039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07A936FD"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502FD46E"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55F5522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investicioni pipeline i nizak nivo zrelosti projekata</w:t>
            </w:r>
          </w:p>
        </w:tc>
        <w:tc>
          <w:tcPr>
            <w:tcW w:w="808" w:type="pct"/>
            <w:shd w:val="clear" w:color="auto" w:fill="FAE2D5" w:themeFill="accent2" w:themeFillTint="33"/>
            <w:noWrap/>
            <w:hideMark/>
          </w:tcPr>
          <w:p w14:paraId="3F5DAC5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 PA12-07</w:t>
            </w:r>
          </w:p>
        </w:tc>
      </w:tr>
      <w:tr w:rsidR="00B076A1" w:rsidRPr="00B076A1" w14:paraId="62FBE48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01AF2FED"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38CE4A6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sistem identifikacije tržišnog jaza (market gap)</w:t>
            </w:r>
          </w:p>
        </w:tc>
        <w:tc>
          <w:tcPr>
            <w:tcW w:w="808" w:type="pct"/>
            <w:shd w:val="clear" w:color="auto" w:fill="FAE2D5" w:themeFill="accent2" w:themeFillTint="33"/>
            <w:noWrap/>
            <w:hideMark/>
          </w:tcPr>
          <w:p w14:paraId="5D09FB5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33A7869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747A605C"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15CFA36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 sistem kvalitetnih podataka i analitičkih alata za planiranje, praćenje i evaluaciju intervencija</w:t>
            </w:r>
          </w:p>
        </w:tc>
        <w:tc>
          <w:tcPr>
            <w:tcW w:w="808" w:type="pct"/>
            <w:shd w:val="clear" w:color="auto" w:fill="FAE2D5" w:themeFill="accent2" w:themeFillTint="33"/>
            <w:noWrap/>
            <w:hideMark/>
          </w:tcPr>
          <w:p w14:paraId="59BC9B8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PA12-18</w:t>
            </w:r>
          </w:p>
        </w:tc>
      </w:tr>
      <w:tr w:rsidR="00B076A1" w:rsidRPr="00B076A1" w14:paraId="3F524C0D"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3CE28AE5"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59F756B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razvijeni administrativni kapaciteti za pripremu projekata i tehničke dokumentacije.</w:t>
            </w:r>
          </w:p>
        </w:tc>
        <w:tc>
          <w:tcPr>
            <w:tcW w:w="808" w:type="pct"/>
            <w:shd w:val="clear" w:color="auto" w:fill="FAE2D5" w:themeFill="accent2" w:themeFillTint="33"/>
            <w:noWrap/>
            <w:hideMark/>
          </w:tcPr>
          <w:p w14:paraId="00C5CCE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w:t>
            </w:r>
          </w:p>
        </w:tc>
      </w:tr>
      <w:tr w:rsidR="00B076A1" w:rsidRPr="00B076A1" w14:paraId="36422B39"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533C66EA"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4F44FC4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 investicioni kapacitet i spremnost privatnog sektora za korišćenje složenijih finansijskih instrumenata.</w:t>
            </w:r>
          </w:p>
        </w:tc>
        <w:tc>
          <w:tcPr>
            <w:tcW w:w="808" w:type="pct"/>
            <w:shd w:val="clear" w:color="auto" w:fill="FAE2D5" w:themeFill="accent2" w:themeFillTint="33"/>
            <w:noWrap/>
            <w:hideMark/>
          </w:tcPr>
          <w:p w14:paraId="248FA88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46372C8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2381092B"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284979D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dubina domaćeg tržišta kapitala i slaba integracija u međunarodne investicione tokove</w:t>
            </w:r>
          </w:p>
        </w:tc>
        <w:tc>
          <w:tcPr>
            <w:tcW w:w="808" w:type="pct"/>
            <w:shd w:val="clear" w:color="auto" w:fill="FAE2D5" w:themeFill="accent2" w:themeFillTint="33"/>
            <w:noWrap/>
            <w:hideMark/>
          </w:tcPr>
          <w:p w14:paraId="25D3B79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w:t>
            </w:r>
          </w:p>
        </w:tc>
      </w:tr>
      <w:tr w:rsidR="00B076A1" w:rsidRPr="00B076A1" w14:paraId="43355520"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4DB4A0AB"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2584A79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primjena finansijskih instrumenata za podršku zelenoj i digitalnoj tranziciji i infrastrukturnim ulaganjima.</w:t>
            </w:r>
          </w:p>
        </w:tc>
        <w:tc>
          <w:tcPr>
            <w:tcW w:w="808" w:type="pct"/>
            <w:shd w:val="clear" w:color="auto" w:fill="FAE2D5" w:themeFill="accent2" w:themeFillTint="33"/>
            <w:noWrap/>
            <w:hideMark/>
          </w:tcPr>
          <w:p w14:paraId="6D1E6C8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1BBE9D54"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700F7261"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1BA3F79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primjena funkcionalnih teritorijalnih pristupa i međuopštinskih razvojnih partnerstava.</w:t>
            </w:r>
          </w:p>
        </w:tc>
        <w:tc>
          <w:tcPr>
            <w:tcW w:w="808" w:type="pct"/>
            <w:shd w:val="clear" w:color="auto" w:fill="FAE2D5" w:themeFill="accent2" w:themeFillTint="33"/>
            <w:noWrap/>
            <w:hideMark/>
          </w:tcPr>
          <w:p w14:paraId="7C5D20C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2336CCBD"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7AA653E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59ED2A64"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razvijenost funkcionalnih teritorijalnih partnerstava i mehanizama međuopštinske i prekogranične saradnje.</w:t>
            </w:r>
          </w:p>
        </w:tc>
        <w:tc>
          <w:tcPr>
            <w:tcW w:w="808" w:type="pct"/>
            <w:shd w:val="clear" w:color="auto" w:fill="FAE2D5" w:themeFill="accent2" w:themeFillTint="33"/>
            <w:noWrap/>
            <w:hideMark/>
          </w:tcPr>
          <w:p w14:paraId="7A80332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06529F8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08592E6E"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6056D52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Ograničeni administrativni i tehnički kapaciteti za implementaciju FI i ITI</w:t>
            </w:r>
          </w:p>
        </w:tc>
        <w:tc>
          <w:tcPr>
            <w:tcW w:w="808" w:type="pct"/>
            <w:shd w:val="clear" w:color="auto" w:fill="FAE2D5" w:themeFill="accent2" w:themeFillTint="33"/>
            <w:noWrap/>
            <w:hideMark/>
          </w:tcPr>
          <w:p w14:paraId="7E3D076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PA12-09</w:t>
            </w:r>
          </w:p>
        </w:tc>
      </w:tr>
      <w:tr w:rsidR="00B076A1" w:rsidRPr="00B076A1" w14:paraId="4D538EAA"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2ABF3ACA"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053F201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Ograničeni kapaciteti i finansijski resursi za pripremu Integrisanih opštinskih razvojnih planova i Integrisanih teritorijalnih razvojnih planova</w:t>
            </w:r>
          </w:p>
        </w:tc>
        <w:tc>
          <w:tcPr>
            <w:tcW w:w="808" w:type="pct"/>
            <w:shd w:val="clear" w:color="auto" w:fill="FAE2D5" w:themeFill="accent2" w:themeFillTint="33"/>
            <w:noWrap/>
            <w:hideMark/>
          </w:tcPr>
          <w:p w14:paraId="61BDE6F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6C0A4370"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1994FB48"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0378C5B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Ograničeno uključivanje socio-ekonomskih partnera</w:t>
            </w:r>
          </w:p>
        </w:tc>
        <w:tc>
          <w:tcPr>
            <w:tcW w:w="808" w:type="pct"/>
            <w:shd w:val="clear" w:color="auto" w:fill="FAE2D5" w:themeFill="accent2" w:themeFillTint="33"/>
            <w:noWrap/>
            <w:hideMark/>
          </w:tcPr>
          <w:p w14:paraId="4B46893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PA12-10</w:t>
            </w:r>
          </w:p>
        </w:tc>
      </w:tr>
      <w:tr w:rsidR="00B076A1" w:rsidRPr="00B076A1" w14:paraId="557761B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60CA1EB0"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450841A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Slabo razvijen tržišni finansijski ekosistem (venture capital, equity, alternativni izvori finansiranja)</w:t>
            </w:r>
          </w:p>
        </w:tc>
        <w:tc>
          <w:tcPr>
            <w:tcW w:w="808" w:type="pct"/>
            <w:shd w:val="clear" w:color="auto" w:fill="FAE2D5" w:themeFill="accent2" w:themeFillTint="33"/>
            <w:noWrap/>
            <w:hideMark/>
          </w:tcPr>
          <w:p w14:paraId="68CB2C8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PA12-04</w:t>
            </w:r>
          </w:p>
        </w:tc>
      </w:tr>
      <w:tr w:rsidR="00B076A1" w:rsidRPr="00B076A1" w14:paraId="6A7618A4"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5FEBEE2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791B93F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Teritorijalni alati (ITI, CLLD) nijesu operativno uspostavljeni</w:t>
            </w:r>
          </w:p>
        </w:tc>
        <w:tc>
          <w:tcPr>
            <w:tcW w:w="808" w:type="pct"/>
            <w:shd w:val="clear" w:color="auto" w:fill="FAE2D5" w:themeFill="accent2" w:themeFillTint="33"/>
            <w:noWrap/>
            <w:hideMark/>
          </w:tcPr>
          <w:p w14:paraId="3207A5F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46350DF9"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AE2D5" w:themeFill="accent2" w:themeFillTint="33"/>
            <w:noWrap/>
            <w:textDirection w:val="btLr"/>
            <w:vAlign w:val="center"/>
            <w:hideMark/>
          </w:tcPr>
          <w:p w14:paraId="4F9C42B7"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FAE2D5" w:themeFill="accent2" w:themeFillTint="33"/>
            <w:noWrap/>
            <w:hideMark/>
          </w:tcPr>
          <w:p w14:paraId="38B838FA"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Visoka zavisnost od eksternih izvora finansiranja (globalni aspekt)</w:t>
            </w:r>
          </w:p>
        </w:tc>
        <w:tc>
          <w:tcPr>
            <w:tcW w:w="808" w:type="pct"/>
            <w:shd w:val="clear" w:color="auto" w:fill="FAE2D5" w:themeFill="accent2" w:themeFillTint="33"/>
            <w:noWrap/>
            <w:hideMark/>
          </w:tcPr>
          <w:p w14:paraId="0E6EA82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0EBF40F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val="restart"/>
            <w:shd w:val="clear" w:color="auto" w:fill="CAEDFB" w:themeFill="accent4" w:themeFillTint="33"/>
            <w:noWrap/>
            <w:textDirection w:val="btLr"/>
            <w:vAlign w:val="center"/>
            <w:hideMark/>
          </w:tcPr>
          <w:p w14:paraId="7C65D954"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r w:rsidRPr="00B076A1">
              <w:rPr>
                <w:rFonts w:ascii="Aptos Narrow" w:eastAsia="Times New Roman" w:hAnsi="Aptos Narrow" w:cs="Times New Roman"/>
                <w:color w:val="000000"/>
                <w:sz w:val="36"/>
                <w:szCs w:val="36"/>
                <w:lang w:val="hr-HR" w:eastAsia="en-GB"/>
                <w14:ligatures w14:val="none"/>
              </w:rPr>
              <w:t>PRILIKE</w:t>
            </w:r>
          </w:p>
        </w:tc>
        <w:tc>
          <w:tcPr>
            <w:tcW w:w="3549" w:type="pct"/>
            <w:shd w:val="clear" w:color="auto" w:fill="CAEDFB" w:themeFill="accent4" w:themeFillTint="33"/>
            <w:noWrap/>
            <w:hideMark/>
          </w:tcPr>
          <w:p w14:paraId="6A4F5D7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Dalji razvoj kombinovanja grantova i finansijskih instrumenata (blending), uključujući specijalizovane proizvode za MSP, inovacije i zelenu tranziciju, u cilju povećanja efikasnosti javnih ulaganja</w:t>
            </w:r>
          </w:p>
        </w:tc>
        <w:tc>
          <w:tcPr>
            <w:tcW w:w="808" w:type="pct"/>
            <w:shd w:val="clear" w:color="auto" w:fill="CAEDFB" w:themeFill="accent4" w:themeFillTint="33"/>
            <w:noWrap/>
            <w:hideMark/>
          </w:tcPr>
          <w:p w14:paraId="01C21C2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5922AF35"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5A2CF98F"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0A6ED704"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Dostupnost EU fondova za podršku pripremi planova</w:t>
            </w:r>
          </w:p>
        </w:tc>
        <w:tc>
          <w:tcPr>
            <w:tcW w:w="808" w:type="pct"/>
            <w:shd w:val="clear" w:color="auto" w:fill="CAEDFB" w:themeFill="accent4" w:themeFillTint="33"/>
            <w:noWrap/>
            <w:hideMark/>
          </w:tcPr>
          <w:p w14:paraId="593B75CA"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w:t>
            </w:r>
          </w:p>
        </w:tc>
      </w:tr>
      <w:tr w:rsidR="00B076A1" w:rsidRPr="00B076A1" w14:paraId="7D584E07"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22A86284"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30D828C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Integracija u EU finansijski i investicioni prostor</w:t>
            </w:r>
          </w:p>
        </w:tc>
        <w:tc>
          <w:tcPr>
            <w:tcW w:w="808" w:type="pct"/>
            <w:shd w:val="clear" w:color="auto" w:fill="CAEDFB" w:themeFill="accent4" w:themeFillTint="33"/>
            <w:noWrap/>
            <w:hideMark/>
          </w:tcPr>
          <w:p w14:paraId="6FA08D44"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PA12-07, PA12-01</w:t>
            </w:r>
          </w:p>
        </w:tc>
      </w:tr>
      <w:tr w:rsidR="00B076A1" w:rsidRPr="00B076A1" w14:paraId="48F8E1E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3FB66B2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5438FCA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Integrisani opštinski razvojni planovi i Integrisani teritorijalni razvojni planovi mogu obuhvatiti aktivnosti prihvatljive za finansiranje i kroz Zajedničku poljoprivrednu politiku (CAP – ruralni razvoj) i kroz Kohezionu politiku</w:t>
            </w:r>
          </w:p>
        </w:tc>
        <w:tc>
          <w:tcPr>
            <w:tcW w:w="808" w:type="pct"/>
            <w:shd w:val="clear" w:color="auto" w:fill="CAEDFB" w:themeFill="accent4" w:themeFillTint="33"/>
            <w:noWrap/>
            <w:hideMark/>
          </w:tcPr>
          <w:p w14:paraId="29414B7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24CF9F9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0F004F2A"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19E9C0B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Jačanje ekonomskog osnaživanja žena kroz razvoj specijalizovanih finansijskih i nefinansijskih instrumenata podrške preduzetništvu i inovacijama.</w:t>
            </w:r>
          </w:p>
        </w:tc>
        <w:tc>
          <w:tcPr>
            <w:tcW w:w="808" w:type="pct"/>
            <w:shd w:val="clear" w:color="auto" w:fill="CAEDFB" w:themeFill="accent4" w:themeFillTint="33"/>
            <w:noWrap/>
            <w:hideMark/>
          </w:tcPr>
          <w:p w14:paraId="3793311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62F0427F"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4C2B3CD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31C94EF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Jačanje multilevel governance i partnerstava (EU standard)</w:t>
            </w:r>
          </w:p>
        </w:tc>
        <w:tc>
          <w:tcPr>
            <w:tcW w:w="808" w:type="pct"/>
            <w:shd w:val="clear" w:color="auto" w:fill="CAEDFB" w:themeFill="accent4" w:themeFillTint="33"/>
            <w:noWrap/>
            <w:hideMark/>
          </w:tcPr>
          <w:p w14:paraId="12E7D55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PA12-16</w:t>
            </w:r>
          </w:p>
        </w:tc>
      </w:tr>
      <w:tr w:rsidR="00B076A1" w:rsidRPr="00B076A1" w14:paraId="5CF02E5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3633DE7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7EE9B33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Mogućnost kombinovanja bespovratnih sredstava i finansijskih instrumenata</w:t>
            </w:r>
          </w:p>
        </w:tc>
        <w:tc>
          <w:tcPr>
            <w:tcW w:w="808" w:type="pct"/>
            <w:shd w:val="clear" w:color="auto" w:fill="CAEDFB" w:themeFill="accent4" w:themeFillTint="33"/>
            <w:noWrap/>
            <w:hideMark/>
          </w:tcPr>
          <w:p w14:paraId="668D7C8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0E5A581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052DFEB9"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5091A72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Mogućnost saradnje između opština koje se suočavaju sa zajedničkim izazovima i razvojnim potencijalima (potencijalno na osnovu Prostornog plana), te zajedničke pripreme Integrisanih teritorijalnih razvojnih planova do 2028. godine, uz podršku resornog ministarstva i Zajednice opština</w:t>
            </w:r>
          </w:p>
        </w:tc>
        <w:tc>
          <w:tcPr>
            <w:tcW w:w="808" w:type="pct"/>
            <w:shd w:val="clear" w:color="auto" w:fill="CAEDFB" w:themeFill="accent4" w:themeFillTint="33"/>
            <w:noWrap/>
            <w:hideMark/>
          </w:tcPr>
          <w:p w14:paraId="7EC6092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2CF763C1"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3AF331DE"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1ECCE99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Podrška međunarodnih finansijskih institucija (EBRD, EIB, EU fondovi)</w:t>
            </w:r>
          </w:p>
        </w:tc>
        <w:tc>
          <w:tcPr>
            <w:tcW w:w="808" w:type="pct"/>
            <w:shd w:val="clear" w:color="auto" w:fill="CAEDFB" w:themeFill="accent4" w:themeFillTint="33"/>
            <w:noWrap/>
            <w:hideMark/>
          </w:tcPr>
          <w:p w14:paraId="362B0F5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PA12-04</w:t>
            </w:r>
          </w:p>
        </w:tc>
      </w:tr>
      <w:tr w:rsidR="00B076A1" w:rsidRPr="00B076A1" w14:paraId="1C15D3A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29BAA7F9"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78CAD28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Postepeni razvoj tržišta kapitala i venture capital ekosistema</w:t>
            </w:r>
          </w:p>
        </w:tc>
        <w:tc>
          <w:tcPr>
            <w:tcW w:w="808" w:type="pct"/>
            <w:shd w:val="clear" w:color="auto" w:fill="CAEDFB" w:themeFill="accent4" w:themeFillTint="33"/>
            <w:noWrap/>
            <w:hideMark/>
          </w:tcPr>
          <w:p w14:paraId="17FB3B1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PA12-02</w:t>
            </w:r>
          </w:p>
        </w:tc>
      </w:tr>
      <w:tr w:rsidR="00B076A1" w:rsidRPr="00B076A1" w14:paraId="620CAE5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0C660E75"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42454EF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Proces pristupanja EU kao okvir za reforme i jačanje institucionalnih kapaciteta</w:t>
            </w:r>
          </w:p>
        </w:tc>
        <w:tc>
          <w:tcPr>
            <w:tcW w:w="808" w:type="pct"/>
            <w:shd w:val="clear" w:color="auto" w:fill="CAEDFB" w:themeFill="accent4" w:themeFillTint="33"/>
            <w:noWrap/>
            <w:hideMark/>
          </w:tcPr>
          <w:p w14:paraId="77F3E10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PA12-16</w:t>
            </w:r>
          </w:p>
        </w:tc>
      </w:tr>
      <w:tr w:rsidR="00B076A1" w:rsidRPr="00B076A1" w14:paraId="5AA943C8"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1B886578"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5AA972BA"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Rast interesovanja investitora za region (EU integracija, emerging market pozicija CG)</w:t>
            </w:r>
          </w:p>
        </w:tc>
        <w:tc>
          <w:tcPr>
            <w:tcW w:w="808" w:type="pct"/>
            <w:shd w:val="clear" w:color="auto" w:fill="CAEDFB" w:themeFill="accent4" w:themeFillTint="33"/>
            <w:noWrap/>
            <w:hideMark/>
          </w:tcPr>
          <w:p w14:paraId="31A3240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PA12-03</w:t>
            </w:r>
          </w:p>
        </w:tc>
      </w:tr>
      <w:tr w:rsidR="00B076A1" w:rsidRPr="00B076A1" w14:paraId="1CF4F08A"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2A9A2E71"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77F4764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Razvoj i primjena inovativnih finansijskih instrumenata, tržišta kapitala i venture capital ekosistema.</w:t>
            </w:r>
          </w:p>
        </w:tc>
        <w:tc>
          <w:tcPr>
            <w:tcW w:w="808" w:type="pct"/>
            <w:shd w:val="clear" w:color="auto" w:fill="CAEDFB" w:themeFill="accent4" w:themeFillTint="33"/>
            <w:noWrap/>
            <w:hideMark/>
          </w:tcPr>
          <w:p w14:paraId="786A315F"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65E1420F"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7BBCAEAD"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10862D2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Razvoj teritorijalnog pristupa (ITI, place-based policy, urban development)</w:t>
            </w:r>
          </w:p>
        </w:tc>
        <w:tc>
          <w:tcPr>
            <w:tcW w:w="808" w:type="pct"/>
            <w:shd w:val="clear" w:color="auto" w:fill="CAEDFB" w:themeFill="accent4" w:themeFillTint="33"/>
            <w:noWrap/>
            <w:hideMark/>
          </w:tcPr>
          <w:p w14:paraId="067F8A1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4FE5DF2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CAEDFB" w:themeFill="accent4" w:themeFillTint="33"/>
            <w:noWrap/>
            <w:textDirection w:val="btLr"/>
            <w:vAlign w:val="center"/>
            <w:hideMark/>
          </w:tcPr>
          <w:p w14:paraId="0DB03203"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p>
        </w:tc>
        <w:tc>
          <w:tcPr>
            <w:tcW w:w="3549" w:type="pct"/>
            <w:shd w:val="clear" w:color="auto" w:fill="CAEDFB" w:themeFill="accent4" w:themeFillTint="33"/>
            <w:noWrap/>
            <w:hideMark/>
          </w:tcPr>
          <w:p w14:paraId="3B7B5A8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Zelena i digitalna tranzicija (EU Green Deal, globalni investicioni trendovi)</w:t>
            </w:r>
          </w:p>
        </w:tc>
        <w:tc>
          <w:tcPr>
            <w:tcW w:w="808" w:type="pct"/>
            <w:shd w:val="clear" w:color="auto" w:fill="CAEDFB" w:themeFill="accent4" w:themeFillTint="33"/>
            <w:noWrap/>
            <w:hideMark/>
          </w:tcPr>
          <w:p w14:paraId="064CEB2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w:t>
            </w:r>
          </w:p>
        </w:tc>
      </w:tr>
      <w:tr w:rsidR="00B076A1" w:rsidRPr="00B076A1" w14:paraId="05708AF4"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val="restart"/>
            <w:shd w:val="clear" w:color="auto" w:fill="FFFFCC"/>
            <w:noWrap/>
            <w:textDirection w:val="btLr"/>
            <w:vAlign w:val="center"/>
            <w:hideMark/>
          </w:tcPr>
          <w:p w14:paraId="40AFC166" w14:textId="77777777" w:rsidR="00B076A1" w:rsidRPr="00B076A1" w:rsidRDefault="00B076A1" w:rsidP="00B076A1">
            <w:pPr>
              <w:ind w:left="113" w:right="113"/>
              <w:jc w:val="center"/>
              <w:rPr>
                <w:rFonts w:ascii="Aptos Narrow" w:eastAsia="Times New Roman" w:hAnsi="Aptos Narrow" w:cs="Times New Roman"/>
                <w:color w:val="000000"/>
                <w:sz w:val="36"/>
                <w:szCs w:val="36"/>
                <w:lang w:val="hr-HR" w:eastAsia="en-GB"/>
                <w14:ligatures w14:val="none"/>
              </w:rPr>
            </w:pPr>
            <w:r w:rsidRPr="00B076A1">
              <w:rPr>
                <w:rFonts w:ascii="Aptos Narrow" w:eastAsia="Times New Roman" w:hAnsi="Aptos Narrow" w:cs="Times New Roman"/>
                <w:color w:val="000000"/>
                <w:sz w:val="36"/>
                <w:szCs w:val="36"/>
                <w:lang w:val="hr-HR" w:eastAsia="en-GB"/>
                <w14:ligatures w14:val="none"/>
              </w:rPr>
              <w:t>PRIJETNJE</w:t>
            </w:r>
          </w:p>
        </w:tc>
        <w:tc>
          <w:tcPr>
            <w:tcW w:w="3549" w:type="pct"/>
            <w:shd w:val="clear" w:color="auto" w:fill="FFFFCC"/>
            <w:noWrap/>
            <w:hideMark/>
          </w:tcPr>
          <w:p w14:paraId="319B502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Globalna finansijska nestabilnost i rast kamatnih stopa</w:t>
            </w:r>
          </w:p>
        </w:tc>
        <w:tc>
          <w:tcPr>
            <w:tcW w:w="808" w:type="pct"/>
            <w:shd w:val="clear" w:color="auto" w:fill="FFFFCC"/>
            <w:noWrap/>
            <w:hideMark/>
          </w:tcPr>
          <w:p w14:paraId="2E5EC9C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PA12-17</w:t>
            </w:r>
          </w:p>
        </w:tc>
      </w:tr>
      <w:tr w:rsidR="00B076A1" w:rsidRPr="00B076A1" w14:paraId="2A763721"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498F5F13"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1C3F2AB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Klimatski rizici i povećana ranjivost investicija</w:t>
            </w:r>
          </w:p>
        </w:tc>
        <w:tc>
          <w:tcPr>
            <w:tcW w:w="808" w:type="pct"/>
            <w:shd w:val="clear" w:color="auto" w:fill="FFFFCC"/>
            <w:noWrap/>
            <w:hideMark/>
          </w:tcPr>
          <w:p w14:paraId="3E56FEB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PA12-02</w:t>
            </w:r>
          </w:p>
        </w:tc>
      </w:tr>
      <w:tr w:rsidR="00B076A1" w:rsidRPr="00B076A1" w14:paraId="70755118"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142DAA82"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36F2F59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Nedostatak kvalitetnih podataka za planiranje i teritorijalne analize</w:t>
            </w:r>
          </w:p>
        </w:tc>
        <w:tc>
          <w:tcPr>
            <w:tcW w:w="808" w:type="pct"/>
            <w:shd w:val="clear" w:color="auto" w:fill="FFFFCC"/>
            <w:noWrap/>
            <w:hideMark/>
          </w:tcPr>
          <w:p w14:paraId="21C3D2A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8F350F" w:rsidRPr="00B076A1" w14:paraId="192DFDC2" w14:textId="77777777" w:rsidTr="008F350F">
        <w:trPr>
          <w:trHeight w:val="259"/>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5FB4EC4B" w14:textId="77777777" w:rsidR="008F350F" w:rsidRPr="00B076A1" w:rsidRDefault="008F350F"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3AD9ECB6" w14:textId="77777777" w:rsidR="008F350F" w:rsidRPr="00B076A1" w:rsidRDefault="008F350F"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Nedovoljna bankabilnost projekata (posebno infrastruktura, energetika)</w:t>
            </w:r>
          </w:p>
        </w:tc>
        <w:tc>
          <w:tcPr>
            <w:tcW w:w="808" w:type="pct"/>
            <w:shd w:val="clear" w:color="auto" w:fill="FFFFCC"/>
            <w:noWrap/>
            <w:hideMark/>
          </w:tcPr>
          <w:p w14:paraId="555AD86F" w14:textId="77777777" w:rsidR="008F350F" w:rsidRPr="00B076A1" w:rsidRDefault="008F350F"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PA12-06</w:t>
            </w:r>
          </w:p>
        </w:tc>
      </w:tr>
      <w:tr w:rsidR="00B076A1" w:rsidRPr="00B076A1" w14:paraId="3101A8F6"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3DE34BEA"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53E4141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Nedovoljno uključivanje privatnog sektora u složenije finansijske modele</w:t>
            </w:r>
          </w:p>
        </w:tc>
        <w:tc>
          <w:tcPr>
            <w:tcW w:w="808" w:type="pct"/>
            <w:shd w:val="clear" w:color="auto" w:fill="FFFFCC"/>
            <w:noWrap/>
            <w:hideMark/>
          </w:tcPr>
          <w:p w14:paraId="6FE4A10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PA12-17, PA12-02</w:t>
            </w:r>
          </w:p>
        </w:tc>
      </w:tr>
      <w:tr w:rsidR="00B076A1" w:rsidRPr="00B076A1" w14:paraId="7EA311D8"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27BBBA1D"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67DFAEB8"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Odliv mozgova i ograničen ljudski kapital za razvoj projekata</w:t>
            </w:r>
          </w:p>
        </w:tc>
        <w:tc>
          <w:tcPr>
            <w:tcW w:w="808" w:type="pct"/>
            <w:shd w:val="clear" w:color="auto" w:fill="FFFFCC"/>
            <w:noWrap/>
            <w:hideMark/>
          </w:tcPr>
          <w:p w14:paraId="0B3EADE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PA12-02</w:t>
            </w:r>
          </w:p>
        </w:tc>
      </w:tr>
      <w:tr w:rsidR="00B076A1" w:rsidRPr="00B076A1" w14:paraId="21F4B2E0"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50F086E0"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36731F82"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 fiskalni prostor za zaduživanje i korišćenje kreditnih sredstava</w:t>
            </w:r>
          </w:p>
        </w:tc>
        <w:tc>
          <w:tcPr>
            <w:tcW w:w="808" w:type="pct"/>
            <w:shd w:val="clear" w:color="auto" w:fill="FFFFCC"/>
            <w:noWrap/>
            <w:hideMark/>
          </w:tcPr>
          <w:p w14:paraId="798C99C9"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w:t>
            </w:r>
          </w:p>
        </w:tc>
      </w:tr>
      <w:tr w:rsidR="00B076A1" w:rsidRPr="00B076A1" w14:paraId="553B8BDE"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437F02C8"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7A9A9077"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Ograničena apsorpcija složenih instrumenata (FI, ITI) zbog institucionalne nespremnosti</w:t>
            </w:r>
          </w:p>
        </w:tc>
        <w:tc>
          <w:tcPr>
            <w:tcW w:w="808" w:type="pct"/>
            <w:shd w:val="clear" w:color="auto" w:fill="FFFFCC"/>
            <w:noWrap/>
            <w:hideMark/>
          </w:tcPr>
          <w:p w14:paraId="16A50EF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PA12-17</w:t>
            </w:r>
          </w:p>
        </w:tc>
      </w:tr>
      <w:tr w:rsidR="00B076A1" w:rsidRPr="00B076A1" w14:paraId="6AF99033"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6871ACB2"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6BFB1BD4"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Oslonjenost na bankarski sektor i ograničena diverzifikacija izvora finansiranja</w:t>
            </w:r>
          </w:p>
        </w:tc>
        <w:tc>
          <w:tcPr>
            <w:tcW w:w="808" w:type="pct"/>
            <w:shd w:val="clear" w:color="auto" w:fill="FFFFCC"/>
            <w:noWrap/>
            <w:hideMark/>
          </w:tcPr>
          <w:p w14:paraId="1B6774D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PA12-01, PA12-02, PA12-03</w:t>
            </w:r>
          </w:p>
        </w:tc>
      </w:tr>
      <w:tr w:rsidR="00B076A1" w:rsidRPr="00B076A1" w14:paraId="2056B5D6"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031DF4A9"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2F3F9BE3"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Pojačana globalna konkurencija za kapital i investicije</w:t>
            </w:r>
          </w:p>
        </w:tc>
        <w:tc>
          <w:tcPr>
            <w:tcW w:w="808" w:type="pct"/>
            <w:shd w:val="clear" w:color="auto" w:fill="FFFFCC"/>
            <w:noWrap/>
            <w:hideMark/>
          </w:tcPr>
          <w:p w14:paraId="364C188D"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PA12-02</w:t>
            </w:r>
          </w:p>
        </w:tc>
      </w:tr>
      <w:tr w:rsidR="00B076A1" w:rsidRPr="00B076A1" w14:paraId="48670F6A"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398A99B3"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1537426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Produbljivanje regionalnih razvojnih dispariteta usljed neujednačenih investicionih i administrativnih kapaciteta jedinica lokalne samouprave.</w:t>
            </w:r>
          </w:p>
        </w:tc>
        <w:tc>
          <w:tcPr>
            <w:tcW w:w="808" w:type="pct"/>
            <w:shd w:val="clear" w:color="auto" w:fill="FFFFCC"/>
            <w:noWrap/>
            <w:hideMark/>
          </w:tcPr>
          <w:p w14:paraId="03FAD26B"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21A41802"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34C7265B"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57174A8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Rizik da funkcionalni teritorijalni pristupi i integrisani teritorijalni alati ne budu pravovremeno operacionalizovani zbog ograničenih institucionalnih i administrativnih kapaciteta.</w:t>
            </w:r>
          </w:p>
        </w:tc>
        <w:tc>
          <w:tcPr>
            <w:tcW w:w="808" w:type="pct"/>
            <w:shd w:val="clear" w:color="auto" w:fill="FFFFCC"/>
            <w:noWrap/>
            <w:hideMark/>
          </w:tcPr>
          <w:p w14:paraId="3392CBE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640A77EF"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2F39D114"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5816C9A0"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Rizik formalnog preuzimanja EU modela bez stvarne implementacije</w:t>
            </w:r>
          </w:p>
        </w:tc>
        <w:tc>
          <w:tcPr>
            <w:tcW w:w="808" w:type="pct"/>
            <w:shd w:val="clear" w:color="auto" w:fill="FFFFCC"/>
            <w:noWrap/>
            <w:hideMark/>
          </w:tcPr>
          <w:p w14:paraId="7D41E566"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PA12-17</w:t>
            </w:r>
          </w:p>
        </w:tc>
      </w:tr>
      <w:tr w:rsidR="00B076A1" w:rsidRPr="00B076A1" w14:paraId="4FD8A39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00A7EBA9"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45087215"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Rizik institucionalne i teritorijalne fragmentacije usljed nedovoljne koordinacije između nivoa vlasti i sektorskih politika.</w:t>
            </w:r>
          </w:p>
        </w:tc>
        <w:tc>
          <w:tcPr>
            <w:tcW w:w="808" w:type="pct"/>
            <w:shd w:val="clear" w:color="auto" w:fill="FFFFCC"/>
            <w:noWrap/>
            <w:hideMark/>
          </w:tcPr>
          <w:p w14:paraId="700D789A"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PA12-08, PA12-11, PA12-12</w:t>
            </w:r>
          </w:p>
        </w:tc>
      </w:tr>
      <w:tr w:rsidR="00B076A1" w:rsidRPr="00B076A1" w14:paraId="34E88BDC"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45094E4B"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110D7D0C"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Rizik nedovoljne apsorpcije EU sredstava zbog ograničenih kapaciteta</w:t>
            </w:r>
          </w:p>
        </w:tc>
        <w:tc>
          <w:tcPr>
            <w:tcW w:w="808" w:type="pct"/>
            <w:shd w:val="clear" w:color="auto" w:fill="FFFFCC"/>
            <w:noWrap/>
            <w:hideMark/>
          </w:tcPr>
          <w:p w14:paraId="4D82FB1E"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PA12-05</w:t>
            </w:r>
          </w:p>
        </w:tc>
      </w:tr>
      <w:tr w:rsidR="00B076A1" w:rsidRPr="00B076A1" w14:paraId="5B76704B" w14:textId="77777777" w:rsidTr="00B076A1">
        <w:trPr>
          <w:trHeight w:val="285"/>
        </w:trPr>
        <w:tc>
          <w:tcPr>
            <w:cnfStyle w:val="001000000000" w:firstRow="0" w:lastRow="0" w:firstColumn="1" w:lastColumn="0" w:oddVBand="0" w:evenVBand="0" w:oddHBand="0" w:evenHBand="0" w:firstRowFirstColumn="0" w:firstRowLastColumn="0" w:lastRowFirstColumn="0" w:lastRowLastColumn="0"/>
            <w:tcW w:w="643" w:type="pct"/>
            <w:vMerge/>
            <w:shd w:val="clear" w:color="auto" w:fill="FFFFCC"/>
            <w:noWrap/>
            <w:hideMark/>
          </w:tcPr>
          <w:p w14:paraId="584A4838" w14:textId="77777777" w:rsidR="00B076A1" w:rsidRPr="00B076A1" w:rsidRDefault="00B076A1" w:rsidP="00B076A1">
            <w:pPr>
              <w:jc w:val="left"/>
              <w:rPr>
                <w:rFonts w:ascii="Aptos Narrow" w:eastAsia="Times New Roman" w:hAnsi="Aptos Narrow" w:cs="Times New Roman"/>
                <w:b w:val="0"/>
                <w:bCs w:val="0"/>
                <w:color w:val="000000"/>
                <w:sz w:val="16"/>
                <w:szCs w:val="16"/>
                <w:lang w:val="hr-HR" w:eastAsia="en-GB"/>
                <w14:ligatures w14:val="none"/>
              </w:rPr>
            </w:pPr>
          </w:p>
        </w:tc>
        <w:tc>
          <w:tcPr>
            <w:tcW w:w="3549" w:type="pct"/>
            <w:shd w:val="clear" w:color="auto" w:fill="FFFFCC"/>
            <w:noWrap/>
            <w:hideMark/>
          </w:tcPr>
          <w:p w14:paraId="34C1694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Složenost EU pravila i procedura, koja može dodatno opteretiti administrativne kapacitete i usporiti implementaciju</w:t>
            </w:r>
          </w:p>
        </w:tc>
        <w:tc>
          <w:tcPr>
            <w:tcW w:w="808" w:type="pct"/>
            <w:shd w:val="clear" w:color="auto" w:fill="FFFFCC"/>
            <w:noWrap/>
            <w:hideMark/>
          </w:tcPr>
          <w:p w14:paraId="7AEFC571" w14:textId="77777777" w:rsidR="00B076A1" w:rsidRPr="00B076A1" w:rsidRDefault="00B076A1" w:rsidP="00B076A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B076A1">
              <w:rPr>
                <w:rFonts w:ascii="Aptos Narrow" w:eastAsia="Times New Roman" w:hAnsi="Aptos Narrow" w:cs="Times New Roman"/>
                <w:color w:val="000000"/>
                <w:sz w:val="16"/>
                <w:szCs w:val="16"/>
                <w:lang w:val="hr-HR" w:eastAsia="en-GB"/>
                <w14:ligatures w14:val="none"/>
              </w:rPr>
              <w:t>PA12-15</w:t>
            </w:r>
          </w:p>
        </w:tc>
      </w:tr>
    </w:tbl>
    <w:p w14:paraId="44BBD0D9" w14:textId="1F5B4FBF" w:rsidR="00F579F5" w:rsidRPr="00B076A1" w:rsidRDefault="00F579F5" w:rsidP="00F579F5">
      <w:pPr>
        <w:rPr>
          <w:b/>
          <w:bCs/>
          <w:lang w:val="hr-HR"/>
        </w:rPr>
      </w:pPr>
    </w:p>
    <w:p w14:paraId="2ABFCF37" w14:textId="71B975D1" w:rsidR="49105F08" w:rsidRPr="00B076A1" w:rsidRDefault="1D771DCC" w:rsidP="00B076A1">
      <w:pPr>
        <w:pStyle w:val="Heading1"/>
        <w:rPr>
          <w:lang w:val="hr-HR"/>
        </w:rPr>
      </w:pPr>
      <w:r w:rsidRPr="00B076A1">
        <w:rPr>
          <w:lang w:val="hr-HR"/>
        </w:rPr>
        <w:t>Lista referenci</w:t>
      </w:r>
    </w:p>
    <w:p w14:paraId="32D59950"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ratifikaciji Finansijskog okvirnog sporazuma o partnerstvu (FFPA)</w:t>
      </w:r>
    </w:p>
    <w:p w14:paraId="47675A38"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Uredba o bližem načinu organizacije indirektnog upravljanja za sprovođenje finansijske pomoći Evropske unije u okviru Instrumenta pretpristupne podrške (IPA III)</w:t>
      </w:r>
    </w:p>
    <w:p w14:paraId="62FCED1C"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budžetu i fiskalnoj odgovornosti</w:t>
      </w:r>
    </w:p>
    <w:p w14:paraId="1C21320D"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upravljanju i unutrašnjim kontrolama u javnom sektoru</w:t>
      </w:r>
    </w:p>
    <w:p w14:paraId="4089DF42"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reviziji sredstava iz fondova Evropske unije</w:t>
      </w:r>
    </w:p>
    <w:p w14:paraId="0446CC35"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Državnoj revizorskoj instituciji</w:t>
      </w:r>
    </w:p>
    <w:p w14:paraId="2B14CFF1"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državnoj upravi</w:t>
      </w:r>
    </w:p>
    <w:p w14:paraId="587A1D5A"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Uredba o organizaciji i načinu rada državne uprave</w:t>
      </w:r>
    </w:p>
    <w:p w14:paraId="5FC4E680"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Razvojnoj banci Crne Gore</w:t>
      </w:r>
    </w:p>
    <w:p w14:paraId="1FCBB06B"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Kreditno-garantnom fondu Crne Gore</w:t>
      </w:r>
    </w:p>
    <w:p w14:paraId="643BAC45"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tržištu kapitala</w:t>
      </w:r>
    </w:p>
    <w:p w14:paraId="604CC422"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alternativnim investicionim fondovima</w:t>
      </w:r>
    </w:p>
    <w:p w14:paraId="7C0D29DC"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otvorenim investicionim fondovima sa javnom ponudom</w:t>
      </w:r>
    </w:p>
    <w:p w14:paraId="200BD123"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kreditnim institucijama</w:t>
      </w:r>
    </w:p>
    <w:p w14:paraId="0062FB11"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regionalnom razvoju</w:t>
      </w:r>
    </w:p>
    <w:p w14:paraId="22C17973" w14:textId="77777777" w:rsid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Zakon o inovacionoj djelatnosti</w:t>
      </w:r>
    </w:p>
    <w:p w14:paraId="4D02D1D4"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Strategija regionalnog razvoja Crne Gore 2023–2027</w:t>
      </w:r>
    </w:p>
    <w:p w14:paraId="0038905B"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Strategija razvoja mikro, malih i srednjih preduzeća u Crnoj Gori 2023–2026</w:t>
      </w:r>
    </w:p>
    <w:p w14:paraId="15069A79"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Strategija digitalne transformacije Crne Gore 2022–2026</w:t>
      </w:r>
    </w:p>
    <w:p w14:paraId="3960DC44"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Industrijska politika Crne Gore 2024–2028</w:t>
      </w:r>
    </w:p>
    <w:p w14:paraId="53EEE969"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Program za nauku i inovacije 2026–2030</w:t>
      </w:r>
    </w:p>
    <w:p w14:paraId="0F7D42DB"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Program ekonomskih reformi Crne Gore 2025–2027</w:t>
      </w:r>
    </w:p>
    <w:p w14:paraId="537A79A3"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Reformska agenda Crne Gore 2024–2027</w:t>
      </w:r>
    </w:p>
    <w:p w14:paraId="1C995741" w14:textId="77777777" w:rsidR="009B19C4" w:rsidRP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Nacionalna strategija održivog razvoja do 2030. godine</w:t>
      </w:r>
    </w:p>
    <w:p w14:paraId="70D6117A" w14:textId="45CA5690" w:rsidR="009B19C4" w:rsidRDefault="009B19C4" w:rsidP="009B19C4">
      <w:pPr>
        <w:pStyle w:val="ListParagraph"/>
        <w:numPr>
          <w:ilvl w:val="0"/>
          <w:numId w:val="2"/>
        </w:numPr>
        <w:spacing w:before="240" w:after="240" w:line="240" w:lineRule="auto"/>
        <w:rPr>
          <w:rFonts w:ascii="Aptos" w:eastAsia="Aptos" w:hAnsi="Aptos" w:cs="Aptos"/>
          <w:szCs w:val="20"/>
          <w:lang w:val="hr-HR"/>
        </w:rPr>
      </w:pPr>
      <w:r w:rsidRPr="009B19C4">
        <w:rPr>
          <w:rFonts w:ascii="Aptos" w:eastAsia="Aptos" w:hAnsi="Aptos" w:cs="Aptos"/>
          <w:szCs w:val="20"/>
          <w:lang w:val="hr-HR"/>
        </w:rPr>
        <w:t xml:space="preserve">Strategija pametne specijalizacije Crne Gore </w:t>
      </w:r>
      <w:r w:rsidR="00DD6F21">
        <w:rPr>
          <w:rFonts w:ascii="Aptos" w:eastAsia="Aptos" w:hAnsi="Aptos" w:cs="Aptos"/>
          <w:szCs w:val="20"/>
          <w:lang w:val="hr-HR"/>
        </w:rPr>
        <w:t>2026-2031</w:t>
      </w:r>
    </w:p>
    <w:p w14:paraId="0993E36B" w14:textId="5DC5302D" w:rsidR="00A76BF7" w:rsidRPr="00B076A1" w:rsidRDefault="00A76BF7" w:rsidP="009B19C4">
      <w:pPr>
        <w:pStyle w:val="ListParagraph"/>
        <w:numPr>
          <w:ilvl w:val="0"/>
          <w:numId w:val="2"/>
        </w:numPr>
        <w:spacing w:before="240" w:after="240" w:line="240" w:lineRule="auto"/>
        <w:rPr>
          <w:rFonts w:ascii="Aptos" w:eastAsia="Aptos" w:hAnsi="Aptos" w:cs="Aptos"/>
          <w:szCs w:val="20"/>
          <w:lang w:val="hr-HR"/>
        </w:rPr>
      </w:pPr>
      <w:r w:rsidRPr="00B076A1">
        <w:rPr>
          <w:rFonts w:ascii="Aptos" w:eastAsia="Aptos" w:hAnsi="Aptos" w:cs="Aptos"/>
          <w:szCs w:val="20"/>
          <w:lang w:val="hr-HR"/>
        </w:rPr>
        <w:t>Programi teritorijalne i prekogranične saradnje IPA III 2021–2027</w:t>
      </w:r>
    </w:p>
    <w:p w14:paraId="5ACBC759" w14:textId="6D6CFF88" w:rsidR="49105F08" w:rsidRPr="00B076A1" w:rsidRDefault="4A78F004" w:rsidP="00A76BF7">
      <w:pPr>
        <w:pStyle w:val="ListParagraph"/>
        <w:numPr>
          <w:ilvl w:val="0"/>
          <w:numId w:val="2"/>
        </w:numPr>
        <w:spacing w:before="240" w:after="240" w:line="240" w:lineRule="auto"/>
        <w:rPr>
          <w:rFonts w:ascii="Aptos" w:eastAsia="Aptos" w:hAnsi="Aptos" w:cs="Aptos"/>
          <w:szCs w:val="20"/>
          <w:lang w:val="hr-HR"/>
        </w:rPr>
      </w:pPr>
      <w:r w:rsidRPr="00B076A1">
        <w:rPr>
          <w:rFonts w:ascii="Aptos" w:eastAsia="Aptos" w:hAnsi="Aptos" w:cs="Aptos"/>
          <w:szCs w:val="20"/>
          <w:lang w:val="hr-HR"/>
        </w:rPr>
        <w:t>Sporazum o stabilizaciji i pridruživanju (SAA) između Evropskih zajednica i njihovih država članica i Crne Gore</w:t>
      </w:r>
    </w:p>
    <w:p w14:paraId="25C81694" w14:textId="6F67479A"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Finansijski okvirni sporazum o partnerstvu (FFPA) između Evropske komisije i Crne Gore </w:t>
      </w:r>
    </w:p>
    <w:p w14:paraId="57F1E7E8" w14:textId="6BC7FC23"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Uredba (EU) 2021/1529 o uspostavljanju Instrumenta pretpristupne pomoći (IPA III) </w:t>
      </w:r>
    </w:p>
    <w:p w14:paraId="6ED4E7F2" w14:textId="6EBEACEA"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Uredba Komisije za sprovođenje (EU) 2021/2236 o utvrđivanju posebnih pravila za sprovođenje Uredbe (EU) 2021/1529 (IPA III) </w:t>
      </w:r>
    </w:p>
    <w:p w14:paraId="11C723BD" w14:textId="28A357F1"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lastRenderedPageBreak/>
        <w:t xml:space="preserve">Uredba (EU) 2021/1060 o utvrđivanju zajedničkih odredbi za Evropski fond za regionalni razvoj, Evropski socijalni fond plus, Kohezioni fond, Fond za pravednu tranziciju i Evropski fond za pomorstvo, ribarstvo i akvakulturu (Uredba o zajedničkim odredbama – CPR), uključujući relevantne članove 58, 59 i 68 </w:t>
      </w:r>
    </w:p>
    <w:p w14:paraId="6E6BCAE1" w14:textId="0C3F07DE"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Uredba (EU, Euratom) 2018/1046 o finansijskim pravilima koja se primjenjuju na opšti budžet Evropske unije (Finansijska uredba) </w:t>
      </w:r>
    </w:p>
    <w:p w14:paraId="75C339C9" w14:textId="0122288C"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Uredba (EU) 2021/947 o uspostavljanju Instrumenta za susjedstvo, razvoj i međunarodnu saradnju – Globalna Evropa (NDICI – Global Europe) </w:t>
      </w:r>
    </w:p>
    <w:p w14:paraId="676F4FE5" w14:textId="6EC3659D"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Evropski fond za regionalni razvoj (EFRR) – okvir za održivi urbani razvoj </w:t>
      </w:r>
    </w:p>
    <w:p w14:paraId="63938A73" w14:textId="05DAB635"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Evropski socijalni fond plus (ESF+) – okvir za primjenu finansijskih instrumenata </w:t>
      </w:r>
    </w:p>
    <w:p w14:paraId="569DAD9F" w14:textId="37A2C2C0"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Teritorijalna agenda 2030 </w:t>
      </w:r>
    </w:p>
    <w:p w14:paraId="5CB32D9C" w14:textId="4CF123FB"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Nova Lajpciška povelja o održivim evropskim gradovima (2020) </w:t>
      </w:r>
    </w:p>
    <w:p w14:paraId="5C58CD89" w14:textId="04792A4A"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Urbana agenda za Evropsku uniju (Amsterdamski pakt) </w:t>
      </w:r>
    </w:p>
    <w:p w14:paraId="29834D86" w14:textId="6FE06B47"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Evropska komisija – Zakonodavni paket kohezijske politike 2021–2027 (informativni materijali) </w:t>
      </w:r>
    </w:p>
    <w:p w14:paraId="09988B8E" w14:textId="52858FFE"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Zajednički istraživački centar (JRC) – materijali o urbanim strategijama i teritorijalnom razvoju </w:t>
      </w:r>
    </w:p>
    <w:p w14:paraId="3AE8CA62" w14:textId="2907ED16"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fi-compass – Kombinovanje finansijskih instrumenata i bespovratnih sredstava u okviru fondova sa podijeljenim upravljanjem u programskom periodu 2021–2027 </w:t>
      </w:r>
    </w:p>
    <w:p w14:paraId="37F04A31" w14:textId="3E4ECDCB"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fi-compass – Priručnik za finansijske instrumente u okviru ESF+ </w:t>
      </w:r>
    </w:p>
    <w:p w14:paraId="39D75BC2" w14:textId="0B7954D8"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fi-compass – Finansijski instrumenti po zemljama </w:t>
      </w:r>
    </w:p>
    <w:p w14:paraId="317593FB" w14:textId="4C24C69B" w:rsidR="4A78F004" w:rsidRPr="00B076A1" w:rsidRDefault="4A78F004" w:rsidP="4A78F004">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fi-compass – Materijali o finansijskim instrumentima u okviru EFRR i Kohezionog fonda</w:t>
      </w:r>
    </w:p>
    <w:p w14:paraId="4DD5C5E4" w14:textId="0374C6B7" w:rsidR="002E66A9" w:rsidRPr="00B076A1" w:rsidRDefault="002E66A9" w:rsidP="002E66A9">
      <w:pPr>
        <w:pStyle w:val="ListParagraph"/>
        <w:numPr>
          <w:ilvl w:val="0"/>
          <w:numId w:val="2"/>
        </w:numPr>
        <w:rPr>
          <w:rFonts w:ascii="Aptos" w:eastAsia="Aptos" w:hAnsi="Aptos" w:cs="Aptos"/>
          <w:szCs w:val="20"/>
          <w:lang w:val="hr-HR"/>
        </w:rPr>
      </w:pPr>
      <w:r w:rsidRPr="00B076A1">
        <w:rPr>
          <w:rFonts w:ascii="Aptos" w:eastAsia="Aptos" w:hAnsi="Aptos" w:cs="Aptos"/>
          <w:szCs w:val="20"/>
          <w:lang w:val="hr-HR"/>
        </w:rPr>
        <w:t xml:space="preserve">OECD (2020), Delineating Functional Areas for All Territories </w:t>
      </w:r>
    </w:p>
    <w:p w14:paraId="1D159B37" w14:textId="16B1C55B" w:rsidR="002E66A9" w:rsidRPr="00B076A1" w:rsidRDefault="002E66A9" w:rsidP="002E66A9">
      <w:pPr>
        <w:pStyle w:val="ListParagraph"/>
        <w:numPr>
          <w:ilvl w:val="0"/>
          <w:numId w:val="2"/>
        </w:numPr>
        <w:rPr>
          <w:rFonts w:ascii="Aptos" w:eastAsia="Aptos" w:hAnsi="Aptos" w:cs="Aptos"/>
          <w:szCs w:val="20"/>
          <w:lang w:val="hr-HR"/>
        </w:rPr>
      </w:pPr>
      <w:r w:rsidRPr="00B076A1">
        <w:rPr>
          <w:rFonts w:ascii="Aptos" w:eastAsia="Aptos" w:hAnsi="Aptos" w:cs="Aptos"/>
          <w:szCs w:val="20"/>
          <w:lang w:val="hr-HR"/>
        </w:rPr>
        <w:t xml:space="preserve"> European Commission / JRC (2022), Handbook of Territorial and Urban Development Strategies </w:t>
      </w:r>
    </w:p>
    <w:p w14:paraId="751DDFEC" w14:textId="6A2485CA" w:rsidR="002E66A9" w:rsidRPr="00B076A1" w:rsidRDefault="002E66A9" w:rsidP="002E66A9">
      <w:pPr>
        <w:pStyle w:val="ListParagraph"/>
        <w:numPr>
          <w:ilvl w:val="0"/>
          <w:numId w:val="2"/>
        </w:numPr>
        <w:spacing w:after="0"/>
        <w:rPr>
          <w:rFonts w:ascii="Aptos" w:eastAsia="Aptos" w:hAnsi="Aptos" w:cs="Aptos"/>
          <w:szCs w:val="20"/>
          <w:lang w:val="hr-HR"/>
        </w:rPr>
      </w:pPr>
      <w:r w:rsidRPr="00B076A1">
        <w:rPr>
          <w:rFonts w:ascii="Aptos" w:eastAsia="Aptos" w:hAnsi="Aptos" w:cs="Aptos"/>
          <w:szCs w:val="20"/>
          <w:lang w:val="hr-HR"/>
        </w:rPr>
        <w:t xml:space="preserve"> European Commission / JRC, Handbook of Sustainable Urban Development Strategies</w:t>
      </w:r>
    </w:p>
    <w:p w14:paraId="26F42FFE" w14:textId="0CAFD8A5" w:rsidR="4A78F004" w:rsidRPr="00B076A1" w:rsidRDefault="4A78F004" w:rsidP="4A78F004">
      <w:pPr>
        <w:ind w:left="720"/>
        <w:rPr>
          <w:szCs w:val="20"/>
          <w:lang w:val="hr-HR"/>
        </w:rPr>
      </w:pPr>
    </w:p>
    <w:p w14:paraId="48FA5DBB" w14:textId="77777777" w:rsidR="00F579F5" w:rsidRPr="00B076A1" w:rsidRDefault="00F579F5" w:rsidP="00F579F5">
      <w:pPr>
        <w:rPr>
          <w:lang w:val="hr-HR"/>
        </w:rPr>
      </w:pPr>
    </w:p>
    <w:sectPr w:rsidR="00F579F5" w:rsidRPr="00B076A1" w:rsidSect="00B076A1">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815A" w14:textId="77777777" w:rsidR="00F84E2D" w:rsidRDefault="00F84E2D" w:rsidP="00B076A1">
      <w:pPr>
        <w:spacing w:after="0" w:line="240" w:lineRule="auto"/>
      </w:pPr>
      <w:r>
        <w:separator/>
      </w:r>
    </w:p>
  </w:endnote>
  <w:endnote w:type="continuationSeparator" w:id="0">
    <w:p w14:paraId="3674E283" w14:textId="77777777" w:rsidR="00F84E2D" w:rsidRDefault="00F84E2D" w:rsidP="00B0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1DF2" w14:textId="77777777" w:rsidR="00F84E2D" w:rsidRDefault="00F84E2D" w:rsidP="00B076A1">
      <w:pPr>
        <w:spacing w:after="0" w:line="240" w:lineRule="auto"/>
      </w:pPr>
      <w:r>
        <w:separator/>
      </w:r>
    </w:p>
  </w:footnote>
  <w:footnote w:type="continuationSeparator" w:id="0">
    <w:p w14:paraId="3B3BB9F0" w14:textId="77777777" w:rsidR="00F84E2D" w:rsidRDefault="00F84E2D" w:rsidP="00B07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3007" w14:textId="78CE16B0" w:rsidR="00B076A1" w:rsidRDefault="00B076A1">
    <w:pPr>
      <w:pStyle w:val="Header"/>
    </w:pPr>
    <w:r w:rsidRPr="00095509">
      <w:rPr>
        <w:noProof/>
        <w:lang w:val="en-US"/>
      </w:rPr>
      <w:drawing>
        <wp:anchor distT="0" distB="0" distL="114300" distR="114300" simplePos="0" relativeHeight="251659264" behindDoc="0" locked="0" layoutInCell="1" allowOverlap="1" wp14:anchorId="154955AD" wp14:editId="39688B84">
          <wp:simplePos x="0" y="0"/>
          <wp:positionH relativeFrom="column">
            <wp:posOffset>0</wp:posOffset>
          </wp:positionH>
          <wp:positionV relativeFrom="paragraph">
            <wp:posOffset>156210</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2A9FCF34" w14:textId="77777777" w:rsidR="00B076A1" w:rsidRDefault="00B076A1">
    <w:pPr>
      <w:pStyle w:val="Header"/>
    </w:pPr>
  </w:p>
  <w:p w14:paraId="65FC7639" w14:textId="77777777" w:rsidR="00B076A1" w:rsidRDefault="00B076A1">
    <w:pPr>
      <w:pStyle w:val="Header"/>
    </w:pPr>
  </w:p>
  <w:p w14:paraId="24CFC494" w14:textId="77777777" w:rsidR="00B076A1" w:rsidRDefault="00B076A1">
    <w:pPr>
      <w:pStyle w:val="Header"/>
    </w:pPr>
  </w:p>
  <w:p w14:paraId="2C27AFBF" w14:textId="77777777" w:rsidR="00B076A1" w:rsidRDefault="00B076A1">
    <w:pPr>
      <w:pStyle w:val="Header"/>
    </w:pPr>
  </w:p>
  <w:p w14:paraId="66DC6DAC" w14:textId="77777777" w:rsidR="00B076A1" w:rsidRDefault="00B076A1">
    <w:pPr>
      <w:pStyle w:val="Header"/>
    </w:pPr>
  </w:p>
  <w:p w14:paraId="2869AAE7" w14:textId="77777777" w:rsidR="00B076A1" w:rsidRDefault="00B0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47E1"/>
    <w:multiLevelType w:val="multilevel"/>
    <w:tmpl w:val="0EED47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154DE5"/>
    <w:multiLevelType w:val="multilevel"/>
    <w:tmpl w:val="25154D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1CF21A2"/>
    <w:multiLevelType w:val="hybridMultilevel"/>
    <w:tmpl w:val="E2E4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15440B"/>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3E217C6"/>
    <w:multiLevelType w:val="multilevel"/>
    <w:tmpl w:val="8AF8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245827">
    <w:abstractNumId w:val="3"/>
  </w:num>
  <w:num w:numId="2" w16cid:durableId="1971787240">
    <w:abstractNumId w:val="4"/>
  </w:num>
  <w:num w:numId="3" w16cid:durableId="616982528">
    <w:abstractNumId w:val="2"/>
  </w:num>
  <w:num w:numId="4" w16cid:durableId="1509785367">
    <w:abstractNumId w:val="0"/>
  </w:num>
  <w:num w:numId="5" w16cid:durableId="149664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F5"/>
    <w:rsid w:val="00001BE6"/>
    <w:rsid w:val="0001042D"/>
    <w:rsid w:val="00015AAC"/>
    <w:rsid w:val="00036C88"/>
    <w:rsid w:val="0004709E"/>
    <w:rsid w:val="0007069C"/>
    <w:rsid w:val="0007614F"/>
    <w:rsid w:val="000F2EA4"/>
    <w:rsid w:val="001045FF"/>
    <w:rsid w:val="00112D31"/>
    <w:rsid w:val="0015139A"/>
    <w:rsid w:val="00161F58"/>
    <w:rsid w:val="001714ED"/>
    <w:rsid w:val="001C4584"/>
    <w:rsid w:val="001E0800"/>
    <w:rsid w:val="00205C23"/>
    <w:rsid w:val="0021066E"/>
    <w:rsid w:val="002206BE"/>
    <w:rsid w:val="00225567"/>
    <w:rsid w:val="00284C65"/>
    <w:rsid w:val="002A663A"/>
    <w:rsid w:val="002C0317"/>
    <w:rsid w:val="002D6FE8"/>
    <w:rsid w:val="002E52C6"/>
    <w:rsid w:val="002E66A9"/>
    <w:rsid w:val="00311BC7"/>
    <w:rsid w:val="003630F9"/>
    <w:rsid w:val="00365851"/>
    <w:rsid w:val="003B074D"/>
    <w:rsid w:val="003B160F"/>
    <w:rsid w:val="003B36C1"/>
    <w:rsid w:val="003C4091"/>
    <w:rsid w:val="003E1152"/>
    <w:rsid w:val="00440836"/>
    <w:rsid w:val="0044296E"/>
    <w:rsid w:val="004C1851"/>
    <w:rsid w:val="005309EC"/>
    <w:rsid w:val="00547B28"/>
    <w:rsid w:val="00553EBA"/>
    <w:rsid w:val="00553EFD"/>
    <w:rsid w:val="0059329C"/>
    <w:rsid w:val="005A71B3"/>
    <w:rsid w:val="005E30B4"/>
    <w:rsid w:val="00610222"/>
    <w:rsid w:val="006366FD"/>
    <w:rsid w:val="00672BA3"/>
    <w:rsid w:val="00673498"/>
    <w:rsid w:val="00674329"/>
    <w:rsid w:val="006A1BFC"/>
    <w:rsid w:val="006A6DBF"/>
    <w:rsid w:val="006E2CE8"/>
    <w:rsid w:val="006F625A"/>
    <w:rsid w:val="007505AB"/>
    <w:rsid w:val="0075314B"/>
    <w:rsid w:val="00763D6D"/>
    <w:rsid w:val="00776892"/>
    <w:rsid w:val="007829B7"/>
    <w:rsid w:val="007A2223"/>
    <w:rsid w:val="007C7924"/>
    <w:rsid w:val="007F7A7F"/>
    <w:rsid w:val="00811155"/>
    <w:rsid w:val="00811E78"/>
    <w:rsid w:val="00822B8E"/>
    <w:rsid w:val="008328E2"/>
    <w:rsid w:val="0087152E"/>
    <w:rsid w:val="008E1D71"/>
    <w:rsid w:val="008F350F"/>
    <w:rsid w:val="008F614B"/>
    <w:rsid w:val="0093136E"/>
    <w:rsid w:val="00967914"/>
    <w:rsid w:val="00985F9D"/>
    <w:rsid w:val="00997C3C"/>
    <w:rsid w:val="009A0264"/>
    <w:rsid w:val="009A7330"/>
    <w:rsid w:val="009B19C4"/>
    <w:rsid w:val="00A1491C"/>
    <w:rsid w:val="00A21721"/>
    <w:rsid w:val="00A233EC"/>
    <w:rsid w:val="00A76BF7"/>
    <w:rsid w:val="00AA052E"/>
    <w:rsid w:val="00AA0CC2"/>
    <w:rsid w:val="00AA2FB0"/>
    <w:rsid w:val="00AD4592"/>
    <w:rsid w:val="00B076A1"/>
    <w:rsid w:val="00B16AB6"/>
    <w:rsid w:val="00B17B5B"/>
    <w:rsid w:val="00B57C2F"/>
    <w:rsid w:val="00B722BD"/>
    <w:rsid w:val="00B73A64"/>
    <w:rsid w:val="00B7755C"/>
    <w:rsid w:val="00B96841"/>
    <w:rsid w:val="00BD1487"/>
    <w:rsid w:val="00BE3A38"/>
    <w:rsid w:val="00C1369E"/>
    <w:rsid w:val="00C14932"/>
    <w:rsid w:val="00C94037"/>
    <w:rsid w:val="00D87843"/>
    <w:rsid w:val="00DD6F21"/>
    <w:rsid w:val="00DE0B65"/>
    <w:rsid w:val="00DF298D"/>
    <w:rsid w:val="00DF2CBD"/>
    <w:rsid w:val="00E0118D"/>
    <w:rsid w:val="00E803CE"/>
    <w:rsid w:val="00E92DFE"/>
    <w:rsid w:val="00EE0A94"/>
    <w:rsid w:val="00F42DB7"/>
    <w:rsid w:val="00F44D86"/>
    <w:rsid w:val="00F4622C"/>
    <w:rsid w:val="00F579F5"/>
    <w:rsid w:val="00F84E2D"/>
    <w:rsid w:val="00FC5266"/>
    <w:rsid w:val="072CCF70"/>
    <w:rsid w:val="1D771DCC"/>
    <w:rsid w:val="3FD6DC92"/>
    <w:rsid w:val="49105F08"/>
    <w:rsid w:val="4A78F004"/>
    <w:rsid w:val="4CD8AB6B"/>
    <w:rsid w:val="4E0B2DF9"/>
    <w:rsid w:val="59DDDDE8"/>
    <w:rsid w:val="66AB1CB1"/>
    <w:rsid w:val="6C7AFC08"/>
    <w:rsid w:val="7EAEEC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8E5EB1EF-FFCF-45E4-8FBC-216F7E7B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6A1"/>
    <w:pPr>
      <w:jc w:val="both"/>
    </w:pPr>
    <w:rPr>
      <w:sz w:val="20"/>
    </w:rPr>
  </w:style>
  <w:style w:type="paragraph" w:styleId="Heading1">
    <w:name w:val="heading 1"/>
    <w:basedOn w:val="Normal"/>
    <w:next w:val="Normal"/>
    <w:link w:val="Heading1Char"/>
    <w:uiPriority w:val="9"/>
    <w:qFormat/>
    <w:rsid w:val="00F579F5"/>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79F5"/>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79F5"/>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9F5"/>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9F5"/>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9F5"/>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9F5"/>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9F5"/>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9F5"/>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9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79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79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9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9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9F5"/>
    <w:rPr>
      <w:rFonts w:eastAsiaTheme="majorEastAsia" w:cstheme="majorBidi"/>
      <w:color w:val="272727" w:themeColor="text1" w:themeTint="D8"/>
    </w:rPr>
  </w:style>
  <w:style w:type="paragraph" w:styleId="Title">
    <w:name w:val="Title"/>
    <w:basedOn w:val="Normal"/>
    <w:next w:val="Normal"/>
    <w:link w:val="Title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9F5"/>
    <w:pPr>
      <w:spacing w:before="160"/>
      <w:jc w:val="center"/>
    </w:pPr>
    <w:rPr>
      <w:i/>
      <w:iCs/>
      <w:color w:val="404040" w:themeColor="text1" w:themeTint="BF"/>
    </w:rPr>
  </w:style>
  <w:style w:type="character" w:customStyle="1" w:styleId="QuoteChar">
    <w:name w:val="Quote Char"/>
    <w:basedOn w:val="DefaultParagraphFont"/>
    <w:link w:val="Quote"/>
    <w:uiPriority w:val="29"/>
    <w:rsid w:val="00F579F5"/>
    <w:rPr>
      <w:i/>
      <w:iCs/>
      <w:color w:val="404040" w:themeColor="text1" w:themeTint="BF"/>
    </w:rPr>
  </w:style>
  <w:style w:type="paragraph" w:styleId="ListParagraph">
    <w:name w:val="List Paragraph"/>
    <w:basedOn w:val="Normal"/>
    <w:uiPriority w:val="34"/>
    <w:qFormat/>
    <w:rsid w:val="00F579F5"/>
    <w:pPr>
      <w:ind w:left="720"/>
      <w:contextualSpacing/>
    </w:pPr>
  </w:style>
  <w:style w:type="character" w:styleId="IntenseEmphasis">
    <w:name w:val="Intense Emphasis"/>
    <w:basedOn w:val="DefaultParagraphFont"/>
    <w:uiPriority w:val="21"/>
    <w:qFormat/>
    <w:rsid w:val="00F579F5"/>
    <w:rPr>
      <w:i/>
      <w:iCs/>
      <w:color w:val="0F4761" w:themeColor="accent1" w:themeShade="BF"/>
    </w:rPr>
  </w:style>
  <w:style w:type="paragraph" w:styleId="IntenseQuote">
    <w:name w:val="Intense Quote"/>
    <w:basedOn w:val="Normal"/>
    <w:next w:val="Normal"/>
    <w:link w:val="IntenseQuote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9F5"/>
    <w:rPr>
      <w:i/>
      <w:iCs/>
      <w:color w:val="0F4761" w:themeColor="accent1" w:themeShade="BF"/>
    </w:rPr>
  </w:style>
  <w:style w:type="character" w:styleId="IntenseReference">
    <w:name w:val="Intense Reference"/>
    <w:basedOn w:val="DefaultParagraphFont"/>
    <w:uiPriority w:val="32"/>
    <w:qFormat/>
    <w:rsid w:val="00F579F5"/>
    <w:rPr>
      <w:b/>
      <w:bCs/>
      <w:smallCaps/>
      <w:color w:val="0F4761" w:themeColor="accent1" w:themeShade="BF"/>
      <w:spacing w:val="5"/>
    </w:rPr>
  </w:style>
  <w:style w:type="table" w:styleId="TableGrid">
    <w:name w:val="Table Grid"/>
    <w:basedOn w:val="TableNormal"/>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05AB"/>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Strong">
    <w:name w:val="Strong"/>
    <w:basedOn w:val="DefaultParagraphFont"/>
    <w:uiPriority w:val="22"/>
    <w:qFormat/>
    <w:rsid w:val="00811155"/>
    <w:rPr>
      <w:b/>
      <w:bCs/>
    </w:rPr>
  </w:style>
  <w:style w:type="character" w:styleId="Hyperlink">
    <w:name w:val="Hyperlink"/>
    <w:basedOn w:val="DefaultParagraphFont"/>
    <w:uiPriority w:val="99"/>
    <w:unhideWhenUsed/>
    <w:rsid w:val="00811155"/>
    <w:rPr>
      <w:color w:val="467886" w:themeColor="hyperlink"/>
      <w:u w:val="single"/>
    </w:rPr>
  </w:style>
  <w:style w:type="character" w:styleId="UnresolvedMention">
    <w:name w:val="Unresolved Mention"/>
    <w:basedOn w:val="DefaultParagraphFont"/>
    <w:uiPriority w:val="99"/>
    <w:semiHidden/>
    <w:unhideWhenUsed/>
    <w:rsid w:val="00811155"/>
    <w:rPr>
      <w:color w:val="605E5C"/>
      <w:shd w:val="clear" w:color="auto" w:fill="E1DFDD"/>
    </w:rPr>
  </w:style>
  <w:style w:type="paragraph" w:styleId="Revision">
    <w:name w:val="Revision"/>
    <w:hidden/>
    <w:uiPriority w:val="99"/>
    <w:semiHidden/>
    <w:rsid w:val="00E0118D"/>
    <w:pPr>
      <w:spacing w:after="0" w:line="240" w:lineRule="auto"/>
    </w:pPr>
  </w:style>
  <w:style w:type="character" w:styleId="CommentReference">
    <w:name w:val="annotation reference"/>
    <w:basedOn w:val="DefaultParagraphFont"/>
    <w:uiPriority w:val="99"/>
    <w:semiHidden/>
    <w:unhideWhenUsed/>
    <w:rsid w:val="00E0118D"/>
    <w:rPr>
      <w:sz w:val="16"/>
      <w:szCs w:val="16"/>
    </w:rPr>
  </w:style>
  <w:style w:type="paragraph" w:styleId="CommentText">
    <w:name w:val="annotation text"/>
    <w:basedOn w:val="Normal"/>
    <w:link w:val="CommentTextChar"/>
    <w:uiPriority w:val="99"/>
    <w:semiHidden/>
    <w:unhideWhenUsed/>
    <w:rsid w:val="00E0118D"/>
    <w:pPr>
      <w:spacing w:line="240" w:lineRule="auto"/>
    </w:pPr>
    <w:rPr>
      <w:szCs w:val="20"/>
    </w:rPr>
  </w:style>
  <w:style w:type="character" w:customStyle="1" w:styleId="CommentTextChar">
    <w:name w:val="Comment Text Char"/>
    <w:basedOn w:val="DefaultParagraphFont"/>
    <w:link w:val="CommentText"/>
    <w:uiPriority w:val="99"/>
    <w:semiHidden/>
    <w:rsid w:val="00E0118D"/>
    <w:rPr>
      <w:sz w:val="20"/>
      <w:szCs w:val="20"/>
    </w:rPr>
  </w:style>
  <w:style w:type="paragraph" w:styleId="CommentSubject">
    <w:name w:val="annotation subject"/>
    <w:basedOn w:val="CommentText"/>
    <w:next w:val="CommentText"/>
    <w:link w:val="CommentSubjectChar"/>
    <w:uiPriority w:val="99"/>
    <w:semiHidden/>
    <w:unhideWhenUsed/>
    <w:rsid w:val="00E0118D"/>
    <w:rPr>
      <w:b/>
      <w:bCs/>
    </w:rPr>
  </w:style>
  <w:style w:type="character" w:customStyle="1" w:styleId="CommentSubjectChar">
    <w:name w:val="Comment Subject Char"/>
    <w:basedOn w:val="CommentTextChar"/>
    <w:link w:val="CommentSubject"/>
    <w:uiPriority w:val="99"/>
    <w:semiHidden/>
    <w:rsid w:val="00E0118D"/>
    <w:rPr>
      <w:b/>
      <w:bCs/>
      <w:sz w:val="20"/>
      <w:szCs w:val="20"/>
    </w:rPr>
  </w:style>
  <w:style w:type="table" w:styleId="GridTable1Light-Accent4">
    <w:name w:val="Grid Table 1 Light Accent 4"/>
    <w:basedOn w:val="TableNormal"/>
    <w:uiPriority w:val="46"/>
    <w:rsid w:val="00B076A1"/>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076A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76A1"/>
    <w:rPr>
      <w:sz w:val="20"/>
    </w:rPr>
  </w:style>
  <w:style w:type="paragraph" w:styleId="Footer">
    <w:name w:val="footer"/>
    <w:basedOn w:val="Normal"/>
    <w:link w:val="FooterChar"/>
    <w:uiPriority w:val="99"/>
    <w:unhideWhenUsed/>
    <w:rsid w:val="00B076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76A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4CAF-0341-4B91-9B15-50004F12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6988</Words>
  <Characters>39838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Maja Radunovic</cp:lastModifiedBy>
  <cp:revision>7</cp:revision>
  <dcterms:created xsi:type="dcterms:W3CDTF">2026-06-04T07:47:00Z</dcterms:created>
  <dcterms:modified xsi:type="dcterms:W3CDTF">2026-06-08T09:40:00Z</dcterms:modified>
</cp:coreProperties>
</file>