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DF3" w:rsidRPr="004D18DA" w:rsidRDefault="00697663" w:rsidP="00E21DF3">
      <w:pPr>
        <w:jc w:val="center"/>
        <w:rPr>
          <w:rFonts w:asciiTheme="majorHAnsi" w:hAnsiTheme="majorHAnsi"/>
          <w:b/>
          <w:sz w:val="32"/>
          <w:szCs w:val="32"/>
        </w:rPr>
      </w:pPr>
      <w:bookmarkStart w:id="0" w:name="_GoBack"/>
      <w:bookmarkEnd w:id="0"/>
      <w:r w:rsidRPr="004D18DA">
        <w:rPr>
          <w:rFonts w:asciiTheme="majorHAnsi" w:hAnsiTheme="majorHAnsi"/>
          <w:b/>
          <w:sz w:val="32"/>
          <w:szCs w:val="32"/>
        </w:rPr>
        <w:t>SEKTORSKI OPERATIVNI PROGRAM</w:t>
      </w:r>
    </w:p>
    <w:p w:rsidR="00E21DF3" w:rsidRPr="00E21DF3" w:rsidRDefault="00E21DF3" w:rsidP="00E21DF3">
      <w:pPr>
        <w:jc w:val="center"/>
        <w:rPr>
          <w:rFonts w:asciiTheme="majorHAnsi" w:hAnsiTheme="majorHAnsi"/>
          <w:sz w:val="32"/>
          <w:szCs w:val="32"/>
        </w:rPr>
      </w:pPr>
    </w:p>
    <w:p w:rsidR="00E21DF3" w:rsidRDefault="00E21DF3" w:rsidP="00E21DF3"/>
    <w:p w:rsidR="00E21DF3" w:rsidRDefault="00EC77FD" w:rsidP="00E21DF3">
      <w:r>
        <w:pict>
          <v:rect id="_x0000_i1025" style="width:453.6pt;height:.05pt" o:hralign="center" o:hrstd="t" o:hr="t" fillcolor="#a0a0a0" stroked="f"/>
        </w:pict>
      </w:r>
    </w:p>
    <w:p w:rsidR="00E21DF3" w:rsidRPr="004D18DA" w:rsidRDefault="00E21DF3" w:rsidP="00E21DF3">
      <w:pPr>
        <w:jc w:val="center"/>
        <w:rPr>
          <w:rFonts w:asciiTheme="majorHAnsi" w:hAnsiTheme="majorHAnsi"/>
          <w:b/>
          <w:sz w:val="32"/>
          <w:szCs w:val="32"/>
        </w:rPr>
      </w:pPr>
      <w:r w:rsidRPr="004D18DA">
        <w:rPr>
          <w:rFonts w:asciiTheme="majorHAnsi" w:hAnsiTheme="majorHAnsi"/>
          <w:b/>
          <w:sz w:val="32"/>
          <w:szCs w:val="32"/>
        </w:rPr>
        <w:t>CRNA GORA</w:t>
      </w:r>
    </w:p>
    <w:p w:rsidR="00E21DF3" w:rsidRPr="004D18DA" w:rsidRDefault="00E21DF3" w:rsidP="00E21DF3">
      <w:pPr>
        <w:jc w:val="center"/>
        <w:rPr>
          <w:rFonts w:asciiTheme="majorHAnsi" w:hAnsiTheme="majorHAnsi"/>
          <w:b/>
          <w:sz w:val="32"/>
          <w:szCs w:val="32"/>
        </w:rPr>
      </w:pPr>
    </w:p>
    <w:p w:rsidR="00E21DF3" w:rsidRPr="004D18DA" w:rsidRDefault="00E21DF3" w:rsidP="00E21DF3">
      <w:pPr>
        <w:jc w:val="center"/>
        <w:rPr>
          <w:rFonts w:asciiTheme="majorHAnsi" w:hAnsiTheme="majorHAnsi"/>
          <w:b/>
          <w:sz w:val="32"/>
          <w:szCs w:val="32"/>
        </w:rPr>
      </w:pPr>
    </w:p>
    <w:p w:rsidR="00E21DF3" w:rsidRPr="004D18DA" w:rsidRDefault="00E21DF3" w:rsidP="00E21DF3">
      <w:pPr>
        <w:jc w:val="center"/>
        <w:rPr>
          <w:rFonts w:asciiTheme="majorHAnsi" w:hAnsiTheme="majorHAnsi"/>
          <w:b/>
          <w:sz w:val="32"/>
          <w:szCs w:val="32"/>
        </w:rPr>
      </w:pPr>
    </w:p>
    <w:p w:rsidR="00E21DF3" w:rsidRPr="004D18DA" w:rsidRDefault="00697663" w:rsidP="00E21DF3">
      <w:pPr>
        <w:jc w:val="center"/>
        <w:rPr>
          <w:rFonts w:asciiTheme="majorHAnsi" w:hAnsiTheme="majorHAnsi"/>
          <w:b/>
          <w:sz w:val="32"/>
          <w:szCs w:val="32"/>
        </w:rPr>
      </w:pPr>
      <w:r w:rsidRPr="004D18DA">
        <w:rPr>
          <w:rFonts w:asciiTheme="majorHAnsi" w:hAnsiTheme="majorHAnsi"/>
          <w:b/>
          <w:sz w:val="32"/>
          <w:szCs w:val="32"/>
        </w:rPr>
        <w:t>SEKTOR</w:t>
      </w:r>
      <w:r w:rsidR="00E21DF3" w:rsidRPr="004D18DA">
        <w:rPr>
          <w:rFonts w:asciiTheme="majorHAnsi" w:hAnsiTheme="majorHAnsi"/>
          <w:b/>
          <w:sz w:val="32"/>
          <w:szCs w:val="32"/>
        </w:rPr>
        <w:t>:</w:t>
      </w:r>
    </w:p>
    <w:p w:rsidR="00C31FCA" w:rsidRPr="004D18DA" w:rsidRDefault="00697663" w:rsidP="00E21DF3">
      <w:pPr>
        <w:jc w:val="center"/>
        <w:rPr>
          <w:rFonts w:asciiTheme="majorHAnsi" w:hAnsiTheme="majorHAnsi"/>
          <w:b/>
          <w:sz w:val="32"/>
          <w:szCs w:val="32"/>
        </w:rPr>
      </w:pPr>
      <w:r w:rsidRPr="004D18DA">
        <w:rPr>
          <w:rFonts w:asciiTheme="majorHAnsi" w:hAnsiTheme="majorHAnsi"/>
          <w:b/>
          <w:sz w:val="32"/>
          <w:szCs w:val="32"/>
        </w:rPr>
        <w:t xml:space="preserve"> OBRAZOVANJE</w:t>
      </w:r>
      <w:r w:rsidR="007E04DE" w:rsidRPr="004D18DA">
        <w:rPr>
          <w:rFonts w:asciiTheme="majorHAnsi" w:hAnsiTheme="majorHAnsi"/>
          <w:b/>
          <w:sz w:val="32"/>
          <w:szCs w:val="32"/>
        </w:rPr>
        <w:t>, ZAPOŠLJAVANJE I SOCIJALNA POLITIKA</w:t>
      </w:r>
    </w:p>
    <w:p w:rsidR="00522BBF" w:rsidRPr="00E21DF3" w:rsidRDefault="00522BBF" w:rsidP="00E21DF3"/>
    <w:p w:rsidR="00522BBF" w:rsidRPr="00E21DF3" w:rsidRDefault="00522BBF" w:rsidP="00E21DF3"/>
    <w:p w:rsidR="00522BBF" w:rsidRPr="00E21DF3" w:rsidRDefault="00522BBF" w:rsidP="00E21DF3"/>
    <w:p w:rsidR="00522BBF" w:rsidRPr="00E21DF3" w:rsidRDefault="00522BBF" w:rsidP="00E21DF3"/>
    <w:p w:rsidR="00522BBF" w:rsidRPr="00E21DF3" w:rsidRDefault="00522BBF" w:rsidP="00E21DF3"/>
    <w:p w:rsidR="00522BBF" w:rsidRPr="00E21DF3" w:rsidRDefault="00522BBF" w:rsidP="00E21DF3"/>
    <w:p w:rsidR="00522BBF" w:rsidRPr="00E21DF3" w:rsidRDefault="00522BBF" w:rsidP="00E21DF3"/>
    <w:p w:rsidR="00522BBF" w:rsidRPr="00E21DF3" w:rsidRDefault="00522BBF" w:rsidP="00E21DF3"/>
    <w:p w:rsidR="00522BBF" w:rsidRPr="00E21DF3" w:rsidRDefault="00522BBF" w:rsidP="00E21DF3"/>
    <w:p w:rsidR="00522BBF" w:rsidRPr="00E21DF3" w:rsidRDefault="00522BBF" w:rsidP="00E21DF3"/>
    <w:p w:rsidR="00522BBF" w:rsidRPr="00E21DF3" w:rsidRDefault="00522BBF" w:rsidP="00E21DF3"/>
    <w:p w:rsidR="00522BBF" w:rsidRPr="00E21DF3" w:rsidRDefault="00522BBF" w:rsidP="00E21DF3"/>
    <w:p w:rsidR="00522BBF" w:rsidRPr="00E21DF3" w:rsidRDefault="00522BBF" w:rsidP="00E21DF3"/>
    <w:p w:rsidR="00E21DF3" w:rsidRPr="00E21DF3" w:rsidRDefault="00E21DF3" w:rsidP="00E21DF3">
      <w:pPr>
        <w:jc w:val="center"/>
        <w:rPr>
          <w:rFonts w:asciiTheme="majorHAnsi" w:hAnsiTheme="majorHAnsi"/>
          <w:sz w:val="32"/>
          <w:szCs w:val="32"/>
        </w:rPr>
      </w:pPr>
      <w:r w:rsidRPr="00E21DF3">
        <w:rPr>
          <w:rFonts w:asciiTheme="majorHAnsi" w:hAnsiTheme="majorHAnsi"/>
          <w:sz w:val="32"/>
          <w:szCs w:val="32"/>
        </w:rPr>
        <w:t xml:space="preserve">April </w:t>
      </w:r>
      <w:r>
        <w:rPr>
          <w:rFonts w:asciiTheme="majorHAnsi" w:hAnsiTheme="majorHAnsi"/>
          <w:sz w:val="32"/>
          <w:szCs w:val="32"/>
        </w:rPr>
        <w:t>2015</w:t>
      </w:r>
    </w:p>
    <w:sdt>
      <w:sdtPr>
        <w:rPr>
          <w:rFonts w:ascii="Calibri" w:eastAsia="Calibri" w:hAnsi="Calibri" w:cs="Times New Roman"/>
          <w:b w:val="0"/>
          <w:bCs w:val="0"/>
          <w:color w:val="auto"/>
          <w:sz w:val="22"/>
          <w:szCs w:val="22"/>
          <w:lang w:val="en-GB" w:eastAsia="en-US"/>
        </w:rPr>
        <w:id w:val="-366756303"/>
        <w:docPartObj>
          <w:docPartGallery w:val="Table of Contents"/>
          <w:docPartUnique/>
        </w:docPartObj>
      </w:sdtPr>
      <w:sdtEndPr>
        <w:rPr>
          <w:noProof/>
        </w:rPr>
      </w:sdtEndPr>
      <w:sdtContent>
        <w:p w:rsidR="00C31FCA" w:rsidRPr="00E21DF3" w:rsidRDefault="00697663">
          <w:pPr>
            <w:pStyle w:val="TOCHeading"/>
            <w:rPr>
              <w:rFonts w:eastAsia="Calibri" w:cs="Times New Roman"/>
              <w:b w:val="0"/>
              <w:bCs w:val="0"/>
              <w:color w:val="auto"/>
              <w:sz w:val="24"/>
              <w:szCs w:val="24"/>
              <w:lang w:val="en-GB" w:eastAsia="en-US"/>
            </w:rPr>
          </w:pPr>
          <w:r w:rsidRPr="00E21DF3">
            <w:rPr>
              <w:rFonts w:eastAsia="Calibri" w:cs="Times New Roman"/>
              <w:b w:val="0"/>
              <w:bCs w:val="0"/>
              <w:color w:val="auto"/>
              <w:sz w:val="24"/>
              <w:szCs w:val="24"/>
              <w:lang w:val="en-GB" w:eastAsia="en-US"/>
            </w:rPr>
            <w:t>Sadržaj</w:t>
          </w:r>
        </w:p>
        <w:p w:rsidR="00A16485" w:rsidRDefault="00A94AFA">
          <w:pPr>
            <w:pStyle w:val="TOC1"/>
            <w:rPr>
              <w:rFonts w:asciiTheme="minorHAnsi" w:eastAsiaTheme="minorEastAsia" w:hAnsiTheme="minorHAnsi" w:cstheme="minorBidi"/>
              <w:noProof/>
              <w:lang w:val="en-US"/>
            </w:rPr>
          </w:pPr>
          <w:r w:rsidRPr="00E21DF3">
            <w:rPr>
              <w:rFonts w:asciiTheme="majorHAnsi" w:hAnsiTheme="majorHAnsi"/>
              <w:sz w:val="24"/>
              <w:szCs w:val="24"/>
            </w:rPr>
            <w:fldChar w:fldCharType="begin"/>
          </w:r>
          <w:r w:rsidR="00C31FCA" w:rsidRPr="00E21DF3">
            <w:rPr>
              <w:rFonts w:asciiTheme="majorHAnsi" w:hAnsiTheme="majorHAnsi"/>
              <w:sz w:val="24"/>
              <w:szCs w:val="24"/>
            </w:rPr>
            <w:instrText xml:space="preserve"> TOC \o "1-3" \h \z \u </w:instrText>
          </w:r>
          <w:r w:rsidRPr="00E21DF3">
            <w:rPr>
              <w:rFonts w:asciiTheme="majorHAnsi" w:hAnsiTheme="majorHAnsi"/>
              <w:sz w:val="24"/>
              <w:szCs w:val="24"/>
            </w:rPr>
            <w:fldChar w:fldCharType="separate"/>
          </w:r>
          <w:hyperlink w:anchor="_Toc419368459" w:history="1">
            <w:r w:rsidR="00A16485" w:rsidRPr="007D0181">
              <w:rPr>
                <w:rStyle w:val="Hyperlink"/>
                <w:noProof/>
              </w:rPr>
              <w:t>1.</w:t>
            </w:r>
            <w:r w:rsidR="00A16485">
              <w:rPr>
                <w:rFonts w:asciiTheme="minorHAnsi" w:eastAsiaTheme="minorEastAsia" w:hAnsiTheme="minorHAnsi" w:cstheme="minorBidi"/>
                <w:noProof/>
                <w:lang w:val="en-US"/>
              </w:rPr>
              <w:tab/>
            </w:r>
            <w:r w:rsidR="00A16485" w:rsidRPr="007D0181">
              <w:rPr>
                <w:rStyle w:val="Hyperlink"/>
                <w:noProof/>
              </w:rPr>
              <w:t>Analiza sektora</w:t>
            </w:r>
            <w:r w:rsidR="00A16485">
              <w:rPr>
                <w:noProof/>
                <w:webHidden/>
              </w:rPr>
              <w:tab/>
            </w:r>
            <w:r>
              <w:rPr>
                <w:noProof/>
                <w:webHidden/>
              </w:rPr>
              <w:fldChar w:fldCharType="begin"/>
            </w:r>
            <w:r w:rsidR="00A16485">
              <w:rPr>
                <w:noProof/>
                <w:webHidden/>
              </w:rPr>
              <w:instrText xml:space="preserve"> PAGEREF _Toc419368459 \h </w:instrText>
            </w:r>
            <w:r>
              <w:rPr>
                <w:noProof/>
                <w:webHidden/>
              </w:rPr>
            </w:r>
            <w:r>
              <w:rPr>
                <w:noProof/>
                <w:webHidden/>
              </w:rPr>
              <w:fldChar w:fldCharType="separate"/>
            </w:r>
            <w:r w:rsidR="00A16485">
              <w:rPr>
                <w:noProof/>
                <w:webHidden/>
              </w:rPr>
              <w:t>3</w:t>
            </w:r>
            <w:r>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60" w:history="1">
            <w:r w:rsidR="00A16485" w:rsidRPr="007D0181">
              <w:rPr>
                <w:rStyle w:val="Hyperlink"/>
                <w:noProof/>
              </w:rPr>
              <w:t>1.1.</w:t>
            </w:r>
            <w:r w:rsidR="00A16485">
              <w:rPr>
                <w:rFonts w:asciiTheme="minorHAnsi" w:eastAsiaTheme="minorEastAsia" w:hAnsiTheme="minorHAnsi" w:cstheme="minorBidi"/>
                <w:noProof/>
                <w:lang w:val="en-US"/>
              </w:rPr>
              <w:tab/>
            </w:r>
            <w:r w:rsidR="00A16485" w:rsidRPr="007D0181">
              <w:rPr>
                <w:rStyle w:val="Hyperlink"/>
                <w:noProof/>
              </w:rPr>
              <w:t>Nacionalne politike i socio ekonomski kontekst</w:t>
            </w:r>
            <w:r w:rsidR="00A16485">
              <w:rPr>
                <w:noProof/>
                <w:webHidden/>
              </w:rPr>
              <w:tab/>
            </w:r>
            <w:r w:rsidR="00A94AFA">
              <w:rPr>
                <w:noProof/>
                <w:webHidden/>
              </w:rPr>
              <w:fldChar w:fldCharType="begin"/>
            </w:r>
            <w:r w:rsidR="00A16485">
              <w:rPr>
                <w:noProof/>
                <w:webHidden/>
              </w:rPr>
              <w:instrText xml:space="preserve"> PAGEREF _Toc419368460 \h </w:instrText>
            </w:r>
            <w:r w:rsidR="00A94AFA">
              <w:rPr>
                <w:noProof/>
                <w:webHidden/>
              </w:rPr>
            </w:r>
            <w:r w:rsidR="00A94AFA">
              <w:rPr>
                <w:noProof/>
                <w:webHidden/>
              </w:rPr>
              <w:fldChar w:fldCharType="separate"/>
            </w:r>
            <w:r w:rsidR="00A16485">
              <w:rPr>
                <w:noProof/>
                <w:webHidden/>
              </w:rPr>
              <w:t>3</w:t>
            </w:r>
            <w:r w:rsidR="00A94AFA">
              <w:rPr>
                <w:noProof/>
                <w:webHidden/>
              </w:rPr>
              <w:fldChar w:fldCharType="end"/>
            </w:r>
          </w:hyperlink>
        </w:p>
        <w:p w:rsidR="00A16485" w:rsidRDefault="00EC77FD">
          <w:pPr>
            <w:pStyle w:val="TOC1"/>
            <w:rPr>
              <w:rFonts w:asciiTheme="minorHAnsi" w:eastAsiaTheme="minorEastAsia" w:hAnsiTheme="minorHAnsi" w:cstheme="minorBidi"/>
              <w:noProof/>
              <w:lang w:val="en-US"/>
            </w:rPr>
          </w:pPr>
          <w:hyperlink w:anchor="_Toc419368461" w:history="1">
            <w:r w:rsidR="00A16485" w:rsidRPr="007D0181">
              <w:rPr>
                <w:rStyle w:val="Hyperlink"/>
                <w:noProof/>
              </w:rPr>
              <w:t>2.</w:t>
            </w:r>
            <w:r w:rsidR="00A16485">
              <w:rPr>
                <w:rFonts w:asciiTheme="minorHAnsi" w:eastAsiaTheme="minorEastAsia" w:hAnsiTheme="minorHAnsi" w:cstheme="minorBidi"/>
                <w:noProof/>
                <w:lang w:val="en-US"/>
              </w:rPr>
              <w:tab/>
            </w:r>
            <w:r w:rsidR="00A16485" w:rsidRPr="007D0181">
              <w:rPr>
                <w:rStyle w:val="Hyperlink"/>
                <w:noProof/>
              </w:rPr>
              <w:t>Opseg sektorskog pristupa</w:t>
            </w:r>
            <w:r w:rsidR="00A16485">
              <w:rPr>
                <w:noProof/>
                <w:webHidden/>
              </w:rPr>
              <w:tab/>
            </w:r>
            <w:r w:rsidR="00A94AFA">
              <w:rPr>
                <w:noProof/>
                <w:webHidden/>
              </w:rPr>
              <w:fldChar w:fldCharType="begin"/>
            </w:r>
            <w:r w:rsidR="00A16485">
              <w:rPr>
                <w:noProof/>
                <w:webHidden/>
              </w:rPr>
              <w:instrText xml:space="preserve"> PAGEREF _Toc419368461 \h </w:instrText>
            </w:r>
            <w:r w:rsidR="00A94AFA">
              <w:rPr>
                <w:noProof/>
                <w:webHidden/>
              </w:rPr>
            </w:r>
            <w:r w:rsidR="00A94AFA">
              <w:rPr>
                <w:noProof/>
                <w:webHidden/>
              </w:rPr>
              <w:fldChar w:fldCharType="separate"/>
            </w:r>
            <w:r w:rsidR="00A16485">
              <w:rPr>
                <w:noProof/>
                <w:webHidden/>
              </w:rPr>
              <w:t>6</w:t>
            </w:r>
            <w:r w:rsidR="00A94AFA">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62" w:history="1">
            <w:r w:rsidR="00A16485" w:rsidRPr="007D0181">
              <w:rPr>
                <w:rStyle w:val="Hyperlink"/>
                <w:noProof/>
              </w:rPr>
              <w:t>2.1.</w:t>
            </w:r>
            <w:r w:rsidR="00A16485">
              <w:rPr>
                <w:rFonts w:asciiTheme="minorHAnsi" w:eastAsiaTheme="minorEastAsia" w:hAnsiTheme="minorHAnsi" w:cstheme="minorBidi"/>
                <w:noProof/>
                <w:lang w:val="en-US"/>
              </w:rPr>
              <w:tab/>
            </w:r>
            <w:r w:rsidR="00A16485" w:rsidRPr="007D0181">
              <w:rPr>
                <w:rStyle w:val="Hyperlink"/>
                <w:noProof/>
              </w:rPr>
              <w:t>Nacionalne sektorske politike/strategije</w:t>
            </w:r>
            <w:r w:rsidR="00A16485">
              <w:rPr>
                <w:noProof/>
                <w:webHidden/>
              </w:rPr>
              <w:tab/>
            </w:r>
            <w:r w:rsidR="00A94AFA">
              <w:rPr>
                <w:noProof/>
                <w:webHidden/>
              </w:rPr>
              <w:fldChar w:fldCharType="begin"/>
            </w:r>
            <w:r w:rsidR="00A16485">
              <w:rPr>
                <w:noProof/>
                <w:webHidden/>
              </w:rPr>
              <w:instrText xml:space="preserve"> PAGEREF _Toc419368462 \h </w:instrText>
            </w:r>
            <w:r w:rsidR="00A94AFA">
              <w:rPr>
                <w:noProof/>
                <w:webHidden/>
              </w:rPr>
            </w:r>
            <w:r w:rsidR="00A94AFA">
              <w:rPr>
                <w:noProof/>
                <w:webHidden/>
              </w:rPr>
              <w:fldChar w:fldCharType="separate"/>
            </w:r>
            <w:r w:rsidR="00A16485">
              <w:rPr>
                <w:noProof/>
                <w:webHidden/>
              </w:rPr>
              <w:t>6</w:t>
            </w:r>
            <w:r w:rsidR="00A94AFA">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63" w:history="1">
            <w:r w:rsidR="00A16485" w:rsidRPr="007D0181">
              <w:rPr>
                <w:rStyle w:val="Hyperlink"/>
                <w:noProof/>
              </w:rPr>
              <w:t>2.2.</w:t>
            </w:r>
            <w:r w:rsidR="00A16485">
              <w:rPr>
                <w:rFonts w:asciiTheme="minorHAnsi" w:eastAsiaTheme="minorEastAsia" w:hAnsiTheme="minorHAnsi" w:cstheme="minorBidi"/>
                <w:noProof/>
                <w:lang w:val="en-US"/>
              </w:rPr>
              <w:tab/>
            </w:r>
            <w:r w:rsidR="00A16485" w:rsidRPr="007D0181">
              <w:rPr>
                <w:rStyle w:val="Hyperlink"/>
                <w:noProof/>
              </w:rPr>
              <w:t>Institucionalno uređenje, rukovodstvo i kapacitet</w:t>
            </w:r>
            <w:r w:rsidR="00A16485">
              <w:rPr>
                <w:noProof/>
                <w:webHidden/>
              </w:rPr>
              <w:tab/>
            </w:r>
            <w:r w:rsidR="00A94AFA">
              <w:rPr>
                <w:noProof/>
                <w:webHidden/>
              </w:rPr>
              <w:fldChar w:fldCharType="begin"/>
            </w:r>
            <w:r w:rsidR="00A16485">
              <w:rPr>
                <w:noProof/>
                <w:webHidden/>
              </w:rPr>
              <w:instrText xml:space="preserve"> PAGEREF _Toc419368463 \h </w:instrText>
            </w:r>
            <w:r w:rsidR="00A94AFA">
              <w:rPr>
                <w:noProof/>
                <w:webHidden/>
              </w:rPr>
            </w:r>
            <w:r w:rsidR="00A94AFA">
              <w:rPr>
                <w:noProof/>
                <w:webHidden/>
              </w:rPr>
              <w:fldChar w:fldCharType="separate"/>
            </w:r>
            <w:r w:rsidR="00A16485">
              <w:rPr>
                <w:noProof/>
                <w:webHidden/>
              </w:rPr>
              <w:t>8</w:t>
            </w:r>
            <w:r w:rsidR="00A94AFA">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64" w:history="1">
            <w:r w:rsidR="00A16485" w:rsidRPr="007D0181">
              <w:rPr>
                <w:rStyle w:val="Hyperlink"/>
                <w:noProof/>
              </w:rPr>
              <w:t>2.3.</w:t>
            </w:r>
            <w:r w:rsidR="00A16485">
              <w:rPr>
                <w:rFonts w:asciiTheme="minorHAnsi" w:eastAsiaTheme="minorEastAsia" w:hAnsiTheme="minorHAnsi" w:cstheme="minorBidi"/>
                <w:noProof/>
                <w:lang w:val="en-US"/>
              </w:rPr>
              <w:tab/>
            </w:r>
            <w:r w:rsidR="00A16485" w:rsidRPr="007D0181">
              <w:rPr>
                <w:rStyle w:val="Hyperlink"/>
                <w:noProof/>
              </w:rPr>
              <w:t>Koordinacija sektora i donatora</w:t>
            </w:r>
            <w:r w:rsidR="00A16485">
              <w:rPr>
                <w:noProof/>
                <w:webHidden/>
              </w:rPr>
              <w:tab/>
            </w:r>
            <w:r w:rsidR="00A94AFA">
              <w:rPr>
                <w:noProof/>
                <w:webHidden/>
              </w:rPr>
              <w:fldChar w:fldCharType="begin"/>
            </w:r>
            <w:r w:rsidR="00A16485">
              <w:rPr>
                <w:noProof/>
                <w:webHidden/>
              </w:rPr>
              <w:instrText xml:space="preserve"> PAGEREF _Toc419368464 \h </w:instrText>
            </w:r>
            <w:r w:rsidR="00A94AFA">
              <w:rPr>
                <w:noProof/>
                <w:webHidden/>
              </w:rPr>
            </w:r>
            <w:r w:rsidR="00A94AFA">
              <w:rPr>
                <w:noProof/>
                <w:webHidden/>
              </w:rPr>
              <w:fldChar w:fldCharType="separate"/>
            </w:r>
            <w:r w:rsidR="00A16485">
              <w:rPr>
                <w:noProof/>
                <w:webHidden/>
              </w:rPr>
              <w:t>8</w:t>
            </w:r>
            <w:r w:rsidR="00A94AFA">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65" w:history="1">
            <w:r w:rsidR="00A16485" w:rsidRPr="007D0181">
              <w:rPr>
                <w:rStyle w:val="Hyperlink"/>
                <w:noProof/>
              </w:rPr>
              <w:t>2.4.</w:t>
            </w:r>
            <w:r w:rsidR="00A16485">
              <w:rPr>
                <w:rFonts w:asciiTheme="minorHAnsi" w:eastAsiaTheme="minorEastAsia" w:hAnsiTheme="minorHAnsi" w:cstheme="minorBidi"/>
                <w:noProof/>
                <w:lang w:val="en-US"/>
              </w:rPr>
              <w:tab/>
            </w:r>
            <w:r w:rsidR="00A16485" w:rsidRPr="007D0181">
              <w:rPr>
                <w:rStyle w:val="Hyperlink"/>
                <w:noProof/>
              </w:rPr>
              <w:t>Srednjoročne budžetske perspektive</w:t>
            </w:r>
            <w:r w:rsidR="00A16485">
              <w:rPr>
                <w:noProof/>
                <w:webHidden/>
              </w:rPr>
              <w:tab/>
            </w:r>
            <w:r w:rsidR="00A94AFA">
              <w:rPr>
                <w:noProof/>
                <w:webHidden/>
              </w:rPr>
              <w:fldChar w:fldCharType="begin"/>
            </w:r>
            <w:r w:rsidR="00A16485">
              <w:rPr>
                <w:noProof/>
                <w:webHidden/>
              </w:rPr>
              <w:instrText xml:space="preserve"> PAGEREF _Toc419368465 \h </w:instrText>
            </w:r>
            <w:r w:rsidR="00A94AFA">
              <w:rPr>
                <w:noProof/>
                <w:webHidden/>
              </w:rPr>
            </w:r>
            <w:r w:rsidR="00A94AFA">
              <w:rPr>
                <w:noProof/>
                <w:webHidden/>
              </w:rPr>
              <w:fldChar w:fldCharType="separate"/>
            </w:r>
            <w:r w:rsidR="00A16485">
              <w:rPr>
                <w:noProof/>
                <w:webHidden/>
              </w:rPr>
              <w:t>9</w:t>
            </w:r>
            <w:r w:rsidR="00A94AFA">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66" w:history="1">
            <w:r w:rsidR="00A16485" w:rsidRPr="007D0181">
              <w:rPr>
                <w:rStyle w:val="Hyperlink"/>
                <w:noProof/>
              </w:rPr>
              <w:t>2.5.</w:t>
            </w:r>
            <w:r w:rsidR="00A16485">
              <w:rPr>
                <w:rFonts w:asciiTheme="minorHAnsi" w:eastAsiaTheme="minorEastAsia" w:hAnsiTheme="minorHAnsi" w:cstheme="minorBidi"/>
                <w:noProof/>
                <w:lang w:val="en-US"/>
              </w:rPr>
              <w:tab/>
            </w:r>
            <w:r w:rsidR="00A16485" w:rsidRPr="007D0181">
              <w:rPr>
                <w:rStyle w:val="Hyperlink"/>
                <w:noProof/>
              </w:rPr>
              <w:t>Okvirna procjena učinka</w:t>
            </w:r>
            <w:r w:rsidR="00A16485">
              <w:rPr>
                <w:noProof/>
                <w:webHidden/>
              </w:rPr>
              <w:tab/>
            </w:r>
            <w:r w:rsidR="00A94AFA">
              <w:rPr>
                <w:noProof/>
                <w:webHidden/>
              </w:rPr>
              <w:fldChar w:fldCharType="begin"/>
            </w:r>
            <w:r w:rsidR="00A16485">
              <w:rPr>
                <w:noProof/>
                <w:webHidden/>
              </w:rPr>
              <w:instrText xml:space="preserve"> PAGEREF _Toc419368466 \h </w:instrText>
            </w:r>
            <w:r w:rsidR="00A94AFA">
              <w:rPr>
                <w:noProof/>
                <w:webHidden/>
              </w:rPr>
            </w:r>
            <w:r w:rsidR="00A94AFA">
              <w:rPr>
                <w:noProof/>
                <w:webHidden/>
              </w:rPr>
              <w:fldChar w:fldCharType="separate"/>
            </w:r>
            <w:r w:rsidR="00A16485">
              <w:rPr>
                <w:noProof/>
                <w:webHidden/>
              </w:rPr>
              <w:t>10</w:t>
            </w:r>
            <w:r w:rsidR="00A94AFA">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67" w:history="1">
            <w:r w:rsidR="00A16485" w:rsidRPr="007D0181">
              <w:rPr>
                <w:rStyle w:val="Hyperlink"/>
                <w:noProof/>
              </w:rPr>
              <w:t>2.6. Upravljanje javnim finansijama</w:t>
            </w:r>
            <w:r w:rsidR="00A16485">
              <w:rPr>
                <w:noProof/>
                <w:webHidden/>
              </w:rPr>
              <w:tab/>
            </w:r>
            <w:r w:rsidR="00A94AFA">
              <w:rPr>
                <w:noProof/>
                <w:webHidden/>
              </w:rPr>
              <w:fldChar w:fldCharType="begin"/>
            </w:r>
            <w:r w:rsidR="00A16485">
              <w:rPr>
                <w:noProof/>
                <w:webHidden/>
              </w:rPr>
              <w:instrText xml:space="preserve"> PAGEREF _Toc419368467 \h </w:instrText>
            </w:r>
            <w:r w:rsidR="00A94AFA">
              <w:rPr>
                <w:noProof/>
                <w:webHidden/>
              </w:rPr>
            </w:r>
            <w:r w:rsidR="00A94AFA">
              <w:rPr>
                <w:noProof/>
                <w:webHidden/>
              </w:rPr>
              <w:fldChar w:fldCharType="separate"/>
            </w:r>
            <w:r w:rsidR="00A16485">
              <w:rPr>
                <w:noProof/>
                <w:webHidden/>
              </w:rPr>
              <w:t>10</w:t>
            </w:r>
            <w:r w:rsidR="00A94AFA">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68" w:history="1">
            <w:r w:rsidR="00A16485" w:rsidRPr="007D0181">
              <w:rPr>
                <w:rStyle w:val="Hyperlink"/>
                <w:noProof/>
              </w:rPr>
              <w:t>2.7. Makro-ekonomski okvir</w:t>
            </w:r>
            <w:r w:rsidR="00A16485">
              <w:rPr>
                <w:noProof/>
                <w:webHidden/>
              </w:rPr>
              <w:tab/>
            </w:r>
            <w:r w:rsidR="00A94AFA">
              <w:rPr>
                <w:noProof/>
                <w:webHidden/>
              </w:rPr>
              <w:fldChar w:fldCharType="begin"/>
            </w:r>
            <w:r w:rsidR="00A16485">
              <w:rPr>
                <w:noProof/>
                <w:webHidden/>
              </w:rPr>
              <w:instrText xml:space="preserve"> PAGEREF _Toc419368468 \h </w:instrText>
            </w:r>
            <w:r w:rsidR="00A94AFA">
              <w:rPr>
                <w:noProof/>
                <w:webHidden/>
              </w:rPr>
            </w:r>
            <w:r w:rsidR="00A94AFA">
              <w:rPr>
                <w:noProof/>
                <w:webHidden/>
              </w:rPr>
              <w:fldChar w:fldCharType="separate"/>
            </w:r>
            <w:r w:rsidR="00A16485">
              <w:rPr>
                <w:noProof/>
                <w:webHidden/>
              </w:rPr>
              <w:t>11</w:t>
            </w:r>
            <w:r w:rsidR="00A94AFA">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69" w:history="1">
            <w:r w:rsidR="00A16485" w:rsidRPr="007D0181">
              <w:rPr>
                <w:rStyle w:val="Hyperlink"/>
                <w:noProof/>
              </w:rPr>
              <w:t>2.8. Sveobuhvatna procjena</w:t>
            </w:r>
            <w:r w:rsidR="00A16485">
              <w:rPr>
                <w:noProof/>
                <w:webHidden/>
              </w:rPr>
              <w:tab/>
            </w:r>
            <w:r w:rsidR="00A94AFA">
              <w:rPr>
                <w:noProof/>
                <w:webHidden/>
              </w:rPr>
              <w:fldChar w:fldCharType="begin"/>
            </w:r>
            <w:r w:rsidR="00A16485">
              <w:rPr>
                <w:noProof/>
                <w:webHidden/>
              </w:rPr>
              <w:instrText xml:space="preserve"> PAGEREF _Toc419368469 \h </w:instrText>
            </w:r>
            <w:r w:rsidR="00A94AFA">
              <w:rPr>
                <w:noProof/>
                <w:webHidden/>
              </w:rPr>
            </w:r>
            <w:r w:rsidR="00A94AFA">
              <w:rPr>
                <w:noProof/>
                <w:webHidden/>
              </w:rPr>
              <w:fldChar w:fldCharType="separate"/>
            </w:r>
            <w:r w:rsidR="00A16485">
              <w:rPr>
                <w:noProof/>
                <w:webHidden/>
              </w:rPr>
              <w:t>11</w:t>
            </w:r>
            <w:r w:rsidR="00A94AFA">
              <w:rPr>
                <w:noProof/>
                <w:webHidden/>
              </w:rPr>
              <w:fldChar w:fldCharType="end"/>
            </w:r>
          </w:hyperlink>
        </w:p>
        <w:p w:rsidR="00A16485" w:rsidRDefault="00EC77FD">
          <w:pPr>
            <w:pStyle w:val="TOC1"/>
            <w:rPr>
              <w:rFonts w:asciiTheme="minorHAnsi" w:eastAsiaTheme="minorEastAsia" w:hAnsiTheme="minorHAnsi" w:cstheme="minorBidi"/>
              <w:noProof/>
              <w:lang w:val="en-US"/>
            </w:rPr>
          </w:pPr>
          <w:hyperlink w:anchor="_Toc419368470" w:history="1">
            <w:r w:rsidR="00A16485" w:rsidRPr="007D0181">
              <w:rPr>
                <w:rStyle w:val="Hyperlink"/>
                <w:noProof/>
              </w:rPr>
              <w:t>3.</w:t>
            </w:r>
            <w:r w:rsidR="00A16485">
              <w:rPr>
                <w:rFonts w:asciiTheme="minorHAnsi" w:eastAsiaTheme="minorEastAsia" w:hAnsiTheme="minorHAnsi" w:cstheme="minorBidi"/>
                <w:noProof/>
                <w:lang w:val="en-US"/>
              </w:rPr>
              <w:tab/>
            </w:r>
            <w:r w:rsidR="00A16485" w:rsidRPr="007D0181">
              <w:rPr>
                <w:rStyle w:val="Hyperlink"/>
                <w:noProof/>
              </w:rPr>
              <w:t>Cilj(evi) IPA sektorske podrške</w:t>
            </w:r>
            <w:r w:rsidR="00A16485">
              <w:rPr>
                <w:noProof/>
                <w:webHidden/>
              </w:rPr>
              <w:tab/>
            </w:r>
            <w:r w:rsidR="00A94AFA">
              <w:rPr>
                <w:noProof/>
                <w:webHidden/>
              </w:rPr>
              <w:fldChar w:fldCharType="begin"/>
            </w:r>
            <w:r w:rsidR="00A16485">
              <w:rPr>
                <w:noProof/>
                <w:webHidden/>
              </w:rPr>
              <w:instrText xml:space="preserve"> PAGEREF _Toc419368470 \h </w:instrText>
            </w:r>
            <w:r w:rsidR="00A94AFA">
              <w:rPr>
                <w:noProof/>
                <w:webHidden/>
              </w:rPr>
            </w:r>
            <w:r w:rsidR="00A94AFA">
              <w:rPr>
                <w:noProof/>
                <w:webHidden/>
              </w:rPr>
              <w:fldChar w:fldCharType="separate"/>
            </w:r>
            <w:r w:rsidR="00A16485">
              <w:rPr>
                <w:noProof/>
                <w:webHidden/>
              </w:rPr>
              <w:t>12</w:t>
            </w:r>
            <w:r w:rsidR="00A94AFA">
              <w:rPr>
                <w:noProof/>
                <w:webHidden/>
              </w:rPr>
              <w:fldChar w:fldCharType="end"/>
            </w:r>
          </w:hyperlink>
        </w:p>
        <w:p w:rsidR="00A16485" w:rsidRDefault="00EC77FD">
          <w:pPr>
            <w:pStyle w:val="TOC1"/>
            <w:rPr>
              <w:rFonts w:asciiTheme="minorHAnsi" w:eastAsiaTheme="minorEastAsia" w:hAnsiTheme="minorHAnsi" w:cstheme="minorBidi"/>
              <w:noProof/>
              <w:lang w:val="en-US"/>
            </w:rPr>
          </w:pPr>
          <w:hyperlink w:anchor="_Toc419368471" w:history="1">
            <w:r w:rsidR="00A16485" w:rsidRPr="007D0181">
              <w:rPr>
                <w:rStyle w:val="Hyperlink"/>
                <w:noProof/>
              </w:rPr>
              <w:t>4. Operativne funkcije programa</w:t>
            </w:r>
            <w:r w:rsidR="00A16485">
              <w:rPr>
                <w:noProof/>
                <w:webHidden/>
              </w:rPr>
              <w:tab/>
            </w:r>
            <w:r w:rsidR="00A94AFA">
              <w:rPr>
                <w:noProof/>
                <w:webHidden/>
              </w:rPr>
              <w:fldChar w:fldCharType="begin"/>
            </w:r>
            <w:r w:rsidR="00A16485">
              <w:rPr>
                <w:noProof/>
                <w:webHidden/>
              </w:rPr>
              <w:instrText xml:space="preserve"> PAGEREF _Toc419368471 \h </w:instrText>
            </w:r>
            <w:r w:rsidR="00A94AFA">
              <w:rPr>
                <w:noProof/>
                <w:webHidden/>
              </w:rPr>
            </w:r>
            <w:r w:rsidR="00A94AFA">
              <w:rPr>
                <w:noProof/>
                <w:webHidden/>
              </w:rPr>
              <w:fldChar w:fldCharType="separate"/>
            </w:r>
            <w:r w:rsidR="00A16485">
              <w:rPr>
                <w:noProof/>
                <w:webHidden/>
              </w:rPr>
              <w:t>12</w:t>
            </w:r>
            <w:r w:rsidR="00A94AFA">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72" w:history="1">
            <w:r w:rsidR="00A16485" w:rsidRPr="007D0181">
              <w:rPr>
                <w:rStyle w:val="Hyperlink"/>
                <w:noProof/>
              </w:rPr>
              <w:t>4.1. Geografska i tematska usmjerenost</w:t>
            </w:r>
            <w:r w:rsidR="00A16485">
              <w:rPr>
                <w:noProof/>
                <w:webHidden/>
              </w:rPr>
              <w:tab/>
            </w:r>
            <w:r w:rsidR="00A94AFA">
              <w:rPr>
                <w:noProof/>
                <w:webHidden/>
              </w:rPr>
              <w:fldChar w:fldCharType="begin"/>
            </w:r>
            <w:r w:rsidR="00A16485">
              <w:rPr>
                <w:noProof/>
                <w:webHidden/>
              </w:rPr>
              <w:instrText xml:space="preserve"> PAGEREF _Toc419368472 \h </w:instrText>
            </w:r>
            <w:r w:rsidR="00A94AFA">
              <w:rPr>
                <w:noProof/>
                <w:webHidden/>
              </w:rPr>
            </w:r>
            <w:r w:rsidR="00A94AFA">
              <w:rPr>
                <w:noProof/>
                <w:webHidden/>
              </w:rPr>
              <w:fldChar w:fldCharType="separate"/>
            </w:r>
            <w:r w:rsidR="00A16485">
              <w:rPr>
                <w:noProof/>
                <w:webHidden/>
              </w:rPr>
              <w:t>12</w:t>
            </w:r>
            <w:r w:rsidR="00A94AFA">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73" w:history="1">
            <w:r w:rsidR="00A16485" w:rsidRPr="007D0181">
              <w:rPr>
                <w:rStyle w:val="Hyperlink"/>
                <w:noProof/>
              </w:rPr>
              <w:t>4.2. Interakcija programa sa drugim IPA II programima u sektoru</w:t>
            </w:r>
            <w:r w:rsidR="00A16485">
              <w:rPr>
                <w:noProof/>
                <w:webHidden/>
              </w:rPr>
              <w:tab/>
            </w:r>
            <w:r w:rsidR="00A94AFA">
              <w:rPr>
                <w:noProof/>
                <w:webHidden/>
              </w:rPr>
              <w:fldChar w:fldCharType="begin"/>
            </w:r>
            <w:r w:rsidR="00A16485">
              <w:rPr>
                <w:noProof/>
                <w:webHidden/>
              </w:rPr>
              <w:instrText xml:space="preserve"> PAGEREF _Toc419368473 \h </w:instrText>
            </w:r>
            <w:r w:rsidR="00A94AFA">
              <w:rPr>
                <w:noProof/>
                <w:webHidden/>
              </w:rPr>
            </w:r>
            <w:r w:rsidR="00A94AFA">
              <w:rPr>
                <w:noProof/>
                <w:webHidden/>
              </w:rPr>
              <w:fldChar w:fldCharType="separate"/>
            </w:r>
            <w:r w:rsidR="00A16485">
              <w:rPr>
                <w:noProof/>
                <w:webHidden/>
              </w:rPr>
              <w:t>13</w:t>
            </w:r>
            <w:r w:rsidR="00A94AFA">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74" w:history="1">
            <w:r w:rsidR="00A16485" w:rsidRPr="007D0181">
              <w:rPr>
                <w:rStyle w:val="Hyperlink"/>
                <w:noProof/>
              </w:rPr>
              <w:t>4.3.   Komplementarnost IPA podrške u sektoru sa drugim donatorima</w:t>
            </w:r>
            <w:r w:rsidR="00A16485">
              <w:rPr>
                <w:noProof/>
                <w:webHidden/>
              </w:rPr>
              <w:tab/>
            </w:r>
            <w:r w:rsidR="00A94AFA">
              <w:rPr>
                <w:noProof/>
                <w:webHidden/>
              </w:rPr>
              <w:fldChar w:fldCharType="begin"/>
            </w:r>
            <w:r w:rsidR="00A16485">
              <w:rPr>
                <w:noProof/>
                <w:webHidden/>
              </w:rPr>
              <w:instrText xml:space="preserve"> PAGEREF _Toc419368474 \h </w:instrText>
            </w:r>
            <w:r w:rsidR="00A94AFA">
              <w:rPr>
                <w:noProof/>
                <w:webHidden/>
              </w:rPr>
            </w:r>
            <w:r w:rsidR="00A94AFA">
              <w:rPr>
                <w:noProof/>
                <w:webHidden/>
              </w:rPr>
              <w:fldChar w:fldCharType="separate"/>
            </w:r>
            <w:r w:rsidR="00A16485">
              <w:rPr>
                <w:noProof/>
                <w:webHidden/>
              </w:rPr>
              <w:t>13</w:t>
            </w:r>
            <w:r w:rsidR="00A94AFA">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75" w:history="1">
            <w:r w:rsidR="00A16485" w:rsidRPr="007D0181">
              <w:rPr>
                <w:rStyle w:val="Hyperlink"/>
                <w:noProof/>
              </w:rPr>
              <w:t>4.4.    Jednake mogućnosti i rodna ravnopravnost</w:t>
            </w:r>
            <w:r w:rsidR="00A16485">
              <w:rPr>
                <w:noProof/>
                <w:webHidden/>
              </w:rPr>
              <w:tab/>
            </w:r>
            <w:r w:rsidR="00A94AFA">
              <w:rPr>
                <w:noProof/>
                <w:webHidden/>
              </w:rPr>
              <w:fldChar w:fldCharType="begin"/>
            </w:r>
            <w:r w:rsidR="00A16485">
              <w:rPr>
                <w:noProof/>
                <w:webHidden/>
              </w:rPr>
              <w:instrText xml:space="preserve"> PAGEREF _Toc419368475 \h </w:instrText>
            </w:r>
            <w:r w:rsidR="00A94AFA">
              <w:rPr>
                <w:noProof/>
                <w:webHidden/>
              </w:rPr>
            </w:r>
            <w:r w:rsidR="00A94AFA">
              <w:rPr>
                <w:noProof/>
                <w:webHidden/>
              </w:rPr>
              <w:fldChar w:fldCharType="separate"/>
            </w:r>
            <w:r w:rsidR="00A16485">
              <w:rPr>
                <w:noProof/>
                <w:webHidden/>
              </w:rPr>
              <w:t>13</w:t>
            </w:r>
            <w:r w:rsidR="00A94AFA">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76" w:history="1">
            <w:r w:rsidR="00A16485" w:rsidRPr="007D0181">
              <w:rPr>
                <w:rStyle w:val="Hyperlink"/>
                <w:noProof/>
              </w:rPr>
              <w:t>4.5. Klimatske akcije i održivi razvoj (ukoliko je relevantno)</w:t>
            </w:r>
            <w:r w:rsidR="00A16485">
              <w:rPr>
                <w:noProof/>
                <w:webHidden/>
              </w:rPr>
              <w:tab/>
            </w:r>
            <w:r w:rsidR="00A94AFA">
              <w:rPr>
                <w:noProof/>
                <w:webHidden/>
              </w:rPr>
              <w:fldChar w:fldCharType="begin"/>
            </w:r>
            <w:r w:rsidR="00A16485">
              <w:rPr>
                <w:noProof/>
                <w:webHidden/>
              </w:rPr>
              <w:instrText xml:space="preserve"> PAGEREF _Toc419368476 \h </w:instrText>
            </w:r>
            <w:r w:rsidR="00A94AFA">
              <w:rPr>
                <w:noProof/>
                <w:webHidden/>
              </w:rPr>
            </w:r>
            <w:r w:rsidR="00A94AFA">
              <w:rPr>
                <w:noProof/>
                <w:webHidden/>
              </w:rPr>
              <w:fldChar w:fldCharType="separate"/>
            </w:r>
            <w:r w:rsidR="00A16485">
              <w:rPr>
                <w:noProof/>
                <w:webHidden/>
              </w:rPr>
              <w:t>14</w:t>
            </w:r>
            <w:r w:rsidR="00A94AFA">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77" w:history="1">
            <w:r w:rsidR="00A16485" w:rsidRPr="007D0181">
              <w:rPr>
                <w:rStyle w:val="Hyperlink"/>
                <w:noProof/>
              </w:rPr>
              <w:t>4.6. Strategija programa – Akcije i aktivnosti</w:t>
            </w:r>
            <w:r w:rsidR="00A16485">
              <w:rPr>
                <w:noProof/>
                <w:webHidden/>
              </w:rPr>
              <w:tab/>
            </w:r>
            <w:r w:rsidR="00A94AFA">
              <w:rPr>
                <w:noProof/>
                <w:webHidden/>
              </w:rPr>
              <w:fldChar w:fldCharType="begin"/>
            </w:r>
            <w:r w:rsidR="00A16485">
              <w:rPr>
                <w:noProof/>
                <w:webHidden/>
              </w:rPr>
              <w:instrText xml:space="preserve"> PAGEREF _Toc419368477 \h </w:instrText>
            </w:r>
            <w:r w:rsidR="00A94AFA">
              <w:rPr>
                <w:noProof/>
                <w:webHidden/>
              </w:rPr>
            </w:r>
            <w:r w:rsidR="00A94AFA">
              <w:rPr>
                <w:noProof/>
                <w:webHidden/>
              </w:rPr>
              <w:fldChar w:fldCharType="separate"/>
            </w:r>
            <w:r w:rsidR="00A16485">
              <w:rPr>
                <w:noProof/>
                <w:webHidden/>
              </w:rPr>
              <w:t>14</w:t>
            </w:r>
            <w:r w:rsidR="00A94AFA">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78" w:history="1">
            <w:r w:rsidR="00A16485" w:rsidRPr="007D0181">
              <w:rPr>
                <w:rStyle w:val="Hyperlink"/>
                <w:noProof/>
              </w:rPr>
              <w:t>4.6.1. Akcija 1- Unaprijeđenje tržišta rada i povećanje zapošljivosti</w:t>
            </w:r>
            <w:r w:rsidR="00A16485">
              <w:rPr>
                <w:noProof/>
                <w:webHidden/>
              </w:rPr>
              <w:tab/>
            </w:r>
            <w:r w:rsidR="00A94AFA">
              <w:rPr>
                <w:noProof/>
                <w:webHidden/>
              </w:rPr>
              <w:fldChar w:fldCharType="begin"/>
            </w:r>
            <w:r w:rsidR="00A16485">
              <w:rPr>
                <w:noProof/>
                <w:webHidden/>
              </w:rPr>
              <w:instrText xml:space="preserve"> PAGEREF _Toc419368478 \h </w:instrText>
            </w:r>
            <w:r w:rsidR="00A94AFA">
              <w:rPr>
                <w:noProof/>
                <w:webHidden/>
              </w:rPr>
            </w:r>
            <w:r w:rsidR="00A94AFA">
              <w:rPr>
                <w:noProof/>
                <w:webHidden/>
              </w:rPr>
              <w:fldChar w:fldCharType="separate"/>
            </w:r>
            <w:r w:rsidR="00A16485">
              <w:rPr>
                <w:noProof/>
                <w:webHidden/>
              </w:rPr>
              <w:t>15</w:t>
            </w:r>
            <w:r w:rsidR="00A94AFA">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79" w:history="1">
            <w:r w:rsidR="00A16485" w:rsidRPr="007D0181">
              <w:rPr>
                <w:rStyle w:val="Hyperlink"/>
                <w:noProof/>
                <w:lang w:val="hr-HR"/>
              </w:rPr>
              <w:t xml:space="preserve">4.6.1.3. </w:t>
            </w:r>
            <w:r w:rsidR="00A16485" w:rsidRPr="007D0181">
              <w:rPr>
                <w:rStyle w:val="Hyperlink"/>
                <w:noProof/>
              </w:rPr>
              <w:t>Tabela pregleda</w:t>
            </w:r>
            <w:r w:rsidR="00A16485">
              <w:rPr>
                <w:noProof/>
                <w:webHidden/>
              </w:rPr>
              <w:tab/>
            </w:r>
            <w:r w:rsidR="00A94AFA">
              <w:rPr>
                <w:noProof/>
                <w:webHidden/>
              </w:rPr>
              <w:fldChar w:fldCharType="begin"/>
            </w:r>
            <w:r w:rsidR="00A16485">
              <w:rPr>
                <w:noProof/>
                <w:webHidden/>
              </w:rPr>
              <w:instrText xml:space="preserve"> PAGEREF _Toc419368479 \h </w:instrText>
            </w:r>
            <w:r w:rsidR="00A94AFA">
              <w:rPr>
                <w:noProof/>
                <w:webHidden/>
              </w:rPr>
            </w:r>
            <w:r w:rsidR="00A94AFA">
              <w:rPr>
                <w:noProof/>
                <w:webHidden/>
              </w:rPr>
              <w:fldChar w:fldCharType="separate"/>
            </w:r>
            <w:r w:rsidR="00A16485">
              <w:rPr>
                <w:noProof/>
                <w:webHidden/>
              </w:rPr>
              <w:t>19</w:t>
            </w:r>
            <w:r w:rsidR="00A94AFA">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80" w:history="1">
            <w:r w:rsidR="00A16485" w:rsidRPr="007D0181">
              <w:rPr>
                <w:rStyle w:val="Hyperlink"/>
                <w:rFonts w:ascii="Times New Roman" w:hAnsi="Times New Roman"/>
                <w:noProof/>
                <w:lang w:val="hr-HR"/>
              </w:rPr>
              <w:t xml:space="preserve">4.6.2. Akcija 2 - </w:t>
            </w:r>
            <w:r w:rsidR="00A16485" w:rsidRPr="007D0181">
              <w:rPr>
                <w:rStyle w:val="Hyperlink"/>
                <w:noProof/>
                <w:lang w:val="hr-HR"/>
              </w:rPr>
              <w:t>Unaprijeđenje sistema obrazovanja</w:t>
            </w:r>
            <w:r w:rsidR="00A16485">
              <w:rPr>
                <w:noProof/>
                <w:webHidden/>
              </w:rPr>
              <w:tab/>
            </w:r>
            <w:r w:rsidR="00A94AFA">
              <w:rPr>
                <w:noProof/>
                <w:webHidden/>
              </w:rPr>
              <w:fldChar w:fldCharType="begin"/>
            </w:r>
            <w:r w:rsidR="00A16485">
              <w:rPr>
                <w:noProof/>
                <w:webHidden/>
              </w:rPr>
              <w:instrText xml:space="preserve"> PAGEREF _Toc419368480 \h </w:instrText>
            </w:r>
            <w:r w:rsidR="00A94AFA">
              <w:rPr>
                <w:noProof/>
                <w:webHidden/>
              </w:rPr>
            </w:r>
            <w:r w:rsidR="00A94AFA">
              <w:rPr>
                <w:noProof/>
                <w:webHidden/>
              </w:rPr>
              <w:fldChar w:fldCharType="separate"/>
            </w:r>
            <w:r w:rsidR="00A16485">
              <w:rPr>
                <w:noProof/>
                <w:webHidden/>
              </w:rPr>
              <w:t>20</w:t>
            </w:r>
            <w:r w:rsidR="00A94AFA">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81" w:history="1">
            <w:r w:rsidR="00A16485" w:rsidRPr="007D0181">
              <w:rPr>
                <w:rStyle w:val="Hyperlink"/>
                <w:noProof/>
                <w:lang w:val="hr-HR"/>
              </w:rPr>
              <w:t>4.6.2.3. Tabela pregleda</w:t>
            </w:r>
            <w:r w:rsidR="00A16485">
              <w:rPr>
                <w:noProof/>
                <w:webHidden/>
              </w:rPr>
              <w:tab/>
            </w:r>
            <w:r w:rsidR="00A94AFA">
              <w:rPr>
                <w:noProof/>
                <w:webHidden/>
              </w:rPr>
              <w:fldChar w:fldCharType="begin"/>
            </w:r>
            <w:r w:rsidR="00A16485">
              <w:rPr>
                <w:noProof/>
                <w:webHidden/>
              </w:rPr>
              <w:instrText xml:space="preserve"> PAGEREF _Toc419368481 \h </w:instrText>
            </w:r>
            <w:r w:rsidR="00A94AFA">
              <w:rPr>
                <w:noProof/>
                <w:webHidden/>
              </w:rPr>
            </w:r>
            <w:r w:rsidR="00A94AFA">
              <w:rPr>
                <w:noProof/>
                <w:webHidden/>
              </w:rPr>
              <w:fldChar w:fldCharType="separate"/>
            </w:r>
            <w:r w:rsidR="00A16485">
              <w:rPr>
                <w:noProof/>
                <w:webHidden/>
              </w:rPr>
              <w:t>24</w:t>
            </w:r>
            <w:r w:rsidR="00A94AFA">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82" w:history="1">
            <w:r w:rsidR="00A16485" w:rsidRPr="007D0181">
              <w:rPr>
                <w:rStyle w:val="Hyperlink"/>
                <w:noProof/>
              </w:rPr>
              <w:t>4.6.3. Akcija 3 - Podsticanje socijalne inkluzije i unaprijeđenje sistema socijalne zaštite</w:t>
            </w:r>
            <w:r w:rsidR="00A16485">
              <w:rPr>
                <w:noProof/>
                <w:webHidden/>
              </w:rPr>
              <w:tab/>
            </w:r>
            <w:r w:rsidR="00A94AFA">
              <w:rPr>
                <w:noProof/>
                <w:webHidden/>
              </w:rPr>
              <w:fldChar w:fldCharType="begin"/>
            </w:r>
            <w:r w:rsidR="00A16485">
              <w:rPr>
                <w:noProof/>
                <w:webHidden/>
              </w:rPr>
              <w:instrText xml:space="preserve"> PAGEREF _Toc419368482 \h </w:instrText>
            </w:r>
            <w:r w:rsidR="00A94AFA">
              <w:rPr>
                <w:noProof/>
                <w:webHidden/>
              </w:rPr>
            </w:r>
            <w:r w:rsidR="00A94AFA">
              <w:rPr>
                <w:noProof/>
                <w:webHidden/>
              </w:rPr>
              <w:fldChar w:fldCharType="separate"/>
            </w:r>
            <w:r w:rsidR="00A16485">
              <w:rPr>
                <w:noProof/>
                <w:webHidden/>
              </w:rPr>
              <w:t>26</w:t>
            </w:r>
            <w:r w:rsidR="00A94AFA">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83" w:history="1">
            <w:r w:rsidR="00A16485" w:rsidRPr="007D0181">
              <w:rPr>
                <w:rStyle w:val="Hyperlink"/>
                <w:noProof/>
                <w:lang w:val="hr-HR"/>
              </w:rPr>
              <w:t>4.6.3.3. Tabela sa pregledom</w:t>
            </w:r>
            <w:r w:rsidR="00A16485">
              <w:rPr>
                <w:noProof/>
                <w:webHidden/>
              </w:rPr>
              <w:tab/>
            </w:r>
            <w:r w:rsidR="00A94AFA">
              <w:rPr>
                <w:noProof/>
                <w:webHidden/>
              </w:rPr>
              <w:fldChar w:fldCharType="begin"/>
            </w:r>
            <w:r w:rsidR="00A16485">
              <w:rPr>
                <w:noProof/>
                <w:webHidden/>
              </w:rPr>
              <w:instrText xml:space="preserve"> PAGEREF _Toc419368483 \h </w:instrText>
            </w:r>
            <w:r w:rsidR="00A94AFA">
              <w:rPr>
                <w:noProof/>
                <w:webHidden/>
              </w:rPr>
            </w:r>
            <w:r w:rsidR="00A94AFA">
              <w:rPr>
                <w:noProof/>
                <w:webHidden/>
              </w:rPr>
              <w:fldChar w:fldCharType="separate"/>
            </w:r>
            <w:r w:rsidR="00A16485">
              <w:rPr>
                <w:noProof/>
                <w:webHidden/>
              </w:rPr>
              <w:t>30</w:t>
            </w:r>
            <w:r w:rsidR="00A94AFA">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84" w:history="1">
            <w:r w:rsidR="00A16485" w:rsidRPr="007D0181">
              <w:rPr>
                <w:rStyle w:val="Hyperlink"/>
                <w:noProof/>
                <w:lang w:val="hr-HR"/>
              </w:rPr>
              <w:t>4.6.4. Akcija 4 - Tehnička pomoć</w:t>
            </w:r>
            <w:r w:rsidR="00A16485">
              <w:rPr>
                <w:noProof/>
                <w:webHidden/>
              </w:rPr>
              <w:tab/>
            </w:r>
            <w:r w:rsidR="00A94AFA">
              <w:rPr>
                <w:noProof/>
                <w:webHidden/>
              </w:rPr>
              <w:fldChar w:fldCharType="begin"/>
            </w:r>
            <w:r w:rsidR="00A16485">
              <w:rPr>
                <w:noProof/>
                <w:webHidden/>
              </w:rPr>
              <w:instrText xml:space="preserve"> PAGEREF _Toc419368484 \h </w:instrText>
            </w:r>
            <w:r w:rsidR="00A94AFA">
              <w:rPr>
                <w:noProof/>
                <w:webHidden/>
              </w:rPr>
            </w:r>
            <w:r w:rsidR="00A94AFA">
              <w:rPr>
                <w:noProof/>
                <w:webHidden/>
              </w:rPr>
              <w:fldChar w:fldCharType="separate"/>
            </w:r>
            <w:r w:rsidR="00A16485">
              <w:rPr>
                <w:noProof/>
                <w:webHidden/>
              </w:rPr>
              <w:t>31</w:t>
            </w:r>
            <w:r w:rsidR="00A94AFA">
              <w:rPr>
                <w:noProof/>
                <w:webHidden/>
              </w:rPr>
              <w:fldChar w:fldCharType="end"/>
            </w:r>
          </w:hyperlink>
        </w:p>
        <w:p w:rsidR="00A16485" w:rsidRDefault="00EC77FD">
          <w:pPr>
            <w:pStyle w:val="TOC2"/>
            <w:rPr>
              <w:rFonts w:asciiTheme="minorHAnsi" w:eastAsiaTheme="minorEastAsia" w:hAnsiTheme="minorHAnsi" w:cstheme="minorBidi"/>
              <w:noProof/>
              <w:lang w:val="en-US"/>
            </w:rPr>
          </w:pPr>
          <w:hyperlink w:anchor="_Toc419368485" w:history="1">
            <w:r w:rsidR="00A16485" w:rsidRPr="007D0181">
              <w:rPr>
                <w:rStyle w:val="Hyperlink"/>
                <w:noProof/>
              </w:rPr>
              <w:t>4.6.4.3. Tabela pregleda</w:t>
            </w:r>
            <w:r w:rsidR="00A16485">
              <w:rPr>
                <w:noProof/>
                <w:webHidden/>
              </w:rPr>
              <w:tab/>
            </w:r>
            <w:r w:rsidR="00A94AFA">
              <w:rPr>
                <w:noProof/>
                <w:webHidden/>
              </w:rPr>
              <w:fldChar w:fldCharType="begin"/>
            </w:r>
            <w:r w:rsidR="00A16485">
              <w:rPr>
                <w:noProof/>
                <w:webHidden/>
              </w:rPr>
              <w:instrText xml:space="preserve"> PAGEREF _Toc419368485 \h </w:instrText>
            </w:r>
            <w:r w:rsidR="00A94AFA">
              <w:rPr>
                <w:noProof/>
                <w:webHidden/>
              </w:rPr>
            </w:r>
            <w:r w:rsidR="00A94AFA">
              <w:rPr>
                <w:noProof/>
                <w:webHidden/>
              </w:rPr>
              <w:fldChar w:fldCharType="separate"/>
            </w:r>
            <w:r w:rsidR="00A16485">
              <w:rPr>
                <w:noProof/>
                <w:webHidden/>
              </w:rPr>
              <w:t>32</w:t>
            </w:r>
            <w:r w:rsidR="00A94AFA">
              <w:rPr>
                <w:noProof/>
                <w:webHidden/>
              </w:rPr>
              <w:fldChar w:fldCharType="end"/>
            </w:r>
          </w:hyperlink>
        </w:p>
        <w:p w:rsidR="00A16485" w:rsidRDefault="00EC77FD">
          <w:pPr>
            <w:pStyle w:val="TOC1"/>
            <w:rPr>
              <w:rFonts w:asciiTheme="minorHAnsi" w:eastAsiaTheme="minorEastAsia" w:hAnsiTheme="minorHAnsi" w:cstheme="minorBidi"/>
              <w:noProof/>
              <w:lang w:val="en-US"/>
            </w:rPr>
          </w:pPr>
          <w:hyperlink w:anchor="_Toc419368486" w:history="1">
            <w:r w:rsidR="00A16485" w:rsidRPr="007D0181">
              <w:rPr>
                <w:rStyle w:val="Hyperlink"/>
                <w:noProof/>
              </w:rPr>
              <w:t>5.</w:t>
            </w:r>
            <w:r w:rsidR="00A16485">
              <w:rPr>
                <w:rFonts w:asciiTheme="minorHAnsi" w:eastAsiaTheme="minorEastAsia" w:hAnsiTheme="minorHAnsi" w:cstheme="minorBidi"/>
                <w:noProof/>
                <w:lang w:val="en-US"/>
              </w:rPr>
              <w:tab/>
            </w:r>
            <w:r w:rsidR="00A16485" w:rsidRPr="007D0181">
              <w:rPr>
                <w:rStyle w:val="Hyperlink"/>
                <w:noProof/>
              </w:rPr>
              <w:t>Finansijska tabela po akcijama i godinama uključujući stopu kofinansiranja ukoliko je primjenjivo</w:t>
            </w:r>
            <w:r w:rsidR="00A16485">
              <w:rPr>
                <w:noProof/>
                <w:webHidden/>
              </w:rPr>
              <w:tab/>
            </w:r>
            <w:r w:rsidR="00A94AFA">
              <w:rPr>
                <w:noProof/>
                <w:webHidden/>
              </w:rPr>
              <w:fldChar w:fldCharType="begin"/>
            </w:r>
            <w:r w:rsidR="00A16485">
              <w:rPr>
                <w:noProof/>
                <w:webHidden/>
              </w:rPr>
              <w:instrText xml:space="preserve"> PAGEREF _Toc419368486 \h </w:instrText>
            </w:r>
            <w:r w:rsidR="00A94AFA">
              <w:rPr>
                <w:noProof/>
                <w:webHidden/>
              </w:rPr>
            </w:r>
            <w:r w:rsidR="00A94AFA">
              <w:rPr>
                <w:noProof/>
                <w:webHidden/>
              </w:rPr>
              <w:fldChar w:fldCharType="separate"/>
            </w:r>
            <w:r w:rsidR="00A16485">
              <w:rPr>
                <w:noProof/>
                <w:webHidden/>
              </w:rPr>
              <w:t>32</w:t>
            </w:r>
            <w:r w:rsidR="00A94AFA">
              <w:rPr>
                <w:noProof/>
                <w:webHidden/>
              </w:rPr>
              <w:fldChar w:fldCharType="end"/>
            </w:r>
          </w:hyperlink>
        </w:p>
        <w:p w:rsidR="00A16485" w:rsidRDefault="00EC77FD">
          <w:pPr>
            <w:pStyle w:val="TOC1"/>
            <w:rPr>
              <w:rFonts w:asciiTheme="minorHAnsi" w:eastAsiaTheme="minorEastAsia" w:hAnsiTheme="minorHAnsi" w:cstheme="minorBidi"/>
              <w:noProof/>
              <w:lang w:val="en-US"/>
            </w:rPr>
          </w:pPr>
          <w:hyperlink w:anchor="_Toc419368487" w:history="1">
            <w:r w:rsidR="00A16485" w:rsidRPr="007D0181">
              <w:rPr>
                <w:rStyle w:val="Hyperlink"/>
                <w:noProof/>
              </w:rPr>
              <w:t>6.</w:t>
            </w:r>
            <w:r w:rsidR="00A16485">
              <w:rPr>
                <w:rFonts w:asciiTheme="minorHAnsi" w:eastAsiaTheme="minorEastAsia" w:hAnsiTheme="minorHAnsi" w:cstheme="minorBidi"/>
                <w:noProof/>
                <w:lang w:val="en-US"/>
              </w:rPr>
              <w:tab/>
            </w:r>
            <w:r w:rsidR="00A16485" w:rsidRPr="007D0181">
              <w:rPr>
                <w:rStyle w:val="Hyperlink"/>
                <w:noProof/>
              </w:rPr>
              <w:t>Pregled procesa konsultacija</w:t>
            </w:r>
            <w:r w:rsidR="00A16485">
              <w:rPr>
                <w:noProof/>
                <w:webHidden/>
              </w:rPr>
              <w:tab/>
            </w:r>
            <w:r w:rsidR="00A94AFA">
              <w:rPr>
                <w:noProof/>
                <w:webHidden/>
              </w:rPr>
              <w:fldChar w:fldCharType="begin"/>
            </w:r>
            <w:r w:rsidR="00A16485">
              <w:rPr>
                <w:noProof/>
                <w:webHidden/>
              </w:rPr>
              <w:instrText xml:space="preserve"> PAGEREF _Toc419368487 \h </w:instrText>
            </w:r>
            <w:r w:rsidR="00A94AFA">
              <w:rPr>
                <w:noProof/>
                <w:webHidden/>
              </w:rPr>
            </w:r>
            <w:r w:rsidR="00A94AFA">
              <w:rPr>
                <w:noProof/>
                <w:webHidden/>
              </w:rPr>
              <w:fldChar w:fldCharType="separate"/>
            </w:r>
            <w:r w:rsidR="00A16485">
              <w:rPr>
                <w:noProof/>
                <w:webHidden/>
              </w:rPr>
              <w:t>34</w:t>
            </w:r>
            <w:r w:rsidR="00A94AFA">
              <w:rPr>
                <w:noProof/>
                <w:webHidden/>
              </w:rPr>
              <w:fldChar w:fldCharType="end"/>
            </w:r>
          </w:hyperlink>
        </w:p>
        <w:p w:rsidR="00A16485" w:rsidRDefault="00EC77FD">
          <w:pPr>
            <w:pStyle w:val="TOC1"/>
            <w:rPr>
              <w:rFonts w:asciiTheme="minorHAnsi" w:eastAsiaTheme="minorEastAsia" w:hAnsiTheme="minorHAnsi" w:cstheme="minorBidi"/>
              <w:noProof/>
              <w:lang w:val="en-US"/>
            </w:rPr>
          </w:pPr>
          <w:hyperlink w:anchor="_Toc419368488" w:history="1">
            <w:r w:rsidR="00A16485" w:rsidRPr="007D0181">
              <w:rPr>
                <w:rStyle w:val="Hyperlink"/>
                <w:noProof/>
                <w:lang w:val="hr-HR"/>
              </w:rPr>
              <w:t>7.</w:t>
            </w:r>
            <w:r w:rsidR="00A16485">
              <w:rPr>
                <w:rFonts w:asciiTheme="minorHAnsi" w:eastAsiaTheme="minorEastAsia" w:hAnsiTheme="minorHAnsi" w:cstheme="minorBidi"/>
                <w:noProof/>
                <w:lang w:val="en-US"/>
              </w:rPr>
              <w:tab/>
            </w:r>
            <w:r w:rsidR="00A16485" w:rsidRPr="007D0181">
              <w:rPr>
                <w:rStyle w:val="Hyperlink"/>
                <w:noProof/>
                <w:lang w:val="hr-HR"/>
              </w:rPr>
              <w:t>Osnovna načela odabira aktivnosti</w:t>
            </w:r>
            <w:r w:rsidR="00A16485">
              <w:rPr>
                <w:noProof/>
                <w:webHidden/>
              </w:rPr>
              <w:tab/>
            </w:r>
            <w:r w:rsidR="00A94AFA">
              <w:rPr>
                <w:noProof/>
                <w:webHidden/>
              </w:rPr>
              <w:fldChar w:fldCharType="begin"/>
            </w:r>
            <w:r w:rsidR="00A16485">
              <w:rPr>
                <w:noProof/>
                <w:webHidden/>
              </w:rPr>
              <w:instrText xml:space="preserve"> PAGEREF _Toc419368488 \h </w:instrText>
            </w:r>
            <w:r w:rsidR="00A94AFA">
              <w:rPr>
                <w:noProof/>
                <w:webHidden/>
              </w:rPr>
            </w:r>
            <w:r w:rsidR="00A94AFA">
              <w:rPr>
                <w:noProof/>
                <w:webHidden/>
              </w:rPr>
              <w:fldChar w:fldCharType="separate"/>
            </w:r>
            <w:r w:rsidR="00A16485">
              <w:rPr>
                <w:noProof/>
                <w:webHidden/>
              </w:rPr>
              <w:t>34</w:t>
            </w:r>
            <w:r w:rsidR="00A94AFA">
              <w:rPr>
                <w:noProof/>
                <w:webHidden/>
              </w:rPr>
              <w:fldChar w:fldCharType="end"/>
            </w:r>
          </w:hyperlink>
        </w:p>
        <w:p w:rsidR="00C31FCA" w:rsidRDefault="00A94AFA">
          <w:r w:rsidRPr="00E21DF3">
            <w:rPr>
              <w:rFonts w:asciiTheme="majorHAnsi" w:hAnsiTheme="majorHAnsi"/>
              <w:sz w:val="24"/>
              <w:szCs w:val="24"/>
            </w:rPr>
            <w:fldChar w:fldCharType="end"/>
          </w:r>
        </w:p>
      </w:sdtContent>
    </w:sdt>
    <w:p w:rsidR="0084571F" w:rsidRDefault="00E21DF3" w:rsidP="0084571F">
      <w:pPr>
        <w:rPr>
          <w:rFonts w:ascii="Times New Roman" w:hAnsi="Times New Roman"/>
          <w:i/>
          <w:sz w:val="24"/>
          <w:szCs w:val="24"/>
        </w:rPr>
      </w:pPr>
      <w:r>
        <w:rPr>
          <w:rFonts w:ascii="Times New Roman" w:hAnsi="Times New Roman"/>
          <w:i/>
          <w:sz w:val="24"/>
          <w:szCs w:val="24"/>
        </w:rPr>
        <w:t xml:space="preserve">                         </w:t>
      </w:r>
      <w:r w:rsidR="0084571F" w:rsidRPr="00160F4D">
        <w:rPr>
          <w:rFonts w:ascii="Times New Roman" w:hAnsi="Times New Roman"/>
          <w:i/>
          <w:sz w:val="24"/>
          <w:szCs w:val="24"/>
        </w:rPr>
        <w:t xml:space="preserve">                                                                                   </w:t>
      </w:r>
    </w:p>
    <w:p w:rsidR="00E21DF3" w:rsidRDefault="00E21DF3" w:rsidP="00C31FCA">
      <w:pPr>
        <w:pStyle w:val="Heading1"/>
        <w:numPr>
          <w:ilvl w:val="0"/>
          <w:numId w:val="40"/>
        </w:numPr>
        <w:sectPr w:rsidR="00E21DF3" w:rsidSect="00D84394">
          <w:footerReference w:type="default" r:id="rId9"/>
          <w:footerReference w:type="first" r:id="rId10"/>
          <w:pgSz w:w="11906" w:h="16838"/>
          <w:pgMar w:top="1417" w:right="1417" w:bottom="1417" w:left="1417" w:header="708" w:footer="708" w:gutter="0"/>
          <w:pgNumType w:start="1"/>
          <w:cols w:space="708"/>
          <w:titlePg/>
          <w:docGrid w:linePitch="360"/>
        </w:sectPr>
      </w:pPr>
    </w:p>
    <w:p w:rsidR="0084571F" w:rsidRPr="00160F4D" w:rsidRDefault="00BF2109" w:rsidP="00C31FCA">
      <w:pPr>
        <w:pStyle w:val="Heading1"/>
        <w:numPr>
          <w:ilvl w:val="0"/>
          <w:numId w:val="40"/>
        </w:numPr>
      </w:pPr>
      <w:bookmarkStart w:id="1" w:name="_Toc419368459"/>
      <w:r>
        <w:lastRenderedPageBreak/>
        <w:t>Analiza sektora</w:t>
      </w:r>
      <w:bookmarkEnd w:id="1"/>
      <w:r>
        <w:t xml:space="preserve"> </w:t>
      </w:r>
      <w:r w:rsidR="0084571F" w:rsidRPr="00160F4D">
        <w:t xml:space="preserve"> </w:t>
      </w:r>
    </w:p>
    <w:p w:rsidR="004D18DA" w:rsidRPr="004D18DA" w:rsidRDefault="00BF2109" w:rsidP="004D18DA">
      <w:pPr>
        <w:pStyle w:val="Heading2"/>
        <w:numPr>
          <w:ilvl w:val="1"/>
          <w:numId w:val="40"/>
        </w:numPr>
        <w:spacing w:after="240"/>
      </w:pPr>
      <w:bookmarkStart w:id="2" w:name="_Toc419368460"/>
      <w:r w:rsidRPr="00BF2109">
        <w:t>Nacionalne politike i socio ekonomski kontekst</w:t>
      </w:r>
      <w:bookmarkEnd w:id="2"/>
    </w:p>
    <w:p w:rsidR="0084571F" w:rsidRPr="00E21DF3" w:rsidRDefault="0084571F" w:rsidP="0084571F">
      <w:pPr>
        <w:spacing w:after="120"/>
        <w:jc w:val="both"/>
        <w:rPr>
          <w:rFonts w:asciiTheme="majorHAnsi" w:hAnsiTheme="majorHAnsi"/>
          <w:sz w:val="24"/>
          <w:szCs w:val="24"/>
        </w:rPr>
      </w:pPr>
      <w:r w:rsidRPr="00E21DF3">
        <w:rPr>
          <w:rFonts w:asciiTheme="majorHAnsi" w:hAnsiTheme="majorHAnsi"/>
          <w:sz w:val="24"/>
          <w:szCs w:val="24"/>
        </w:rPr>
        <w:t xml:space="preserve">U skladu sa Crnogorskim prioritetima postavljenim u Sektorskom planskom dokumentu: Obrazovanje, </w:t>
      </w:r>
      <w:r w:rsidR="00DE3FAD" w:rsidRPr="00E21DF3">
        <w:rPr>
          <w:rFonts w:asciiTheme="majorHAnsi" w:hAnsiTheme="majorHAnsi"/>
          <w:sz w:val="24"/>
          <w:szCs w:val="24"/>
        </w:rPr>
        <w:t>zapošljavanje i s</w:t>
      </w:r>
      <w:r w:rsidRPr="00E21DF3">
        <w:rPr>
          <w:rFonts w:asciiTheme="majorHAnsi" w:hAnsiTheme="majorHAnsi"/>
          <w:sz w:val="24"/>
          <w:szCs w:val="24"/>
        </w:rPr>
        <w:t xml:space="preserve">ocijalna politika navedena područja sadrže ključne elemente nužne za postizanje održivog, pametnog i </w:t>
      </w:r>
      <w:r w:rsidR="00F9696F" w:rsidRPr="00E21DF3">
        <w:rPr>
          <w:rFonts w:asciiTheme="majorHAnsi" w:hAnsiTheme="majorHAnsi"/>
          <w:sz w:val="24"/>
          <w:szCs w:val="24"/>
        </w:rPr>
        <w:t xml:space="preserve">inkluzivnog </w:t>
      </w:r>
      <w:r w:rsidRPr="00E21DF3">
        <w:rPr>
          <w:rFonts w:asciiTheme="majorHAnsi" w:hAnsiTheme="majorHAnsi"/>
          <w:sz w:val="24"/>
          <w:szCs w:val="24"/>
        </w:rPr>
        <w:t>rasta. Isto je u skladu sa unapr</w:t>
      </w:r>
      <w:r w:rsidR="001A5B33" w:rsidRPr="00E21DF3">
        <w:rPr>
          <w:rFonts w:asciiTheme="majorHAnsi" w:hAnsiTheme="majorHAnsi"/>
          <w:sz w:val="24"/>
          <w:szCs w:val="24"/>
        </w:rPr>
        <w:t>ije</w:t>
      </w:r>
      <w:r w:rsidRPr="00E21DF3">
        <w:rPr>
          <w:rFonts w:asciiTheme="majorHAnsi" w:hAnsiTheme="majorHAnsi"/>
          <w:sz w:val="24"/>
          <w:szCs w:val="24"/>
        </w:rPr>
        <w:t>đenjem cj</w:t>
      </w:r>
      <w:r w:rsidR="00F9696F" w:rsidRPr="00E21DF3">
        <w:rPr>
          <w:rFonts w:asciiTheme="majorHAnsi" w:hAnsiTheme="majorHAnsi"/>
          <w:sz w:val="24"/>
          <w:szCs w:val="24"/>
        </w:rPr>
        <w:t>elokupnog sistem</w:t>
      </w:r>
      <w:r w:rsidRPr="00E21DF3">
        <w:rPr>
          <w:rFonts w:asciiTheme="majorHAnsi" w:hAnsiTheme="majorHAnsi"/>
          <w:sz w:val="24"/>
          <w:szCs w:val="24"/>
        </w:rPr>
        <w:t xml:space="preserve">a kako je </w:t>
      </w:r>
      <w:r w:rsidR="00F9696F" w:rsidRPr="00E21DF3">
        <w:rPr>
          <w:rFonts w:asciiTheme="majorHAnsi" w:hAnsiTheme="majorHAnsi"/>
          <w:sz w:val="24"/>
          <w:szCs w:val="24"/>
        </w:rPr>
        <w:t>određeno</w:t>
      </w:r>
      <w:r w:rsidRPr="00E21DF3">
        <w:rPr>
          <w:rFonts w:asciiTheme="majorHAnsi" w:hAnsiTheme="majorHAnsi"/>
          <w:sz w:val="24"/>
          <w:szCs w:val="24"/>
        </w:rPr>
        <w:t xml:space="preserve"> u procesu pristupanja Crne Gore Eu</w:t>
      </w:r>
      <w:r w:rsidR="00F9696F" w:rsidRPr="00E21DF3">
        <w:rPr>
          <w:rFonts w:asciiTheme="majorHAnsi" w:hAnsiTheme="majorHAnsi"/>
          <w:sz w:val="24"/>
          <w:szCs w:val="24"/>
        </w:rPr>
        <w:t>ropskoj uniji, te posebno s njenom</w:t>
      </w:r>
      <w:r w:rsidRPr="00E21DF3">
        <w:rPr>
          <w:rFonts w:asciiTheme="majorHAnsi" w:hAnsiTheme="majorHAnsi"/>
          <w:sz w:val="24"/>
          <w:szCs w:val="24"/>
        </w:rPr>
        <w:t xml:space="preserve"> pravnom </w:t>
      </w:r>
      <w:r w:rsidR="00F9696F" w:rsidRPr="00E21DF3">
        <w:rPr>
          <w:rFonts w:asciiTheme="majorHAnsi" w:hAnsiTheme="majorHAnsi"/>
          <w:sz w:val="24"/>
          <w:szCs w:val="24"/>
        </w:rPr>
        <w:t>tekovinom</w:t>
      </w:r>
      <w:r w:rsidRPr="00E21DF3">
        <w:rPr>
          <w:rFonts w:asciiTheme="majorHAnsi" w:hAnsiTheme="majorHAnsi"/>
          <w:sz w:val="24"/>
          <w:szCs w:val="24"/>
        </w:rPr>
        <w:t xml:space="preserve">, a kako bi se doprinjelo ostvarenju ciljeva </w:t>
      </w:r>
      <w:r w:rsidR="00F9696F" w:rsidRPr="00E21DF3">
        <w:rPr>
          <w:rFonts w:asciiTheme="majorHAnsi" w:hAnsiTheme="majorHAnsi"/>
          <w:sz w:val="24"/>
          <w:szCs w:val="24"/>
        </w:rPr>
        <w:t>postavljenim</w:t>
      </w:r>
      <w:r w:rsidRPr="00E21DF3">
        <w:rPr>
          <w:rFonts w:asciiTheme="majorHAnsi" w:hAnsiTheme="majorHAnsi"/>
          <w:sz w:val="24"/>
          <w:szCs w:val="24"/>
        </w:rPr>
        <w:t xml:space="preserve"> u Strategiji Europa 2020 i Strategiji Jugoistočne Europe 2020. </w:t>
      </w:r>
    </w:p>
    <w:p w:rsidR="0084571F" w:rsidRPr="00E21DF3" w:rsidRDefault="0084571F" w:rsidP="0084571F">
      <w:pPr>
        <w:jc w:val="both"/>
        <w:rPr>
          <w:rFonts w:asciiTheme="majorHAnsi" w:hAnsiTheme="majorHAnsi"/>
          <w:sz w:val="24"/>
          <w:szCs w:val="24"/>
        </w:rPr>
      </w:pPr>
      <w:r w:rsidRPr="00E21DF3">
        <w:rPr>
          <w:rFonts w:asciiTheme="majorHAnsi" w:hAnsiTheme="majorHAnsi"/>
          <w:sz w:val="24"/>
          <w:szCs w:val="24"/>
        </w:rPr>
        <w:t>Posebn</w:t>
      </w:r>
      <w:r w:rsidR="00F9696F" w:rsidRPr="00E21DF3">
        <w:rPr>
          <w:rFonts w:asciiTheme="majorHAnsi" w:hAnsiTheme="majorHAnsi"/>
          <w:sz w:val="24"/>
          <w:szCs w:val="24"/>
        </w:rPr>
        <w:t>o je važno u ovom sektoru povratiti pozitivne trendove iz pretkriznog perioda</w:t>
      </w:r>
      <w:r w:rsidRPr="00E21DF3">
        <w:rPr>
          <w:rStyle w:val="FootnoteReference"/>
          <w:rFonts w:asciiTheme="majorHAnsi" w:hAnsiTheme="majorHAnsi"/>
          <w:sz w:val="24"/>
          <w:szCs w:val="24"/>
        </w:rPr>
        <w:footnoteReference w:id="1"/>
      </w:r>
      <w:r w:rsidR="00F9696F" w:rsidRPr="00E21DF3">
        <w:rPr>
          <w:rFonts w:asciiTheme="majorHAnsi" w:hAnsiTheme="majorHAnsi"/>
          <w:sz w:val="24"/>
          <w:szCs w:val="24"/>
        </w:rPr>
        <w:t>. Indikativni strateški dok</w:t>
      </w:r>
      <w:r w:rsidRPr="00E21DF3">
        <w:rPr>
          <w:rFonts w:asciiTheme="majorHAnsi" w:hAnsiTheme="majorHAnsi"/>
          <w:sz w:val="24"/>
          <w:szCs w:val="24"/>
        </w:rPr>
        <w:t>ument za Crnu Goru</w:t>
      </w:r>
      <w:r w:rsidRPr="00E21DF3">
        <w:rPr>
          <w:rStyle w:val="FootnoteReference"/>
          <w:rFonts w:asciiTheme="majorHAnsi" w:hAnsiTheme="majorHAnsi"/>
          <w:sz w:val="24"/>
          <w:szCs w:val="24"/>
        </w:rPr>
        <w:footnoteReference w:id="2"/>
      </w:r>
      <w:r w:rsidRPr="00E21DF3">
        <w:rPr>
          <w:rFonts w:asciiTheme="majorHAnsi" w:hAnsiTheme="majorHAnsi"/>
          <w:sz w:val="24"/>
          <w:szCs w:val="24"/>
        </w:rPr>
        <w:t xml:space="preserve"> naglašava nužnost nastavka reformskih procesa u području zapošljavanja i tržišta rada, te radnog zakonodavstva, obrazovanja, stručnog usavršavanja i treninga, socijalne zaštite i socijalne </w:t>
      </w:r>
      <w:r w:rsidR="00F9696F" w:rsidRPr="00E21DF3">
        <w:rPr>
          <w:rFonts w:asciiTheme="majorHAnsi" w:hAnsiTheme="majorHAnsi"/>
          <w:sz w:val="24"/>
          <w:szCs w:val="24"/>
        </w:rPr>
        <w:t>inkluzije</w:t>
      </w:r>
      <w:r w:rsidRPr="00E21DF3">
        <w:rPr>
          <w:rFonts w:asciiTheme="majorHAnsi" w:hAnsiTheme="majorHAnsi"/>
          <w:sz w:val="24"/>
          <w:szCs w:val="24"/>
        </w:rPr>
        <w:t>. Ističe se da samo značajan napredak u ovim područjima može osigurati kvalif</w:t>
      </w:r>
      <w:r w:rsidR="00F9696F" w:rsidRPr="00E21DF3">
        <w:rPr>
          <w:rFonts w:asciiTheme="majorHAnsi" w:hAnsiTheme="majorHAnsi"/>
          <w:sz w:val="24"/>
          <w:szCs w:val="24"/>
        </w:rPr>
        <w:t>ikovanu</w:t>
      </w:r>
      <w:r w:rsidRPr="00E21DF3">
        <w:rPr>
          <w:rFonts w:asciiTheme="majorHAnsi" w:hAnsiTheme="majorHAnsi"/>
          <w:sz w:val="24"/>
          <w:szCs w:val="24"/>
        </w:rPr>
        <w:t xml:space="preserve"> i prilagođenu radnu snagu koja će predstavljati ključni faktor za razvoj poduzetništva, privlačenje stra</w:t>
      </w:r>
      <w:r w:rsidR="00F9696F" w:rsidRPr="00E21DF3">
        <w:rPr>
          <w:rFonts w:asciiTheme="majorHAnsi" w:hAnsiTheme="majorHAnsi"/>
          <w:sz w:val="24"/>
          <w:szCs w:val="24"/>
        </w:rPr>
        <w:t>nih investicija i podizanje opše</w:t>
      </w:r>
      <w:r w:rsidRPr="00E21DF3">
        <w:rPr>
          <w:rFonts w:asciiTheme="majorHAnsi" w:hAnsiTheme="majorHAnsi"/>
          <w:sz w:val="24"/>
          <w:szCs w:val="24"/>
        </w:rPr>
        <w:t xml:space="preserve"> konkurentnosti Crne Gore.</w:t>
      </w:r>
    </w:p>
    <w:p w:rsidR="0084571F" w:rsidRPr="00E21DF3" w:rsidRDefault="0084571F" w:rsidP="0084571F">
      <w:pPr>
        <w:spacing w:after="120"/>
        <w:jc w:val="both"/>
        <w:rPr>
          <w:rFonts w:asciiTheme="majorHAnsi" w:hAnsiTheme="majorHAnsi"/>
          <w:sz w:val="24"/>
          <w:szCs w:val="24"/>
        </w:rPr>
      </w:pPr>
      <w:r w:rsidRPr="00E21DF3">
        <w:rPr>
          <w:rFonts w:asciiTheme="majorHAnsi" w:hAnsiTheme="majorHAnsi"/>
          <w:sz w:val="24"/>
          <w:szCs w:val="24"/>
        </w:rPr>
        <w:t>U Izvještaju o napretku</w:t>
      </w:r>
      <w:r w:rsidRPr="00E21DF3">
        <w:rPr>
          <w:rStyle w:val="FootnoteReference"/>
          <w:rFonts w:asciiTheme="majorHAnsi" w:hAnsiTheme="majorHAnsi"/>
          <w:sz w:val="24"/>
          <w:szCs w:val="24"/>
        </w:rPr>
        <w:footnoteReference w:id="3"/>
      </w:r>
      <w:r w:rsidRPr="00E21DF3">
        <w:rPr>
          <w:rFonts w:asciiTheme="majorHAnsi" w:hAnsiTheme="majorHAnsi"/>
          <w:sz w:val="24"/>
          <w:szCs w:val="24"/>
        </w:rPr>
        <w:t xml:space="preserve"> za 2014. godinu kao i u  </w:t>
      </w:r>
      <w:r w:rsidR="00F9696F" w:rsidRPr="00E21DF3">
        <w:rPr>
          <w:rFonts w:asciiTheme="majorHAnsi" w:hAnsiTheme="majorHAnsi"/>
          <w:sz w:val="24"/>
          <w:szCs w:val="24"/>
        </w:rPr>
        <w:t>Izvještaju o analitičkom pregledu usklađenosti zakonodavstva (</w:t>
      </w:r>
      <w:r w:rsidRPr="00E21DF3">
        <w:rPr>
          <w:rFonts w:asciiTheme="majorHAnsi" w:hAnsiTheme="majorHAnsi"/>
          <w:sz w:val="24"/>
          <w:szCs w:val="24"/>
        </w:rPr>
        <w:t>Screening Report</w:t>
      </w:r>
      <w:r w:rsidR="00F9696F" w:rsidRPr="00E21DF3">
        <w:rPr>
          <w:rFonts w:asciiTheme="majorHAnsi" w:hAnsiTheme="majorHAnsi"/>
          <w:sz w:val="24"/>
          <w:szCs w:val="24"/>
        </w:rPr>
        <w:t xml:space="preserve">) </w:t>
      </w:r>
      <w:r w:rsidRPr="00E21DF3">
        <w:rPr>
          <w:rFonts w:asciiTheme="majorHAnsi" w:hAnsiTheme="majorHAnsi"/>
          <w:sz w:val="24"/>
          <w:szCs w:val="24"/>
        </w:rPr>
        <w:t xml:space="preserve">za Poglavlje 19 </w:t>
      </w:r>
      <w:r w:rsidR="00F9696F" w:rsidRPr="00E21DF3">
        <w:rPr>
          <w:rFonts w:asciiTheme="majorHAnsi" w:hAnsiTheme="majorHAnsi"/>
          <w:sz w:val="24"/>
          <w:szCs w:val="24"/>
        </w:rPr>
        <w:t>–</w:t>
      </w:r>
      <w:r w:rsidRPr="00E21DF3">
        <w:rPr>
          <w:rFonts w:asciiTheme="majorHAnsi" w:hAnsiTheme="majorHAnsi"/>
          <w:sz w:val="24"/>
          <w:szCs w:val="24"/>
        </w:rPr>
        <w:t xml:space="preserve"> </w:t>
      </w:r>
      <w:r w:rsidR="001A5B33" w:rsidRPr="00E21DF3">
        <w:rPr>
          <w:rFonts w:asciiTheme="majorHAnsi" w:hAnsiTheme="majorHAnsi"/>
          <w:sz w:val="24"/>
          <w:szCs w:val="24"/>
        </w:rPr>
        <w:t>Socijalne politike i</w:t>
      </w:r>
      <w:r w:rsidR="00F9696F" w:rsidRPr="00E21DF3">
        <w:rPr>
          <w:rFonts w:asciiTheme="majorHAnsi" w:hAnsiTheme="majorHAnsi"/>
          <w:sz w:val="24"/>
          <w:szCs w:val="24"/>
        </w:rPr>
        <w:t xml:space="preserve"> zapošljavanje </w:t>
      </w:r>
      <w:r w:rsidRPr="00E21DF3">
        <w:rPr>
          <w:rStyle w:val="FootnoteReference"/>
          <w:rFonts w:asciiTheme="majorHAnsi" w:hAnsiTheme="majorHAnsi"/>
          <w:sz w:val="24"/>
          <w:szCs w:val="24"/>
        </w:rPr>
        <w:footnoteReference w:id="4"/>
      </w:r>
      <w:r w:rsidRPr="00E21DF3">
        <w:rPr>
          <w:rFonts w:asciiTheme="majorHAnsi" w:hAnsiTheme="majorHAnsi"/>
          <w:sz w:val="24"/>
          <w:szCs w:val="24"/>
        </w:rPr>
        <w:t xml:space="preserve"> naznačeni su glavni izaz</w:t>
      </w:r>
      <w:r w:rsidR="00F9696F" w:rsidRPr="00E21DF3">
        <w:rPr>
          <w:rFonts w:asciiTheme="majorHAnsi" w:hAnsiTheme="majorHAnsi"/>
          <w:sz w:val="24"/>
          <w:szCs w:val="24"/>
        </w:rPr>
        <w:t>ovi i koraci koje je potrebno pre</w:t>
      </w:r>
      <w:r w:rsidRPr="00E21DF3">
        <w:rPr>
          <w:rFonts w:asciiTheme="majorHAnsi" w:hAnsiTheme="majorHAnsi"/>
          <w:sz w:val="24"/>
          <w:szCs w:val="24"/>
        </w:rPr>
        <w:t>duzeti kako bi se unaprijedio s</w:t>
      </w:r>
      <w:r w:rsidR="00F9696F" w:rsidRPr="00E21DF3">
        <w:rPr>
          <w:rFonts w:asciiTheme="majorHAnsi" w:hAnsiTheme="majorHAnsi"/>
          <w:sz w:val="24"/>
          <w:szCs w:val="24"/>
        </w:rPr>
        <w:t>istem</w:t>
      </w:r>
      <w:r w:rsidRPr="00E21DF3">
        <w:rPr>
          <w:rFonts w:asciiTheme="majorHAnsi" w:hAnsiTheme="majorHAnsi"/>
          <w:sz w:val="24"/>
          <w:szCs w:val="24"/>
        </w:rPr>
        <w:t xml:space="preserve"> u cjelini. </w:t>
      </w:r>
    </w:p>
    <w:p w:rsidR="0084571F" w:rsidRPr="004D18DA" w:rsidRDefault="0084571F" w:rsidP="0084571F">
      <w:pPr>
        <w:spacing w:after="120"/>
        <w:jc w:val="both"/>
        <w:rPr>
          <w:rFonts w:asciiTheme="majorHAnsi" w:hAnsiTheme="majorHAnsi"/>
          <w:sz w:val="24"/>
          <w:szCs w:val="24"/>
        </w:rPr>
      </w:pPr>
      <w:r w:rsidRPr="004D18DA">
        <w:rPr>
          <w:rFonts w:asciiTheme="majorHAnsi" w:hAnsiTheme="majorHAnsi"/>
          <w:sz w:val="24"/>
          <w:szCs w:val="24"/>
        </w:rPr>
        <w:t>Uprkos blagom oporavku u posljednje dvije godine, stanje na tržištu rada, kako je istaknuto u Izvještaju o napretku, ukazuje da situacija na tržištu rada i dalje ostaje kritična. Isto tako je istaknuto da treba unaprijediti promociju obrazovanja odraslih posebno u privatnom sektoru. Regionalne razlike značajno u</w:t>
      </w:r>
      <w:r w:rsidR="0078712A" w:rsidRPr="004D18DA">
        <w:rPr>
          <w:rFonts w:asciiTheme="majorHAnsi" w:hAnsiTheme="majorHAnsi"/>
          <w:sz w:val="24"/>
          <w:szCs w:val="24"/>
        </w:rPr>
        <w:t>tiču</w:t>
      </w:r>
      <w:r w:rsidRPr="004D18DA">
        <w:rPr>
          <w:rFonts w:asciiTheme="majorHAnsi" w:hAnsiTheme="majorHAnsi"/>
          <w:sz w:val="24"/>
          <w:szCs w:val="24"/>
        </w:rPr>
        <w:t xml:space="preserve"> na produbljivanje nepovoljnih trendova između sjevera i drugih djelova zemlje. Lica sa invaliditetom predstavljaju jednu od kategorija lica s</w:t>
      </w:r>
      <w:r w:rsidR="0078712A" w:rsidRPr="004D18DA">
        <w:rPr>
          <w:rFonts w:asciiTheme="majorHAnsi" w:hAnsiTheme="majorHAnsi"/>
          <w:sz w:val="24"/>
          <w:szCs w:val="24"/>
        </w:rPr>
        <w:t>a preprekama u zapošljavanju. Po</w:t>
      </w:r>
      <w:r w:rsidRPr="004D18DA">
        <w:rPr>
          <w:rFonts w:asciiTheme="majorHAnsi" w:hAnsiTheme="majorHAnsi"/>
          <w:sz w:val="24"/>
          <w:szCs w:val="24"/>
        </w:rPr>
        <w:t xml:space="preserve">sebno je važno nastaviti </w:t>
      </w:r>
      <w:r w:rsidR="0078712A" w:rsidRPr="004D18DA">
        <w:rPr>
          <w:rFonts w:asciiTheme="majorHAnsi" w:hAnsiTheme="majorHAnsi"/>
          <w:sz w:val="24"/>
          <w:szCs w:val="24"/>
        </w:rPr>
        <w:t>s</w:t>
      </w:r>
      <w:r w:rsidRPr="004D18DA">
        <w:rPr>
          <w:rFonts w:asciiTheme="majorHAnsi" w:hAnsiTheme="majorHAnsi"/>
          <w:sz w:val="24"/>
          <w:szCs w:val="24"/>
        </w:rPr>
        <w:t>provoditi aktivnosti na suzbijanju neprijavljenog rada.</w:t>
      </w:r>
    </w:p>
    <w:p w:rsidR="0084571F" w:rsidRPr="004D18DA" w:rsidRDefault="0084571F" w:rsidP="0084571F">
      <w:pPr>
        <w:spacing w:after="120"/>
        <w:jc w:val="both"/>
        <w:rPr>
          <w:rFonts w:asciiTheme="majorHAnsi" w:hAnsiTheme="majorHAnsi"/>
          <w:sz w:val="24"/>
          <w:szCs w:val="24"/>
        </w:rPr>
      </w:pPr>
      <w:r w:rsidRPr="004D18DA">
        <w:rPr>
          <w:rFonts w:asciiTheme="majorHAnsi" w:hAnsiTheme="majorHAnsi"/>
          <w:sz w:val="24"/>
          <w:szCs w:val="24"/>
        </w:rPr>
        <w:t xml:space="preserve">Kako je istaknuto i u </w:t>
      </w:r>
      <w:r w:rsidR="0078712A" w:rsidRPr="004D18DA">
        <w:rPr>
          <w:rFonts w:asciiTheme="majorHAnsi" w:hAnsiTheme="majorHAnsi"/>
          <w:sz w:val="24"/>
          <w:szCs w:val="24"/>
        </w:rPr>
        <w:t>Programu reforme politike zapošljavanja i socijalne politike</w:t>
      </w:r>
      <w:r w:rsidRPr="004D18DA">
        <w:rPr>
          <w:rFonts w:asciiTheme="majorHAnsi" w:hAnsiTheme="majorHAnsi"/>
          <w:sz w:val="24"/>
          <w:szCs w:val="24"/>
        </w:rPr>
        <w:t xml:space="preserve"> u poglavlju “Najvažniji izazovi u oblasti politike zapošljavanja i socijalne politike” najveći problem tržišta rada Crne Gore je niska stopa zaposlenosti koja za stanovništvo starosne dobi 15-64 zaostaje za prosjekom Evropske unije za oko 17 </w:t>
      </w:r>
      <w:r w:rsidR="0078712A" w:rsidRPr="004D18DA">
        <w:rPr>
          <w:rFonts w:asciiTheme="majorHAnsi" w:hAnsiTheme="majorHAnsi"/>
          <w:sz w:val="24"/>
          <w:szCs w:val="24"/>
        </w:rPr>
        <w:t>procenata</w:t>
      </w:r>
      <w:r w:rsidRPr="004D18DA">
        <w:rPr>
          <w:rFonts w:asciiTheme="majorHAnsi" w:hAnsiTheme="majorHAnsi"/>
          <w:sz w:val="24"/>
          <w:szCs w:val="24"/>
        </w:rPr>
        <w:t xml:space="preserve"> (dok je u EU ta stopa oko 65%, u Crnoj Gori ona je oko 48%). U tom kontekstu, važno je istaći da je posebno nepovoljna karakteristika tržišta rada u Crnoj Gori dugoročna nezaposlenost, te naglašen karakter sezonskog zapošljavanja što je posljedica izmijenjene privredne strukture tokom procesa tranzicije. U tom kontekstu prisutan je i manji obim zapošljavanja domaće radne snage, a povećan obim zapošljavanja stranaca što je specifičnost i izuzetak u odnosu na obim zapošljavanja stranaca u drugim zemljama regiona. </w:t>
      </w:r>
    </w:p>
    <w:p w:rsidR="0084571F" w:rsidRPr="004D18DA" w:rsidRDefault="0084571F" w:rsidP="0084571F">
      <w:pPr>
        <w:spacing w:after="120"/>
        <w:jc w:val="both"/>
        <w:rPr>
          <w:rFonts w:asciiTheme="majorHAnsi" w:hAnsiTheme="majorHAnsi"/>
          <w:sz w:val="24"/>
          <w:szCs w:val="24"/>
        </w:rPr>
      </w:pPr>
      <w:r w:rsidRPr="004D18DA">
        <w:rPr>
          <w:rFonts w:asciiTheme="majorHAnsi" w:hAnsiTheme="majorHAnsi"/>
          <w:sz w:val="24"/>
          <w:szCs w:val="24"/>
        </w:rPr>
        <w:t>Prema podacima iz Ankete o radnoj snazi za 2013. godinu, svega 14,8 % zaposlenih lica se bavi nekim vidom preduzetništva. Takođe, karakteristična je i rodna nejednakost u razvoju preduzetništv</w:t>
      </w:r>
      <w:r w:rsidR="0078712A" w:rsidRPr="004D18DA">
        <w:rPr>
          <w:rFonts w:asciiTheme="majorHAnsi" w:hAnsiTheme="majorHAnsi"/>
          <w:sz w:val="24"/>
          <w:szCs w:val="24"/>
        </w:rPr>
        <w:t>a (sopstveni posao posjeduje 19,2% muškaraca, a 9,</w:t>
      </w:r>
      <w:r w:rsidRPr="004D18DA">
        <w:rPr>
          <w:rFonts w:asciiTheme="majorHAnsi" w:hAnsiTheme="majorHAnsi"/>
          <w:sz w:val="24"/>
          <w:szCs w:val="24"/>
        </w:rPr>
        <w:t>3% žena) što se tumači činjenicom da preduzetništvo i njegov razvoj imaju ograničen pristup pružanju podrške od strane finansijskih institucija, poslovnih banaka, institucija koje se bave edukacijom iz ove oblasti, odnosno ograničen pristup proizvodnim, finansijskim i naučnim resursima.</w:t>
      </w:r>
    </w:p>
    <w:p w:rsidR="0084571F" w:rsidRPr="004D18DA" w:rsidRDefault="0084571F" w:rsidP="0084571F">
      <w:pPr>
        <w:spacing w:after="120"/>
        <w:jc w:val="both"/>
        <w:rPr>
          <w:rFonts w:asciiTheme="majorHAnsi" w:hAnsiTheme="majorHAnsi"/>
          <w:sz w:val="24"/>
          <w:szCs w:val="24"/>
        </w:rPr>
      </w:pPr>
      <w:r w:rsidRPr="004D18DA">
        <w:rPr>
          <w:rFonts w:asciiTheme="majorHAnsi" w:hAnsiTheme="majorHAnsi"/>
          <w:sz w:val="24"/>
          <w:szCs w:val="24"/>
        </w:rPr>
        <w:t xml:space="preserve">Učešće mladih do 30 godina u ukupnoj registrovanoj nezaposlenosti u 2013. godini premašilo je jednu trećinu. Visok rast nezaposlenih visokoškolaca u proteklih nekoliko godina posljedica je znatnog povećanja broja srednjoškolaca koji se upisuju na visokoobrazovne ustanove (gotovo 80%) što potvrđuje i prisutan trend smanjivanja prijavljenih srednjoškolaca na evidenciju nezaposlenih, a rast prijavljenih visokoškolaca. Ankete o radnoj snazi pokazale su da od ukupnog broja zaposlenih u Crnoj Gori oko 28% ima više ili visoko obrazovanje, dok 65% zaposlenih ima srednje obrazovanje. </w:t>
      </w:r>
    </w:p>
    <w:p w:rsidR="0084571F" w:rsidRPr="004D18DA" w:rsidRDefault="0084571F" w:rsidP="0084571F">
      <w:pPr>
        <w:spacing w:after="120"/>
        <w:jc w:val="both"/>
        <w:rPr>
          <w:rFonts w:asciiTheme="majorHAnsi" w:hAnsiTheme="majorHAnsi"/>
          <w:sz w:val="24"/>
          <w:szCs w:val="24"/>
        </w:rPr>
      </w:pPr>
      <w:r w:rsidRPr="004D18DA">
        <w:rPr>
          <w:rFonts w:asciiTheme="majorHAnsi" w:hAnsiTheme="majorHAnsi"/>
          <w:sz w:val="24"/>
          <w:szCs w:val="24"/>
        </w:rPr>
        <w:t xml:space="preserve">Upisnu politiku u Crnoj Gori karakteriše nedostatak kvalitetnije saradnje između ključnih aktera, odnosno samih ustanova visokog obrazovanja, ministarstava, Zavoda za zapošljavanje, poslodavaca i drugih relevantnih institucija. Postojeća saradnja je više formalna, nego suštinska. </w:t>
      </w:r>
    </w:p>
    <w:p w:rsidR="0084571F" w:rsidRPr="004D18DA" w:rsidRDefault="0084571F" w:rsidP="0084571F">
      <w:pPr>
        <w:spacing w:after="120"/>
        <w:jc w:val="both"/>
        <w:rPr>
          <w:rFonts w:asciiTheme="majorHAnsi" w:hAnsiTheme="majorHAnsi"/>
          <w:sz w:val="24"/>
          <w:szCs w:val="24"/>
        </w:rPr>
      </w:pPr>
      <w:r w:rsidRPr="004D18DA">
        <w:rPr>
          <w:rFonts w:asciiTheme="majorHAnsi" w:hAnsiTheme="majorHAnsi"/>
          <w:sz w:val="24"/>
          <w:szCs w:val="24"/>
        </w:rPr>
        <w:t>Principi zabrane diskriminacije i jednakosti pred zakonom su osnovni preduslovi za uživanje svih ljudskih i manjinskih prava, ali nijesu dovoljni za puno ostvarenje faktičke jednakopravnosti. Evidentan je rast uključenosti djece s posebnim obrazovnim potrebama kao i djece romske i egipć</w:t>
      </w:r>
      <w:r w:rsidR="0078712A" w:rsidRPr="004D18DA">
        <w:rPr>
          <w:rFonts w:asciiTheme="majorHAnsi" w:hAnsiTheme="majorHAnsi"/>
          <w:sz w:val="24"/>
          <w:szCs w:val="24"/>
        </w:rPr>
        <w:t>anske populacije u  obrazovni si</w:t>
      </w:r>
      <w:r w:rsidRPr="004D18DA">
        <w:rPr>
          <w:rFonts w:asciiTheme="majorHAnsi" w:hAnsiTheme="majorHAnsi"/>
          <w:sz w:val="24"/>
          <w:szCs w:val="24"/>
        </w:rPr>
        <w:t xml:space="preserve">stem. U ustanovama visokog obrazovanja studira manji broj studenata s invaliditetom. </w:t>
      </w:r>
    </w:p>
    <w:p w:rsidR="0084571F" w:rsidRPr="004D18DA" w:rsidRDefault="0084571F" w:rsidP="0084571F">
      <w:pPr>
        <w:spacing w:after="120"/>
        <w:jc w:val="both"/>
        <w:rPr>
          <w:rFonts w:asciiTheme="majorHAnsi" w:hAnsiTheme="majorHAnsi"/>
          <w:sz w:val="24"/>
          <w:szCs w:val="24"/>
        </w:rPr>
      </w:pPr>
      <w:r w:rsidRPr="004D18DA">
        <w:rPr>
          <w:rFonts w:asciiTheme="majorHAnsi" w:hAnsiTheme="majorHAnsi"/>
          <w:sz w:val="24"/>
          <w:szCs w:val="24"/>
        </w:rPr>
        <w:t>Učešće građan</w:t>
      </w:r>
      <w:r w:rsidR="001C12CB" w:rsidRPr="004D18DA">
        <w:rPr>
          <w:rFonts w:asciiTheme="majorHAnsi" w:hAnsiTheme="majorHAnsi"/>
          <w:sz w:val="24"/>
          <w:szCs w:val="24"/>
        </w:rPr>
        <w:t xml:space="preserve">a Crne Gore, starosne dobi </w:t>
      </w:r>
      <w:r w:rsidRPr="004D18DA">
        <w:rPr>
          <w:rFonts w:asciiTheme="majorHAnsi" w:hAnsiTheme="majorHAnsi"/>
          <w:sz w:val="24"/>
          <w:szCs w:val="24"/>
        </w:rPr>
        <w:t xml:space="preserve">25-64 godine, u programima cjeloživotnog učenja, u 2013. godini iznosilo je 3,10% što jasno ukazuje da je potrebno dalje raditi na osnaživanju cjeloživotnog učenja, kako sa aspekta promocije, tako i praktične primjene, kako bi povećali učešće odraslih u programima cjeloživotnog učenja.  </w:t>
      </w:r>
    </w:p>
    <w:p w:rsidR="0084571F" w:rsidRPr="004D18DA" w:rsidRDefault="0084571F" w:rsidP="0084571F">
      <w:pPr>
        <w:spacing w:after="120"/>
        <w:jc w:val="both"/>
        <w:rPr>
          <w:rFonts w:asciiTheme="majorHAnsi" w:hAnsiTheme="majorHAnsi"/>
          <w:sz w:val="24"/>
          <w:szCs w:val="24"/>
        </w:rPr>
      </w:pPr>
      <w:r w:rsidRPr="004D18DA">
        <w:rPr>
          <w:rFonts w:asciiTheme="majorHAnsi" w:hAnsiTheme="majorHAnsi"/>
          <w:sz w:val="24"/>
          <w:szCs w:val="24"/>
        </w:rPr>
        <w:t xml:space="preserve">Kao podrška cjeloživotnom učenju, obrazovni programi stručnog obrazovanja treba da se u većoj mjeri modularizuju, što osipnicima iz sistema omogućava da steknu određenu stručnu kvalifikaciju ukoliko su uspješno završili </w:t>
      </w:r>
      <w:r w:rsidR="001C12CB" w:rsidRPr="004D18DA">
        <w:rPr>
          <w:rFonts w:asciiTheme="majorHAnsi" w:hAnsiTheme="majorHAnsi"/>
          <w:sz w:val="24"/>
          <w:szCs w:val="24"/>
        </w:rPr>
        <w:t>predmete</w:t>
      </w:r>
      <w:r w:rsidRPr="004D18DA">
        <w:rPr>
          <w:rFonts w:asciiTheme="majorHAnsi" w:hAnsiTheme="majorHAnsi"/>
          <w:sz w:val="24"/>
          <w:szCs w:val="24"/>
        </w:rPr>
        <w:t xml:space="preserve"> propisane programom (</w:t>
      </w:r>
      <w:r w:rsidRPr="004D18DA">
        <w:rPr>
          <w:rFonts w:asciiTheme="majorHAnsi" w:hAnsiTheme="majorHAnsi"/>
          <w:i/>
          <w:sz w:val="24"/>
          <w:szCs w:val="24"/>
        </w:rPr>
        <w:t>tzv. second chance programs</w:t>
      </w:r>
      <w:r w:rsidRPr="004D18DA">
        <w:rPr>
          <w:rFonts w:asciiTheme="majorHAnsi" w:hAnsiTheme="majorHAnsi"/>
          <w:sz w:val="24"/>
          <w:szCs w:val="24"/>
        </w:rPr>
        <w:t xml:space="preserve">). </w:t>
      </w:r>
    </w:p>
    <w:p w:rsidR="0084571F" w:rsidRPr="004D18DA" w:rsidRDefault="0084571F" w:rsidP="00150A08">
      <w:pPr>
        <w:spacing w:after="120"/>
        <w:jc w:val="both"/>
        <w:rPr>
          <w:rFonts w:asciiTheme="majorHAnsi" w:hAnsiTheme="majorHAnsi"/>
          <w:sz w:val="24"/>
          <w:szCs w:val="24"/>
        </w:rPr>
      </w:pPr>
      <w:r w:rsidRPr="004D18DA">
        <w:rPr>
          <w:rFonts w:asciiTheme="majorHAnsi" w:hAnsiTheme="majorHAnsi"/>
          <w:sz w:val="24"/>
          <w:szCs w:val="24"/>
        </w:rPr>
        <w:t xml:space="preserve">Obezbjeđenje i kontinuirani monitoring kvaliteta je primarni cilj na svim nivoima obrazovanja  od predškolskog obrazovanja i vaspitanja do visokog obrazovanja, odnosno obrazovanja odraslih. Poslodavci u Crnoj Gori smatraju da je najveća mana sistema visokog obrazovanja nedostatak </w:t>
      </w:r>
      <w:r w:rsidR="00425761" w:rsidRPr="004D18DA">
        <w:rPr>
          <w:rFonts w:asciiTheme="majorHAnsi" w:hAnsiTheme="majorHAnsi"/>
          <w:sz w:val="24"/>
          <w:szCs w:val="24"/>
        </w:rPr>
        <w:t xml:space="preserve">praktičnih znanja i </w:t>
      </w:r>
      <w:r w:rsidR="007B52BB" w:rsidRPr="004D18DA">
        <w:rPr>
          <w:rFonts w:asciiTheme="majorHAnsi" w:hAnsiTheme="majorHAnsi"/>
          <w:sz w:val="24"/>
          <w:szCs w:val="24"/>
        </w:rPr>
        <w:t xml:space="preserve">dovoljno razvijenog sistema </w:t>
      </w:r>
      <w:r w:rsidRPr="004D18DA">
        <w:rPr>
          <w:rFonts w:asciiTheme="majorHAnsi" w:hAnsiTheme="majorHAnsi"/>
          <w:sz w:val="24"/>
          <w:szCs w:val="24"/>
        </w:rPr>
        <w:t xml:space="preserve">praktične nastave. Deficitarna zanimanja na tržištu rada na nivou stručnog obrazovanja su najčešće evidentna u oblastima građevinarstva, poljoprivrede, turizma i ugostiteljstva, a naročito zanimanja trećeg stepena. Institucije obrazovnog sistema godinama teže da privuku mlade ljude da upisuju ove obrazovne profile kroz promociju stručnog obrazovanja, ukazujući na izraženu potrebu za ovim zanimanjima i veoma malu ponudu na tržištu rada. </w:t>
      </w:r>
    </w:p>
    <w:p w:rsidR="0084571F" w:rsidRPr="004D18DA" w:rsidRDefault="0084571F" w:rsidP="00150A08">
      <w:pPr>
        <w:spacing w:after="120"/>
        <w:jc w:val="both"/>
        <w:rPr>
          <w:rFonts w:asciiTheme="majorHAnsi" w:hAnsiTheme="majorHAnsi"/>
          <w:sz w:val="24"/>
          <w:szCs w:val="24"/>
        </w:rPr>
      </w:pPr>
      <w:r w:rsidRPr="004D18DA">
        <w:rPr>
          <w:rFonts w:asciiTheme="majorHAnsi" w:hAnsiTheme="majorHAnsi"/>
          <w:sz w:val="24"/>
          <w:szCs w:val="24"/>
        </w:rPr>
        <w:t xml:space="preserve">Postojeća mreža ustanova i stepen razvijenosti </w:t>
      </w:r>
      <w:r w:rsidR="007353A0" w:rsidRPr="004D18DA">
        <w:rPr>
          <w:rFonts w:asciiTheme="majorHAnsi" w:hAnsiTheme="majorHAnsi"/>
          <w:sz w:val="24"/>
          <w:szCs w:val="24"/>
        </w:rPr>
        <w:t xml:space="preserve">socijalnih </w:t>
      </w:r>
      <w:r w:rsidRPr="004D18DA">
        <w:rPr>
          <w:rFonts w:asciiTheme="majorHAnsi" w:hAnsiTheme="majorHAnsi"/>
          <w:sz w:val="24"/>
          <w:szCs w:val="24"/>
        </w:rPr>
        <w:t xml:space="preserve">usluga u lokalnim zajednicama u Crnoj Gori ne omogućava korisnicima u sistemu socijalne i dječje zaštite da koriste usluge u neposrednom okruženju. Ovo se prvenstveno odnosi na usluge koje podržavaju ostanak korisnika u porodičnom okruženju: </w:t>
      </w:r>
      <w:r w:rsidR="00A42D19" w:rsidRPr="004D18DA">
        <w:rPr>
          <w:rFonts w:asciiTheme="majorHAnsi" w:hAnsiTheme="majorHAnsi"/>
          <w:sz w:val="24"/>
          <w:szCs w:val="24"/>
        </w:rPr>
        <w:t xml:space="preserve">personalna asistencija, </w:t>
      </w:r>
      <w:r w:rsidRPr="004D18DA">
        <w:rPr>
          <w:rFonts w:asciiTheme="majorHAnsi" w:hAnsiTheme="majorHAnsi"/>
          <w:sz w:val="24"/>
          <w:szCs w:val="24"/>
        </w:rPr>
        <w:t xml:space="preserve">dnevni boravci i klubovi za stara lica; kao i prihvatilišta i prihvatne stanice, sigurne kuće za žrtve zlostavljanja i trgovine ljudima, kapaciteti za privremeni smještaj starih, stanovanje uz podršku za odrasla lica sa invaliditetom i djecu i mlade bez roditeljskog staranja po prestanku smještaja. Kada se govori o arhitektonskoj pristupačnosti, ključni izazov u ovoj oblasti je neprilagođenost objekata u javnoj upotrebi za pristup, kretanje i upotrebu objekata licima smanjene pokretljivosti i licima sa invaliditetom. </w:t>
      </w:r>
    </w:p>
    <w:p w:rsidR="0084571F" w:rsidRPr="00160F4D" w:rsidRDefault="0084571F" w:rsidP="0084571F">
      <w:pPr>
        <w:spacing w:after="120"/>
        <w:jc w:val="both"/>
        <w:rPr>
          <w:rFonts w:ascii="Times New Roman" w:hAnsi="Times New Roman"/>
          <w:sz w:val="24"/>
          <w:szCs w:val="24"/>
        </w:rPr>
      </w:pPr>
    </w:p>
    <w:tbl>
      <w:tblPr>
        <w:tblW w:w="92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644"/>
      </w:tblGrid>
      <w:tr w:rsidR="0084571F" w:rsidRPr="00160F4D" w:rsidTr="00005F40">
        <w:tc>
          <w:tcPr>
            <w:tcW w:w="4644" w:type="dxa"/>
            <w:tcBorders>
              <w:top w:val="single" w:sz="4" w:space="0" w:color="auto"/>
              <w:left w:val="single" w:sz="4" w:space="0" w:color="auto"/>
              <w:bottom w:val="single" w:sz="4" w:space="0" w:color="auto"/>
              <w:right w:val="single" w:sz="4" w:space="0" w:color="auto"/>
            </w:tcBorders>
            <w:shd w:val="clear" w:color="auto" w:fill="D99594"/>
            <w:hideMark/>
          </w:tcPr>
          <w:p w:rsidR="0084571F" w:rsidRPr="004D18DA" w:rsidRDefault="0084571F" w:rsidP="00005F40">
            <w:pPr>
              <w:spacing w:after="120"/>
              <w:jc w:val="center"/>
              <w:rPr>
                <w:rFonts w:asciiTheme="majorHAnsi" w:hAnsiTheme="majorHAnsi"/>
                <w:b/>
                <w:sz w:val="24"/>
                <w:szCs w:val="24"/>
              </w:rPr>
            </w:pPr>
            <w:r w:rsidRPr="004D18DA">
              <w:rPr>
                <w:rFonts w:asciiTheme="majorHAnsi" w:hAnsiTheme="majorHAnsi"/>
                <w:b/>
                <w:sz w:val="24"/>
                <w:szCs w:val="24"/>
              </w:rPr>
              <w:t>SNAGE</w:t>
            </w:r>
          </w:p>
        </w:tc>
        <w:tc>
          <w:tcPr>
            <w:tcW w:w="4644" w:type="dxa"/>
            <w:tcBorders>
              <w:top w:val="single" w:sz="4" w:space="0" w:color="auto"/>
              <w:left w:val="single" w:sz="4" w:space="0" w:color="auto"/>
              <w:bottom w:val="single" w:sz="4" w:space="0" w:color="auto"/>
              <w:right w:val="single" w:sz="4" w:space="0" w:color="auto"/>
            </w:tcBorders>
            <w:shd w:val="clear" w:color="auto" w:fill="D99594"/>
            <w:hideMark/>
          </w:tcPr>
          <w:p w:rsidR="0084571F" w:rsidRPr="004D18DA" w:rsidRDefault="0084571F" w:rsidP="00005F40">
            <w:pPr>
              <w:spacing w:after="120"/>
              <w:jc w:val="center"/>
              <w:rPr>
                <w:rFonts w:asciiTheme="majorHAnsi" w:hAnsiTheme="majorHAnsi"/>
                <w:b/>
                <w:sz w:val="24"/>
                <w:szCs w:val="24"/>
              </w:rPr>
            </w:pPr>
            <w:r w:rsidRPr="004D18DA">
              <w:rPr>
                <w:rFonts w:asciiTheme="majorHAnsi" w:hAnsiTheme="majorHAnsi"/>
                <w:b/>
                <w:sz w:val="24"/>
                <w:szCs w:val="24"/>
              </w:rPr>
              <w:t>SLABOSTI</w:t>
            </w:r>
          </w:p>
        </w:tc>
      </w:tr>
      <w:tr w:rsidR="0084571F" w:rsidRPr="00160F4D" w:rsidTr="00287FE1">
        <w:trPr>
          <w:trHeight w:val="558"/>
        </w:trPr>
        <w:tc>
          <w:tcPr>
            <w:tcW w:w="4644" w:type="dxa"/>
            <w:tcBorders>
              <w:top w:val="single" w:sz="4" w:space="0" w:color="auto"/>
              <w:left w:val="single" w:sz="4" w:space="0" w:color="auto"/>
              <w:bottom w:val="single" w:sz="4" w:space="0" w:color="auto"/>
              <w:right w:val="single" w:sz="4" w:space="0" w:color="auto"/>
            </w:tcBorders>
          </w:tcPr>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 xml:space="preserve">Postojanje nacionalnih i sektorskih strateških dokumenata </w:t>
            </w:r>
          </w:p>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Uspostavljeni institucionalni kapaciteti za sprovođenje javnih politika</w:t>
            </w:r>
          </w:p>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 xml:space="preserve">Rezultati i naučene lekcije iz prethodnih projekata i programa i postojeći ljudski </w:t>
            </w:r>
            <w:r w:rsidR="00593760" w:rsidRPr="004D18DA">
              <w:rPr>
                <w:rFonts w:asciiTheme="majorHAnsi" w:hAnsiTheme="majorHAnsi"/>
              </w:rPr>
              <w:t>resursi</w:t>
            </w:r>
            <w:r w:rsidRPr="004D18DA">
              <w:rPr>
                <w:rFonts w:asciiTheme="majorHAnsi" w:hAnsiTheme="majorHAnsi"/>
              </w:rPr>
              <w:t>-iskustvena memorija</w:t>
            </w:r>
            <w:r w:rsidR="00593760" w:rsidRPr="004D18DA">
              <w:rPr>
                <w:rFonts w:asciiTheme="majorHAnsi" w:hAnsiTheme="majorHAnsi"/>
              </w:rPr>
              <w:t xml:space="preserve"> IPA</w:t>
            </w:r>
            <w:r w:rsidRPr="004D18DA">
              <w:rPr>
                <w:rFonts w:asciiTheme="majorHAnsi" w:hAnsiTheme="majorHAnsi"/>
              </w:rPr>
              <w:t xml:space="preserve"> IV komponente </w:t>
            </w:r>
          </w:p>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Razvijen sistem mjera aktivne politike tržišta rada</w:t>
            </w:r>
          </w:p>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Uspostavljena međusektorska saradnja</w:t>
            </w:r>
          </w:p>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 xml:space="preserve">Iskustvo vezano za inovacije u obrazovanju i nauci </w:t>
            </w:r>
          </w:p>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Povećano finansijsko ulaganje u nauku</w:t>
            </w:r>
          </w:p>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Uspostavljena osnova reforme sistema socijalne i dječije zaštite</w:t>
            </w:r>
          </w:p>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Razvijen socijalni dijalog na državnom nivou</w:t>
            </w:r>
          </w:p>
          <w:p w:rsidR="0084571F" w:rsidRPr="004D18DA" w:rsidRDefault="0084571F" w:rsidP="00005F40">
            <w:pPr>
              <w:spacing w:after="120"/>
              <w:jc w:val="both"/>
              <w:rPr>
                <w:rFonts w:asciiTheme="majorHAnsi" w:hAnsiTheme="majorHAnsi"/>
              </w:rPr>
            </w:pPr>
          </w:p>
          <w:p w:rsidR="0084571F" w:rsidRPr="004D18DA" w:rsidRDefault="0084571F" w:rsidP="00005F40">
            <w:pPr>
              <w:spacing w:after="120"/>
              <w:jc w:val="both"/>
              <w:rPr>
                <w:rFonts w:asciiTheme="majorHAnsi" w:hAnsiTheme="majorHAnsi"/>
              </w:rPr>
            </w:pPr>
          </w:p>
          <w:p w:rsidR="0084571F" w:rsidRPr="004D18DA" w:rsidRDefault="0084571F" w:rsidP="00005F40">
            <w:pPr>
              <w:spacing w:after="120"/>
              <w:jc w:val="both"/>
              <w:rPr>
                <w:rFonts w:asciiTheme="majorHAnsi" w:hAnsiTheme="majorHAnsi"/>
              </w:rPr>
            </w:pPr>
          </w:p>
          <w:p w:rsidR="0084571F" w:rsidRPr="004D18DA" w:rsidRDefault="0084571F" w:rsidP="00005F40">
            <w:pPr>
              <w:spacing w:after="120"/>
              <w:jc w:val="both"/>
              <w:rPr>
                <w:rFonts w:asciiTheme="majorHAnsi" w:hAnsiTheme="majorHAnsi"/>
              </w:rPr>
            </w:pPr>
          </w:p>
          <w:p w:rsidR="0084571F" w:rsidRPr="004D18DA" w:rsidRDefault="0084571F" w:rsidP="00005F40">
            <w:pPr>
              <w:spacing w:after="120"/>
              <w:jc w:val="both"/>
              <w:rPr>
                <w:rFonts w:asciiTheme="majorHAnsi" w:hAnsiTheme="majorHAnsi"/>
              </w:rPr>
            </w:pPr>
          </w:p>
          <w:p w:rsidR="0084571F" w:rsidRPr="004D18DA" w:rsidRDefault="0084571F" w:rsidP="00005F40">
            <w:pPr>
              <w:spacing w:after="120"/>
              <w:jc w:val="both"/>
              <w:rPr>
                <w:rFonts w:asciiTheme="majorHAnsi" w:hAnsiTheme="majorHAnsi"/>
              </w:rPr>
            </w:pPr>
          </w:p>
          <w:p w:rsidR="0084571F" w:rsidRPr="004D18DA" w:rsidRDefault="0084571F" w:rsidP="00005F40">
            <w:pPr>
              <w:spacing w:after="120"/>
              <w:jc w:val="both"/>
              <w:rPr>
                <w:rFonts w:asciiTheme="majorHAnsi" w:hAnsiTheme="majorHAnsi"/>
              </w:rPr>
            </w:pPr>
          </w:p>
        </w:tc>
        <w:tc>
          <w:tcPr>
            <w:tcW w:w="4644" w:type="dxa"/>
            <w:tcBorders>
              <w:top w:val="single" w:sz="4" w:space="0" w:color="auto"/>
              <w:left w:val="single" w:sz="4" w:space="0" w:color="auto"/>
              <w:bottom w:val="single" w:sz="4" w:space="0" w:color="auto"/>
              <w:right w:val="single" w:sz="4" w:space="0" w:color="auto"/>
            </w:tcBorders>
          </w:tcPr>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Strukturna neusklađenost obrazovanja i tržišta rada</w:t>
            </w:r>
          </w:p>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Nedostatak sredstava za mjere aktivne politike tržišta rada i nedovoljna usmjerenost prema cilj</w:t>
            </w:r>
            <w:r w:rsidR="0024664C" w:rsidRPr="004D18DA">
              <w:rPr>
                <w:rFonts w:asciiTheme="majorHAnsi" w:hAnsiTheme="majorHAnsi"/>
              </w:rPr>
              <w:t>nim grupama</w:t>
            </w:r>
            <w:r w:rsidRPr="004D18DA">
              <w:rPr>
                <w:rFonts w:asciiTheme="majorHAnsi" w:hAnsiTheme="majorHAnsi"/>
              </w:rPr>
              <w:t>a (dugotrajno nezaposleni, mladi,žene, lica s invaliditetom, RE )</w:t>
            </w:r>
          </w:p>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Nerazvijen sistem samozapošljavanja</w:t>
            </w:r>
            <w:r w:rsidR="009D7EC1" w:rsidRPr="004D18DA">
              <w:rPr>
                <w:rFonts w:asciiTheme="majorHAnsi" w:hAnsiTheme="majorHAnsi"/>
              </w:rPr>
              <w:t xml:space="preserve"> i preduzetništva (uključujući i</w:t>
            </w:r>
            <w:r w:rsidRPr="004D18DA">
              <w:rPr>
                <w:rFonts w:asciiTheme="majorHAnsi" w:hAnsiTheme="majorHAnsi"/>
              </w:rPr>
              <w:t xml:space="preserve"> </w:t>
            </w:r>
            <w:r w:rsidR="006A418B" w:rsidRPr="004D18DA">
              <w:rPr>
                <w:rFonts w:asciiTheme="majorHAnsi" w:hAnsiTheme="majorHAnsi"/>
              </w:rPr>
              <w:t>socijalno</w:t>
            </w:r>
            <w:r w:rsidR="00F1285C" w:rsidRPr="004D18DA">
              <w:rPr>
                <w:rFonts w:asciiTheme="majorHAnsi" w:hAnsiTheme="majorHAnsi"/>
              </w:rPr>
              <w:t xml:space="preserve"> </w:t>
            </w:r>
            <w:r w:rsidR="006A418B" w:rsidRPr="004D18DA">
              <w:rPr>
                <w:rFonts w:asciiTheme="majorHAnsi" w:hAnsiTheme="majorHAnsi"/>
              </w:rPr>
              <w:t>p</w:t>
            </w:r>
            <w:r w:rsidR="00F1285C" w:rsidRPr="004D18DA">
              <w:rPr>
                <w:rFonts w:asciiTheme="majorHAnsi" w:hAnsiTheme="majorHAnsi"/>
              </w:rPr>
              <w:t>red</w:t>
            </w:r>
            <w:r w:rsidR="006A418B" w:rsidRPr="004D18DA">
              <w:rPr>
                <w:rFonts w:asciiTheme="majorHAnsi" w:hAnsiTheme="majorHAnsi"/>
              </w:rPr>
              <w:t>uzetništvo)</w:t>
            </w:r>
          </w:p>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 xml:space="preserve">Nedovoljan fokus </w:t>
            </w:r>
            <w:r w:rsidR="009B08B2" w:rsidRPr="004D18DA">
              <w:rPr>
                <w:rFonts w:asciiTheme="majorHAnsi" w:hAnsiTheme="majorHAnsi"/>
              </w:rPr>
              <w:t xml:space="preserve">obrazovnog sistema </w:t>
            </w:r>
            <w:r w:rsidRPr="004D18DA">
              <w:rPr>
                <w:rFonts w:asciiTheme="majorHAnsi" w:hAnsiTheme="majorHAnsi"/>
              </w:rPr>
              <w:t>na razvoj ključnih kompetencija neophodnih za zapošljivost</w:t>
            </w:r>
          </w:p>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Nedostatak konstruktivnog partnerstva (socijalni partneri, civilno društvo) za ulaganja u obuke i povećanje zapošljivosti nezaposlenih i neaktivnih, kao i zaposlenih</w:t>
            </w:r>
          </w:p>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Nedovoljno razvijen sistem istraživanja i razvoja u Crnoj Gori (mali broj istraživača u odnosu na ukupnu populaciju, i EU prosjek)</w:t>
            </w:r>
          </w:p>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Nedovoljno razvijena mreža socijalnih usluga za ranjive grupe</w:t>
            </w:r>
          </w:p>
          <w:p w:rsidR="00050A61" w:rsidRPr="004D18DA" w:rsidRDefault="00DE2C25" w:rsidP="005428C2">
            <w:pPr>
              <w:pStyle w:val="ListParagraph"/>
              <w:numPr>
                <w:ilvl w:val="0"/>
                <w:numId w:val="4"/>
              </w:numPr>
              <w:spacing w:after="120"/>
              <w:jc w:val="both"/>
              <w:rPr>
                <w:rFonts w:asciiTheme="majorHAnsi" w:hAnsiTheme="majorHAnsi"/>
              </w:rPr>
            </w:pPr>
            <w:r w:rsidRPr="004D18DA">
              <w:rPr>
                <w:rFonts w:asciiTheme="majorHAnsi" w:hAnsiTheme="majorHAnsi"/>
              </w:rPr>
              <w:t>Nedovoljna socijalna uključenost RE populacije</w:t>
            </w:r>
          </w:p>
          <w:p w:rsidR="00050A61" w:rsidRPr="004D18DA" w:rsidRDefault="00050A61" w:rsidP="00050A61">
            <w:pPr>
              <w:pStyle w:val="ListParagraph"/>
              <w:numPr>
                <w:ilvl w:val="0"/>
                <w:numId w:val="4"/>
              </w:numPr>
              <w:spacing w:after="120"/>
              <w:jc w:val="both"/>
              <w:rPr>
                <w:rFonts w:asciiTheme="majorHAnsi" w:hAnsiTheme="majorHAnsi"/>
              </w:rPr>
            </w:pPr>
            <w:r w:rsidRPr="004D18DA">
              <w:rPr>
                <w:rFonts w:asciiTheme="majorHAnsi" w:hAnsiTheme="majorHAnsi"/>
              </w:rPr>
              <w:t>Fragmentiranost podsektorskih politika uz nepotpuno definisane akcione planove u pogledu indikatora, nosilaca aktivnosti i izvora finansiranja</w:t>
            </w:r>
          </w:p>
          <w:p w:rsidR="0084571F" w:rsidRPr="004D18DA" w:rsidRDefault="0084571F" w:rsidP="00005F40">
            <w:pPr>
              <w:pStyle w:val="ListParagraph"/>
              <w:spacing w:after="120"/>
              <w:jc w:val="both"/>
              <w:rPr>
                <w:rFonts w:asciiTheme="majorHAnsi" w:hAnsiTheme="majorHAnsi"/>
              </w:rPr>
            </w:pPr>
          </w:p>
        </w:tc>
      </w:tr>
      <w:tr w:rsidR="0084571F" w:rsidRPr="00160F4D" w:rsidTr="00005F40">
        <w:tc>
          <w:tcPr>
            <w:tcW w:w="4644" w:type="dxa"/>
            <w:tcBorders>
              <w:top w:val="single" w:sz="4" w:space="0" w:color="auto"/>
              <w:left w:val="single" w:sz="4" w:space="0" w:color="auto"/>
              <w:bottom w:val="single" w:sz="4" w:space="0" w:color="auto"/>
              <w:right w:val="single" w:sz="4" w:space="0" w:color="auto"/>
            </w:tcBorders>
            <w:shd w:val="clear" w:color="auto" w:fill="C0504D"/>
            <w:hideMark/>
          </w:tcPr>
          <w:p w:rsidR="0084571F" w:rsidRPr="004D18DA" w:rsidRDefault="0084571F" w:rsidP="00005F40">
            <w:pPr>
              <w:spacing w:after="120"/>
              <w:jc w:val="center"/>
              <w:rPr>
                <w:rFonts w:asciiTheme="majorHAnsi" w:hAnsiTheme="majorHAnsi"/>
                <w:b/>
                <w:sz w:val="24"/>
                <w:szCs w:val="24"/>
              </w:rPr>
            </w:pPr>
            <w:r w:rsidRPr="004D18DA">
              <w:rPr>
                <w:rFonts w:asciiTheme="majorHAnsi" w:hAnsiTheme="majorHAnsi"/>
                <w:b/>
                <w:sz w:val="24"/>
                <w:szCs w:val="24"/>
              </w:rPr>
              <w:t>MOGUĆNOSTI</w:t>
            </w:r>
          </w:p>
        </w:tc>
        <w:tc>
          <w:tcPr>
            <w:tcW w:w="4644" w:type="dxa"/>
            <w:tcBorders>
              <w:top w:val="single" w:sz="4" w:space="0" w:color="auto"/>
              <w:left w:val="single" w:sz="4" w:space="0" w:color="auto"/>
              <w:bottom w:val="single" w:sz="4" w:space="0" w:color="auto"/>
              <w:right w:val="single" w:sz="4" w:space="0" w:color="auto"/>
            </w:tcBorders>
            <w:shd w:val="clear" w:color="auto" w:fill="C0504D"/>
            <w:hideMark/>
          </w:tcPr>
          <w:p w:rsidR="0084571F" w:rsidRPr="004D18DA" w:rsidRDefault="0084571F" w:rsidP="00005F40">
            <w:pPr>
              <w:spacing w:after="120"/>
              <w:jc w:val="center"/>
              <w:rPr>
                <w:rFonts w:asciiTheme="majorHAnsi" w:hAnsiTheme="majorHAnsi"/>
                <w:b/>
                <w:sz w:val="24"/>
                <w:szCs w:val="24"/>
              </w:rPr>
            </w:pPr>
            <w:r w:rsidRPr="004D18DA">
              <w:rPr>
                <w:rFonts w:asciiTheme="majorHAnsi" w:hAnsiTheme="majorHAnsi"/>
                <w:b/>
                <w:sz w:val="24"/>
                <w:szCs w:val="24"/>
              </w:rPr>
              <w:t>PRIJETNJE</w:t>
            </w:r>
          </w:p>
        </w:tc>
      </w:tr>
      <w:tr w:rsidR="0084571F" w:rsidRPr="00241F37" w:rsidTr="00005F40">
        <w:tc>
          <w:tcPr>
            <w:tcW w:w="4644" w:type="dxa"/>
            <w:tcBorders>
              <w:top w:val="single" w:sz="4" w:space="0" w:color="auto"/>
              <w:left w:val="single" w:sz="4" w:space="0" w:color="auto"/>
              <w:bottom w:val="single" w:sz="4" w:space="0" w:color="auto"/>
              <w:right w:val="single" w:sz="4" w:space="0" w:color="auto"/>
            </w:tcBorders>
          </w:tcPr>
          <w:p w:rsidR="00A96071"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 xml:space="preserve">Povećanje </w:t>
            </w:r>
            <w:r w:rsidR="00353690" w:rsidRPr="004D18DA">
              <w:rPr>
                <w:rFonts w:asciiTheme="majorHAnsi" w:hAnsiTheme="majorHAnsi"/>
              </w:rPr>
              <w:t xml:space="preserve">zapošljivosti  kroz veći obim </w:t>
            </w:r>
            <w:r w:rsidRPr="004D18DA">
              <w:rPr>
                <w:rFonts w:asciiTheme="majorHAnsi" w:hAnsiTheme="majorHAnsi"/>
              </w:rPr>
              <w:t>finan</w:t>
            </w:r>
            <w:r w:rsidR="00353690" w:rsidRPr="004D18DA">
              <w:rPr>
                <w:rFonts w:asciiTheme="majorHAnsi" w:hAnsiTheme="majorHAnsi"/>
              </w:rPr>
              <w:t>s</w:t>
            </w:r>
            <w:r w:rsidR="00365209" w:rsidRPr="004D18DA">
              <w:rPr>
                <w:rFonts w:asciiTheme="majorHAnsi" w:hAnsiTheme="majorHAnsi"/>
              </w:rPr>
              <w:t xml:space="preserve">ijskih sredstava </w:t>
            </w:r>
            <w:r w:rsidR="00353690" w:rsidRPr="004D18DA">
              <w:rPr>
                <w:rFonts w:asciiTheme="majorHAnsi" w:hAnsiTheme="majorHAnsi"/>
              </w:rPr>
              <w:t xml:space="preserve">namijenjenih aktivnim </w:t>
            </w:r>
            <w:r w:rsidRPr="004D18DA">
              <w:rPr>
                <w:rFonts w:asciiTheme="majorHAnsi" w:hAnsiTheme="majorHAnsi"/>
              </w:rPr>
              <w:t xml:space="preserve"> mjer</w:t>
            </w:r>
            <w:r w:rsidR="00353690" w:rsidRPr="004D18DA">
              <w:rPr>
                <w:rFonts w:asciiTheme="majorHAnsi" w:hAnsiTheme="majorHAnsi"/>
              </w:rPr>
              <w:t>ama</w:t>
            </w:r>
            <w:r w:rsidR="00A96071" w:rsidRPr="004D18DA">
              <w:rPr>
                <w:rFonts w:asciiTheme="majorHAnsi" w:hAnsiTheme="majorHAnsi"/>
              </w:rPr>
              <w:t xml:space="preserve"> zapošljavanja</w:t>
            </w:r>
          </w:p>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Usklađivanje sistema obrazovanja na svim nivoima sa Nacionalnim okvirom kvalifikacija uz uvažavanje potreba tržišta rada i specifičnostima potreba marginalizovanih grupa</w:t>
            </w:r>
          </w:p>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Multisektorski pristup u procesu programiranja i s</w:t>
            </w:r>
            <w:r w:rsidR="006A418B" w:rsidRPr="004D18DA">
              <w:rPr>
                <w:rFonts w:asciiTheme="majorHAnsi" w:hAnsiTheme="majorHAnsi"/>
              </w:rPr>
              <w:t xml:space="preserve">trateškog planiranja </w:t>
            </w:r>
            <w:r w:rsidR="00365209" w:rsidRPr="004D18DA">
              <w:rPr>
                <w:rFonts w:asciiTheme="majorHAnsi" w:hAnsiTheme="majorHAnsi"/>
              </w:rPr>
              <w:t xml:space="preserve">doprinijeće </w:t>
            </w:r>
            <w:r w:rsidR="00353690" w:rsidRPr="004D18DA">
              <w:rPr>
                <w:rFonts w:asciiTheme="majorHAnsi" w:hAnsiTheme="majorHAnsi"/>
              </w:rPr>
              <w:t xml:space="preserve">efikasnijem </w:t>
            </w:r>
            <w:r w:rsidRPr="004D18DA">
              <w:rPr>
                <w:rFonts w:asciiTheme="majorHAnsi" w:hAnsiTheme="majorHAnsi"/>
              </w:rPr>
              <w:t xml:space="preserve"> sprovođenju javnih politika</w:t>
            </w:r>
          </w:p>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Uspostavljanje efikasnog sistema planiranja, evidencije, izvještavanja, praćenja, ocjenjivanja i revizije sistema socijalne politike</w:t>
            </w:r>
          </w:p>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Razvijanje sistema za podsticanje samozapošljavanja i sistema podrške preduzetništva, uključujući sisteme povoljnih finansijskih instrumenata</w:t>
            </w:r>
          </w:p>
        </w:tc>
        <w:tc>
          <w:tcPr>
            <w:tcW w:w="4644" w:type="dxa"/>
            <w:tcBorders>
              <w:top w:val="single" w:sz="4" w:space="0" w:color="auto"/>
              <w:left w:val="single" w:sz="4" w:space="0" w:color="auto"/>
              <w:bottom w:val="single" w:sz="4" w:space="0" w:color="auto"/>
              <w:right w:val="single" w:sz="4" w:space="0" w:color="auto"/>
            </w:tcBorders>
            <w:hideMark/>
          </w:tcPr>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Neblagovremeno usvajanje strateških dokumenata</w:t>
            </w:r>
          </w:p>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Nedovoljna informisanost opšte javnosti i potencijalnih korisnika o mogućnostima korišćen</w:t>
            </w:r>
            <w:r w:rsidR="00365209" w:rsidRPr="004D18DA">
              <w:rPr>
                <w:rFonts w:asciiTheme="majorHAnsi" w:hAnsiTheme="majorHAnsi"/>
              </w:rPr>
              <w:t>j</w:t>
            </w:r>
            <w:r w:rsidRPr="004D18DA">
              <w:rPr>
                <w:rFonts w:asciiTheme="majorHAnsi" w:hAnsiTheme="majorHAnsi"/>
              </w:rPr>
              <w:t>a projekata koje finanira EU</w:t>
            </w:r>
          </w:p>
          <w:p w:rsidR="0084571F" w:rsidRPr="004D18DA" w:rsidRDefault="006A418B" w:rsidP="00005F40">
            <w:pPr>
              <w:pStyle w:val="ListParagraph"/>
              <w:numPr>
                <w:ilvl w:val="0"/>
                <w:numId w:val="4"/>
              </w:numPr>
              <w:spacing w:after="120"/>
              <w:jc w:val="both"/>
              <w:rPr>
                <w:rFonts w:asciiTheme="majorHAnsi" w:hAnsiTheme="majorHAnsi"/>
              </w:rPr>
            </w:pPr>
            <w:r w:rsidRPr="004D18DA">
              <w:rPr>
                <w:rFonts w:asciiTheme="majorHAnsi" w:hAnsiTheme="majorHAnsi"/>
              </w:rPr>
              <w:t>Nedovoljni administrativni kapaciteti institucija u svijetlu obuka i učešća u aktivnostima izgradnje kapaciteta</w:t>
            </w:r>
          </w:p>
          <w:p w:rsidR="0084571F" w:rsidRPr="004D18DA" w:rsidRDefault="0084571F" w:rsidP="00005F40">
            <w:pPr>
              <w:pStyle w:val="ListParagraph"/>
              <w:numPr>
                <w:ilvl w:val="0"/>
                <w:numId w:val="4"/>
              </w:numPr>
              <w:spacing w:after="120"/>
              <w:jc w:val="both"/>
              <w:rPr>
                <w:rFonts w:asciiTheme="majorHAnsi" w:hAnsiTheme="majorHAnsi"/>
              </w:rPr>
            </w:pPr>
            <w:r w:rsidRPr="004D18DA">
              <w:rPr>
                <w:rFonts w:asciiTheme="majorHAnsi" w:hAnsiTheme="majorHAnsi"/>
              </w:rPr>
              <w:t>Nedovoljna osposobljenost na lokalnom nivou za apliciranje i sprovođenje projekata</w:t>
            </w:r>
          </w:p>
          <w:p w:rsidR="003F4FF7" w:rsidRPr="004D18DA" w:rsidRDefault="003F4FF7" w:rsidP="005428C2">
            <w:pPr>
              <w:pStyle w:val="ListParagraph"/>
              <w:spacing w:after="120"/>
              <w:jc w:val="both"/>
              <w:rPr>
                <w:rFonts w:asciiTheme="majorHAnsi" w:hAnsiTheme="majorHAnsi"/>
              </w:rPr>
            </w:pPr>
          </w:p>
        </w:tc>
      </w:tr>
    </w:tbl>
    <w:p w:rsidR="0084571F" w:rsidRPr="004E6BCD" w:rsidRDefault="00365209" w:rsidP="00C31FCA">
      <w:pPr>
        <w:pStyle w:val="Heading1"/>
        <w:numPr>
          <w:ilvl w:val="0"/>
          <w:numId w:val="40"/>
        </w:numPr>
      </w:pPr>
      <w:bookmarkStart w:id="3" w:name="_Toc419368461"/>
      <w:r w:rsidRPr="004E6BCD">
        <w:t>Opseg sektorskog pristupa</w:t>
      </w:r>
      <w:bookmarkEnd w:id="3"/>
      <w:r w:rsidR="001B6941">
        <w:t xml:space="preserve"> </w:t>
      </w:r>
    </w:p>
    <w:p w:rsidR="0084571F" w:rsidRDefault="0084571F" w:rsidP="004D18DA">
      <w:pPr>
        <w:pStyle w:val="Heading2"/>
        <w:numPr>
          <w:ilvl w:val="1"/>
          <w:numId w:val="40"/>
        </w:numPr>
        <w:spacing w:after="240"/>
      </w:pPr>
      <w:bookmarkStart w:id="4" w:name="_Toc419368462"/>
      <w:r w:rsidRPr="00160F4D">
        <w:t>Na</w:t>
      </w:r>
      <w:r w:rsidR="00365209">
        <w:t>cionalne sektorske politike/strategije</w:t>
      </w:r>
      <w:bookmarkEnd w:id="4"/>
      <w:r w:rsidRPr="00160F4D">
        <w:t xml:space="preserve"> </w:t>
      </w:r>
    </w:p>
    <w:p w:rsidR="0084571F" w:rsidRPr="004D18DA" w:rsidRDefault="0084571F" w:rsidP="0084571F">
      <w:pPr>
        <w:spacing w:after="120"/>
        <w:jc w:val="both"/>
        <w:rPr>
          <w:rFonts w:asciiTheme="majorHAnsi" w:hAnsiTheme="majorHAnsi"/>
          <w:sz w:val="24"/>
          <w:szCs w:val="24"/>
        </w:rPr>
      </w:pPr>
      <w:r w:rsidRPr="004D18DA">
        <w:rPr>
          <w:rFonts w:asciiTheme="majorHAnsi" w:hAnsiTheme="majorHAnsi"/>
          <w:sz w:val="24"/>
          <w:szCs w:val="24"/>
        </w:rPr>
        <w:t>Najvažniji strateški dokument</w:t>
      </w:r>
      <w:r w:rsidR="00CB4135" w:rsidRPr="004D18DA">
        <w:rPr>
          <w:rFonts w:asciiTheme="majorHAnsi" w:hAnsiTheme="majorHAnsi"/>
          <w:sz w:val="24"/>
          <w:szCs w:val="24"/>
        </w:rPr>
        <w:t>i</w:t>
      </w:r>
      <w:r w:rsidRPr="004D18DA">
        <w:rPr>
          <w:rFonts w:asciiTheme="majorHAnsi" w:hAnsiTheme="majorHAnsi"/>
          <w:sz w:val="24"/>
          <w:szCs w:val="24"/>
        </w:rPr>
        <w:t xml:space="preserve"> n</w:t>
      </w:r>
      <w:r w:rsidR="00365209" w:rsidRPr="004D18DA">
        <w:rPr>
          <w:rFonts w:asciiTheme="majorHAnsi" w:hAnsiTheme="majorHAnsi"/>
          <w:sz w:val="24"/>
          <w:szCs w:val="24"/>
        </w:rPr>
        <w:t>acionalnog karaktera za ovaj sek</w:t>
      </w:r>
      <w:r w:rsidRPr="004D18DA">
        <w:rPr>
          <w:rFonts w:asciiTheme="majorHAnsi" w:hAnsiTheme="majorHAnsi"/>
          <w:sz w:val="24"/>
          <w:szCs w:val="24"/>
        </w:rPr>
        <w:t xml:space="preserve">tor </w:t>
      </w:r>
      <w:r w:rsidR="00CB4135" w:rsidRPr="004D18DA">
        <w:rPr>
          <w:rFonts w:asciiTheme="majorHAnsi" w:hAnsiTheme="majorHAnsi"/>
          <w:sz w:val="24"/>
          <w:szCs w:val="24"/>
        </w:rPr>
        <w:t>su</w:t>
      </w:r>
      <w:r w:rsidRPr="004D18DA">
        <w:rPr>
          <w:rFonts w:asciiTheme="majorHAnsi" w:hAnsiTheme="majorHAnsi"/>
          <w:sz w:val="24"/>
          <w:szCs w:val="24"/>
        </w:rPr>
        <w:t xml:space="preserve"> </w:t>
      </w:r>
      <w:r w:rsidR="00CB4135" w:rsidRPr="004D18DA">
        <w:rPr>
          <w:rFonts w:asciiTheme="majorHAnsi" w:hAnsiTheme="majorHAnsi"/>
          <w:sz w:val="24"/>
          <w:szCs w:val="24"/>
        </w:rPr>
        <w:t xml:space="preserve">Program ekonomskih reformi Crne Gore </w:t>
      </w:r>
      <w:r w:rsidR="000F23E9" w:rsidRPr="004D18DA">
        <w:rPr>
          <w:rFonts w:asciiTheme="majorHAnsi" w:hAnsiTheme="majorHAnsi"/>
          <w:sz w:val="24"/>
          <w:szCs w:val="24"/>
        </w:rPr>
        <w:t xml:space="preserve">2015 – 2017 </w:t>
      </w:r>
      <w:r w:rsidR="00CB4135" w:rsidRPr="004D18DA">
        <w:rPr>
          <w:rFonts w:asciiTheme="majorHAnsi" w:hAnsiTheme="majorHAnsi"/>
          <w:sz w:val="24"/>
          <w:szCs w:val="24"/>
        </w:rPr>
        <w:t xml:space="preserve">i </w:t>
      </w:r>
      <w:r w:rsidRPr="004D18DA">
        <w:rPr>
          <w:rFonts w:asciiTheme="majorHAnsi" w:hAnsiTheme="majorHAnsi"/>
          <w:sz w:val="24"/>
          <w:szCs w:val="24"/>
        </w:rPr>
        <w:t>Program reforme politike zapoš</w:t>
      </w:r>
      <w:r w:rsidR="000C6598" w:rsidRPr="004D18DA">
        <w:rPr>
          <w:rFonts w:asciiTheme="majorHAnsi" w:hAnsiTheme="majorHAnsi"/>
          <w:sz w:val="24"/>
          <w:szCs w:val="24"/>
        </w:rPr>
        <w:t>ljavanja i socijalne politike</w:t>
      </w:r>
      <w:r w:rsidR="000F23E9" w:rsidRPr="004D18DA">
        <w:rPr>
          <w:rFonts w:asciiTheme="majorHAnsi" w:hAnsiTheme="majorHAnsi"/>
          <w:sz w:val="24"/>
          <w:szCs w:val="24"/>
        </w:rPr>
        <w:t xml:space="preserve"> 2015 - 2020</w:t>
      </w:r>
      <w:r w:rsidR="00CB4135" w:rsidRPr="004D18DA">
        <w:rPr>
          <w:rFonts w:asciiTheme="majorHAnsi" w:hAnsiTheme="majorHAnsi"/>
          <w:sz w:val="24"/>
          <w:szCs w:val="24"/>
        </w:rPr>
        <w:t xml:space="preserve">, koji se naslanjaju </w:t>
      </w:r>
      <w:r w:rsidR="001138AD" w:rsidRPr="004D18DA">
        <w:rPr>
          <w:rFonts w:asciiTheme="majorHAnsi" w:hAnsiTheme="majorHAnsi"/>
          <w:sz w:val="24"/>
          <w:szCs w:val="24"/>
        </w:rPr>
        <w:t>na dokument</w:t>
      </w:r>
      <w:r w:rsidR="00CB4135" w:rsidRPr="004D18DA">
        <w:rPr>
          <w:rFonts w:asciiTheme="majorHAnsi" w:hAnsiTheme="majorHAnsi"/>
          <w:sz w:val="24"/>
          <w:szCs w:val="24"/>
        </w:rPr>
        <w:t xml:space="preserve"> </w:t>
      </w:r>
      <w:r w:rsidRPr="004D18DA">
        <w:rPr>
          <w:rFonts w:asciiTheme="majorHAnsi" w:hAnsiTheme="majorHAnsi"/>
          <w:sz w:val="24"/>
          <w:szCs w:val="24"/>
        </w:rPr>
        <w:t>„Pravc</w:t>
      </w:r>
      <w:r w:rsidR="001138AD" w:rsidRPr="004D18DA">
        <w:rPr>
          <w:rFonts w:asciiTheme="majorHAnsi" w:hAnsiTheme="majorHAnsi"/>
          <w:sz w:val="24"/>
          <w:szCs w:val="24"/>
        </w:rPr>
        <w:t>i</w:t>
      </w:r>
      <w:r w:rsidRPr="004D18DA">
        <w:rPr>
          <w:rFonts w:asciiTheme="majorHAnsi" w:hAnsiTheme="majorHAnsi"/>
          <w:sz w:val="24"/>
          <w:szCs w:val="24"/>
        </w:rPr>
        <w:t xml:space="preserve"> razvoja Crne Gore 2013-2016“. Inkluzivan rast</w:t>
      </w:r>
      <w:r w:rsidR="007353A0" w:rsidRPr="004D18DA">
        <w:rPr>
          <w:rFonts w:asciiTheme="majorHAnsi" w:hAnsiTheme="majorHAnsi"/>
          <w:sz w:val="24"/>
          <w:szCs w:val="24"/>
        </w:rPr>
        <w:t>, definisan u svim dokumentima</w:t>
      </w:r>
      <w:r w:rsidRPr="004D18DA">
        <w:rPr>
          <w:rFonts w:asciiTheme="majorHAnsi" w:hAnsiTheme="majorHAnsi"/>
          <w:sz w:val="24"/>
          <w:szCs w:val="24"/>
        </w:rPr>
        <w:t xml:space="preserve"> se posmatra u funkciji povećanja zaposlenosti i smanjenja nezaposlenosti, povećanja stope aktivnosti radno sposobnog stanovnoštva, poboljšanje kvaliteta obrazovanja, smanjenje broja siromašnih i ljudi koji su u riziku od siromaštva.</w:t>
      </w:r>
    </w:p>
    <w:p w:rsidR="0084571F" w:rsidRPr="00160F4D" w:rsidRDefault="0084571F" w:rsidP="0084571F">
      <w:pPr>
        <w:spacing w:after="120"/>
        <w:jc w:val="both"/>
        <w:rPr>
          <w:rFonts w:ascii="Times New Roman" w:hAnsi="Times New Roman"/>
          <w:sz w:val="24"/>
          <w:szCs w:val="24"/>
        </w:rPr>
      </w:pPr>
      <w:r w:rsidRPr="004D18DA">
        <w:rPr>
          <w:rFonts w:asciiTheme="majorHAnsi" w:hAnsiTheme="majorHAnsi"/>
          <w:sz w:val="24"/>
          <w:szCs w:val="24"/>
        </w:rPr>
        <w:t>Program ekonomskih reformi (PER) za Crnu Goru 2015</w:t>
      </w:r>
      <w:r w:rsidR="00F47984" w:rsidRPr="004D18DA">
        <w:rPr>
          <w:rFonts w:asciiTheme="majorHAnsi" w:hAnsiTheme="majorHAnsi"/>
          <w:sz w:val="24"/>
          <w:szCs w:val="24"/>
        </w:rPr>
        <w:t>-2017</w:t>
      </w:r>
      <w:r w:rsidRPr="004D18DA">
        <w:rPr>
          <w:rFonts w:asciiTheme="majorHAnsi" w:hAnsiTheme="majorHAnsi"/>
          <w:sz w:val="24"/>
          <w:szCs w:val="24"/>
        </w:rPr>
        <w:t>, usvojen u januaru 2015. godine, predstavlja strateški dokument za oblast reformi usmjerenih ka pametnom, održivom i inkluzivnom rastu. U skladu sa Smjernicama Evropske komisije za PER 2015., ovaj daje pregled okvira srednjoročnih makroekonomskih i fiskalnih politika i strukturnih reformi koje imaju direktan makro-fiskalni uticaj, te pregled mjera strukturnih reformi koje su sektorske prirode, a kojima se želi unaprijediti konkurentnost Crne Gore i posljedično ojačati rast, prije svega u oblastima koje je Crna Gora identifikovala u Pravcima razvoja Crne Gore 2013-2016: turizam, energetika, poljoprivreda i industrija.</w:t>
      </w:r>
      <w:r w:rsidRPr="00160F4D">
        <w:rPr>
          <w:rFonts w:ascii="Times New Roman" w:hAnsi="Times New Roman"/>
          <w:sz w:val="24"/>
          <w:szCs w:val="24"/>
        </w:rPr>
        <w:t xml:space="preserve"> </w:t>
      </w:r>
    </w:p>
    <w:p w:rsidR="0084571F" w:rsidRPr="004D18DA" w:rsidRDefault="0084571F" w:rsidP="0084571F">
      <w:pPr>
        <w:spacing w:after="120"/>
        <w:jc w:val="both"/>
        <w:rPr>
          <w:rFonts w:asciiTheme="majorHAnsi" w:hAnsiTheme="majorHAnsi"/>
          <w:sz w:val="24"/>
          <w:szCs w:val="24"/>
        </w:rPr>
      </w:pPr>
      <w:r w:rsidRPr="004D18DA">
        <w:rPr>
          <w:rFonts w:asciiTheme="majorHAnsi" w:hAnsiTheme="majorHAnsi"/>
          <w:sz w:val="24"/>
          <w:szCs w:val="24"/>
        </w:rPr>
        <w:t>Nacionalna strategija zapošljavanja i razv</w:t>
      </w:r>
      <w:r w:rsidR="001A5B33" w:rsidRPr="004D18DA">
        <w:rPr>
          <w:rFonts w:asciiTheme="majorHAnsi" w:hAnsiTheme="majorHAnsi"/>
          <w:sz w:val="24"/>
          <w:szCs w:val="24"/>
        </w:rPr>
        <w:t xml:space="preserve">oja ljudskih resursa 2012-2015 </w:t>
      </w:r>
      <w:r w:rsidRPr="004D18DA">
        <w:rPr>
          <w:rFonts w:asciiTheme="majorHAnsi" w:hAnsiTheme="majorHAnsi"/>
          <w:sz w:val="24"/>
          <w:szCs w:val="24"/>
        </w:rPr>
        <w:t>daje strateški okvir za politiku zapošljavanja.</w:t>
      </w:r>
      <w:r w:rsidR="00F144B0" w:rsidRPr="004D18DA">
        <w:rPr>
          <w:rStyle w:val="FootnoteReference"/>
          <w:rFonts w:asciiTheme="majorHAnsi" w:hAnsiTheme="majorHAnsi"/>
          <w:sz w:val="24"/>
          <w:szCs w:val="24"/>
        </w:rPr>
        <w:footnoteReference w:id="5"/>
      </w:r>
      <w:r w:rsidR="00F144B0" w:rsidRPr="004D18DA">
        <w:rPr>
          <w:rFonts w:asciiTheme="majorHAnsi" w:hAnsiTheme="majorHAnsi"/>
          <w:sz w:val="24"/>
          <w:szCs w:val="24"/>
        </w:rPr>
        <w:t xml:space="preserve"> </w:t>
      </w:r>
      <w:r w:rsidRPr="004D18DA">
        <w:rPr>
          <w:rFonts w:asciiTheme="majorHAnsi" w:hAnsiTheme="majorHAnsi"/>
          <w:sz w:val="24"/>
          <w:szCs w:val="24"/>
        </w:rPr>
        <w:t>Mjere i aktivnosti za realizaciju definišu se godišnjim akcionim planovima, u okviru utvrđenih prioriteta i ciljeva Strategije koji se odnose na:</w:t>
      </w:r>
    </w:p>
    <w:p w:rsidR="0084571F" w:rsidRPr="004D18DA" w:rsidRDefault="0084571F" w:rsidP="007A1D44">
      <w:pPr>
        <w:spacing w:after="120"/>
        <w:ind w:left="709" w:hanging="283"/>
        <w:jc w:val="both"/>
        <w:rPr>
          <w:rFonts w:asciiTheme="majorHAnsi" w:hAnsiTheme="majorHAnsi"/>
          <w:sz w:val="24"/>
          <w:szCs w:val="24"/>
        </w:rPr>
      </w:pPr>
      <w:r w:rsidRPr="004D18DA">
        <w:rPr>
          <w:rFonts w:asciiTheme="majorHAnsi" w:hAnsiTheme="majorHAnsi"/>
          <w:sz w:val="24"/>
          <w:szCs w:val="24"/>
        </w:rPr>
        <w:t>•</w:t>
      </w:r>
      <w:r w:rsidRPr="004D18DA">
        <w:rPr>
          <w:rFonts w:asciiTheme="majorHAnsi" w:hAnsiTheme="majorHAnsi"/>
          <w:sz w:val="24"/>
          <w:szCs w:val="24"/>
        </w:rPr>
        <w:tab/>
        <w:t>Stimulisanje generisanja zaposlenosti poboljšanjem biznis okruženja i upravljanja tržištem rada i pronalaženje odgovarajuće ravnoteže između fleksibilnosti, produktivnosti i sigurnosti na tržištu rada; povećanje efikasnosti mjera aktivne politike zapošljavanje sa posebnim naglaskom na integraciju dugor</w:t>
      </w:r>
      <w:r w:rsidR="000C6598" w:rsidRPr="004D18DA">
        <w:rPr>
          <w:rFonts w:asciiTheme="majorHAnsi" w:hAnsiTheme="majorHAnsi"/>
          <w:sz w:val="24"/>
          <w:szCs w:val="24"/>
        </w:rPr>
        <w:t>očno nezaposlenih lica, mladih i</w:t>
      </w:r>
      <w:r w:rsidRPr="004D18DA">
        <w:rPr>
          <w:rFonts w:asciiTheme="majorHAnsi" w:hAnsiTheme="majorHAnsi"/>
          <w:sz w:val="24"/>
          <w:szCs w:val="24"/>
        </w:rPr>
        <w:t xml:space="preserve"> žena na tržištu rada; povećanje samozapošljavanja, podsticanje preduzetništva posebno u nerazvijenim područjima Crne Gore; </w:t>
      </w:r>
    </w:p>
    <w:p w:rsidR="0084571F" w:rsidRPr="004D18DA" w:rsidRDefault="0084571F" w:rsidP="007A1D44">
      <w:pPr>
        <w:spacing w:after="120"/>
        <w:ind w:left="709" w:hanging="283"/>
        <w:jc w:val="both"/>
        <w:rPr>
          <w:rFonts w:asciiTheme="majorHAnsi" w:hAnsiTheme="majorHAnsi"/>
          <w:sz w:val="24"/>
          <w:szCs w:val="24"/>
        </w:rPr>
      </w:pPr>
      <w:r w:rsidRPr="004D18DA">
        <w:rPr>
          <w:rFonts w:asciiTheme="majorHAnsi" w:hAnsiTheme="majorHAnsi"/>
          <w:sz w:val="24"/>
          <w:szCs w:val="24"/>
        </w:rPr>
        <w:t>•</w:t>
      </w:r>
      <w:r w:rsidRPr="004D18DA">
        <w:rPr>
          <w:rFonts w:asciiTheme="majorHAnsi" w:hAnsiTheme="majorHAnsi"/>
          <w:sz w:val="24"/>
          <w:szCs w:val="24"/>
        </w:rPr>
        <w:tab/>
        <w:t>Promovisanje pristupa i učešća odraslih u cjeloživotnom učenju i promovisanje značaja cjeloživotnog učenja; unapr</w:t>
      </w:r>
      <w:r w:rsidR="000C6598" w:rsidRPr="004D18DA">
        <w:rPr>
          <w:rFonts w:asciiTheme="majorHAnsi" w:hAnsiTheme="majorHAnsi"/>
          <w:sz w:val="24"/>
          <w:szCs w:val="24"/>
        </w:rPr>
        <w:t>ij</w:t>
      </w:r>
      <w:r w:rsidRPr="004D18DA">
        <w:rPr>
          <w:rFonts w:asciiTheme="majorHAnsi" w:hAnsiTheme="majorHAnsi"/>
          <w:sz w:val="24"/>
          <w:szCs w:val="24"/>
        </w:rPr>
        <w:t>eđenje kvaliteta obrazovanja na svim nivoima i usaglašavanje sa potrebama tržišta rada; unapr</w:t>
      </w:r>
      <w:r w:rsidR="000C6598" w:rsidRPr="004D18DA">
        <w:rPr>
          <w:rFonts w:asciiTheme="majorHAnsi" w:hAnsiTheme="majorHAnsi"/>
          <w:sz w:val="24"/>
          <w:szCs w:val="24"/>
        </w:rPr>
        <w:t>ij</w:t>
      </w:r>
      <w:r w:rsidRPr="004D18DA">
        <w:rPr>
          <w:rFonts w:asciiTheme="majorHAnsi" w:hAnsiTheme="majorHAnsi"/>
          <w:sz w:val="24"/>
          <w:szCs w:val="24"/>
        </w:rPr>
        <w:t>eđenje znanja, vještina i kompetencija u cilju po</w:t>
      </w:r>
      <w:r w:rsidR="000C6598" w:rsidRPr="004D18DA">
        <w:rPr>
          <w:rFonts w:asciiTheme="majorHAnsi" w:hAnsiTheme="majorHAnsi"/>
          <w:sz w:val="24"/>
          <w:szCs w:val="24"/>
        </w:rPr>
        <w:t>većanja mogućnosti zapošljavanja</w:t>
      </w:r>
      <w:r w:rsidRPr="004D18DA">
        <w:rPr>
          <w:rFonts w:asciiTheme="majorHAnsi" w:hAnsiTheme="majorHAnsi"/>
          <w:sz w:val="24"/>
          <w:szCs w:val="24"/>
        </w:rPr>
        <w:t xml:space="preserve"> i povećanja konkurentnosti kroz formalno obrazovanje, neformalno učenje i osposobljavanje;</w:t>
      </w:r>
    </w:p>
    <w:p w:rsidR="0084571F" w:rsidRPr="004D18DA" w:rsidRDefault="0084571F" w:rsidP="007A1D44">
      <w:pPr>
        <w:spacing w:after="120"/>
        <w:ind w:left="709" w:hanging="283"/>
        <w:jc w:val="both"/>
        <w:rPr>
          <w:rFonts w:asciiTheme="majorHAnsi" w:hAnsiTheme="majorHAnsi"/>
          <w:sz w:val="24"/>
          <w:szCs w:val="24"/>
        </w:rPr>
      </w:pPr>
      <w:r w:rsidRPr="004D18DA">
        <w:rPr>
          <w:rFonts w:asciiTheme="majorHAnsi" w:hAnsiTheme="majorHAnsi"/>
          <w:sz w:val="24"/>
          <w:szCs w:val="24"/>
        </w:rPr>
        <w:t>•</w:t>
      </w:r>
      <w:r w:rsidRPr="004D18DA">
        <w:rPr>
          <w:rFonts w:asciiTheme="majorHAnsi" w:hAnsiTheme="majorHAnsi"/>
          <w:sz w:val="24"/>
          <w:szCs w:val="24"/>
        </w:rPr>
        <w:tab/>
        <w:t>Unapr</w:t>
      </w:r>
      <w:r w:rsidR="000C6598" w:rsidRPr="004D18DA">
        <w:rPr>
          <w:rFonts w:asciiTheme="majorHAnsi" w:hAnsiTheme="majorHAnsi"/>
          <w:sz w:val="24"/>
          <w:szCs w:val="24"/>
        </w:rPr>
        <w:t>ij</w:t>
      </w:r>
      <w:r w:rsidRPr="004D18DA">
        <w:rPr>
          <w:rFonts w:asciiTheme="majorHAnsi" w:hAnsiTheme="majorHAnsi"/>
          <w:sz w:val="24"/>
          <w:szCs w:val="24"/>
        </w:rPr>
        <w:t>eđenje sistema socijalnih davanja i socijalnih usluga u cilju bolje usmjerenosti i pokriv</w:t>
      </w:r>
      <w:r w:rsidR="000C6598" w:rsidRPr="004D18DA">
        <w:rPr>
          <w:rFonts w:asciiTheme="majorHAnsi" w:hAnsiTheme="majorHAnsi"/>
          <w:sz w:val="24"/>
          <w:szCs w:val="24"/>
        </w:rPr>
        <w:t>e</w:t>
      </w:r>
      <w:r w:rsidRPr="004D18DA">
        <w:rPr>
          <w:rFonts w:asciiTheme="majorHAnsi" w:hAnsiTheme="majorHAnsi"/>
          <w:sz w:val="24"/>
          <w:szCs w:val="24"/>
        </w:rPr>
        <w:t>nosti ranjivih grupa; integracija u zapoš</w:t>
      </w:r>
      <w:r w:rsidR="006578D0" w:rsidRPr="004D18DA">
        <w:rPr>
          <w:rFonts w:asciiTheme="majorHAnsi" w:hAnsiTheme="majorHAnsi"/>
          <w:sz w:val="24"/>
          <w:szCs w:val="24"/>
        </w:rPr>
        <w:t>l</w:t>
      </w:r>
      <w:r w:rsidRPr="004D18DA">
        <w:rPr>
          <w:rFonts w:asciiTheme="majorHAnsi" w:hAnsiTheme="majorHAnsi"/>
          <w:sz w:val="24"/>
          <w:szCs w:val="24"/>
        </w:rPr>
        <w:t>javanju lica sa in</w:t>
      </w:r>
      <w:r w:rsidR="000C6598" w:rsidRPr="004D18DA">
        <w:rPr>
          <w:rFonts w:asciiTheme="majorHAnsi" w:hAnsiTheme="majorHAnsi"/>
          <w:sz w:val="24"/>
          <w:szCs w:val="24"/>
        </w:rPr>
        <w:t>validitetom, kao i integracija i</w:t>
      </w:r>
      <w:r w:rsidRPr="004D18DA">
        <w:rPr>
          <w:rFonts w:asciiTheme="majorHAnsi" w:hAnsiTheme="majorHAnsi"/>
          <w:sz w:val="24"/>
          <w:szCs w:val="24"/>
        </w:rPr>
        <w:t xml:space="preserve"> zapošljavanje RE populacije, izbjeglica i raseljenih lica; Promovisanje socijalne inkluzije i smanjenje siromaštva. </w:t>
      </w:r>
    </w:p>
    <w:p w:rsidR="0084571F" w:rsidRPr="004D18DA" w:rsidRDefault="0084571F" w:rsidP="0084571F">
      <w:pPr>
        <w:spacing w:after="120"/>
        <w:jc w:val="both"/>
        <w:rPr>
          <w:rFonts w:asciiTheme="majorHAnsi" w:hAnsiTheme="majorHAnsi"/>
          <w:sz w:val="24"/>
          <w:szCs w:val="24"/>
        </w:rPr>
      </w:pPr>
      <w:r w:rsidRPr="004D18DA">
        <w:rPr>
          <w:rFonts w:asciiTheme="majorHAnsi" w:hAnsiTheme="majorHAnsi"/>
          <w:sz w:val="24"/>
          <w:szCs w:val="24"/>
        </w:rPr>
        <w:t>Sveobuhvatna reforma sistema obrazovanja u Crnoj Gori, koja se kontinuirano sprovodi duži niz godina, doprinijela je da se značajno unaprijedi stanje u pogledu uspostavljanja pravnog okvira, formiranja novih institucija i unapr</w:t>
      </w:r>
      <w:r w:rsidR="001A5B33" w:rsidRPr="004D18DA">
        <w:rPr>
          <w:rFonts w:asciiTheme="majorHAnsi" w:hAnsiTheme="majorHAnsi"/>
          <w:sz w:val="24"/>
          <w:szCs w:val="24"/>
        </w:rPr>
        <w:t>i</w:t>
      </w:r>
      <w:r w:rsidRPr="004D18DA">
        <w:rPr>
          <w:rFonts w:asciiTheme="majorHAnsi" w:hAnsiTheme="majorHAnsi"/>
          <w:sz w:val="24"/>
          <w:szCs w:val="24"/>
        </w:rPr>
        <w:t xml:space="preserve">jeđenje sadržaja i ishoda učenja. Privremenim zatvaranjem pregovaračkih poglavlja 26 “Obrazovanje i kultura” i poglavlja o pristupanju EU 25 “Nauka i istraživanje”, potvrđen je dobar nivo usklađenosti crnogorskih sa evropskim propisima u ovoj oblasti. Strategijom razvoja i finansiranja visokog obrazovanja 2011-2020, kao jedan od ciljeva </w:t>
      </w:r>
      <w:r w:rsidR="00847C05" w:rsidRPr="004D18DA">
        <w:rPr>
          <w:rFonts w:asciiTheme="majorHAnsi" w:hAnsiTheme="majorHAnsi"/>
          <w:sz w:val="24"/>
          <w:szCs w:val="24"/>
        </w:rPr>
        <w:t>predviđeno</w:t>
      </w:r>
      <w:r w:rsidRPr="004D18DA">
        <w:rPr>
          <w:rFonts w:asciiTheme="majorHAnsi" w:hAnsiTheme="majorHAnsi"/>
          <w:sz w:val="24"/>
          <w:szCs w:val="24"/>
        </w:rPr>
        <w:t xml:space="preserve"> je uspostavljanje modela cjeloživotnog učenja utemeljenog na dobroj međunarodnoj praksi. Realizacija ovog cilja sprovešće se kroz kreiranje strategije cjeloživotnog učenja, osnivanje centara za cjeloživotno učenje na univerzitetima uz podršku države (Ministarstvo prosvjete, Savjet za visoko obrazovanje, Zavod za zapošljavanje i Savjet za kvalifikacije). </w:t>
      </w:r>
    </w:p>
    <w:p w:rsidR="0084571F" w:rsidRPr="004D18DA" w:rsidRDefault="0084571F" w:rsidP="0084571F">
      <w:pPr>
        <w:spacing w:after="120"/>
        <w:jc w:val="both"/>
        <w:rPr>
          <w:rFonts w:asciiTheme="majorHAnsi" w:hAnsiTheme="majorHAnsi"/>
          <w:sz w:val="24"/>
          <w:szCs w:val="24"/>
        </w:rPr>
      </w:pPr>
      <w:r w:rsidRPr="004D18DA">
        <w:rPr>
          <w:rFonts w:asciiTheme="majorHAnsi" w:hAnsiTheme="majorHAnsi"/>
          <w:sz w:val="24"/>
          <w:szCs w:val="24"/>
        </w:rPr>
        <w:t xml:space="preserve">Cilj socijalne i dječje zaštite u Crnoj Gori je unaprijeđenje kvaliteta života i osnaživanje za samostalan i produktivan život pojedinca i porodice. Zakonom o socijalnoj i dječjoj zaštiti (“Službeni list Crne Gore”, broj 27/13) propisano je da su prava iz socijalne i dječje zaštite osnovna materijalna davanja i usluge socijalne i dječje zaštite. </w:t>
      </w:r>
    </w:p>
    <w:p w:rsidR="003A1E01" w:rsidRPr="003A1E01" w:rsidRDefault="00847C05" w:rsidP="004D18DA">
      <w:pPr>
        <w:pStyle w:val="Heading2"/>
        <w:numPr>
          <w:ilvl w:val="1"/>
          <w:numId w:val="40"/>
        </w:numPr>
        <w:spacing w:after="240"/>
      </w:pPr>
      <w:r>
        <w:t xml:space="preserve"> </w:t>
      </w:r>
      <w:bookmarkStart w:id="5" w:name="_Toc419368463"/>
      <w:r w:rsidRPr="00847C05">
        <w:t>Institucionalno uređenje, rukovodstvo i kapacitet</w:t>
      </w:r>
      <w:bookmarkEnd w:id="5"/>
    </w:p>
    <w:p w:rsidR="0084571F" w:rsidRPr="004D18DA" w:rsidRDefault="0084571F" w:rsidP="0084571F">
      <w:pPr>
        <w:tabs>
          <w:tab w:val="left" w:pos="1185"/>
        </w:tabs>
        <w:jc w:val="both"/>
        <w:rPr>
          <w:rFonts w:asciiTheme="majorHAnsi" w:hAnsiTheme="majorHAnsi"/>
          <w:b/>
          <w:sz w:val="24"/>
          <w:szCs w:val="24"/>
        </w:rPr>
      </w:pPr>
      <w:r w:rsidRPr="004D18DA">
        <w:rPr>
          <w:rFonts w:asciiTheme="majorHAnsi" w:hAnsiTheme="majorHAnsi"/>
          <w:sz w:val="24"/>
          <w:szCs w:val="24"/>
        </w:rPr>
        <w:t>Ministarstvo rada i socijalnog staranja odgovorn</w:t>
      </w:r>
      <w:r w:rsidR="00847C05" w:rsidRPr="004D18DA">
        <w:rPr>
          <w:rFonts w:asciiTheme="majorHAnsi" w:hAnsiTheme="majorHAnsi"/>
          <w:sz w:val="24"/>
          <w:szCs w:val="24"/>
        </w:rPr>
        <w:t>o je za sve aktivnosti vezane za pripremu i</w:t>
      </w:r>
      <w:r w:rsidRPr="004D18DA">
        <w:rPr>
          <w:rFonts w:asciiTheme="majorHAnsi" w:hAnsiTheme="majorHAnsi"/>
          <w:sz w:val="24"/>
          <w:szCs w:val="24"/>
        </w:rPr>
        <w:t xml:space="preserve"> </w:t>
      </w:r>
      <w:r w:rsidR="00847C05" w:rsidRPr="004D18DA">
        <w:rPr>
          <w:rFonts w:asciiTheme="majorHAnsi" w:hAnsiTheme="majorHAnsi"/>
          <w:sz w:val="24"/>
          <w:szCs w:val="24"/>
        </w:rPr>
        <w:t xml:space="preserve">sprovođenje </w:t>
      </w:r>
      <w:r w:rsidRPr="004D18DA">
        <w:rPr>
          <w:rFonts w:asciiTheme="majorHAnsi" w:hAnsiTheme="majorHAnsi"/>
          <w:sz w:val="24"/>
          <w:szCs w:val="24"/>
        </w:rPr>
        <w:t xml:space="preserve">strateških dokumenata u </w:t>
      </w:r>
      <w:r w:rsidR="005428C2" w:rsidRPr="004D18DA">
        <w:rPr>
          <w:rFonts w:asciiTheme="majorHAnsi" w:hAnsiTheme="majorHAnsi"/>
          <w:sz w:val="24"/>
          <w:szCs w:val="24"/>
        </w:rPr>
        <w:t>području zap</w:t>
      </w:r>
      <w:r w:rsidR="000F4339" w:rsidRPr="004D18DA">
        <w:rPr>
          <w:rFonts w:asciiTheme="majorHAnsi" w:hAnsiTheme="majorHAnsi"/>
          <w:sz w:val="24"/>
          <w:szCs w:val="24"/>
        </w:rPr>
        <w:t>ošljavanja i socijalne politike. Takođe,</w:t>
      </w:r>
      <w:r w:rsidRPr="004D18DA">
        <w:rPr>
          <w:rFonts w:asciiTheme="majorHAnsi" w:hAnsiTheme="majorHAnsi"/>
          <w:sz w:val="24"/>
          <w:szCs w:val="24"/>
        </w:rPr>
        <w:t xml:space="preserve"> odgovorno</w:t>
      </w:r>
      <w:r w:rsidR="005428C2" w:rsidRPr="004D18DA">
        <w:rPr>
          <w:rFonts w:asciiTheme="majorHAnsi" w:hAnsiTheme="majorHAnsi"/>
          <w:sz w:val="24"/>
          <w:szCs w:val="24"/>
        </w:rPr>
        <w:t xml:space="preserve"> je </w:t>
      </w:r>
      <w:r w:rsidRPr="004D18DA">
        <w:rPr>
          <w:rFonts w:asciiTheme="majorHAnsi" w:hAnsiTheme="majorHAnsi"/>
          <w:sz w:val="24"/>
          <w:szCs w:val="24"/>
        </w:rPr>
        <w:t>za upra</w:t>
      </w:r>
      <w:r w:rsidR="00847C05" w:rsidRPr="004D18DA">
        <w:rPr>
          <w:rFonts w:asciiTheme="majorHAnsi" w:hAnsiTheme="majorHAnsi"/>
          <w:sz w:val="24"/>
          <w:szCs w:val="24"/>
        </w:rPr>
        <w:t>vljanje i sprovođenje</w:t>
      </w:r>
      <w:r w:rsidR="005428C2" w:rsidRPr="004D18DA">
        <w:rPr>
          <w:rFonts w:asciiTheme="majorHAnsi" w:hAnsiTheme="majorHAnsi"/>
          <w:sz w:val="24"/>
          <w:szCs w:val="24"/>
        </w:rPr>
        <w:t xml:space="preserve"> već postojećeg </w:t>
      </w:r>
      <w:r w:rsidRPr="004D18DA">
        <w:rPr>
          <w:rFonts w:asciiTheme="majorHAnsi" w:hAnsiTheme="majorHAnsi"/>
          <w:sz w:val="24"/>
          <w:szCs w:val="24"/>
        </w:rPr>
        <w:t xml:space="preserve">Operativnog programa Razvoj ljudskih </w:t>
      </w:r>
      <w:r w:rsidR="00847C05" w:rsidRPr="004D18DA">
        <w:rPr>
          <w:rFonts w:asciiTheme="majorHAnsi" w:hAnsiTheme="majorHAnsi"/>
          <w:sz w:val="24"/>
          <w:szCs w:val="24"/>
        </w:rPr>
        <w:t>resursa</w:t>
      </w:r>
      <w:r w:rsidR="007353A0" w:rsidRPr="004D18DA">
        <w:rPr>
          <w:rFonts w:asciiTheme="majorHAnsi" w:hAnsiTheme="majorHAnsi"/>
          <w:sz w:val="24"/>
          <w:szCs w:val="24"/>
        </w:rPr>
        <w:t xml:space="preserve"> u okviru IPA komponente IV – Razvoj ljudskih resursa</w:t>
      </w:r>
      <w:r w:rsidR="00847C05" w:rsidRPr="004D18DA">
        <w:rPr>
          <w:rFonts w:asciiTheme="majorHAnsi" w:hAnsiTheme="majorHAnsi"/>
          <w:sz w:val="24"/>
          <w:szCs w:val="24"/>
        </w:rPr>
        <w:t xml:space="preserve"> i vodeće tijelo operativne struk</w:t>
      </w:r>
      <w:r w:rsidRPr="004D18DA">
        <w:rPr>
          <w:rFonts w:asciiTheme="majorHAnsi" w:hAnsiTheme="majorHAnsi"/>
          <w:sz w:val="24"/>
          <w:szCs w:val="24"/>
        </w:rPr>
        <w:t xml:space="preserve">ture. MRSS rukovodi procesom izrade ovog SOP-a. U implementaciji ovog Programa i sprovođenju predviđenih reformi politike i mjera </w:t>
      </w:r>
      <w:r w:rsidR="005428C2" w:rsidRPr="004D18DA">
        <w:rPr>
          <w:rFonts w:asciiTheme="majorHAnsi" w:hAnsiTheme="majorHAnsi"/>
          <w:sz w:val="24"/>
          <w:szCs w:val="24"/>
        </w:rPr>
        <w:t xml:space="preserve">koordinisano </w:t>
      </w:r>
      <w:r w:rsidRPr="004D18DA">
        <w:rPr>
          <w:rFonts w:asciiTheme="majorHAnsi" w:hAnsiTheme="majorHAnsi"/>
          <w:sz w:val="24"/>
          <w:szCs w:val="24"/>
        </w:rPr>
        <w:t xml:space="preserve">će učestvovati više institucija koje će sarađivati sa relevantnim akterima iz civilnog društva i međunarodnim organizacijama, prvenstveno EU. </w:t>
      </w:r>
    </w:p>
    <w:p w:rsidR="0084571F" w:rsidRPr="004D18DA" w:rsidRDefault="0084571F" w:rsidP="0084571F">
      <w:pPr>
        <w:tabs>
          <w:tab w:val="left" w:pos="1185"/>
        </w:tabs>
        <w:jc w:val="both"/>
        <w:rPr>
          <w:rFonts w:asciiTheme="majorHAnsi" w:hAnsiTheme="majorHAnsi"/>
          <w:sz w:val="24"/>
          <w:szCs w:val="24"/>
        </w:rPr>
      </w:pPr>
      <w:r w:rsidRPr="004D18DA">
        <w:rPr>
          <w:rFonts w:asciiTheme="majorHAnsi" w:hAnsiTheme="majorHAnsi"/>
          <w:sz w:val="24"/>
          <w:szCs w:val="24"/>
        </w:rPr>
        <w:t>U proces sprovođenja SOP-a biće uklj</w:t>
      </w:r>
      <w:r w:rsidR="001A5B33" w:rsidRPr="004D18DA">
        <w:rPr>
          <w:rFonts w:asciiTheme="majorHAnsi" w:hAnsiTheme="majorHAnsi"/>
          <w:sz w:val="24"/>
          <w:szCs w:val="24"/>
        </w:rPr>
        <w:t>učene sljedeće organizacione jed</w:t>
      </w:r>
      <w:r w:rsidRPr="004D18DA">
        <w:rPr>
          <w:rFonts w:asciiTheme="majorHAnsi" w:hAnsiTheme="majorHAnsi"/>
          <w:sz w:val="24"/>
          <w:szCs w:val="24"/>
        </w:rPr>
        <w:t>inice MRSS-a: Direktorat za tržište rada i zapošljavanje, Direktorat za rad, Direktorat za socijalno staranje i dječju zaštitu</w:t>
      </w:r>
      <w:r w:rsidR="000F2FC1" w:rsidRPr="004D18DA">
        <w:rPr>
          <w:rFonts w:asciiTheme="majorHAnsi" w:hAnsiTheme="majorHAnsi"/>
          <w:sz w:val="24"/>
          <w:szCs w:val="24"/>
        </w:rPr>
        <w:t>.</w:t>
      </w:r>
      <w:r w:rsidRPr="004D18DA">
        <w:rPr>
          <w:rFonts w:asciiTheme="majorHAnsi" w:hAnsiTheme="majorHAnsi"/>
          <w:sz w:val="24"/>
          <w:szCs w:val="24"/>
        </w:rPr>
        <w:t xml:space="preserve"> </w:t>
      </w:r>
    </w:p>
    <w:p w:rsidR="0050527D" w:rsidRPr="004D18DA" w:rsidRDefault="0084571F" w:rsidP="0084571F">
      <w:pPr>
        <w:spacing w:after="120"/>
        <w:jc w:val="both"/>
        <w:rPr>
          <w:rFonts w:asciiTheme="majorHAnsi" w:hAnsiTheme="majorHAnsi"/>
          <w:sz w:val="24"/>
          <w:szCs w:val="24"/>
        </w:rPr>
      </w:pPr>
      <w:r w:rsidRPr="004D18DA">
        <w:rPr>
          <w:rFonts w:asciiTheme="majorHAnsi" w:hAnsiTheme="majorHAnsi"/>
          <w:sz w:val="24"/>
          <w:szCs w:val="24"/>
        </w:rPr>
        <w:t xml:space="preserve">Ministarstvo prosvjete je odgovorno za planiranje, implementaciju i revidiranje politike obrazovanja na svim nivoima. Podršku Ministarstvu pruža niz savjetodavnih tijela i izvršnih </w:t>
      </w:r>
      <w:r w:rsidR="005428C2" w:rsidRPr="004D18DA">
        <w:rPr>
          <w:rFonts w:asciiTheme="majorHAnsi" w:hAnsiTheme="majorHAnsi"/>
          <w:sz w:val="24"/>
          <w:szCs w:val="24"/>
        </w:rPr>
        <w:t>institucija</w:t>
      </w:r>
      <w:r w:rsidRPr="004D18DA">
        <w:rPr>
          <w:rFonts w:asciiTheme="majorHAnsi" w:hAnsiTheme="majorHAnsi"/>
          <w:sz w:val="24"/>
          <w:szCs w:val="24"/>
        </w:rPr>
        <w:t>. Radi odlučivanja o stručnim pitanjima i za stručnu pomoć u postupku donošenja odluka i pripreme propisa iz oblasti obrazovanja i vaspitanja Vlada je osnovala Nacionalni savjet za obrazovanje</w:t>
      </w:r>
      <w:r w:rsidR="00AF5281" w:rsidRPr="004D18DA">
        <w:rPr>
          <w:rFonts w:asciiTheme="majorHAnsi" w:hAnsiTheme="majorHAnsi"/>
          <w:sz w:val="24"/>
          <w:szCs w:val="24"/>
        </w:rPr>
        <w:t>, Savjet za kvalifikacije</w:t>
      </w:r>
      <w:r w:rsidR="00FA2D6C" w:rsidRPr="004D18DA">
        <w:rPr>
          <w:rFonts w:asciiTheme="majorHAnsi" w:hAnsiTheme="majorHAnsi"/>
          <w:sz w:val="24"/>
          <w:szCs w:val="24"/>
        </w:rPr>
        <w:t xml:space="preserve"> i Savjet za visoko obrazovanje</w:t>
      </w:r>
      <w:r w:rsidR="001B6941" w:rsidRPr="004D18DA">
        <w:rPr>
          <w:rFonts w:asciiTheme="majorHAnsi" w:hAnsiTheme="majorHAnsi"/>
          <w:sz w:val="24"/>
          <w:szCs w:val="24"/>
        </w:rPr>
        <w:t xml:space="preserve">. </w:t>
      </w:r>
    </w:p>
    <w:p w:rsidR="0050527D" w:rsidRPr="004D18DA" w:rsidRDefault="0084571F" w:rsidP="0084571F">
      <w:pPr>
        <w:spacing w:after="120"/>
        <w:jc w:val="both"/>
        <w:rPr>
          <w:rFonts w:asciiTheme="majorHAnsi" w:hAnsiTheme="majorHAnsi"/>
          <w:sz w:val="24"/>
          <w:szCs w:val="24"/>
        </w:rPr>
      </w:pPr>
      <w:r w:rsidRPr="004D18DA">
        <w:rPr>
          <w:rFonts w:asciiTheme="majorHAnsi" w:hAnsiTheme="majorHAnsi"/>
          <w:sz w:val="24"/>
          <w:szCs w:val="24"/>
        </w:rPr>
        <w:t xml:space="preserve">Ministarstvo nauke nadležno je za segment </w:t>
      </w:r>
      <w:r w:rsidR="00287275" w:rsidRPr="004D18DA">
        <w:rPr>
          <w:rFonts w:asciiTheme="majorHAnsi" w:hAnsiTheme="majorHAnsi"/>
          <w:sz w:val="24"/>
          <w:szCs w:val="24"/>
        </w:rPr>
        <w:t>nauke</w:t>
      </w:r>
      <w:r w:rsidRPr="004D18DA">
        <w:rPr>
          <w:rFonts w:asciiTheme="majorHAnsi" w:hAnsiTheme="majorHAnsi"/>
          <w:sz w:val="24"/>
          <w:szCs w:val="24"/>
        </w:rPr>
        <w:t xml:space="preserve"> i </w:t>
      </w:r>
      <w:r w:rsidR="0050527D" w:rsidRPr="004D18DA">
        <w:rPr>
          <w:rFonts w:asciiTheme="majorHAnsi" w:hAnsiTheme="majorHAnsi"/>
          <w:sz w:val="24"/>
          <w:szCs w:val="24"/>
        </w:rPr>
        <w:t>istraživanja</w:t>
      </w:r>
      <w:r w:rsidR="005831AE" w:rsidRPr="004D18DA">
        <w:rPr>
          <w:rFonts w:asciiTheme="majorHAnsi" w:hAnsiTheme="majorHAnsi"/>
          <w:sz w:val="24"/>
          <w:szCs w:val="24"/>
        </w:rPr>
        <w:t>, dok</w:t>
      </w:r>
      <w:r w:rsidR="00550C7B" w:rsidRPr="004D18DA">
        <w:rPr>
          <w:rFonts w:asciiTheme="majorHAnsi" w:hAnsiTheme="majorHAnsi"/>
          <w:sz w:val="24"/>
          <w:szCs w:val="24"/>
        </w:rPr>
        <w:t xml:space="preserve"> poslove unapređenja vrši</w:t>
      </w:r>
      <w:r w:rsidR="005831AE" w:rsidRPr="004D18DA">
        <w:rPr>
          <w:rFonts w:asciiTheme="majorHAnsi" w:hAnsiTheme="majorHAnsi"/>
          <w:sz w:val="24"/>
          <w:szCs w:val="24"/>
        </w:rPr>
        <w:t xml:space="preserve"> Savjet za naučno-istraživačku djelatnost</w:t>
      </w:r>
      <w:r w:rsidR="00550C7B" w:rsidRPr="004D18DA">
        <w:rPr>
          <w:rFonts w:asciiTheme="majorHAnsi" w:hAnsiTheme="majorHAnsi"/>
          <w:sz w:val="24"/>
          <w:szCs w:val="24"/>
        </w:rPr>
        <w:t xml:space="preserve"> čije članove imenuje Vlada.</w:t>
      </w:r>
      <w:r w:rsidR="00287275" w:rsidRPr="004D18DA">
        <w:rPr>
          <w:rFonts w:asciiTheme="majorHAnsi" w:hAnsiTheme="majorHAnsi"/>
          <w:sz w:val="24"/>
          <w:szCs w:val="24"/>
        </w:rPr>
        <w:t xml:space="preserve"> </w:t>
      </w:r>
      <w:r w:rsidR="00E33104" w:rsidRPr="004D18DA">
        <w:rPr>
          <w:rFonts w:asciiTheme="majorHAnsi" w:hAnsiTheme="majorHAnsi"/>
          <w:sz w:val="24"/>
          <w:szCs w:val="24"/>
        </w:rPr>
        <w:t>Ministar</w:t>
      </w:r>
      <w:r w:rsidR="001B6941" w:rsidRPr="004D18DA">
        <w:rPr>
          <w:rFonts w:asciiTheme="majorHAnsi" w:hAnsiTheme="majorHAnsi"/>
          <w:sz w:val="24"/>
          <w:szCs w:val="24"/>
        </w:rPr>
        <w:t>s</w:t>
      </w:r>
      <w:r w:rsidR="00E33104" w:rsidRPr="004D18DA">
        <w:rPr>
          <w:rFonts w:asciiTheme="majorHAnsi" w:hAnsiTheme="majorHAnsi"/>
          <w:sz w:val="24"/>
          <w:szCs w:val="24"/>
        </w:rPr>
        <w:t>tvo za ljudska i manjinska prava će biti odgovorno za realizaci</w:t>
      </w:r>
      <w:r w:rsidR="007353A0" w:rsidRPr="004D18DA">
        <w:rPr>
          <w:rFonts w:asciiTheme="majorHAnsi" w:hAnsiTheme="majorHAnsi"/>
          <w:sz w:val="24"/>
          <w:szCs w:val="24"/>
        </w:rPr>
        <w:t>ju aktivnosti iz Akcije 3 vezanih</w:t>
      </w:r>
      <w:r w:rsidR="00E33104" w:rsidRPr="004D18DA">
        <w:rPr>
          <w:rFonts w:asciiTheme="majorHAnsi" w:hAnsiTheme="majorHAnsi"/>
          <w:sz w:val="24"/>
          <w:szCs w:val="24"/>
        </w:rPr>
        <w:t xml:space="preserve"> za RE populaciju.</w:t>
      </w:r>
      <w:r w:rsidR="0050527D" w:rsidRPr="004D18DA">
        <w:rPr>
          <w:rFonts w:asciiTheme="majorHAnsi" w:hAnsiTheme="majorHAnsi"/>
          <w:sz w:val="24"/>
          <w:szCs w:val="24"/>
        </w:rPr>
        <w:t xml:space="preserve"> </w:t>
      </w:r>
    </w:p>
    <w:p w:rsidR="0084571F" w:rsidRPr="004D18DA" w:rsidRDefault="00FA2D6C" w:rsidP="0084571F">
      <w:pPr>
        <w:spacing w:after="120"/>
        <w:jc w:val="both"/>
        <w:rPr>
          <w:rFonts w:asciiTheme="majorHAnsi" w:hAnsiTheme="majorHAnsi"/>
          <w:sz w:val="24"/>
          <w:szCs w:val="24"/>
        </w:rPr>
      </w:pPr>
      <w:r w:rsidRPr="004D18DA">
        <w:rPr>
          <w:rFonts w:asciiTheme="majorHAnsi" w:hAnsiTheme="majorHAnsi"/>
          <w:sz w:val="24"/>
          <w:szCs w:val="24"/>
        </w:rPr>
        <w:t xml:space="preserve">Direktorat za </w:t>
      </w:r>
      <w:r w:rsidR="00287275" w:rsidRPr="004D18DA">
        <w:rPr>
          <w:rFonts w:asciiTheme="majorHAnsi" w:hAnsiTheme="majorHAnsi"/>
          <w:sz w:val="24"/>
          <w:szCs w:val="24"/>
        </w:rPr>
        <w:t>fina</w:t>
      </w:r>
      <w:r w:rsidRPr="004D18DA">
        <w:rPr>
          <w:rFonts w:asciiTheme="majorHAnsi" w:hAnsiTheme="majorHAnsi"/>
          <w:sz w:val="24"/>
          <w:szCs w:val="24"/>
        </w:rPr>
        <w:t>n</w:t>
      </w:r>
      <w:r w:rsidR="00287275" w:rsidRPr="004D18DA">
        <w:rPr>
          <w:rFonts w:asciiTheme="majorHAnsi" w:hAnsiTheme="majorHAnsi"/>
          <w:sz w:val="24"/>
          <w:szCs w:val="24"/>
        </w:rPr>
        <w:t>siranje i</w:t>
      </w:r>
      <w:r w:rsidR="0084571F" w:rsidRPr="004D18DA">
        <w:rPr>
          <w:rFonts w:asciiTheme="majorHAnsi" w:hAnsiTheme="majorHAnsi"/>
          <w:sz w:val="24"/>
          <w:szCs w:val="24"/>
        </w:rPr>
        <w:t xml:space="preserve"> ugovaranje</w:t>
      </w:r>
      <w:r w:rsidRPr="004D18DA">
        <w:rPr>
          <w:rFonts w:asciiTheme="majorHAnsi" w:hAnsiTheme="majorHAnsi"/>
          <w:sz w:val="24"/>
          <w:szCs w:val="24"/>
        </w:rPr>
        <w:t xml:space="preserve"> sredstava EU pomoći</w:t>
      </w:r>
      <w:r w:rsidR="0084571F" w:rsidRPr="004D18DA">
        <w:rPr>
          <w:rFonts w:asciiTheme="majorHAnsi" w:hAnsiTheme="majorHAnsi"/>
          <w:sz w:val="24"/>
          <w:szCs w:val="24"/>
        </w:rPr>
        <w:t xml:space="preserve"> </w:t>
      </w:r>
      <w:r w:rsidR="000F4339" w:rsidRPr="004D18DA">
        <w:rPr>
          <w:rFonts w:asciiTheme="majorHAnsi" w:hAnsiTheme="majorHAnsi"/>
          <w:sz w:val="24"/>
          <w:szCs w:val="24"/>
        </w:rPr>
        <w:t>u Ministarstvu</w:t>
      </w:r>
      <w:r w:rsidR="0084571F" w:rsidRPr="004D18DA">
        <w:rPr>
          <w:rFonts w:asciiTheme="majorHAnsi" w:hAnsiTheme="majorHAnsi"/>
          <w:sz w:val="24"/>
          <w:szCs w:val="24"/>
        </w:rPr>
        <w:t xml:space="preserve"> finansija </w:t>
      </w:r>
      <w:r w:rsidR="00D22175" w:rsidRPr="004D18DA">
        <w:rPr>
          <w:rFonts w:asciiTheme="majorHAnsi" w:hAnsiTheme="majorHAnsi"/>
          <w:sz w:val="24"/>
          <w:szCs w:val="24"/>
        </w:rPr>
        <w:t xml:space="preserve">i Direkcija javnih radova </w:t>
      </w:r>
      <w:r w:rsidR="0084571F" w:rsidRPr="004D18DA">
        <w:rPr>
          <w:rFonts w:asciiTheme="majorHAnsi" w:hAnsiTheme="majorHAnsi"/>
          <w:sz w:val="24"/>
          <w:szCs w:val="24"/>
        </w:rPr>
        <w:t>zaduž</w:t>
      </w:r>
      <w:r w:rsidR="001A5B33" w:rsidRPr="004D18DA">
        <w:rPr>
          <w:rFonts w:asciiTheme="majorHAnsi" w:hAnsiTheme="majorHAnsi"/>
          <w:sz w:val="24"/>
          <w:szCs w:val="24"/>
        </w:rPr>
        <w:t>en</w:t>
      </w:r>
      <w:r w:rsidR="00D22175" w:rsidRPr="004D18DA">
        <w:rPr>
          <w:rFonts w:asciiTheme="majorHAnsi" w:hAnsiTheme="majorHAnsi"/>
          <w:sz w:val="24"/>
          <w:szCs w:val="24"/>
        </w:rPr>
        <w:t xml:space="preserve">i su </w:t>
      </w:r>
      <w:r w:rsidR="001A5B33" w:rsidRPr="004D18DA">
        <w:rPr>
          <w:rFonts w:asciiTheme="majorHAnsi" w:hAnsiTheme="majorHAnsi"/>
          <w:sz w:val="24"/>
          <w:szCs w:val="24"/>
        </w:rPr>
        <w:t>za</w:t>
      </w:r>
      <w:r w:rsidR="00B272BB" w:rsidRPr="004D18DA">
        <w:rPr>
          <w:rFonts w:asciiTheme="majorHAnsi" w:hAnsiTheme="majorHAnsi"/>
          <w:sz w:val="24"/>
          <w:szCs w:val="24"/>
        </w:rPr>
        <w:t xml:space="preserve"> sprovođenje</w:t>
      </w:r>
      <w:r w:rsidR="00D22175" w:rsidRPr="004D18DA">
        <w:rPr>
          <w:rFonts w:asciiTheme="majorHAnsi" w:hAnsiTheme="majorHAnsi"/>
          <w:sz w:val="24"/>
          <w:szCs w:val="24"/>
        </w:rPr>
        <w:t xml:space="preserve"> tenderskih procedura, procedura</w:t>
      </w:r>
      <w:r w:rsidR="00B272BB" w:rsidRPr="004D18DA">
        <w:rPr>
          <w:rFonts w:asciiTheme="majorHAnsi" w:hAnsiTheme="majorHAnsi"/>
          <w:sz w:val="24"/>
          <w:szCs w:val="24"/>
        </w:rPr>
        <w:t xml:space="preserve"> ugovaranja i izvršenje plaćanja za </w:t>
      </w:r>
      <w:r w:rsidR="00D22175" w:rsidRPr="004D18DA">
        <w:rPr>
          <w:rFonts w:asciiTheme="majorHAnsi" w:hAnsiTheme="majorHAnsi"/>
          <w:sz w:val="24"/>
          <w:szCs w:val="24"/>
        </w:rPr>
        <w:t>aktivnosti</w:t>
      </w:r>
      <w:r w:rsidR="0084571F" w:rsidRPr="004D18DA">
        <w:rPr>
          <w:rFonts w:asciiTheme="majorHAnsi" w:hAnsiTheme="majorHAnsi"/>
          <w:sz w:val="24"/>
          <w:szCs w:val="24"/>
        </w:rPr>
        <w:t xml:space="preserve"> u okviru ovog SOP-a.</w:t>
      </w:r>
      <w:r w:rsidR="00D22175" w:rsidRPr="004D18DA">
        <w:rPr>
          <w:rFonts w:asciiTheme="majorHAnsi" w:hAnsiTheme="majorHAnsi"/>
          <w:sz w:val="24"/>
          <w:szCs w:val="24"/>
        </w:rPr>
        <w:t xml:space="preserve"> </w:t>
      </w:r>
    </w:p>
    <w:p w:rsidR="00783CC4" w:rsidRPr="004D18DA" w:rsidRDefault="0084571F" w:rsidP="0084571F">
      <w:pPr>
        <w:spacing w:after="120"/>
        <w:jc w:val="both"/>
        <w:rPr>
          <w:rFonts w:asciiTheme="majorHAnsi" w:hAnsiTheme="majorHAnsi"/>
          <w:sz w:val="24"/>
          <w:szCs w:val="24"/>
        </w:rPr>
      </w:pPr>
      <w:r w:rsidRPr="004D18DA">
        <w:rPr>
          <w:rFonts w:asciiTheme="majorHAnsi" w:hAnsiTheme="majorHAnsi"/>
          <w:sz w:val="24"/>
          <w:szCs w:val="24"/>
        </w:rPr>
        <w:t xml:space="preserve">Trenutno postoje adekvatni administrativni kapaciteti u navedenim institucijama koje će raditi na sprovođenju </w:t>
      </w:r>
      <w:r w:rsidR="001E5295" w:rsidRPr="004D18DA">
        <w:rPr>
          <w:rFonts w:asciiTheme="majorHAnsi" w:hAnsiTheme="majorHAnsi"/>
          <w:sz w:val="24"/>
          <w:szCs w:val="24"/>
        </w:rPr>
        <w:t>SOP-a</w:t>
      </w:r>
      <w:r w:rsidRPr="004D18DA">
        <w:rPr>
          <w:rFonts w:asciiTheme="majorHAnsi" w:hAnsiTheme="majorHAnsi"/>
          <w:sz w:val="24"/>
          <w:szCs w:val="24"/>
        </w:rPr>
        <w:t xml:space="preserve">. Međutim, istovremeno postoji prostor za </w:t>
      </w:r>
      <w:r w:rsidR="00783CC4" w:rsidRPr="004D18DA">
        <w:rPr>
          <w:rFonts w:asciiTheme="majorHAnsi" w:hAnsiTheme="majorHAnsi"/>
          <w:sz w:val="24"/>
          <w:szCs w:val="24"/>
        </w:rPr>
        <w:t xml:space="preserve">kontinuirano </w:t>
      </w:r>
      <w:r w:rsidRPr="004D18DA">
        <w:rPr>
          <w:rFonts w:asciiTheme="majorHAnsi" w:hAnsiTheme="majorHAnsi"/>
          <w:sz w:val="24"/>
          <w:szCs w:val="24"/>
        </w:rPr>
        <w:t>unapr</w:t>
      </w:r>
      <w:r w:rsidR="00287275" w:rsidRPr="004D18DA">
        <w:rPr>
          <w:rFonts w:asciiTheme="majorHAnsi" w:hAnsiTheme="majorHAnsi"/>
          <w:sz w:val="24"/>
          <w:szCs w:val="24"/>
        </w:rPr>
        <w:t>ij</w:t>
      </w:r>
      <w:r w:rsidRPr="004D18DA">
        <w:rPr>
          <w:rFonts w:asciiTheme="majorHAnsi" w:hAnsiTheme="majorHAnsi"/>
          <w:sz w:val="24"/>
          <w:szCs w:val="24"/>
        </w:rPr>
        <w:t>eđenje.</w:t>
      </w:r>
    </w:p>
    <w:p w:rsidR="004D18DA" w:rsidRPr="00160F4D" w:rsidRDefault="004D18DA" w:rsidP="0084571F">
      <w:pPr>
        <w:spacing w:after="120"/>
        <w:jc w:val="both"/>
        <w:rPr>
          <w:rFonts w:ascii="Times New Roman" w:hAnsi="Times New Roman"/>
          <w:sz w:val="24"/>
          <w:szCs w:val="24"/>
        </w:rPr>
      </w:pPr>
    </w:p>
    <w:p w:rsidR="006E7529" w:rsidRPr="004D18DA" w:rsidRDefault="00287275" w:rsidP="004D18DA">
      <w:pPr>
        <w:pStyle w:val="Heading2"/>
        <w:numPr>
          <w:ilvl w:val="1"/>
          <w:numId w:val="40"/>
        </w:numPr>
        <w:spacing w:after="240"/>
      </w:pPr>
      <w:bookmarkStart w:id="6" w:name="_Toc419368464"/>
      <w:r>
        <w:t>Koordinacija sektora i donatora</w:t>
      </w:r>
      <w:bookmarkEnd w:id="6"/>
      <w:r w:rsidR="001E5295">
        <w:t xml:space="preserve">  </w:t>
      </w:r>
    </w:p>
    <w:p w:rsidR="006E7529" w:rsidRPr="004D18DA" w:rsidRDefault="006E7529" w:rsidP="00AB73CA">
      <w:pPr>
        <w:spacing w:after="120"/>
        <w:jc w:val="both"/>
        <w:rPr>
          <w:rFonts w:asciiTheme="majorHAnsi" w:hAnsiTheme="majorHAnsi"/>
          <w:sz w:val="24"/>
          <w:szCs w:val="24"/>
        </w:rPr>
      </w:pPr>
      <w:r w:rsidRPr="004D18DA">
        <w:rPr>
          <w:rFonts w:asciiTheme="majorHAnsi" w:hAnsiTheme="majorHAnsi"/>
          <w:sz w:val="24"/>
          <w:szCs w:val="24"/>
        </w:rPr>
        <w:t xml:space="preserve">Ministarstvo rada i socijalnog staranja je institucija nadležna za upravljanje procesom izrade i sprovođenja ovog Sektorskog operativnog programa. U procesu sprovođenja SOP-a, MRSS ima ulogu koordinacionog tijela zaduženog za konsultativni process. </w:t>
      </w:r>
    </w:p>
    <w:p w:rsidR="00A85CCA" w:rsidRPr="004D18DA" w:rsidRDefault="006E7529" w:rsidP="00AB73CA">
      <w:pPr>
        <w:spacing w:after="120"/>
        <w:jc w:val="both"/>
        <w:rPr>
          <w:rFonts w:asciiTheme="majorHAnsi" w:hAnsiTheme="majorHAnsi"/>
          <w:sz w:val="24"/>
          <w:szCs w:val="24"/>
        </w:rPr>
      </w:pPr>
      <w:r w:rsidRPr="004D18DA">
        <w:rPr>
          <w:rFonts w:asciiTheme="majorHAnsi" w:hAnsiTheme="majorHAnsi"/>
          <w:sz w:val="24"/>
          <w:szCs w:val="24"/>
        </w:rPr>
        <w:t xml:space="preserve">Radna grupa za izradu </w:t>
      </w:r>
      <w:r w:rsidR="00A85CCA" w:rsidRPr="004D18DA">
        <w:rPr>
          <w:rFonts w:asciiTheme="majorHAnsi" w:hAnsiTheme="majorHAnsi"/>
          <w:sz w:val="24"/>
          <w:szCs w:val="24"/>
        </w:rPr>
        <w:t>Operativnog programa za sektor obrazovanje,</w:t>
      </w:r>
      <w:r w:rsidR="00633FC0" w:rsidRPr="004D18DA">
        <w:rPr>
          <w:rFonts w:asciiTheme="majorHAnsi" w:hAnsiTheme="majorHAnsi"/>
          <w:sz w:val="24"/>
          <w:szCs w:val="24"/>
        </w:rPr>
        <w:t xml:space="preserve"> zapošljavanje</w:t>
      </w:r>
      <w:r w:rsidR="00A85CCA" w:rsidRPr="004D18DA">
        <w:rPr>
          <w:rFonts w:asciiTheme="majorHAnsi" w:hAnsiTheme="majorHAnsi"/>
          <w:sz w:val="24"/>
          <w:szCs w:val="24"/>
        </w:rPr>
        <w:t xml:space="preserve"> i socijalne politike </w:t>
      </w:r>
      <w:r w:rsidR="00633FC0" w:rsidRPr="004D18DA">
        <w:rPr>
          <w:rFonts w:asciiTheme="majorHAnsi" w:hAnsiTheme="majorHAnsi"/>
          <w:sz w:val="24"/>
          <w:szCs w:val="24"/>
        </w:rPr>
        <w:t>u okviru I</w:t>
      </w:r>
      <w:r w:rsidR="00A85CCA" w:rsidRPr="004D18DA">
        <w:rPr>
          <w:rFonts w:asciiTheme="majorHAnsi" w:hAnsiTheme="majorHAnsi"/>
          <w:sz w:val="24"/>
          <w:szCs w:val="24"/>
        </w:rPr>
        <w:t xml:space="preserve">nstrumenta pretpristupne pomoći – IPA II (2014-2020) sastavljena je od predstavnika državnih i javnih institucija, socijalnih partenra i civilnog sektora. </w:t>
      </w:r>
    </w:p>
    <w:p w:rsidR="00F137F9" w:rsidRPr="004D18DA" w:rsidRDefault="00A85CCA" w:rsidP="00AB73CA">
      <w:pPr>
        <w:spacing w:after="120"/>
        <w:jc w:val="both"/>
        <w:rPr>
          <w:rFonts w:asciiTheme="majorHAnsi" w:hAnsiTheme="majorHAnsi"/>
          <w:sz w:val="24"/>
          <w:szCs w:val="24"/>
        </w:rPr>
      </w:pPr>
      <w:r w:rsidRPr="004D18DA">
        <w:rPr>
          <w:rFonts w:asciiTheme="majorHAnsi" w:hAnsiTheme="majorHAnsi"/>
          <w:sz w:val="24"/>
          <w:szCs w:val="24"/>
        </w:rPr>
        <w:t>Osim Ministarstva rada i socijalnog staranja, Ministarstva prosvjete</w:t>
      </w:r>
      <w:r w:rsidR="00AB73CA" w:rsidRPr="004D18DA">
        <w:rPr>
          <w:rFonts w:asciiTheme="majorHAnsi" w:hAnsiTheme="majorHAnsi"/>
          <w:sz w:val="24"/>
          <w:szCs w:val="24"/>
        </w:rPr>
        <w:t>,</w:t>
      </w:r>
      <w:r w:rsidRPr="004D18DA">
        <w:rPr>
          <w:rFonts w:asciiTheme="majorHAnsi" w:hAnsiTheme="majorHAnsi"/>
          <w:sz w:val="24"/>
          <w:szCs w:val="24"/>
        </w:rPr>
        <w:t xml:space="preserve"> Ministarstva nauke</w:t>
      </w:r>
      <w:r w:rsidR="00AB73CA" w:rsidRPr="004D18DA">
        <w:rPr>
          <w:rFonts w:asciiTheme="majorHAnsi" w:hAnsiTheme="majorHAnsi"/>
          <w:sz w:val="24"/>
          <w:szCs w:val="24"/>
        </w:rPr>
        <w:t xml:space="preserve"> i Ministarstva finansija</w:t>
      </w:r>
      <w:r w:rsidRPr="004D18DA">
        <w:rPr>
          <w:rFonts w:asciiTheme="majorHAnsi" w:hAnsiTheme="majorHAnsi"/>
          <w:sz w:val="24"/>
          <w:szCs w:val="24"/>
        </w:rPr>
        <w:t xml:space="preserve"> </w:t>
      </w:r>
      <w:r w:rsidR="00AB73CA" w:rsidRPr="004D18DA">
        <w:rPr>
          <w:rFonts w:asciiTheme="majorHAnsi" w:hAnsiTheme="majorHAnsi"/>
          <w:sz w:val="24"/>
          <w:szCs w:val="24"/>
        </w:rPr>
        <w:t xml:space="preserve">kao ključnih nosilaca mjera definisanih SOP-om, u process </w:t>
      </w:r>
      <w:r w:rsidR="00850451" w:rsidRPr="004D18DA">
        <w:rPr>
          <w:rFonts w:asciiTheme="majorHAnsi" w:hAnsiTheme="majorHAnsi"/>
          <w:sz w:val="24"/>
          <w:szCs w:val="24"/>
        </w:rPr>
        <w:t xml:space="preserve">upravljanja </w:t>
      </w:r>
      <w:r w:rsidR="00AB73CA" w:rsidRPr="004D18DA">
        <w:rPr>
          <w:rFonts w:asciiTheme="majorHAnsi" w:hAnsiTheme="majorHAnsi"/>
          <w:sz w:val="24"/>
          <w:szCs w:val="24"/>
        </w:rPr>
        <w:t>implementacije biće uključeni i: Ministarstvo za ljudska i manjinska prava, Zavod za zapošljavanje Crne Gore</w:t>
      </w:r>
      <w:r w:rsidR="00F137F9" w:rsidRPr="004D18DA">
        <w:rPr>
          <w:rFonts w:asciiTheme="majorHAnsi" w:hAnsiTheme="majorHAnsi"/>
          <w:sz w:val="24"/>
          <w:szCs w:val="24"/>
        </w:rPr>
        <w:t>,</w:t>
      </w:r>
      <w:r w:rsidR="00AB73CA" w:rsidRPr="004D18DA">
        <w:rPr>
          <w:rFonts w:asciiTheme="majorHAnsi" w:hAnsiTheme="majorHAnsi"/>
          <w:sz w:val="24"/>
          <w:szCs w:val="24"/>
        </w:rPr>
        <w:t>i Centar za stručno obrazovanje</w:t>
      </w:r>
      <w:r w:rsidR="00F137F9" w:rsidRPr="004D18DA">
        <w:rPr>
          <w:rFonts w:asciiTheme="majorHAnsi" w:hAnsiTheme="majorHAnsi"/>
          <w:sz w:val="24"/>
          <w:szCs w:val="24"/>
        </w:rPr>
        <w:t xml:space="preserve"> i Direkcija javnih radova</w:t>
      </w:r>
      <w:r w:rsidR="00AB73CA" w:rsidRPr="004D18DA">
        <w:rPr>
          <w:rFonts w:asciiTheme="majorHAnsi" w:hAnsiTheme="majorHAnsi"/>
          <w:sz w:val="24"/>
          <w:szCs w:val="24"/>
        </w:rPr>
        <w:t xml:space="preserve">. </w:t>
      </w:r>
    </w:p>
    <w:p w:rsidR="00DE0F58" w:rsidRPr="004D18DA" w:rsidRDefault="00F137F9" w:rsidP="00DE0F58">
      <w:pPr>
        <w:spacing w:after="120"/>
        <w:jc w:val="both"/>
        <w:rPr>
          <w:rFonts w:asciiTheme="majorHAnsi" w:hAnsiTheme="majorHAnsi"/>
          <w:sz w:val="24"/>
          <w:szCs w:val="24"/>
        </w:rPr>
      </w:pPr>
      <w:r w:rsidRPr="004D18DA">
        <w:rPr>
          <w:rFonts w:asciiTheme="majorHAnsi" w:hAnsiTheme="majorHAnsi"/>
          <w:sz w:val="24"/>
          <w:szCs w:val="24"/>
        </w:rPr>
        <w:t>Iako u ovom trenutku ne postoji tijelo koje se bavi koordinacijom donatorske podrške u ovom sektoru, donatorska koordinacija se obavlja centralizovano u okviru Ministarstva vanjskih poslova i evropskih integracija u Generalnom direktoratu za ekonomsku diplomatiju i kulturnu saradnju. Takođe, u</w:t>
      </w:r>
      <w:r w:rsidR="001B6941" w:rsidRPr="004D18DA">
        <w:rPr>
          <w:rFonts w:asciiTheme="majorHAnsi" w:hAnsiTheme="majorHAnsi"/>
          <w:sz w:val="24"/>
          <w:szCs w:val="24"/>
        </w:rPr>
        <w:t xml:space="preserve"> </w:t>
      </w:r>
      <w:r w:rsidR="00287275" w:rsidRPr="004D18DA">
        <w:rPr>
          <w:rFonts w:asciiTheme="majorHAnsi" w:hAnsiTheme="majorHAnsi"/>
          <w:sz w:val="24"/>
          <w:szCs w:val="24"/>
        </w:rPr>
        <w:t>G</w:t>
      </w:r>
      <w:r w:rsidR="0084571F" w:rsidRPr="004D18DA">
        <w:rPr>
          <w:rFonts w:asciiTheme="majorHAnsi" w:hAnsiTheme="majorHAnsi"/>
          <w:bCs/>
          <w:sz w:val="24"/>
          <w:szCs w:val="24"/>
        </w:rPr>
        <w:t>eneraln</w:t>
      </w:r>
      <w:r w:rsidRPr="004D18DA">
        <w:rPr>
          <w:rFonts w:asciiTheme="majorHAnsi" w:hAnsiTheme="majorHAnsi"/>
          <w:bCs/>
          <w:sz w:val="24"/>
          <w:szCs w:val="24"/>
        </w:rPr>
        <w:t>om</w:t>
      </w:r>
      <w:r w:rsidR="0084571F" w:rsidRPr="004D18DA">
        <w:rPr>
          <w:rFonts w:asciiTheme="majorHAnsi" w:hAnsiTheme="majorHAnsi"/>
          <w:bCs/>
          <w:sz w:val="24"/>
          <w:szCs w:val="24"/>
        </w:rPr>
        <w:t xml:space="preserve"> direktorat</w:t>
      </w:r>
      <w:r w:rsidRPr="004D18DA">
        <w:rPr>
          <w:rFonts w:asciiTheme="majorHAnsi" w:hAnsiTheme="majorHAnsi"/>
          <w:bCs/>
          <w:sz w:val="24"/>
          <w:szCs w:val="24"/>
        </w:rPr>
        <w:t>u</w:t>
      </w:r>
      <w:r w:rsidR="0084571F" w:rsidRPr="004D18DA">
        <w:rPr>
          <w:rFonts w:asciiTheme="majorHAnsi" w:hAnsiTheme="majorHAnsi"/>
          <w:bCs/>
          <w:sz w:val="24"/>
          <w:szCs w:val="24"/>
        </w:rPr>
        <w:t xml:space="preserve"> za koordinaciju programa pomoći EU</w:t>
      </w:r>
      <w:r w:rsidR="0084571F" w:rsidRPr="004D18DA">
        <w:rPr>
          <w:rFonts w:asciiTheme="majorHAnsi" w:hAnsiTheme="majorHAnsi"/>
          <w:sz w:val="24"/>
          <w:szCs w:val="24"/>
        </w:rPr>
        <w:t xml:space="preserve"> (GDKPP) u okviru</w:t>
      </w:r>
      <w:r w:rsidRPr="004D18DA">
        <w:rPr>
          <w:rFonts w:asciiTheme="majorHAnsi" w:hAnsiTheme="majorHAnsi"/>
          <w:sz w:val="24"/>
          <w:szCs w:val="24"/>
        </w:rPr>
        <w:t xml:space="preserve"> istog </w:t>
      </w:r>
      <w:r w:rsidR="0050527D" w:rsidRPr="004D18DA">
        <w:rPr>
          <w:rFonts w:asciiTheme="majorHAnsi" w:hAnsiTheme="majorHAnsi"/>
          <w:sz w:val="24"/>
          <w:szCs w:val="24"/>
        </w:rPr>
        <w:t xml:space="preserve">Ministarstva </w:t>
      </w:r>
      <w:r w:rsidR="0084571F" w:rsidRPr="004D18DA">
        <w:rPr>
          <w:rFonts w:asciiTheme="majorHAnsi" w:hAnsiTheme="majorHAnsi"/>
          <w:sz w:val="24"/>
          <w:szCs w:val="24"/>
        </w:rPr>
        <w:t>koordinira sve aktivnosti koje se tiču korišćenja Instrumenta pretpristupne podrške (IPA) u Crnoj Gori. Ključne aktivnosti GDKPP se odnose na proces planiranja i nadgledanja korišćenja pretpristupne pomoći, pružanje podrške Nacionalnom koordinatoru za IPA (NIPAK) i komunikaciju s predstavnicima Evropske komisije i Delegacije EU u Crnoj Gori.</w:t>
      </w:r>
      <w:r w:rsidR="0084571F" w:rsidRPr="004D18DA">
        <w:rPr>
          <w:rFonts w:asciiTheme="majorHAnsi" w:hAnsiTheme="majorHAnsi"/>
          <w:sz w:val="24"/>
          <w:szCs w:val="24"/>
          <w:shd w:val="clear" w:color="auto" w:fill="FFFFFF"/>
        </w:rPr>
        <w:t xml:space="preserve">  Takođe, </w:t>
      </w:r>
      <w:r w:rsidR="0084571F" w:rsidRPr="004D18DA">
        <w:rPr>
          <w:rFonts w:asciiTheme="majorHAnsi" w:hAnsiTheme="majorHAnsi"/>
          <w:sz w:val="24"/>
          <w:szCs w:val="24"/>
        </w:rPr>
        <w:t>GDKPP je zadužen za praćenje aktivnosti jedinica za sprovođenje I</w:t>
      </w:r>
      <w:r w:rsidR="0050527D" w:rsidRPr="004D18DA">
        <w:rPr>
          <w:rFonts w:asciiTheme="majorHAnsi" w:hAnsiTheme="majorHAnsi"/>
          <w:sz w:val="24"/>
          <w:szCs w:val="24"/>
        </w:rPr>
        <w:t>PA</w:t>
      </w:r>
      <w:r w:rsidR="0084571F" w:rsidRPr="004D18DA">
        <w:rPr>
          <w:rFonts w:asciiTheme="majorHAnsi" w:hAnsiTheme="majorHAnsi"/>
          <w:sz w:val="24"/>
          <w:szCs w:val="24"/>
        </w:rPr>
        <w:t xml:space="preserve"> projekata u resornim ministarstvima, kao i za organizovanje redovnih opštih i sektorskih odbora za praćenje sprovo</w:t>
      </w:r>
      <w:r w:rsidR="00DE0F58" w:rsidRPr="004D18DA">
        <w:rPr>
          <w:rFonts w:asciiTheme="majorHAnsi" w:hAnsiTheme="majorHAnsi"/>
          <w:sz w:val="24"/>
          <w:szCs w:val="24"/>
        </w:rPr>
        <w:t>đenja IPA programa i projekata.</w:t>
      </w:r>
      <w:r w:rsidRPr="004D18DA">
        <w:rPr>
          <w:rFonts w:asciiTheme="majorHAnsi" w:hAnsiTheme="majorHAnsi"/>
          <w:sz w:val="24"/>
          <w:szCs w:val="24"/>
        </w:rPr>
        <w:t xml:space="preserve"> </w:t>
      </w:r>
    </w:p>
    <w:p w:rsidR="001B6941" w:rsidRPr="007B416A" w:rsidRDefault="00DE0F58" w:rsidP="001B6941">
      <w:pPr>
        <w:spacing w:after="120"/>
        <w:jc w:val="both"/>
        <w:rPr>
          <w:rFonts w:ascii="Times New Roman" w:hAnsi="Times New Roman"/>
          <w:b/>
          <w:sz w:val="24"/>
          <w:szCs w:val="24"/>
        </w:rPr>
      </w:pPr>
      <w:r w:rsidRPr="00DE0F58">
        <w:rPr>
          <w:rFonts w:ascii="Times New Roman" w:hAnsi="Times New Roman"/>
          <w:b/>
          <w:sz w:val="24"/>
          <w:szCs w:val="24"/>
        </w:rPr>
        <w:t xml:space="preserve">   </w:t>
      </w:r>
    </w:p>
    <w:p w:rsidR="001B6941" w:rsidRDefault="001B6941" w:rsidP="004D18DA">
      <w:pPr>
        <w:pStyle w:val="Heading2"/>
        <w:numPr>
          <w:ilvl w:val="1"/>
          <w:numId w:val="40"/>
        </w:numPr>
        <w:spacing w:after="240"/>
      </w:pPr>
      <w:bookmarkStart w:id="7" w:name="_Toc419368465"/>
      <w:r w:rsidRPr="007B416A">
        <w:t>Srednjoročne budžetske perspektive</w:t>
      </w:r>
      <w:bookmarkEnd w:id="7"/>
      <w:r w:rsidRPr="007B416A">
        <w:t xml:space="preserve"> </w:t>
      </w:r>
    </w:p>
    <w:p w:rsidR="001B6941" w:rsidRPr="004D18DA" w:rsidRDefault="001B6941" w:rsidP="00150A08">
      <w:pPr>
        <w:tabs>
          <w:tab w:val="left" w:pos="180"/>
        </w:tabs>
        <w:spacing w:after="120"/>
        <w:jc w:val="both"/>
        <w:rPr>
          <w:rFonts w:asciiTheme="majorHAnsi" w:hAnsiTheme="majorHAnsi"/>
          <w:sz w:val="24"/>
          <w:szCs w:val="24"/>
        </w:rPr>
      </w:pPr>
      <w:r w:rsidRPr="004D18DA">
        <w:rPr>
          <w:rFonts w:asciiTheme="majorHAnsi" w:hAnsiTheme="majorHAnsi"/>
          <w:sz w:val="24"/>
          <w:szCs w:val="24"/>
        </w:rPr>
        <w:t xml:space="preserve">U skladu sa Zakonom o budžetu i fiskalnoj odgovornosti, usvojenim 2014. godine, proces utvrđivanja državnog budžeta se bazira na ekonomskoj, odnosno fiskalnoj politici, definisanoj Fiskalnom strategijom i Smjernicama makroekonomske i fiskalne politike. Fiskalnu strategiju, kao strateški dokument u ovoj oblasti,  na početku mandata, a za period njegovog trajanja (4 godine), predlaže Vlada i dostavlja  Skupštini na usvajanje. Ovim dokumentom definišu se strateški ciljevi fiskalne politike, koji predstavljaju osnov za planiranje  godišnjih i srednjoročnih  fiskalnih ciljeva. Fiskalna strategija će biti, po prvi put, usvojena nakon izbora sljedećeg saziva Vlade. </w:t>
      </w:r>
    </w:p>
    <w:p w:rsidR="001B6941" w:rsidRPr="004D18DA" w:rsidRDefault="001B6941" w:rsidP="00150A08">
      <w:pPr>
        <w:tabs>
          <w:tab w:val="left" w:pos="180"/>
        </w:tabs>
        <w:spacing w:after="120"/>
        <w:jc w:val="both"/>
        <w:rPr>
          <w:rFonts w:asciiTheme="majorHAnsi" w:hAnsiTheme="majorHAnsi"/>
          <w:sz w:val="24"/>
          <w:szCs w:val="24"/>
        </w:rPr>
      </w:pPr>
      <w:r w:rsidRPr="004D18DA">
        <w:rPr>
          <w:rFonts w:asciiTheme="majorHAnsi" w:hAnsiTheme="majorHAnsi"/>
          <w:sz w:val="24"/>
          <w:szCs w:val="24"/>
        </w:rPr>
        <w:t>Planiranje fisklane politike zahtijeva poštovanje određenih kriterijuma, koji se odnose na: ostvarenje primarnog budžetskog gotovinskog suficita, nivo tekućih izdataka i transfera treba da bude niži od tekućih prihoda i donacija, politika zaduživanja treba da bude u funkciji obezbjeđivanja fiskalne održivosti.</w:t>
      </w:r>
    </w:p>
    <w:p w:rsidR="001B6941" w:rsidRPr="004D18DA" w:rsidRDefault="001B6941" w:rsidP="00150A08">
      <w:pPr>
        <w:tabs>
          <w:tab w:val="left" w:pos="180"/>
        </w:tabs>
        <w:spacing w:after="120"/>
        <w:jc w:val="both"/>
        <w:rPr>
          <w:rFonts w:asciiTheme="majorHAnsi" w:hAnsiTheme="majorHAnsi"/>
          <w:sz w:val="24"/>
          <w:szCs w:val="24"/>
        </w:rPr>
      </w:pPr>
      <w:r w:rsidRPr="004D18DA">
        <w:rPr>
          <w:rFonts w:asciiTheme="majorHAnsi" w:hAnsiTheme="majorHAnsi"/>
          <w:sz w:val="24"/>
          <w:szCs w:val="24"/>
        </w:rPr>
        <w:t>Istovremeno, kod planiranja i izvršenja budžeta treba voditi računa da nivo budžetskog deficita bude ispod 3% BDP-a, a nivo javnog duga ispod 60% BDP-a.</w:t>
      </w:r>
    </w:p>
    <w:p w:rsidR="001B6941" w:rsidRPr="004D18DA" w:rsidRDefault="001B6941" w:rsidP="00150A08">
      <w:pPr>
        <w:spacing w:after="120"/>
        <w:jc w:val="both"/>
        <w:rPr>
          <w:rFonts w:asciiTheme="majorHAnsi" w:hAnsiTheme="majorHAnsi"/>
          <w:sz w:val="24"/>
          <w:szCs w:val="24"/>
        </w:rPr>
      </w:pPr>
      <w:r w:rsidRPr="004D18DA">
        <w:rPr>
          <w:rFonts w:asciiTheme="majorHAnsi" w:hAnsiTheme="majorHAnsi"/>
          <w:sz w:val="24"/>
          <w:szCs w:val="24"/>
        </w:rPr>
        <w:t>U skladu sa Fiskalnom strategijom i definisanim srednjoročnim ciljevima, Vlada godišnje usvaja Smjernice makroekonomske i fiskalne politike, koje se odnose na period od 3 godine i sadrže: srednjoročne strateške ciljeve ekonomske i fiskalne politike, osnovne makroekonomske i fiskalne indikatore i predviđanja, gornju granicu potrošnje, bruto plate i druga lična primanja, troškove za penziju i invalidsko osiguranje i druge troškove za socijalnu zaštitu. U ovom trenutku, uzimajući u obzir da  Fiskalna strategija, kao zvaničan dokument, ne postoji, Smjernice predstavljaju strateški dokument kojim su utvrđeni glavni fiskalni ciljevi. Takođe, ovaj dokument  predstavlja osnovu za planiranje budžeta na godišnjem nivou.</w:t>
      </w:r>
    </w:p>
    <w:p w:rsidR="001B6941" w:rsidRPr="004D18DA" w:rsidRDefault="001B6941" w:rsidP="00150A08">
      <w:pPr>
        <w:spacing w:after="120"/>
        <w:jc w:val="both"/>
        <w:rPr>
          <w:rFonts w:asciiTheme="majorHAnsi" w:hAnsiTheme="majorHAnsi"/>
          <w:sz w:val="24"/>
          <w:szCs w:val="24"/>
        </w:rPr>
      </w:pPr>
      <w:r w:rsidRPr="004D18DA">
        <w:rPr>
          <w:rFonts w:asciiTheme="majorHAnsi" w:hAnsiTheme="majorHAnsi"/>
          <w:sz w:val="24"/>
          <w:szCs w:val="24"/>
        </w:rPr>
        <w:t xml:space="preserve">Gornjom granicom potrošnje (limitom potrošnje) utvrđen je  maksimalan iznos budžetskih troškova, koji je obavezan za  Zakon o budžetu za prvu godinu, a indikativan za drugu i treću fiskalnu godinu. Gornja granica potrošnje utvrđuje se kao suma potrošnje za tekući  budžet, budžet državnih fondova, kapitalni budžet i budžetsku rezervu. Povećanje  gornje granice potrošnje za tekući  i budžet državnih fondova mora biti manje od planirane stope realnog rasta BDP-a, za kapitalni budžet i budžetske rezerve ne može preći nominalni rast BDP-a. </w:t>
      </w:r>
    </w:p>
    <w:p w:rsidR="001B6941" w:rsidRPr="004D18DA" w:rsidRDefault="001B6941" w:rsidP="00150A08">
      <w:pPr>
        <w:spacing w:after="120"/>
        <w:ind w:left="360"/>
        <w:jc w:val="both"/>
        <w:rPr>
          <w:rFonts w:asciiTheme="majorHAnsi" w:hAnsiTheme="majorHAnsi"/>
          <w:sz w:val="24"/>
          <w:szCs w:val="24"/>
        </w:rPr>
      </w:pPr>
      <w:r w:rsidRPr="004D18DA">
        <w:rPr>
          <w:rFonts w:asciiTheme="majorHAnsi" w:hAnsiTheme="majorHAnsi"/>
          <w:sz w:val="24"/>
          <w:szCs w:val="24"/>
        </w:rPr>
        <w:t>Gornja granica potrošnje se iskazuje:</w:t>
      </w:r>
    </w:p>
    <w:p w:rsidR="001B6941" w:rsidRPr="004D18DA" w:rsidRDefault="001B6941" w:rsidP="00150A08">
      <w:pPr>
        <w:pStyle w:val="ListParagraph"/>
        <w:numPr>
          <w:ilvl w:val="0"/>
          <w:numId w:val="23"/>
        </w:numPr>
        <w:spacing w:after="120"/>
        <w:jc w:val="both"/>
        <w:rPr>
          <w:rFonts w:asciiTheme="majorHAnsi" w:hAnsiTheme="majorHAnsi"/>
          <w:sz w:val="24"/>
          <w:szCs w:val="24"/>
        </w:rPr>
      </w:pPr>
      <w:r w:rsidRPr="004D18DA">
        <w:rPr>
          <w:rFonts w:asciiTheme="majorHAnsi" w:hAnsiTheme="majorHAnsi"/>
          <w:sz w:val="24"/>
          <w:szCs w:val="24"/>
        </w:rPr>
        <w:t>Za period od 3 naredne  fiskalne godine;</w:t>
      </w:r>
    </w:p>
    <w:p w:rsidR="001B6941" w:rsidRPr="004D18DA" w:rsidRDefault="001B6941" w:rsidP="00150A08">
      <w:pPr>
        <w:pStyle w:val="ListParagraph"/>
        <w:numPr>
          <w:ilvl w:val="0"/>
          <w:numId w:val="23"/>
        </w:numPr>
        <w:spacing w:after="120"/>
        <w:jc w:val="both"/>
        <w:rPr>
          <w:rFonts w:asciiTheme="majorHAnsi" w:hAnsiTheme="majorHAnsi"/>
          <w:sz w:val="24"/>
          <w:szCs w:val="24"/>
        </w:rPr>
      </w:pPr>
      <w:r w:rsidRPr="004D18DA">
        <w:rPr>
          <w:rFonts w:asciiTheme="majorHAnsi" w:hAnsiTheme="majorHAnsi"/>
          <w:sz w:val="24"/>
          <w:szCs w:val="24"/>
        </w:rPr>
        <w:t>Raspodjelom gornje granice potrošnje na tekući budžet, budžet državnih fondova, kapitalni budžet i budžetsku rezervu;</w:t>
      </w:r>
    </w:p>
    <w:p w:rsidR="001B6941" w:rsidRPr="004D18DA" w:rsidRDefault="001B6941" w:rsidP="00150A08">
      <w:pPr>
        <w:pStyle w:val="ListParagraph"/>
        <w:numPr>
          <w:ilvl w:val="0"/>
          <w:numId w:val="23"/>
        </w:numPr>
        <w:spacing w:after="120"/>
        <w:jc w:val="both"/>
        <w:rPr>
          <w:rFonts w:asciiTheme="majorHAnsi" w:hAnsiTheme="majorHAnsi"/>
          <w:sz w:val="24"/>
          <w:szCs w:val="24"/>
        </w:rPr>
      </w:pPr>
      <w:r w:rsidRPr="004D18DA">
        <w:rPr>
          <w:rFonts w:asciiTheme="majorHAnsi" w:hAnsiTheme="majorHAnsi"/>
          <w:sz w:val="24"/>
          <w:szCs w:val="24"/>
        </w:rPr>
        <w:t>Raspodjelom na budžete potrošakih jedinica prvog nivoa i  budžete potrošačkih jedinica nad kojima one vrše nadzor.;</w:t>
      </w:r>
    </w:p>
    <w:p w:rsidR="00DE0F58" w:rsidRPr="004D18DA" w:rsidRDefault="001B6941" w:rsidP="00150A08">
      <w:pPr>
        <w:pStyle w:val="ListParagraph"/>
        <w:numPr>
          <w:ilvl w:val="0"/>
          <w:numId w:val="23"/>
        </w:numPr>
        <w:spacing w:after="120"/>
        <w:jc w:val="both"/>
        <w:rPr>
          <w:rFonts w:asciiTheme="majorHAnsi" w:hAnsiTheme="majorHAnsi"/>
          <w:sz w:val="24"/>
          <w:szCs w:val="24"/>
        </w:rPr>
      </w:pPr>
      <w:r w:rsidRPr="004D18DA">
        <w:rPr>
          <w:rFonts w:asciiTheme="majorHAnsi" w:hAnsiTheme="majorHAnsi"/>
          <w:sz w:val="24"/>
          <w:szCs w:val="24"/>
        </w:rPr>
        <w:t>Određivanjem gornjih granica potrošnje za zarade i druga lična primanja.</w:t>
      </w:r>
      <w:r w:rsidR="008F5ECE" w:rsidRPr="004D18DA">
        <w:rPr>
          <w:rFonts w:asciiTheme="majorHAnsi" w:hAnsiTheme="majorHAnsi"/>
          <w:sz w:val="24"/>
          <w:szCs w:val="24"/>
        </w:rPr>
        <w:t xml:space="preserve"> </w:t>
      </w:r>
    </w:p>
    <w:p w:rsidR="00B02715" w:rsidRPr="004D18DA" w:rsidRDefault="00B02715" w:rsidP="00DE0F58">
      <w:pPr>
        <w:spacing w:after="120"/>
        <w:jc w:val="both"/>
        <w:rPr>
          <w:rFonts w:asciiTheme="majorHAnsi" w:hAnsiTheme="majorHAnsi"/>
          <w:b/>
          <w:sz w:val="24"/>
          <w:szCs w:val="24"/>
        </w:rPr>
      </w:pPr>
    </w:p>
    <w:p w:rsidR="004D18DA" w:rsidRPr="004D18DA" w:rsidRDefault="00FD6C6C" w:rsidP="004D18DA">
      <w:pPr>
        <w:pStyle w:val="Heading2"/>
        <w:numPr>
          <w:ilvl w:val="1"/>
          <w:numId w:val="40"/>
        </w:numPr>
        <w:spacing w:after="240"/>
      </w:pPr>
      <w:bookmarkStart w:id="8" w:name="_Toc419368466"/>
      <w:r>
        <w:t>Okvirna procjena učinka</w:t>
      </w:r>
      <w:bookmarkEnd w:id="8"/>
    </w:p>
    <w:p w:rsidR="00D32CCA" w:rsidRPr="004D18DA" w:rsidRDefault="00D32CCA" w:rsidP="00150A08">
      <w:pPr>
        <w:spacing w:after="120"/>
        <w:jc w:val="both"/>
        <w:rPr>
          <w:rFonts w:asciiTheme="majorHAnsi" w:hAnsiTheme="majorHAnsi"/>
          <w:sz w:val="24"/>
          <w:szCs w:val="24"/>
        </w:rPr>
      </w:pPr>
      <w:r w:rsidRPr="004D18DA">
        <w:rPr>
          <w:rFonts w:asciiTheme="majorHAnsi" w:hAnsiTheme="majorHAnsi"/>
          <w:sz w:val="24"/>
          <w:szCs w:val="24"/>
        </w:rPr>
        <w:t>Sprovođen</w:t>
      </w:r>
      <w:r w:rsidR="00F144B0" w:rsidRPr="004D18DA">
        <w:rPr>
          <w:rFonts w:asciiTheme="majorHAnsi" w:hAnsiTheme="majorHAnsi"/>
          <w:sz w:val="24"/>
          <w:szCs w:val="24"/>
        </w:rPr>
        <w:t>j</w:t>
      </w:r>
      <w:r w:rsidRPr="004D18DA">
        <w:rPr>
          <w:rFonts w:asciiTheme="majorHAnsi" w:hAnsiTheme="majorHAnsi"/>
          <w:sz w:val="24"/>
          <w:szCs w:val="24"/>
        </w:rPr>
        <w:t xml:space="preserve">e Sektorskog operativnog programa na nivou učinka pratiće se kroz </w:t>
      </w:r>
      <w:r w:rsidR="00241F37" w:rsidRPr="004D18DA">
        <w:rPr>
          <w:rFonts w:asciiTheme="majorHAnsi" w:hAnsiTheme="majorHAnsi"/>
          <w:sz w:val="24"/>
          <w:szCs w:val="24"/>
        </w:rPr>
        <w:t>sljedeći indikator</w:t>
      </w:r>
      <w:r w:rsidRPr="004D18DA">
        <w:rPr>
          <w:rFonts w:asciiTheme="majorHAnsi" w:hAnsiTheme="majorHAnsi"/>
          <w:sz w:val="24"/>
          <w:szCs w:val="24"/>
        </w:rPr>
        <w:t>:</w:t>
      </w:r>
    </w:p>
    <w:p w:rsidR="00D32CCA" w:rsidRPr="004D18DA" w:rsidRDefault="00D32CCA" w:rsidP="00150A08">
      <w:pPr>
        <w:spacing w:after="120"/>
        <w:jc w:val="both"/>
        <w:rPr>
          <w:rFonts w:asciiTheme="majorHAnsi" w:hAnsiTheme="majorHAnsi"/>
          <w:sz w:val="24"/>
          <w:szCs w:val="24"/>
        </w:rPr>
      </w:pPr>
      <w:r w:rsidRPr="004D18DA">
        <w:rPr>
          <w:rFonts w:asciiTheme="majorHAnsi" w:hAnsiTheme="majorHAnsi"/>
          <w:sz w:val="24"/>
          <w:szCs w:val="24"/>
        </w:rPr>
        <w:t xml:space="preserve">• Povećanje stope zaposlenosti stanovništva 15-64 godina </w:t>
      </w:r>
      <w:r w:rsidR="00BA0E15" w:rsidRPr="004D18DA">
        <w:rPr>
          <w:rFonts w:asciiTheme="majorHAnsi" w:hAnsiTheme="majorHAnsi"/>
          <w:sz w:val="24"/>
          <w:szCs w:val="24"/>
        </w:rPr>
        <w:t>s</w:t>
      </w:r>
      <w:r w:rsidRPr="004D18DA">
        <w:rPr>
          <w:rFonts w:asciiTheme="majorHAnsi" w:hAnsiTheme="majorHAnsi"/>
          <w:sz w:val="24"/>
          <w:szCs w:val="24"/>
        </w:rPr>
        <w:t xml:space="preserve"> 47,61 % ( 2010.) na </w:t>
      </w:r>
      <w:r w:rsidR="001768EC" w:rsidRPr="004D18DA">
        <w:rPr>
          <w:rFonts w:asciiTheme="majorHAnsi" w:hAnsiTheme="majorHAnsi"/>
          <w:sz w:val="24"/>
          <w:szCs w:val="24"/>
        </w:rPr>
        <w:t>51</w:t>
      </w:r>
      <w:r w:rsidR="007C383E" w:rsidRPr="004D18DA">
        <w:rPr>
          <w:rFonts w:asciiTheme="majorHAnsi" w:hAnsiTheme="majorHAnsi"/>
          <w:sz w:val="24"/>
          <w:szCs w:val="24"/>
        </w:rPr>
        <w:t xml:space="preserve"> </w:t>
      </w:r>
      <w:r w:rsidRPr="004D18DA">
        <w:rPr>
          <w:rFonts w:asciiTheme="majorHAnsi" w:hAnsiTheme="majorHAnsi"/>
          <w:sz w:val="24"/>
          <w:szCs w:val="24"/>
        </w:rPr>
        <w:t xml:space="preserve">do </w:t>
      </w:r>
      <w:r w:rsidR="001768EC" w:rsidRPr="004D18DA">
        <w:rPr>
          <w:rFonts w:asciiTheme="majorHAnsi" w:hAnsiTheme="majorHAnsi"/>
          <w:sz w:val="24"/>
          <w:szCs w:val="24"/>
        </w:rPr>
        <w:t>53</w:t>
      </w:r>
      <w:r w:rsidR="000F4339" w:rsidRPr="004D18DA">
        <w:rPr>
          <w:rFonts w:asciiTheme="majorHAnsi" w:hAnsiTheme="majorHAnsi"/>
          <w:sz w:val="24"/>
          <w:szCs w:val="24"/>
        </w:rPr>
        <w:t xml:space="preserve"> % (2020</w:t>
      </w:r>
      <w:r w:rsidR="006C51A4" w:rsidRPr="004D18DA">
        <w:rPr>
          <w:rFonts w:asciiTheme="majorHAnsi" w:hAnsiTheme="majorHAnsi"/>
          <w:sz w:val="24"/>
          <w:szCs w:val="24"/>
        </w:rPr>
        <w:t>)</w:t>
      </w:r>
      <w:r w:rsidR="008F5ECE" w:rsidRPr="004D18DA">
        <w:rPr>
          <w:rFonts w:asciiTheme="majorHAnsi" w:hAnsiTheme="majorHAnsi"/>
          <w:sz w:val="24"/>
          <w:szCs w:val="24"/>
        </w:rPr>
        <w:t xml:space="preserve">. </w:t>
      </w:r>
    </w:p>
    <w:p w:rsidR="00D32CCA" w:rsidRPr="004D18DA" w:rsidRDefault="00D32CCA" w:rsidP="00150A08">
      <w:pPr>
        <w:spacing w:after="120"/>
        <w:jc w:val="both"/>
        <w:rPr>
          <w:rFonts w:asciiTheme="majorHAnsi" w:hAnsiTheme="majorHAnsi"/>
          <w:sz w:val="24"/>
          <w:szCs w:val="24"/>
        </w:rPr>
      </w:pPr>
      <w:r w:rsidRPr="004D18DA">
        <w:rPr>
          <w:rFonts w:asciiTheme="majorHAnsi" w:hAnsiTheme="majorHAnsi"/>
          <w:sz w:val="24"/>
          <w:szCs w:val="24"/>
        </w:rPr>
        <w:t xml:space="preserve">Navedeni </w:t>
      </w:r>
      <w:r w:rsidR="00241F37" w:rsidRPr="004D18DA">
        <w:rPr>
          <w:rFonts w:asciiTheme="majorHAnsi" w:hAnsiTheme="majorHAnsi"/>
          <w:sz w:val="24"/>
          <w:szCs w:val="24"/>
        </w:rPr>
        <w:t>indikator</w:t>
      </w:r>
      <w:r w:rsidRPr="004D18DA">
        <w:rPr>
          <w:rFonts w:asciiTheme="majorHAnsi" w:hAnsiTheme="majorHAnsi"/>
          <w:sz w:val="24"/>
          <w:szCs w:val="24"/>
        </w:rPr>
        <w:t xml:space="preserve"> </w:t>
      </w:r>
      <w:r w:rsidR="000F4339" w:rsidRPr="004D18DA">
        <w:rPr>
          <w:rFonts w:asciiTheme="majorHAnsi" w:hAnsiTheme="majorHAnsi"/>
          <w:sz w:val="24"/>
          <w:szCs w:val="24"/>
        </w:rPr>
        <w:t>predstavlja</w:t>
      </w:r>
      <w:r w:rsidRPr="004D18DA">
        <w:rPr>
          <w:rFonts w:asciiTheme="majorHAnsi" w:hAnsiTheme="majorHAnsi"/>
          <w:sz w:val="24"/>
          <w:szCs w:val="24"/>
        </w:rPr>
        <w:t xml:space="preserve"> rezultat svih aktivnosti koje treba preduzeti u određenim akcijama, a s ciljem poveća</w:t>
      </w:r>
      <w:r w:rsidR="007353A0" w:rsidRPr="004D18DA">
        <w:rPr>
          <w:rFonts w:asciiTheme="majorHAnsi" w:hAnsiTheme="majorHAnsi"/>
          <w:sz w:val="24"/>
          <w:szCs w:val="24"/>
        </w:rPr>
        <w:t>nja ukupne stope zaposlenosti na</w:t>
      </w:r>
      <w:r w:rsidRPr="004D18DA">
        <w:rPr>
          <w:rFonts w:asciiTheme="majorHAnsi" w:hAnsiTheme="majorHAnsi"/>
          <w:sz w:val="24"/>
          <w:szCs w:val="24"/>
        </w:rPr>
        <w:t xml:space="preserve"> </w:t>
      </w:r>
      <w:r w:rsidR="001768EC" w:rsidRPr="004D18DA">
        <w:rPr>
          <w:rFonts w:asciiTheme="majorHAnsi" w:hAnsiTheme="majorHAnsi"/>
          <w:sz w:val="24"/>
          <w:szCs w:val="24"/>
        </w:rPr>
        <w:t>51</w:t>
      </w:r>
      <w:r w:rsidR="007353A0" w:rsidRPr="004D18DA">
        <w:rPr>
          <w:rFonts w:asciiTheme="majorHAnsi" w:hAnsiTheme="majorHAnsi"/>
          <w:sz w:val="24"/>
          <w:szCs w:val="24"/>
        </w:rPr>
        <w:t xml:space="preserve"> do</w:t>
      </w:r>
      <w:r w:rsidRPr="004D18DA">
        <w:rPr>
          <w:rFonts w:asciiTheme="majorHAnsi" w:hAnsiTheme="majorHAnsi"/>
          <w:sz w:val="24"/>
          <w:szCs w:val="24"/>
        </w:rPr>
        <w:t xml:space="preserve"> </w:t>
      </w:r>
      <w:r w:rsidR="001768EC" w:rsidRPr="004D18DA">
        <w:rPr>
          <w:rFonts w:asciiTheme="majorHAnsi" w:hAnsiTheme="majorHAnsi"/>
          <w:sz w:val="24"/>
          <w:szCs w:val="24"/>
        </w:rPr>
        <w:t>53</w:t>
      </w:r>
      <w:r w:rsidRPr="004D18DA">
        <w:rPr>
          <w:rFonts w:asciiTheme="majorHAnsi" w:hAnsiTheme="majorHAnsi"/>
          <w:sz w:val="24"/>
          <w:szCs w:val="24"/>
        </w:rPr>
        <w:t xml:space="preserve"> % do 2020. </w:t>
      </w:r>
      <w:r w:rsidR="00D30A3D" w:rsidRPr="004D18DA">
        <w:rPr>
          <w:rFonts w:asciiTheme="majorHAnsi" w:hAnsiTheme="majorHAnsi"/>
          <w:sz w:val="24"/>
          <w:szCs w:val="24"/>
        </w:rPr>
        <w:t>g</w:t>
      </w:r>
      <w:r w:rsidR="00241F37" w:rsidRPr="004D18DA">
        <w:rPr>
          <w:rFonts w:asciiTheme="majorHAnsi" w:hAnsiTheme="majorHAnsi"/>
          <w:sz w:val="24"/>
          <w:szCs w:val="24"/>
        </w:rPr>
        <w:t>odine</w:t>
      </w:r>
      <w:r w:rsidR="00D30A3D" w:rsidRPr="004D18DA">
        <w:rPr>
          <w:rFonts w:asciiTheme="majorHAnsi" w:hAnsiTheme="majorHAnsi"/>
          <w:sz w:val="24"/>
          <w:szCs w:val="24"/>
        </w:rPr>
        <w:t xml:space="preserve">. </w:t>
      </w:r>
    </w:p>
    <w:p w:rsidR="00D32CCA" w:rsidRPr="004D18DA" w:rsidRDefault="00D32CCA" w:rsidP="00150A08">
      <w:pPr>
        <w:spacing w:after="120"/>
        <w:jc w:val="both"/>
        <w:rPr>
          <w:rFonts w:asciiTheme="majorHAnsi" w:hAnsiTheme="majorHAnsi"/>
          <w:sz w:val="24"/>
          <w:szCs w:val="24"/>
        </w:rPr>
      </w:pPr>
      <w:r w:rsidRPr="004D18DA">
        <w:rPr>
          <w:rFonts w:asciiTheme="majorHAnsi" w:hAnsiTheme="majorHAnsi"/>
          <w:sz w:val="24"/>
          <w:szCs w:val="24"/>
        </w:rPr>
        <w:t xml:space="preserve">Naime, sve aktivnosti sprovodiće se i svi utvrđeni pokazatelji trebali bi doprinijeti </w:t>
      </w:r>
      <w:r w:rsidR="007C383E" w:rsidRPr="004D18DA">
        <w:rPr>
          <w:rFonts w:asciiTheme="majorHAnsi" w:hAnsiTheme="majorHAnsi"/>
          <w:sz w:val="24"/>
          <w:szCs w:val="24"/>
        </w:rPr>
        <w:t xml:space="preserve">ovom indikatoru. </w:t>
      </w:r>
      <w:r w:rsidRPr="004D18DA">
        <w:rPr>
          <w:rFonts w:asciiTheme="majorHAnsi" w:hAnsiTheme="majorHAnsi"/>
          <w:sz w:val="24"/>
          <w:szCs w:val="24"/>
        </w:rPr>
        <w:t xml:space="preserve">U cilju praćenja sprovođenja indikatora, osim redovnih godišnjih izvještaja, </w:t>
      </w:r>
      <w:r w:rsidR="007353A0" w:rsidRPr="004D18DA">
        <w:rPr>
          <w:rFonts w:asciiTheme="majorHAnsi" w:hAnsiTheme="majorHAnsi"/>
          <w:sz w:val="24"/>
          <w:szCs w:val="24"/>
        </w:rPr>
        <w:t xml:space="preserve">nezavisna </w:t>
      </w:r>
      <w:r w:rsidRPr="004D18DA">
        <w:rPr>
          <w:rFonts w:asciiTheme="majorHAnsi" w:hAnsiTheme="majorHAnsi"/>
          <w:sz w:val="24"/>
          <w:szCs w:val="24"/>
        </w:rPr>
        <w:t>evaluacija će se sprovesti u 201</w:t>
      </w:r>
      <w:r w:rsidR="00533805" w:rsidRPr="004D18DA">
        <w:rPr>
          <w:rFonts w:asciiTheme="majorHAnsi" w:hAnsiTheme="majorHAnsi"/>
          <w:sz w:val="24"/>
          <w:szCs w:val="24"/>
        </w:rPr>
        <w:t xml:space="preserve">7. </w:t>
      </w:r>
      <w:r w:rsidR="008F5ECE" w:rsidRPr="004D18DA">
        <w:rPr>
          <w:rFonts w:asciiTheme="majorHAnsi" w:hAnsiTheme="majorHAnsi"/>
          <w:sz w:val="24"/>
          <w:szCs w:val="24"/>
        </w:rPr>
        <w:t>g</w:t>
      </w:r>
      <w:r w:rsidR="00533805" w:rsidRPr="004D18DA">
        <w:rPr>
          <w:rFonts w:asciiTheme="majorHAnsi" w:hAnsiTheme="majorHAnsi"/>
          <w:sz w:val="24"/>
          <w:szCs w:val="24"/>
        </w:rPr>
        <w:t>odini</w:t>
      </w:r>
      <w:r w:rsidR="001B6941" w:rsidRPr="004D18DA">
        <w:rPr>
          <w:rFonts w:asciiTheme="majorHAnsi" w:hAnsiTheme="majorHAnsi"/>
          <w:sz w:val="24"/>
          <w:szCs w:val="24"/>
        </w:rPr>
        <w:t xml:space="preserve">. </w:t>
      </w:r>
    </w:p>
    <w:p w:rsidR="0084571F" w:rsidRPr="004D18DA" w:rsidRDefault="0084571F" w:rsidP="00F67FA1">
      <w:pPr>
        <w:spacing w:after="0"/>
        <w:jc w:val="both"/>
        <w:rPr>
          <w:rFonts w:asciiTheme="majorHAnsi" w:hAnsiTheme="majorHAnsi"/>
          <w:sz w:val="24"/>
          <w:szCs w:val="24"/>
        </w:rPr>
      </w:pPr>
    </w:p>
    <w:p w:rsidR="00DC219F" w:rsidRPr="007B416A" w:rsidRDefault="00C31FCA" w:rsidP="004D18DA">
      <w:pPr>
        <w:pStyle w:val="Heading2"/>
        <w:spacing w:after="240"/>
      </w:pPr>
      <w:bookmarkStart w:id="9" w:name="_Toc419368467"/>
      <w:r>
        <w:t xml:space="preserve">2.6. </w:t>
      </w:r>
      <w:r w:rsidR="00DC219F" w:rsidRPr="007B416A">
        <w:t>Upravljanje javnim finansijama</w:t>
      </w:r>
      <w:bookmarkEnd w:id="9"/>
    </w:p>
    <w:p w:rsidR="00DC219F" w:rsidRPr="004D18DA" w:rsidRDefault="00DC219F" w:rsidP="00150A08">
      <w:pPr>
        <w:jc w:val="both"/>
        <w:rPr>
          <w:rFonts w:asciiTheme="majorHAnsi" w:hAnsiTheme="majorHAnsi"/>
          <w:sz w:val="24"/>
          <w:szCs w:val="24"/>
        </w:rPr>
      </w:pPr>
      <w:r w:rsidRPr="004D18DA">
        <w:rPr>
          <w:rFonts w:asciiTheme="majorHAnsi" w:hAnsiTheme="majorHAnsi"/>
          <w:sz w:val="24"/>
          <w:szCs w:val="24"/>
        </w:rPr>
        <w:t xml:space="preserve">Ministarstvo finansija je odgovorno za planiranje i izvršenje </w:t>
      </w:r>
      <w:r w:rsidR="00D6780A" w:rsidRPr="004D18DA">
        <w:rPr>
          <w:rFonts w:asciiTheme="majorHAnsi" w:hAnsiTheme="majorHAnsi"/>
          <w:sz w:val="24"/>
          <w:szCs w:val="24"/>
        </w:rPr>
        <w:t>budžeta, vođenje računovodstva,</w:t>
      </w:r>
      <w:r w:rsidRPr="004D18DA">
        <w:rPr>
          <w:rFonts w:asciiTheme="majorHAnsi" w:hAnsiTheme="majorHAnsi"/>
          <w:sz w:val="24"/>
          <w:szCs w:val="24"/>
        </w:rPr>
        <w:t xml:space="preserve"> i upravljanje javnim dugom. U okviru Ministarstva finansija, Direktorat za budžet priprema i kontroliše izvršenje budžeta (uključujući odobravanje planova javnih nabavki), dok je Direktorat za državni trezor odgovoran za plaćanje i računovodstvene sisteme i upravljanje javnim dugom. Druge ključne institucije u crnogorskom okviru upravljanja javnim finansijama, uključuju Državnu revizorsku instituciju, Upravu za borbu protiv korupcije, Upravu za javne nabavke i Državnu komisija za kontrolu postupka javnih nabavki.</w:t>
      </w:r>
    </w:p>
    <w:p w:rsidR="00DC219F" w:rsidRPr="004D18DA" w:rsidRDefault="00DC219F" w:rsidP="00150A08">
      <w:pPr>
        <w:spacing w:after="0"/>
        <w:jc w:val="both"/>
        <w:rPr>
          <w:rFonts w:asciiTheme="majorHAnsi" w:hAnsiTheme="majorHAnsi"/>
          <w:sz w:val="24"/>
          <w:szCs w:val="24"/>
        </w:rPr>
      </w:pPr>
      <w:r w:rsidRPr="004D18DA">
        <w:rPr>
          <w:rFonts w:asciiTheme="majorHAnsi" w:hAnsiTheme="majorHAnsi"/>
          <w:sz w:val="24"/>
          <w:szCs w:val="24"/>
        </w:rPr>
        <w:t xml:space="preserve">Upravljanje javnim finansijama u Crnoj Gori je u velikoj meri decentralizovano, sa centralizovanom izradom politika i uspostavljanjem standarda i decentralizovanim izvršenjem. Podaci o prikupljanju prihoda su dostupni Trezoru, koji vodi jedinstven račun sa kojeg se sva plaćanja vrše u ime budžetskih subjekata. </w:t>
      </w:r>
    </w:p>
    <w:p w:rsidR="0084571F" w:rsidRPr="00160F4D" w:rsidRDefault="0084571F" w:rsidP="00150A08">
      <w:pPr>
        <w:spacing w:after="0"/>
        <w:jc w:val="both"/>
        <w:rPr>
          <w:rFonts w:ascii="Times New Roman" w:hAnsi="Times New Roman"/>
          <w:sz w:val="24"/>
          <w:szCs w:val="24"/>
        </w:rPr>
      </w:pPr>
    </w:p>
    <w:p w:rsidR="00DC219F" w:rsidRPr="007B416A" w:rsidRDefault="00C31FCA" w:rsidP="004D18DA">
      <w:pPr>
        <w:pStyle w:val="Heading2"/>
        <w:spacing w:before="0" w:after="240"/>
      </w:pPr>
      <w:bookmarkStart w:id="10" w:name="_Toc419368468"/>
      <w:r>
        <w:t xml:space="preserve">2.7. </w:t>
      </w:r>
      <w:r w:rsidR="00DC219F" w:rsidRPr="007B416A">
        <w:t>Makro-ekonomski okvir</w:t>
      </w:r>
      <w:bookmarkEnd w:id="10"/>
    </w:p>
    <w:p w:rsidR="00DC219F" w:rsidRPr="004D18DA" w:rsidRDefault="00DC219F" w:rsidP="00150A08">
      <w:pPr>
        <w:spacing w:after="0"/>
        <w:jc w:val="both"/>
        <w:rPr>
          <w:rStyle w:val="hps"/>
          <w:rFonts w:asciiTheme="majorHAnsi" w:hAnsiTheme="majorHAnsi"/>
        </w:rPr>
      </w:pPr>
      <w:r w:rsidRPr="004D18DA">
        <w:rPr>
          <w:rStyle w:val="hps"/>
          <w:rFonts w:asciiTheme="majorHAnsi" w:hAnsiTheme="majorHAnsi"/>
          <w:sz w:val="24"/>
          <w:szCs w:val="24"/>
        </w:rPr>
        <w:t>Fiskalna politika Crne Gore, u periodu 2015-2017, usmjerena je na smanjenje tekuće potrošnje, ali i povećanje investicija u infrastrukturu, turizam i energetiku, kako bi javni dug, uz uspostavljanje opadajućeg trenda, bio finansiran iz ekonomskog rasta. Glavni pokretač rasta je finalnatražnja, sa snažnim rastom investicija u bruto fiksni kapital, blagim povećanjem potrošnje domaćinstava i stagnacijom državne potrošnje (tekuća potrošnja).U narednom srednjoročnom periodu, očekuje se snažan rast investicija u sektorima energetike, turizma i realizacija velikih infrastrukturnih projekata (prvenstveno izgradnja dionice autoputa), što će doprinijeti uravniteženju budžeta, odnosno ukupnoj fiskalnoj i makroekoenomskij stabilnosti.</w:t>
      </w:r>
    </w:p>
    <w:p w:rsidR="00DC219F" w:rsidRPr="008263BE" w:rsidRDefault="00DC219F" w:rsidP="00150A08">
      <w:pPr>
        <w:spacing w:after="0"/>
        <w:jc w:val="both"/>
        <w:rPr>
          <w:rFonts w:ascii="Times New Roman" w:hAnsi="Times New Roman"/>
          <w:sz w:val="24"/>
          <w:szCs w:val="24"/>
        </w:rPr>
      </w:pPr>
    </w:p>
    <w:p w:rsidR="00DC219F" w:rsidRPr="004D18DA" w:rsidRDefault="00DC219F" w:rsidP="00150A08">
      <w:pPr>
        <w:spacing w:after="0"/>
        <w:jc w:val="both"/>
        <w:rPr>
          <w:rStyle w:val="hps"/>
          <w:rFonts w:asciiTheme="majorHAnsi" w:hAnsiTheme="majorHAnsi"/>
          <w:sz w:val="24"/>
          <w:szCs w:val="24"/>
        </w:rPr>
      </w:pPr>
      <w:r w:rsidRPr="004D18DA">
        <w:rPr>
          <w:rStyle w:val="hps"/>
          <w:rFonts w:asciiTheme="majorHAnsi" w:hAnsiTheme="majorHAnsi"/>
          <w:sz w:val="24"/>
          <w:szCs w:val="24"/>
        </w:rPr>
        <w:t xml:space="preserve">Ostvareni nivo BDP-a Crne Gore u 2013. godini bio je 3,327 miliona eura, uz ostvarenu realnu stopu rasta od 3,3%. Prema preliminarnim podacima Monstata, u prvom kvartalu 2014. godine, BDP je rastao po realnoj stopi od 1,5%, u drugom kvartalu je zabilježen slabiji rast od 0,3%, dok je u trećem kvartalu rast iznosio 1,3%. Prema ovim podacima , stopa rasta u tri kvartala 2014.  godine iznosila je 1,1%, što je niže od projektovane godišnje stope od 3,5%. Ovo smanjenje stope rasta prouzrokovano je odlaganjem najveće investicije koja se odnosi na izgradnju dionice autoputa, a koja je, uz ostale najavljene institucije, bila ključna pretpostavka prethodnog scenarija rasta. </w:t>
      </w:r>
    </w:p>
    <w:p w:rsidR="00DC219F" w:rsidRPr="008263BE" w:rsidRDefault="00DC219F" w:rsidP="00150A08">
      <w:pPr>
        <w:spacing w:after="0"/>
        <w:jc w:val="both"/>
        <w:rPr>
          <w:rStyle w:val="hps"/>
          <w:rFonts w:ascii="Times New Roman" w:hAnsi="Times New Roman"/>
          <w:sz w:val="24"/>
          <w:szCs w:val="24"/>
        </w:rPr>
      </w:pPr>
    </w:p>
    <w:p w:rsidR="00DC219F" w:rsidRPr="004D18DA" w:rsidRDefault="00DC219F" w:rsidP="00150A08">
      <w:pPr>
        <w:spacing w:after="0"/>
        <w:jc w:val="both"/>
        <w:rPr>
          <w:rStyle w:val="hps"/>
          <w:rFonts w:asciiTheme="majorHAnsi" w:hAnsiTheme="majorHAnsi" w:cstheme="minorHAnsi"/>
          <w:sz w:val="24"/>
          <w:szCs w:val="24"/>
        </w:rPr>
      </w:pPr>
      <w:r w:rsidRPr="004D18DA">
        <w:rPr>
          <w:rStyle w:val="hps"/>
          <w:rFonts w:asciiTheme="majorHAnsi" w:hAnsiTheme="majorHAnsi" w:cstheme="minorHAnsi"/>
          <w:sz w:val="24"/>
          <w:szCs w:val="24"/>
        </w:rPr>
        <w:t>Prema procjenama MF, stopa rasta BDP-a za 2014. godinu bi trebalo da dostigne 2%.</w:t>
      </w:r>
    </w:p>
    <w:p w:rsidR="00F144B0" w:rsidRPr="008263BE" w:rsidRDefault="00F144B0" w:rsidP="0084571F">
      <w:pPr>
        <w:spacing w:after="120"/>
        <w:jc w:val="both"/>
        <w:rPr>
          <w:rFonts w:ascii="Times New Roman" w:hAnsi="Times New Roman"/>
          <w:sz w:val="24"/>
          <w:szCs w:val="24"/>
        </w:rPr>
      </w:pPr>
    </w:p>
    <w:p w:rsidR="004D18DA" w:rsidRPr="004D18DA" w:rsidRDefault="007353A0" w:rsidP="004D18DA">
      <w:pPr>
        <w:pStyle w:val="Heading2"/>
        <w:spacing w:after="240"/>
      </w:pPr>
      <w:bookmarkStart w:id="11" w:name="_Toc419368469"/>
      <w:r>
        <w:t xml:space="preserve">2.8. </w:t>
      </w:r>
      <w:r w:rsidR="00FD6C6C" w:rsidRPr="00DE0F58">
        <w:t>Sveobuhvatna procjena</w:t>
      </w:r>
      <w:bookmarkEnd w:id="11"/>
      <w:r w:rsidR="00FD6C6C" w:rsidRPr="00DE0F58">
        <w:t xml:space="preserve"> </w:t>
      </w:r>
    </w:p>
    <w:p w:rsidR="007353A0" w:rsidRPr="004D18DA" w:rsidRDefault="007353A0" w:rsidP="00150A08">
      <w:pPr>
        <w:spacing w:after="120"/>
        <w:jc w:val="both"/>
        <w:rPr>
          <w:rFonts w:asciiTheme="majorHAnsi" w:hAnsiTheme="majorHAnsi"/>
          <w:color w:val="000000" w:themeColor="text1"/>
          <w:sz w:val="24"/>
          <w:szCs w:val="24"/>
        </w:rPr>
      </w:pPr>
      <w:r w:rsidRPr="004D18DA">
        <w:rPr>
          <w:rFonts w:asciiTheme="majorHAnsi" w:hAnsiTheme="majorHAnsi"/>
          <w:color w:val="000000" w:themeColor="text1"/>
          <w:sz w:val="24"/>
          <w:szCs w:val="24"/>
        </w:rPr>
        <w:t>U vezi sa navedenim u prethodnim poglavljima možemo identifikovati niz izazova s kojima se Crna Gora susreće u sektorima zapošljavanja, obrazovanja i socijalnog uključivanja. Isto tako možemo konstatovati da postoji zadovljavajući strateški okvir u svim područjima, kao i to da se za područja u kojima se sektorske strategije nalaze u završnoj fazi već započelo sa pripremom novih strategija koje će se sprovoditi do 2020. godine. Vezano za zakonodavni okvir možemo konstatovati da je Crna Gora prošla intenzivan period zakonodavnih reformi, koji je u većini područja rezultirao novim zakonskim rješenjima, te donošenjem podzakonskih akata. Ono što je preostalo kao izazov je process implementacije novih zakonodavnih rješenja što je najuže povezano s pitanjem nedovoljnih finansijskih resursa, najčešće na svim nivoima. U tom smislu CG kombinuje mogućnost korišćenja EU ili drugih sredstava s nacionalnimn sredstvima pot</w:t>
      </w:r>
      <w:r w:rsidR="008B6F94" w:rsidRPr="004D18DA">
        <w:rPr>
          <w:rFonts w:asciiTheme="majorHAnsi" w:hAnsiTheme="majorHAnsi"/>
          <w:color w:val="000000" w:themeColor="text1"/>
          <w:sz w:val="24"/>
          <w:szCs w:val="24"/>
        </w:rPr>
        <w:t>r</w:t>
      </w:r>
      <w:r w:rsidRPr="004D18DA">
        <w:rPr>
          <w:rFonts w:asciiTheme="majorHAnsi" w:hAnsiTheme="majorHAnsi"/>
          <w:color w:val="000000" w:themeColor="text1"/>
          <w:sz w:val="24"/>
          <w:szCs w:val="24"/>
        </w:rPr>
        <w:t xml:space="preserve">ebnim za sprovođenje/nastavak reformi i možemo govoriti o postepenom pristupu. </w:t>
      </w:r>
    </w:p>
    <w:p w:rsidR="007353A0" w:rsidRPr="004D18DA" w:rsidRDefault="007353A0" w:rsidP="00150A08">
      <w:pPr>
        <w:spacing w:after="120"/>
        <w:jc w:val="both"/>
        <w:rPr>
          <w:rFonts w:asciiTheme="majorHAnsi" w:hAnsiTheme="majorHAnsi"/>
          <w:color w:val="000000" w:themeColor="text1"/>
          <w:sz w:val="24"/>
          <w:szCs w:val="24"/>
        </w:rPr>
      </w:pPr>
      <w:r w:rsidRPr="004D18DA">
        <w:rPr>
          <w:rFonts w:asciiTheme="majorHAnsi" w:hAnsiTheme="majorHAnsi"/>
          <w:color w:val="000000" w:themeColor="text1"/>
          <w:sz w:val="24"/>
          <w:szCs w:val="24"/>
        </w:rPr>
        <w:t>U okviru ovog SOP-a najveća će se pažnja posvetiti poveća</w:t>
      </w:r>
      <w:r w:rsidR="008B6F94" w:rsidRPr="004D18DA">
        <w:rPr>
          <w:rFonts w:asciiTheme="majorHAnsi" w:hAnsiTheme="majorHAnsi"/>
          <w:color w:val="000000" w:themeColor="text1"/>
          <w:sz w:val="24"/>
          <w:szCs w:val="24"/>
        </w:rPr>
        <w:t>nju zapoš</w:t>
      </w:r>
      <w:r w:rsidRPr="004D18DA">
        <w:rPr>
          <w:rFonts w:asciiTheme="majorHAnsi" w:hAnsiTheme="majorHAnsi"/>
          <w:color w:val="000000" w:themeColor="text1"/>
          <w:sz w:val="24"/>
          <w:szCs w:val="24"/>
        </w:rPr>
        <w:t>ljivosti i zapošljavanja, vodeći računa o socijalnim aspektima, posebno marginalizovanih grupa. Isto tako pažnja će se posvetiti uključivanju svih aktera na lokalnom tržištu rada u procese pripreme i realizacije lokalnih strateških dokumenta i akcija. U segmetu obrazovanja pažnja će se posvetiti usklađivanju obrazovnog sistema sa s</w:t>
      </w:r>
      <w:r w:rsidR="008B6F94" w:rsidRPr="004D18DA">
        <w:rPr>
          <w:rFonts w:asciiTheme="majorHAnsi" w:hAnsiTheme="majorHAnsi"/>
          <w:color w:val="000000" w:themeColor="text1"/>
          <w:sz w:val="24"/>
          <w:szCs w:val="24"/>
        </w:rPr>
        <w:t>t</w:t>
      </w:r>
      <w:r w:rsidRPr="004D18DA">
        <w:rPr>
          <w:rFonts w:asciiTheme="majorHAnsi" w:hAnsiTheme="majorHAnsi"/>
          <w:color w:val="000000" w:themeColor="text1"/>
          <w:sz w:val="24"/>
          <w:szCs w:val="24"/>
        </w:rPr>
        <w:t>varnim potrebama tr</w:t>
      </w:r>
      <w:r w:rsidR="008B6F94" w:rsidRPr="004D18DA">
        <w:rPr>
          <w:rFonts w:asciiTheme="majorHAnsi" w:hAnsiTheme="majorHAnsi"/>
          <w:color w:val="000000" w:themeColor="text1"/>
          <w:sz w:val="24"/>
          <w:szCs w:val="24"/>
        </w:rPr>
        <w:t>žišta rada, osgiuranju kvaliteta</w:t>
      </w:r>
      <w:r w:rsidRPr="004D18DA">
        <w:rPr>
          <w:rFonts w:asciiTheme="majorHAnsi" w:hAnsiTheme="majorHAnsi"/>
          <w:color w:val="000000" w:themeColor="text1"/>
          <w:sz w:val="24"/>
          <w:szCs w:val="24"/>
        </w:rPr>
        <w:t xml:space="preserve"> obrazovanja na svim nivoima </w:t>
      </w:r>
      <w:r w:rsidR="008B6F94" w:rsidRPr="004D18DA">
        <w:rPr>
          <w:rFonts w:asciiTheme="majorHAnsi" w:hAnsiTheme="majorHAnsi"/>
          <w:color w:val="000000" w:themeColor="text1"/>
          <w:sz w:val="24"/>
          <w:szCs w:val="24"/>
        </w:rPr>
        <w:t>i s aspekta institucija i s aspekta nastavnika, kao i</w:t>
      </w:r>
      <w:r w:rsidRPr="004D18DA">
        <w:rPr>
          <w:rFonts w:asciiTheme="majorHAnsi" w:hAnsiTheme="majorHAnsi"/>
          <w:color w:val="000000" w:themeColor="text1"/>
          <w:sz w:val="24"/>
          <w:szCs w:val="24"/>
        </w:rPr>
        <w:t xml:space="preserve"> promovisanju </w:t>
      </w:r>
      <w:r w:rsidR="008B6F94" w:rsidRPr="004D18DA">
        <w:rPr>
          <w:rFonts w:asciiTheme="majorHAnsi" w:hAnsiTheme="majorHAnsi"/>
          <w:color w:val="000000" w:themeColor="text1"/>
          <w:sz w:val="24"/>
          <w:szCs w:val="24"/>
        </w:rPr>
        <w:t>nauke i</w:t>
      </w:r>
      <w:r w:rsidRPr="004D18DA">
        <w:rPr>
          <w:rFonts w:asciiTheme="majorHAnsi" w:hAnsiTheme="majorHAnsi"/>
          <w:color w:val="000000" w:themeColor="text1"/>
          <w:sz w:val="24"/>
          <w:szCs w:val="24"/>
        </w:rPr>
        <w:t xml:space="preserve"> istraživanja. U segment</w:t>
      </w:r>
      <w:r w:rsidR="008B6F94" w:rsidRPr="004D18DA">
        <w:rPr>
          <w:rFonts w:asciiTheme="majorHAnsi" w:hAnsiTheme="majorHAnsi"/>
          <w:color w:val="000000" w:themeColor="text1"/>
          <w:sz w:val="24"/>
          <w:szCs w:val="24"/>
        </w:rPr>
        <w:t>u</w:t>
      </w:r>
      <w:r w:rsidRPr="004D18DA">
        <w:rPr>
          <w:rFonts w:asciiTheme="majorHAnsi" w:hAnsiTheme="majorHAnsi"/>
          <w:color w:val="000000" w:themeColor="text1"/>
          <w:sz w:val="24"/>
          <w:szCs w:val="24"/>
        </w:rPr>
        <w:t xml:space="preserve"> socijalne inkluzije najveći</w:t>
      </w:r>
      <w:r w:rsidR="008B6F94" w:rsidRPr="004D18DA">
        <w:rPr>
          <w:rFonts w:asciiTheme="majorHAnsi" w:hAnsiTheme="majorHAnsi"/>
          <w:color w:val="000000" w:themeColor="text1"/>
          <w:sz w:val="24"/>
          <w:szCs w:val="24"/>
        </w:rPr>
        <w:t xml:space="preserve"> naglasak će biti na osiguranju i</w:t>
      </w:r>
      <w:r w:rsidRPr="004D18DA">
        <w:rPr>
          <w:rFonts w:asciiTheme="majorHAnsi" w:hAnsiTheme="majorHAnsi"/>
          <w:color w:val="000000" w:themeColor="text1"/>
          <w:sz w:val="24"/>
          <w:szCs w:val="24"/>
        </w:rPr>
        <w:t xml:space="preserve"> </w:t>
      </w:r>
      <w:r w:rsidR="008B6F94" w:rsidRPr="004D18DA">
        <w:rPr>
          <w:rFonts w:asciiTheme="majorHAnsi" w:hAnsiTheme="majorHAnsi"/>
          <w:color w:val="000000" w:themeColor="text1"/>
          <w:sz w:val="24"/>
          <w:szCs w:val="24"/>
        </w:rPr>
        <w:t>razvoju socijalnih usluga, kao i</w:t>
      </w:r>
      <w:r w:rsidRPr="004D18DA">
        <w:rPr>
          <w:rFonts w:asciiTheme="majorHAnsi" w:hAnsiTheme="majorHAnsi"/>
          <w:color w:val="000000" w:themeColor="text1"/>
          <w:sz w:val="24"/>
          <w:szCs w:val="24"/>
        </w:rPr>
        <w:t xml:space="preserve"> usluga dječje zaštite uva</w:t>
      </w:r>
      <w:r w:rsidR="008B6F94" w:rsidRPr="004D18DA">
        <w:rPr>
          <w:rFonts w:asciiTheme="majorHAnsi" w:hAnsiTheme="majorHAnsi"/>
          <w:color w:val="000000" w:themeColor="text1"/>
          <w:sz w:val="24"/>
          <w:szCs w:val="24"/>
        </w:rPr>
        <w:t>žavajući regionalne posebnosti i zahtjeve, kao i</w:t>
      </w:r>
      <w:r w:rsidRPr="004D18DA">
        <w:rPr>
          <w:rFonts w:asciiTheme="majorHAnsi" w:hAnsiTheme="majorHAnsi"/>
          <w:color w:val="000000" w:themeColor="text1"/>
          <w:sz w:val="24"/>
          <w:szCs w:val="24"/>
        </w:rPr>
        <w:t xml:space="preserve"> uključivanje mar</w:t>
      </w:r>
      <w:r w:rsidR="008B6F94" w:rsidRPr="004D18DA">
        <w:rPr>
          <w:rFonts w:asciiTheme="majorHAnsi" w:hAnsiTheme="majorHAnsi"/>
          <w:color w:val="000000" w:themeColor="text1"/>
          <w:sz w:val="24"/>
          <w:szCs w:val="24"/>
        </w:rPr>
        <w:t>ginalizovanih grupa</w:t>
      </w:r>
      <w:r w:rsidRPr="004D18DA">
        <w:rPr>
          <w:rFonts w:asciiTheme="majorHAnsi" w:hAnsiTheme="majorHAnsi"/>
          <w:color w:val="000000" w:themeColor="text1"/>
          <w:sz w:val="24"/>
          <w:szCs w:val="24"/>
        </w:rPr>
        <w:t xml:space="preserve"> u zajednicu s posebnim naglaskom na RE</w:t>
      </w:r>
      <w:r w:rsidR="008B6F94" w:rsidRPr="004D18DA">
        <w:rPr>
          <w:rFonts w:asciiTheme="majorHAnsi" w:hAnsiTheme="majorHAnsi"/>
          <w:color w:val="000000" w:themeColor="text1"/>
          <w:sz w:val="24"/>
          <w:szCs w:val="24"/>
        </w:rPr>
        <w:t xml:space="preserve"> populaciju. </w:t>
      </w:r>
    </w:p>
    <w:p w:rsidR="00FD6C6C" w:rsidRPr="008B6F94" w:rsidRDefault="00FD6C6C" w:rsidP="004D18DA">
      <w:pPr>
        <w:pStyle w:val="Heading1"/>
        <w:numPr>
          <w:ilvl w:val="0"/>
          <w:numId w:val="40"/>
        </w:numPr>
        <w:spacing w:after="240"/>
      </w:pPr>
      <w:bookmarkStart w:id="12" w:name="_Toc419368470"/>
      <w:r w:rsidRPr="008B6F94">
        <w:t>Cilj(evi) IPA sektorske podrške</w:t>
      </w:r>
      <w:bookmarkEnd w:id="12"/>
      <w:r w:rsidRPr="008B6F94">
        <w:t xml:space="preserve"> </w:t>
      </w:r>
    </w:p>
    <w:p w:rsidR="004E6BCD" w:rsidRPr="004D18DA" w:rsidRDefault="0084571F" w:rsidP="00150A08">
      <w:pPr>
        <w:spacing w:after="120"/>
        <w:jc w:val="both"/>
        <w:rPr>
          <w:rFonts w:asciiTheme="majorHAnsi" w:hAnsiTheme="majorHAnsi"/>
          <w:sz w:val="24"/>
          <w:szCs w:val="24"/>
        </w:rPr>
      </w:pPr>
      <w:r w:rsidRPr="004D18DA">
        <w:rPr>
          <w:rFonts w:asciiTheme="majorHAnsi" w:hAnsiTheme="majorHAnsi"/>
          <w:sz w:val="24"/>
          <w:szCs w:val="24"/>
        </w:rPr>
        <w:t>Glavni cilj ovog SOP-a je osiguranje razvijenog i kohezivnog društva kroz osiguranje boljih uslova za podizanje nivoa zapošljivosti stan</w:t>
      </w:r>
      <w:r w:rsidR="00FD6C6C" w:rsidRPr="004D18DA">
        <w:rPr>
          <w:rFonts w:asciiTheme="majorHAnsi" w:hAnsiTheme="majorHAnsi"/>
          <w:sz w:val="24"/>
          <w:szCs w:val="24"/>
        </w:rPr>
        <w:t>ovništva, unaprijeđenje kvaliteta</w:t>
      </w:r>
      <w:r w:rsidRPr="004D18DA">
        <w:rPr>
          <w:rFonts w:asciiTheme="majorHAnsi" w:hAnsiTheme="majorHAnsi"/>
          <w:sz w:val="24"/>
          <w:szCs w:val="24"/>
        </w:rPr>
        <w:t xml:space="preserve"> formalnog, neformalnog</w:t>
      </w:r>
      <w:r w:rsidR="00FD6C6C" w:rsidRPr="004D18DA">
        <w:rPr>
          <w:rFonts w:asciiTheme="majorHAnsi" w:hAnsiTheme="majorHAnsi"/>
          <w:sz w:val="24"/>
          <w:szCs w:val="24"/>
        </w:rPr>
        <w:t xml:space="preserve"> obrazovanja</w:t>
      </w:r>
      <w:r w:rsidRPr="004D18DA">
        <w:rPr>
          <w:rFonts w:asciiTheme="majorHAnsi" w:hAnsiTheme="majorHAnsi"/>
          <w:sz w:val="24"/>
          <w:szCs w:val="24"/>
        </w:rPr>
        <w:t xml:space="preserve"> i cjeloživotnog</w:t>
      </w:r>
      <w:r w:rsidR="00FD6C6C" w:rsidRPr="004D18DA">
        <w:rPr>
          <w:rFonts w:asciiTheme="majorHAnsi" w:hAnsiTheme="majorHAnsi"/>
          <w:sz w:val="24"/>
          <w:szCs w:val="24"/>
        </w:rPr>
        <w:t xml:space="preserve"> učenja</w:t>
      </w:r>
      <w:r w:rsidRPr="004D18DA">
        <w:rPr>
          <w:rFonts w:asciiTheme="majorHAnsi" w:hAnsiTheme="majorHAnsi"/>
          <w:sz w:val="24"/>
          <w:szCs w:val="24"/>
        </w:rPr>
        <w:t>, uz socijalnu inkluziju osoba u nepovoljnom položaju i smanjenje rizika od siromaštva.</w:t>
      </w:r>
    </w:p>
    <w:p w:rsidR="0084571F" w:rsidRPr="004D18DA" w:rsidRDefault="0084571F" w:rsidP="00150A08">
      <w:pPr>
        <w:spacing w:after="120"/>
        <w:jc w:val="both"/>
        <w:rPr>
          <w:rFonts w:asciiTheme="majorHAnsi" w:hAnsiTheme="majorHAnsi"/>
          <w:sz w:val="24"/>
          <w:szCs w:val="24"/>
        </w:rPr>
      </w:pPr>
      <w:r w:rsidRPr="004D18DA">
        <w:rPr>
          <w:rFonts w:asciiTheme="majorHAnsi" w:hAnsiTheme="majorHAnsi"/>
          <w:sz w:val="24"/>
          <w:szCs w:val="24"/>
        </w:rPr>
        <w:t xml:space="preserve">Specifični ciljevi pojedinih akcija su: </w:t>
      </w:r>
    </w:p>
    <w:p w:rsidR="0084571F" w:rsidRPr="004D18DA" w:rsidRDefault="0084571F" w:rsidP="00150A08">
      <w:pPr>
        <w:spacing w:after="120"/>
        <w:jc w:val="both"/>
        <w:rPr>
          <w:rFonts w:asciiTheme="majorHAnsi" w:hAnsiTheme="majorHAnsi"/>
          <w:sz w:val="24"/>
          <w:szCs w:val="24"/>
        </w:rPr>
      </w:pPr>
      <w:r w:rsidRPr="004D18DA">
        <w:rPr>
          <w:rFonts w:asciiTheme="majorHAnsi" w:hAnsiTheme="majorHAnsi"/>
          <w:sz w:val="24"/>
          <w:szCs w:val="24"/>
        </w:rPr>
        <w:t>1. Unapr</w:t>
      </w:r>
      <w:r w:rsidR="00FD6C6C" w:rsidRPr="004D18DA">
        <w:rPr>
          <w:rFonts w:asciiTheme="majorHAnsi" w:hAnsiTheme="majorHAnsi"/>
          <w:sz w:val="24"/>
          <w:szCs w:val="24"/>
        </w:rPr>
        <w:t>ij</w:t>
      </w:r>
      <w:r w:rsidRPr="004D18DA">
        <w:rPr>
          <w:rFonts w:asciiTheme="majorHAnsi" w:hAnsiTheme="majorHAnsi"/>
          <w:sz w:val="24"/>
          <w:szCs w:val="24"/>
        </w:rPr>
        <w:t>eđenje uslova za kontinuirano kreiranje novih radnih mjesta za nezaposlene i neaktivne osobe, imajući u vidu regionalne potrebe i razlike, te p</w:t>
      </w:r>
      <w:r w:rsidR="00D85591" w:rsidRPr="004D18DA">
        <w:rPr>
          <w:rFonts w:asciiTheme="majorHAnsi" w:hAnsiTheme="majorHAnsi"/>
          <w:sz w:val="24"/>
          <w:szCs w:val="24"/>
        </w:rPr>
        <w:t>odsti</w:t>
      </w:r>
      <w:r w:rsidR="000F4339" w:rsidRPr="004D18DA">
        <w:rPr>
          <w:rFonts w:asciiTheme="majorHAnsi" w:hAnsiTheme="majorHAnsi"/>
          <w:sz w:val="24"/>
          <w:szCs w:val="24"/>
        </w:rPr>
        <w:t>c</w:t>
      </w:r>
      <w:r w:rsidRPr="004D18DA">
        <w:rPr>
          <w:rFonts w:asciiTheme="majorHAnsi" w:hAnsiTheme="majorHAnsi"/>
          <w:sz w:val="24"/>
          <w:szCs w:val="24"/>
        </w:rPr>
        <w:t xml:space="preserve">anje socijalnog dijaloga. </w:t>
      </w:r>
    </w:p>
    <w:p w:rsidR="0084571F" w:rsidRPr="004D18DA" w:rsidRDefault="0084571F" w:rsidP="00150A08">
      <w:pPr>
        <w:spacing w:after="120"/>
        <w:jc w:val="both"/>
        <w:rPr>
          <w:rFonts w:asciiTheme="majorHAnsi" w:hAnsiTheme="majorHAnsi"/>
          <w:sz w:val="24"/>
          <w:szCs w:val="24"/>
        </w:rPr>
      </w:pPr>
      <w:r w:rsidRPr="004D18DA">
        <w:rPr>
          <w:rFonts w:asciiTheme="majorHAnsi" w:hAnsiTheme="majorHAnsi"/>
          <w:sz w:val="24"/>
          <w:szCs w:val="24"/>
        </w:rPr>
        <w:t>2.  Podsticanje razvoja ljudskog kapitala kroz formalni i neformalni sistem obr</w:t>
      </w:r>
      <w:r w:rsidR="00FD6C6C" w:rsidRPr="004D18DA">
        <w:rPr>
          <w:rFonts w:asciiTheme="majorHAnsi" w:hAnsiTheme="majorHAnsi"/>
          <w:sz w:val="24"/>
          <w:szCs w:val="24"/>
        </w:rPr>
        <w:t>azovanja na svim nivoima i promovis</w:t>
      </w:r>
      <w:r w:rsidRPr="004D18DA">
        <w:rPr>
          <w:rFonts w:asciiTheme="majorHAnsi" w:hAnsiTheme="majorHAnsi"/>
          <w:sz w:val="24"/>
          <w:szCs w:val="24"/>
        </w:rPr>
        <w:t xml:space="preserve">anje cjeloživotnog učenja, istraživanja i razvoja. </w:t>
      </w:r>
    </w:p>
    <w:p w:rsidR="0084571F" w:rsidRPr="004D18DA" w:rsidRDefault="00FD6C6C" w:rsidP="00150A08">
      <w:pPr>
        <w:spacing w:after="120"/>
        <w:jc w:val="both"/>
        <w:rPr>
          <w:rFonts w:asciiTheme="majorHAnsi" w:hAnsiTheme="majorHAnsi"/>
          <w:sz w:val="24"/>
          <w:szCs w:val="24"/>
        </w:rPr>
      </w:pPr>
      <w:r w:rsidRPr="004D18DA">
        <w:rPr>
          <w:rFonts w:asciiTheme="majorHAnsi" w:hAnsiTheme="majorHAnsi"/>
          <w:sz w:val="24"/>
          <w:szCs w:val="24"/>
        </w:rPr>
        <w:t>3. Unapr</w:t>
      </w:r>
      <w:r w:rsidR="00D85591" w:rsidRPr="004D18DA">
        <w:rPr>
          <w:rFonts w:asciiTheme="majorHAnsi" w:hAnsiTheme="majorHAnsi"/>
          <w:sz w:val="24"/>
          <w:szCs w:val="24"/>
        </w:rPr>
        <w:t>i</w:t>
      </w:r>
      <w:r w:rsidRPr="004D18DA">
        <w:rPr>
          <w:rFonts w:asciiTheme="majorHAnsi" w:hAnsiTheme="majorHAnsi"/>
          <w:sz w:val="24"/>
          <w:szCs w:val="24"/>
        </w:rPr>
        <w:t>jeđenje si</w:t>
      </w:r>
      <w:r w:rsidR="0084571F" w:rsidRPr="004D18DA">
        <w:rPr>
          <w:rFonts w:asciiTheme="majorHAnsi" w:hAnsiTheme="majorHAnsi"/>
          <w:sz w:val="24"/>
          <w:szCs w:val="24"/>
        </w:rPr>
        <w:t>st</w:t>
      </w:r>
      <w:r w:rsidRPr="004D18DA">
        <w:rPr>
          <w:rFonts w:asciiTheme="majorHAnsi" w:hAnsiTheme="majorHAnsi"/>
          <w:sz w:val="24"/>
          <w:szCs w:val="24"/>
        </w:rPr>
        <w:t>ema</w:t>
      </w:r>
      <w:r w:rsidR="0084571F" w:rsidRPr="004D18DA">
        <w:rPr>
          <w:rFonts w:asciiTheme="majorHAnsi" w:hAnsiTheme="majorHAnsi"/>
          <w:sz w:val="24"/>
          <w:szCs w:val="24"/>
        </w:rPr>
        <w:t xml:space="preserve"> socijalne i dječje </w:t>
      </w:r>
      <w:r w:rsidR="00D85591" w:rsidRPr="004D18DA">
        <w:rPr>
          <w:rFonts w:asciiTheme="majorHAnsi" w:hAnsiTheme="majorHAnsi"/>
          <w:sz w:val="24"/>
          <w:szCs w:val="24"/>
        </w:rPr>
        <w:t>zaštite</w:t>
      </w:r>
      <w:r w:rsidR="0084571F" w:rsidRPr="004D18DA">
        <w:rPr>
          <w:rFonts w:asciiTheme="majorHAnsi" w:hAnsiTheme="majorHAnsi"/>
          <w:sz w:val="24"/>
          <w:szCs w:val="24"/>
        </w:rPr>
        <w:t xml:space="preserve"> uz punu primjenu novog strateškog, pravnog i institucionalnog okvira,</w:t>
      </w:r>
      <w:r w:rsidRPr="004D18DA">
        <w:rPr>
          <w:rFonts w:asciiTheme="majorHAnsi" w:hAnsiTheme="majorHAnsi"/>
          <w:sz w:val="24"/>
          <w:szCs w:val="24"/>
        </w:rPr>
        <w:t xml:space="preserve"> uvažavajući potrebe marginalizovanih grupa. </w:t>
      </w:r>
    </w:p>
    <w:p w:rsidR="001B6941" w:rsidRPr="001B6941" w:rsidRDefault="00C31FCA" w:rsidP="00C31FCA">
      <w:pPr>
        <w:pStyle w:val="Heading1"/>
      </w:pPr>
      <w:bookmarkStart w:id="13" w:name="_Toc419368471"/>
      <w:r>
        <w:t xml:space="preserve">4. </w:t>
      </w:r>
      <w:r w:rsidR="003604E0" w:rsidRPr="003604E0">
        <w:t>Operativne funkcije programa</w:t>
      </w:r>
      <w:bookmarkEnd w:id="13"/>
      <w:r w:rsidR="003604E0" w:rsidRPr="003604E0">
        <w:t xml:space="preserve">  </w:t>
      </w:r>
    </w:p>
    <w:p w:rsidR="0084571F" w:rsidRPr="008B6F94" w:rsidRDefault="001B6941" w:rsidP="004D18DA">
      <w:pPr>
        <w:pStyle w:val="Heading2"/>
        <w:spacing w:after="240"/>
      </w:pPr>
      <w:bookmarkStart w:id="14" w:name="_Toc419368472"/>
      <w:r w:rsidRPr="008B6F94">
        <w:t xml:space="preserve">4.1. </w:t>
      </w:r>
      <w:r w:rsidR="003604E0" w:rsidRPr="008B6F94">
        <w:rPr>
          <w:rStyle w:val="Heading2Char"/>
          <w:b/>
          <w:bCs/>
        </w:rPr>
        <w:t>Geografska i tematska usmjerenost</w:t>
      </w:r>
      <w:bookmarkEnd w:id="14"/>
      <w:r w:rsidR="003604E0" w:rsidRPr="008B6F94">
        <w:t xml:space="preserve"> </w:t>
      </w:r>
      <w:r w:rsidR="0084571F" w:rsidRPr="008B6F94">
        <w:t xml:space="preserve"> </w:t>
      </w:r>
    </w:p>
    <w:p w:rsidR="0084571F" w:rsidRPr="004D18DA" w:rsidRDefault="0084571F" w:rsidP="00150A08">
      <w:pPr>
        <w:spacing w:after="120"/>
        <w:jc w:val="both"/>
        <w:rPr>
          <w:rFonts w:asciiTheme="majorHAnsi" w:hAnsiTheme="majorHAnsi"/>
          <w:color w:val="000000"/>
          <w:sz w:val="24"/>
          <w:szCs w:val="24"/>
        </w:rPr>
      </w:pPr>
      <w:r w:rsidRPr="004D18DA">
        <w:rPr>
          <w:rFonts w:asciiTheme="majorHAnsi" w:hAnsiTheme="majorHAnsi"/>
          <w:color w:val="000000"/>
          <w:sz w:val="24"/>
          <w:szCs w:val="24"/>
        </w:rPr>
        <w:t>Aktivnosti identifi</w:t>
      </w:r>
      <w:r w:rsidR="003604E0" w:rsidRPr="004D18DA">
        <w:rPr>
          <w:rFonts w:asciiTheme="majorHAnsi" w:hAnsiTheme="majorHAnsi"/>
          <w:color w:val="000000"/>
          <w:sz w:val="24"/>
          <w:szCs w:val="24"/>
        </w:rPr>
        <w:t xml:space="preserve">kovane </w:t>
      </w:r>
      <w:r w:rsidRPr="004D18DA">
        <w:rPr>
          <w:rFonts w:asciiTheme="majorHAnsi" w:hAnsiTheme="majorHAnsi"/>
          <w:color w:val="000000"/>
          <w:sz w:val="24"/>
          <w:szCs w:val="24"/>
        </w:rPr>
        <w:t xml:space="preserve">ovim SOP-om </w:t>
      </w:r>
      <w:r w:rsidR="003604E0" w:rsidRPr="004D18DA">
        <w:rPr>
          <w:rFonts w:asciiTheme="majorHAnsi" w:hAnsiTheme="majorHAnsi"/>
          <w:color w:val="000000"/>
          <w:sz w:val="24"/>
          <w:szCs w:val="24"/>
        </w:rPr>
        <w:t>sprovodiće se na cijeloj teritoriji</w:t>
      </w:r>
      <w:r w:rsidRPr="004D18DA">
        <w:rPr>
          <w:rFonts w:asciiTheme="majorHAnsi" w:hAnsiTheme="majorHAnsi"/>
          <w:color w:val="000000"/>
          <w:sz w:val="24"/>
          <w:szCs w:val="24"/>
        </w:rPr>
        <w:t xml:space="preserve"> Crne Gore, ali uz uvažavanje specifičnosti pojedinih regiona,</w:t>
      </w:r>
      <w:r w:rsidR="00533805" w:rsidRPr="004D18DA">
        <w:rPr>
          <w:rFonts w:asciiTheme="majorHAnsi" w:hAnsiTheme="majorHAnsi"/>
          <w:color w:val="000000"/>
          <w:sz w:val="24"/>
          <w:szCs w:val="24"/>
        </w:rPr>
        <w:t xml:space="preserve"> kao na primjer podrška većem zapošljavanju u manje razvijenim područjima Crne Gore. </w:t>
      </w:r>
      <w:r w:rsidRPr="004D18DA">
        <w:rPr>
          <w:rFonts w:asciiTheme="majorHAnsi" w:hAnsiTheme="majorHAnsi"/>
          <w:color w:val="000000"/>
          <w:sz w:val="24"/>
          <w:szCs w:val="24"/>
        </w:rPr>
        <w:t xml:space="preserve"> </w:t>
      </w:r>
    </w:p>
    <w:p w:rsidR="00533805" w:rsidRPr="004D18DA" w:rsidRDefault="00533805" w:rsidP="00150A08">
      <w:pPr>
        <w:spacing w:after="120"/>
        <w:jc w:val="both"/>
        <w:rPr>
          <w:rFonts w:asciiTheme="majorHAnsi" w:hAnsiTheme="majorHAnsi"/>
          <w:color w:val="000000"/>
          <w:sz w:val="24"/>
          <w:szCs w:val="24"/>
        </w:rPr>
      </w:pPr>
      <w:r w:rsidRPr="004D18DA">
        <w:rPr>
          <w:rFonts w:asciiTheme="majorHAnsi" w:hAnsiTheme="majorHAnsi"/>
          <w:color w:val="000000"/>
          <w:sz w:val="24"/>
          <w:szCs w:val="24"/>
        </w:rPr>
        <w:t>Međutim, u cjelini gledano</w:t>
      </w:r>
      <w:r w:rsidR="0039699F" w:rsidRPr="004D18DA">
        <w:rPr>
          <w:rFonts w:asciiTheme="majorHAnsi" w:hAnsiTheme="majorHAnsi"/>
          <w:color w:val="000000"/>
          <w:sz w:val="24"/>
          <w:szCs w:val="24"/>
        </w:rPr>
        <w:t>,</w:t>
      </w:r>
      <w:r w:rsidRPr="004D18DA">
        <w:rPr>
          <w:rFonts w:asciiTheme="majorHAnsi" w:hAnsiTheme="majorHAnsi"/>
          <w:color w:val="000000"/>
          <w:sz w:val="24"/>
          <w:szCs w:val="24"/>
        </w:rPr>
        <w:t xml:space="preserve"> u Operativnom programu preovladavaće tematska usmjerenost na pojedine </w:t>
      </w:r>
      <w:r w:rsidR="0039699F" w:rsidRPr="004D18DA">
        <w:rPr>
          <w:rFonts w:asciiTheme="majorHAnsi" w:hAnsiTheme="majorHAnsi"/>
          <w:color w:val="000000"/>
          <w:sz w:val="24"/>
          <w:szCs w:val="24"/>
        </w:rPr>
        <w:t xml:space="preserve">aktivnosti. </w:t>
      </w:r>
    </w:p>
    <w:p w:rsidR="00783CC4" w:rsidRPr="008B6F94" w:rsidRDefault="008B6F94" w:rsidP="004D18DA">
      <w:pPr>
        <w:pStyle w:val="Heading2"/>
        <w:spacing w:after="240"/>
      </w:pPr>
      <w:bookmarkStart w:id="15" w:name="_Toc419368473"/>
      <w:r>
        <w:t>4.2</w:t>
      </w:r>
      <w:r w:rsidR="001B6941" w:rsidRPr="008B6F94">
        <w:t xml:space="preserve">. </w:t>
      </w:r>
      <w:r w:rsidR="003604E0" w:rsidRPr="008B6F94">
        <w:t>Interakcija programa sa drugim IPA II programima u sektoru</w:t>
      </w:r>
      <w:bookmarkEnd w:id="15"/>
    </w:p>
    <w:p w:rsidR="00C1273D" w:rsidRPr="004D18DA" w:rsidRDefault="0025568E" w:rsidP="00150A08">
      <w:pPr>
        <w:tabs>
          <w:tab w:val="left" w:pos="7380"/>
        </w:tabs>
        <w:jc w:val="both"/>
        <w:rPr>
          <w:rFonts w:asciiTheme="majorHAnsi" w:hAnsiTheme="majorHAnsi"/>
          <w:sz w:val="24"/>
          <w:szCs w:val="24"/>
        </w:rPr>
      </w:pPr>
      <w:r w:rsidRPr="004D18DA">
        <w:rPr>
          <w:rFonts w:asciiTheme="majorHAnsi" w:hAnsiTheme="majorHAnsi"/>
          <w:sz w:val="24"/>
          <w:szCs w:val="24"/>
        </w:rPr>
        <w:t xml:space="preserve">Prilikom pripreme </w:t>
      </w:r>
      <w:r w:rsidR="008B6F94" w:rsidRPr="004D18DA">
        <w:rPr>
          <w:rFonts w:asciiTheme="majorHAnsi" w:hAnsiTheme="majorHAnsi"/>
          <w:sz w:val="24"/>
          <w:szCs w:val="24"/>
        </w:rPr>
        <w:t>S</w:t>
      </w:r>
      <w:r w:rsidRPr="004D18DA">
        <w:rPr>
          <w:rFonts w:asciiTheme="majorHAnsi" w:hAnsiTheme="majorHAnsi"/>
          <w:sz w:val="24"/>
          <w:szCs w:val="24"/>
        </w:rPr>
        <w:t>OP</w:t>
      </w:r>
      <w:r w:rsidR="008B6F94" w:rsidRPr="004D18DA">
        <w:rPr>
          <w:rFonts w:asciiTheme="majorHAnsi" w:hAnsiTheme="majorHAnsi"/>
          <w:sz w:val="24"/>
          <w:szCs w:val="24"/>
        </w:rPr>
        <w:t>-a</w:t>
      </w:r>
      <w:r w:rsidRPr="004D18DA">
        <w:rPr>
          <w:rFonts w:asciiTheme="majorHAnsi" w:hAnsiTheme="majorHAnsi"/>
          <w:sz w:val="24"/>
          <w:szCs w:val="24"/>
        </w:rPr>
        <w:t xml:space="preserve"> uzeti su u obzir tekući projekti, rea</w:t>
      </w:r>
      <w:r w:rsidR="008B6F94" w:rsidRPr="004D18DA">
        <w:rPr>
          <w:rFonts w:asciiTheme="majorHAnsi" w:hAnsiTheme="majorHAnsi"/>
          <w:sz w:val="24"/>
          <w:szCs w:val="24"/>
        </w:rPr>
        <w:t>lizacija OP za IV komponentu IPA-e</w:t>
      </w:r>
      <w:r w:rsidRPr="004D18DA">
        <w:rPr>
          <w:rFonts w:asciiTheme="majorHAnsi" w:hAnsiTheme="majorHAnsi"/>
          <w:sz w:val="24"/>
          <w:szCs w:val="24"/>
        </w:rPr>
        <w:t xml:space="preserve">, akcije iz nacionalnog programa IPA 2014 i informacije iz Sektorskih planskih dokumenata. </w:t>
      </w:r>
      <w:r w:rsidR="00E33104" w:rsidRPr="004D18DA">
        <w:rPr>
          <w:rFonts w:asciiTheme="majorHAnsi" w:hAnsiTheme="majorHAnsi"/>
          <w:sz w:val="24"/>
          <w:szCs w:val="24"/>
        </w:rPr>
        <w:t>Ak</w:t>
      </w:r>
      <w:r w:rsidR="00901224" w:rsidRPr="004D18DA">
        <w:rPr>
          <w:rFonts w:asciiTheme="majorHAnsi" w:hAnsiTheme="majorHAnsi"/>
          <w:sz w:val="24"/>
          <w:szCs w:val="24"/>
        </w:rPr>
        <w:t xml:space="preserve">tivnosti </w:t>
      </w:r>
      <w:r w:rsidR="00E33104" w:rsidRPr="004D18DA">
        <w:rPr>
          <w:rFonts w:asciiTheme="majorHAnsi" w:hAnsiTheme="majorHAnsi"/>
          <w:sz w:val="24"/>
          <w:szCs w:val="24"/>
        </w:rPr>
        <w:t xml:space="preserve">koje će </w:t>
      </w:r>
      <w:r w:rsidR="00901224" w:rsidRPr="004D18DA">
        <w:rPr>
          <w:rFonts w:asciiTheme="majorHAnsi" w:hAnsiTheme="majorHAnsi"/>
          <w:sz w:val="24"/>
          <w:szCs w:val="24"/>
        </w:rPr>
        <w:t xml:space="preserve">se realizovati </w:t>
      </w:r>
      <w:r w:rsidR="00E33104" w:rsidRPr="004D18DA">
        <w:rPr>
          <w:rFonts w:asciiTheme="majorHAnsi" w:hAnsiTheme="majorHAnsi"/>
          <w:sz w:val="24"/>
          <w:szCs w:val="24"/>
        </w:rPr>
        <w:t xml:space="preserve">u okviru ovog </w:t>
      </w:r>
      <w:r w:rsidR="001C7473" w:rsidRPr="004D18DA">
        <w:rPr>
          <w:rFonts w:asciiTheme="majorHAnsi" w:hAnsiTheme="majorHAnsi"/>
          <w:sz w:val="24"/>
          <w:szCs w:val="24"/>
        </w:rPr>
        <w:t>S</w:t>
      </w:r>
      <w:r w:rsidR="00E33104" w:rsidRPr="004D18DA">
        <w:rPr>
          <w:rFonts w:asciiTheme="majorHAnsi" w:hAnsiTheme="majorHAnsi"/>
          <w:sz w:val="24"/>
          <w:szCs w:val="24"/>
        </w:rPr>
        <w:t>OP-a će biće u vezi sa rješenjem određenih izazova  u</w:t>
      </w:r>
      <w:r w:rsidR="00901224" w:rsidRPr="004D18DA">
        <w:rPr>
          <w:rFonts w:asciiTheme="majorHAnsi" w:hAnsiTheme="majorHAnsi"/>
          <w:sz w:val="24"/>
          <w:szCs w:val="24"/>
        </w:rPr>
        <w:t xml:space="preserve"> oblasti </w:t>
      </w:r>
      <w:r w:rsidR="00E33104" w:rsidRPr="004D18DA">
        <w:rPr>
          <w:rFonts w:asciiTheme="majorHAnsi" w:hAnsiTheme="majorHAnsi"/>
          <w:sz w:val="24"/>
          <w:szCs w:val="24"/>
        </w:rPr>
        <w:t xml:space="preserve"> temeljn</w:t>
      </w:r>
      <w:r w:rsidR="00901224" w:rsidRPr="004D18DA">
        <w:rPr>
          <w:rFonts w:asciiTheme="majorHAnsi" w:hAnsiTheme="majorHAnsi"/>
          <w:sz w:val="24"/>
          <w:szCs w:val="24"/>
        </w:rPr>
        <w:t>ih</w:t>
      </w:r>
      <w:r w:rsidR="00E33104" w:rsidRPr="004D18DA">
        <w:rPr>
          <w:rFonts w:asciiTheme="majorHAnsi" w:hAnsiTheme="majorHAnsi"/>
          <w:sz w:val="24"/>
          <w:szCs w:val="24"/>
        </w:rPr>
        <w:t xml:space="preserve"> prava</w:t>
      </w:r>
      <w:r w:rsidR="00901224" w:rsidRPr="004D18DA">
        <w:rPr>
          <w:rFonts w:asciiTheme="majorHAnsi" w:hAnsiTheme="majorHAnsi"/>
          <w:sz w:val="24"/>
          <w:szCs w:val="24"/>
        </w:rPr>
        <w:t>, k</w:t>
      </w:r>
      <w:r w:rsidR="00E33104" w:rsidRPr="004D18DA">
        <w:rPr>
          <w:rFonts w:asciiTheme="majorHAnsi" w:hAnsiTheme="majorHAnsi"/>
          <w:sz w:val="24"/>
          <w:szCs w:val="24"/>
        </w:rPr>
        <w:t>onkurentnost i inovacije.</w:t>
      </w:r>
      <w:r w:rsidRPr="004D18DA">
        <w:rPr>
          <w:rFonts w:asciiTheme="majorHAnsi" w:hAnsiTheme="majorHAnsi"/>
          <w:sz w:val="24"/>
          <w:szCs w:val="24"/>
        </w:rPr>
        <w:t xml:space="preserve"> </w:t>
      </w:r>
    </w:p>
    <w:p w:rsidR="001B6941" w:rsidRPr="004D18DA" w:rsidRDefault="0025568E" w:rsidP="00150A08">
      <w:pPr>
        <w:jc w:val="both"/>
        <w:rPr>
          <w:rFonts w:asciiTheme="majorHAnsi" w:hAnsiTheme="majorHAnsi"/>
          <w:sz w:val="24"/>
          <w:szCs w:val="24"/>
        </w:rPr>
      </w:pPr>
      <w:r w:rsidRPr="004D18DA">
        <w:rPr>
          <w:rFonts w:asciiTheme="majorHAnsi" w:hAnsiTheme="majorHAnsi"/>
          <w:sz w:val="24"/>
          <w:szCs w:val="24"/>
        </w:rPr>
        <w:t>Nipak kancelarija, koja je odgovorna za cijelokupan proces programiranja nacionalnih programa u okviru IPA II, redovno organizuje</w:t>
      </w:r>
      <w:r w:rsidR="008F5ECE" w:rsidRPr="004D18DA">
        <w:rPr>
          <w:rFonts w:asciiTheme="majorHAnsi" w:hAnsiTheme="majorHAnsi"/>
          <w:sz w:val="24"/>
          <w:szCs w:val="24"/>
        </w:rPr>
        <w:t> konsultativne</w:t>
      </w:r>
      <w:r w:rsidRPr="004D18DA">
        <w:rPr>
          <w:rFonts w:asciiTheme="majorHAnsi" w:hAnsiTheme="majorHAnsi"/>
          <w:sz w:val="24"/>
          <w:szCs w:val="24"/>
        </w:rPr>
        <w:t xml:space="preserve"> sastanke između visokih programskih službenika (SPO) kako bi se postigao visok stepen usklađenosti i izbjegla preklapanja između sektora prilikom pripreme akcija ili programa koji će se finansirati iz IPA II. </w:t>
      </w:r>
    </w:p>
    <w:p w:rsidR="0025568E" w:rsidRPr="004D18DA" w:rsidRDefault="0025568E" w:rsidP="00150A08">
      <w:pPr>
        <w:jc w:val="both"/>
        <w:rPr>
          <w:rFonts w:asciiTheme="majorHAnsi" w:hAnsiTheme="majorHAnsi"/>
          <w:sz w:val="24"/>
          <w:szCs w:val="24"/>
        </w:rPr>
      </w:pPr>
      <w:r w:rsidRPr="004D18DA">
        <w:rPr>
          <w:rFonts w:asciiTheme="majorHAnsi" w:hAnsiTheme="majorHAnsi"/>
          <w:sz w:val="24"/>
          <w:szCs w:val="24"/>
        </w:rPr>
        <w:t>S posebnom pažnjom će se pratiti sprovođenje akcije Podrška antidiskriminaciji i politikama rodne ravnopravnosti iz programa IPA 2014 kako bi se aktivnosti OP u dijelu koji se tiče zapošljavanja i položaja RE populacije nadovezale na rezultate postignute pomenutom akcijom. Takođe, sprovođenje IPARD Like i finalizacija izrade IPARD programa će biti od važnosti prilikom finalizacije OP</w:t>
      </w:r>
      <w:r w:rsidR="0008309C" w:rsidRPr="004D18DA">
        <w:rPr>
          <w:rFonts w:asciiTheme="majorHAnsi" w:hAnsiTheme="majorHAnsi"/>
          <w:sz w:val="24"/>
          <w:szCs w:val="24"/>
        </w:rPr>
        <w:t>,</w:t>
      </w:r>
      <w:r w:rsidR="003D6198" w:rsidRPr="004D18DA">
        <w:rPr>
          <w:rFonts w:asciiTheme="majorHAnsi" w:hAnsiTheme="majorHAnsi"/>
          <w:sz w:val="24"/>
          <w:szCs w:val="24"/>
        </w:rPr>
        <w:t xml:space="preserve"> zbog mogućnosti koje IPARD nudi u pogledu zapošljavanja u ruralnim područjima</w:t>
      </w:r>
      <w:r w:rsidRPr="004D18DA">
        <w:rPr>
          <w:rFonts w:asciiTheme="majorHAnsi" w:hAnsiTheme="majorHAnsi"/>
          <w:sz w:val="24"/>
          <w:szCs w:val="24"/>
        </w:rPr>
        <w:t>. Prilikom pripreme OP za sektor Konkurentnosti i inovacija (priprema dokumenta će započeti tokom 2015), vodiće se računa o kompatibilnosti s</w:t>
      </w:r>
      <w:r w:rsidR="008D618E" w:rsidRPr="004D18DA">
        <w:rPr>
          <w:rFonts w:asciiTheme="majorHAnsi" w:hAnsiTheme="majorHAnsi"/>
          <w:sz w:val="24"/>
          <w:szCs w:val="24"/>
        </w:rPr>
        <w:t>a</w:t>
      </w:r>
      <w:r w:rsidR="008B6F94" w:rsidRPr="004D18DA">
        <w:rPr>
          <w:rFonts w:asciiTheme="majorHAnsi" w:hAnsiTheme="majorHAnsi"/>
          <w:sz w:val="24"/>
          <w:szCs w:val="24"/>
        </w:rPr>
        <w:t xml:space="preserve"> ovim</w:t>
      </w:r>
      <w:r w:rsidRPr="004D18DA">
        <w:rPr>
          <w:rFonts w:asciiTheme="majorHAnsi" w:hAnsiTheme="majorHAnsi"/>
          <w:sz w:val="24"/>
          <w:szCs w:val="24"/>
        </w:rPr>
        <w:t xml:space="preserve"> </w:t>
      </w:r>
      <w:r w:rsidR="008D618E" w:rsidRPr="004D18DA">
        <w:rPr>
          <w:rFonts w:asciiTheme="majorHAnsi" w:hAnsiTheme="majorHAnsi"/>
          <w:sz w:val="24"/>
          <w:szCs w:val="24"/>
        </w:rPr>
        <w:t>S</w:t>
      </w:r>
      <w:r w:rsidRPr="004D18DA">
        <w:rPr>
          <w:rFonts w:asciiTheme="majorHAnsi" w:hAnsiTheme="majorHAnsi"/>
          <w:sz w:val="24"/>
          <w:szCs w:val="24"/>
        </w:rPr>
        <w:t>OP</w:t>
      </w:r>
      <w:r w:rsidR="008D618E" w:rsidRPr="004D18DA">
        <w:rPr>
          <w:rFonts w:asciiTheme="majorHAnsi" w:hAnsiTheme="majorHAnsi"/>
          <w:sz w:val="24"/>
          <w:szCs w:val="24"/>
        </w:rPr>
        <w:t>-om</w:t>
      </w:r>
      <w:r w:rsidRPr="004D18DA">
        <w:rPr>
          <w:rFonts w:asciiTheme="majorHAnsi" w:hAnsiTheme="majorHAnsi"/>
          <w:sz w:val="24"/>
          <w:szCs w:val="24"/>
        </w:rPr>
        <w:t>.</w:t>
      </w:r>
    </w:p>
    <w:p w:rsidR="0084571F" w:rsidRPr="003604E0" w:rsidRDefault="001B6941" w:rsidP="004D18DA">
      <w:pPr>
        <w:pStyle w:val="Heading2"/>
        <w:spacing w:after="240"/>
        <w:rPr>
          <w:rFonts w:ascii="Times New Roman" w:hAnsi="Times New Roman"/>
          <w:sz w:val="24"/>
          <w:szCs w:val="24"/>
        </w:rPr>
      </w:pPr>
      <w:bookmarkStart w:id="16" w:name="_Toc419368474"/>
      <w:r w:rsidRPr="00475EBF">
        <w:t xml:space="preserve">4.3. </w:t>
      </w:r>
      <w:r w:rsidR="003604E0" w:rsidRPr="00475EBF">
        <w:t xml:space="preserve">  Komplementarnost IPA podrške u sektoru sa drugim donatorima</w:t>
      </w:r>
      <w:bookmarkEnd w:id="16"/>
      <w:r w:rsidR="003604E0" w:rsidRPr="003604E0">
        <w:rPr>
          <w:rFonts w:ascii="Times New Roman" w:hAnsi="Times New Roman"/>
          <w:sz w:val="24"/>
          <w:szCs w:val="24"/>
        </w:rPr>
        <w:t xml:space="preserve">    </w:t>
      </w:r>
    </w:p>
    <w:p w:rsidR="0084571F" w:rsidRPr="004D18DA" w:rsidRDefault="0084571F" w:rsidP="00150A08">
      <w:pPr>
        <w:jc w:val="both"/>
        <w:rPr>
          <w:rFonts w:asciiTheme="majorHAnsi" w:hAnsiTheme="majorHAnsi"/>
          <w:sz w:val="24"/>
          <w:szCs w:val="24"/>
        </w:rPr>
      </w:pPr>
      <w:r w:rsidRPr="004D18DA">
        <w:rPr>
          <w:rFonts w:asciiTheme="majorHAnsi" w:hAnsiTheme="majorHAnsi"/>
          <w:sz w:val="24"/>
          <w:szCs w:val="24"/>
        </w:rPr>
        <w:t>Vezan</w:t>
      </w:r>
      <w:r w:rsidR="003604E0" w:rsidRPr="004D18DA">
        <w:rPr>
          <w:rFonts w:asciiTheme="majorHAnsi" w:hAnsiTheme="majorHAnsi"/>
          <w:sz w:val="24"/>
          <w:szCs w:val="24"/>
        </w:rPr>
        <w:t>o za pitanje komplementarnosti i</w:t>
      </w:r>
      <w:r w:rsidRPr="004D18DA">
        <w:rPr>
          <w:rFonts w:asciiTheme="majorHAnsi" w:hAnsiTheme="majorHAnsi"/>
          <w:sz w:val="24"/>
          <w:szCs w:val="24"/>
        </w:rPr>
        <w:t xml:space="preserve"> k</w:t>
      </w:r>
      <w:r w:rsidR="003604E0" w:rsidRPr="004D18DA">
        <w:rPr>
          <w:rFonts w:asciiTheme="majorHAnsi" w:hAnsiTheme="majorHAnsi"/>
          <w:sz w:val="24"/>
          <w:szCs w:val="24"/>
        </w:rPr>
        <w:t>oordinacije s drugim sektorima i do</w:t>
      </w:r>
      <w:r w:rsidR="001A5B33" w:rsidRPr="004D18DA">
        <w:rPr>
          <w:rFonts w:asciiTheme="majorHAnsi" w:hAnsiTheme="majorHAnsi"/>
          <w:sz w:val="24"/>
          <w:szCs w:val="24"/>
        </w:rPr>
        <w:t>n</w:t>
      </w:r>
      <w:r w:rsidR="003604E0" w:rsidRPr="004D18DA">
        <w:rPr>
          <w:rFonts w:asciiTheme="majorHAnsi" w:hAnsiTheme="majorHAnsi"/>
          <w:sz w:val="24"/>
          <w:szCs w:val="24"/>
        </w:rPr>
        <w:t>atorima</w:t>
      </w:r>
      <w:r w:rsidRPr="004D18DA">
        <w:rPr>
          <w:rFonts w:asciiTheme="majorHAnsi" w:hAnsiTheme="majorHAnsi"/>
          <w:sz w:val="24"/>
          <w:szCs w:val="24"/>
        </w:rPr>
        <w:t xml:space="preserve"> važno je istaknuti da Program Ujedinjenih nacija za razvoj (U</w:t>
      </w:r>
      <w:r w:rsidR="003604E0" w:rsidRPr="004D18DA">
        <w:rPr>
          <w:rFonts w:asciiTheme="majorHAnsi" w:hAnsiTheme="majorHAnsi"/>
          <w:sz w:val="24"/>
          <w:szCs w:val="24"/>
        </w:rPr>
        <w:t>NDP) osigurava administrativnu i</w:t>
      </w:r>
      <w:r w:rsidRPr="004D18DA">
        <w:rPr>
          <w:rFonts w:asciiTheme="majorHAnsi" w:hAnsiTheme="majorHAnsi"/>
          <w:sz w:val="24"/>
          <w:szCs w:val="24"/>
        </w:rPr>
        <w:t xml:space="preserve"> savjetodavnu  pomoć</w:t>
      </w:r>
      <w:r w:rsidR="003604E0" w:rsidRPr="004D18DA">
        <w:rPr>
          <w:rFonts w:asciiTheme="majorHAnsi" w:hAnsiTheme="majorHAnsi"/>
          <w:sz w:val="24"/>
          <w:szCs w:val="24"/>
        </w:rPr>
        <w:t xml:space="preserve"> u oblastima ovog SOP-a. Takođe,</w:t>
      </w:r>
      <w:r w:rsidRPr="004D18DA">
        <w:rPr>
          <w:rFonts w:asciiTheme="majorHAnsi" w:hAnsiTheme="majorHAnsi"/>
          <w:sz w:val="24"/>
          <w:szCs w:val="24"/>
        </w:rPr>
        <w:t xml:space="preserve"> određena po</w:t>
      </w:r>
      <w:r w:rsidR="003604E0" w:rsidRPr="004D18DA">
        <w:rPr>
          <w:rFonts w:asciiTheme="majorHAnsi" w:hAnsiTheme="majorHAnsi"/>
          <w:sz w:val="24"/>
          <w:szCs w:val="24"/>
        </w:rPr>
        <w:t>drška pruža se i kroz ostale specijalizovane</w:t>
      </w:r>
      <w:r w:rsidRPr="004D18DA">
        <w:rPr>
          <w:rFonts w:asciiTheme="majorHAnsi" w:hAnsiTheme="majorHAnsi"/>
          <w:sz w:val="24"/>
          <w:szCs w:val="24"/>
        </w:rPr>
        <w:t xml:space="preserve"> UN-ove kancelarije poput </w:t>
      </w:r>
      <w:r w:rsidR="003604E0" w:rsidRPr="004D18DA">
        <w:rPr>
          <w:rFonts w:asciiTheme="majorHAnsi" w:hAnsiTheme="majorHAnsi"/>
          <w:sz w:val="24"/>
          <w:szCs w:val="24"/>
        </w:rPr>
        <w:t>Fond</w:t>
      </w:r>
      <w:r w:rsidR="001A5B33" w:rsidRPr="004D18DA">
        <w:rPr>
          <w:rFonts w:asciiTheme="majorHAnsi" w:hAnsiTheme="majorHAnsi"/>
          <w:sz w:val="24"/>
          <w:szCs w:val="24"/>
        </w:rPr>
        <w:t>a</w:t>
      </w:r>
      <w:r w:rsidR="003604E0" w:rsidRPr="004D18DA">
        <w:rPr>
          <w:rFonts w:asciiTheme="majorHAnsi" w:hAnsiTheme="majorHAnsi"/>
          <w:sz w:val="24"/>
          <w:szCs w:val="24"/>
        </w:rPr>
        <w:t xml:space="preserve"> Ujedinjenih Nacija za djecu</w:t>
      </w:r>
      <w:r w:rsidRPr="004D18DA">
        <w:rPr>
          <w:rFonts w:asciiTheme="majorHAnsi" w:hAnsiTheme="majorHAnsi"/>
          <w:sz w:val="24"/>
          <w:szCs w:val="24"/>
        </w:rPr>
        <w:t xml:space="preserve"> (UNICEF-a) u oblasti dječje zaštite, dok</w:t>
      </w:r>
      <w:r w:rsidR="003604E0" w:rsidRPr="004D18DA">
        <w:rPr>
          <w:rFonts w:asciiTheme="majorHAnsi" w:hAnsiTheme="majorHAnsi"/>
          <w:sz w:val="24"/>
          <w:szCs w:val="24"/>
        </w:rPr>
        <w:t xml:space="preserve"> </w:t>
      </w:r>
      <w:r w:rsidR="0008309C" w:rsidRPr="004D18DA">
        <w:rPr>
          <w:rFonts w:asciiTheme="majorHAnsi" w:hAnsiTheme="majorHAnsi"/>
          <w:sz w:val="24"/>
          <w:szCs w:val="24"/>
        </w:rPr>
        <w:t xml:space="preserve">Razvojna banka </w:t>
      </w:r>
      <w:r w:rsidR="003604E0" w:rsidRPr="004D18DA">
        <w:rPr>
          <w:rFonts w:asciiTheme="majorHAnsi" w:hAnsiTheme="majorHAnsi"/>
          <w:sz w:val="24"/>
          <w:szCs w:val="24"/>
        </w:rPr>
        <w:t>Savjet</w:t>
      </w:r>
      <w:r w:rsidR="0008309C" w:rsidRPr="004D18DA">
        <w:rPr>
          <w:rFonts w:asciiTheme="majorHAnsi" w:hAnsiTheme="majorHAnsi"/>
          <w:sz w:val="24"/>
          <w:szCs w:val="24"/>
        </w:rPr>
        <w:t>a</w:t>
      </w:r>
      <w:r w:rsidR="003604E0" w:rsidRPr="004D18DA">
        <w:rPr>
          <w:rFonts w:asciiTheme="majorHAnsi" w:hAnsiTheme="majorHAnsi"/>
          <w:sz w:val="24"/>
          <w:szCs w:val="24"/>
        </w:rPr>
        <w:t xml:space="preserve"> Evrop</w:t>
      </w:r>
      <w:r w:rsidR="0008309C" w:rsidRPr="004D18DA">
        <w:rPr>
          <w:rFonts w:asciiTheme="majorHAnsi" w:hAnsiTheme="majorHAnsi"/>
          <w:sz w:val="24"/>
          <w:szCs w:val="24"/>
        </w:rPr>
        <w:t>e</w:t>
      </w:r>
      <w:r w:rsidR="003604E0" w:rsidRPr="004D18DA">
        <w:rPr>
          <w:rFonts w:asciiTheme="majorHAnsi" w:hAnsiTheme="majorHAnsi"/>
          <w:sz w:val="24"/>
          <w:szCs w:val="24"/>
        </w:rPr>
        <w:t xml:space="preserve"> </w:t>
      </w:r>
      <w:r w:rsidRPr="004D18DA">
        <w:rPr>
          <w:rFonts w:asciiTheme="majorHAnsi" w:hAnsiTheme="majorHAnsi"/>
          <w:sz w:val="24"/>
          <w:szCs w:val="24"/>
        </w:rPr>
        <w:t xml:space="preserve">(CEB) osigurava podršku u oblastima obrazovanja, zdravlja, socijalnog stanovanja, </w:t>
      </w:r>
      <w:r w:rsidR="003604E0" w:rsidRPr="004D18DA">
        <w:rPr>
          <w:rFonts w:asciiTheme="majorHAnsi" w:hAnsiTheme="majorHAnsi"/>
          <w:sz w:val="24"/>
          <w:szCs w:val="24"/>
        </w:rPr>
        <w:t xml:space="preserve">Njemačka razvojna banka </w:t>
      </w:r>
      <w:r w:rsidRPr="004D18DA">
        <w:rPr>
          <w:rFonts w:asciiTheme="majorHAnsi" w:hAnsiTheme="majorHAnsi"/>
          <w:sz w:val="24"/>
          <w:szCs w:val="24"/>
        </w:rPr>
        <w:t>(KfW) u oblasti visokog obrazovanja</w:t>
      </w:r>
      <w:r w:rsidR="00C616D8" w:rsidRPr="004D18DA">
        <w:rPr>
          <w:rFonts w:asciiTheme="majorHAnsi" w:hAnsiTheme="majorHAnsi"/>
          <w:sz w:val="24"/>
          <w:szCs w:val="24"/>
        </w:rPr>
        <w:t xml:space="preserve">, a Svjetska banka </w:t>
      </w:r>
      <w:r w:rsidR="004C1459" w:rsidRPr="004D18DA">
        <w:rPr>
          <w:rFonts w:asciiTheme="majorHAnsi" w:hAnsiTheme="majorHAnsi"/>
          <w:sz w:val="24"/>
          <w:szCs w:val="24"/>
        </w:rPr>
        <w:t>kroz kredit-projekat HERIC</w:t>
      </w:r>
      <w:r w:rsidR="00C616D8" w:rsidRPr="004D18DA">
        <w:rPr>
          <w:rFonts w:asciiTheme="majorHAnsi" w:hAnsiTheme="majorHAnsi"/>
          <w:sz w:val="24"/>
          <w:szCs w:val="24"/>
        </w:rPr>
        <w:t xml:space="preserve"> u oblasti visokog obrazovanja</w:t>
      </w:r>
      <w:r w:rsidR="008669E2" w:rsidRPr="004D18DA">
        <w:rPr>
          <w:rFonts w:asciiTheme="majorHAnsi" w:hAnsiTheme="majorHAnsi"/>
          <w:sz w:val="24"/>
          <w:szCs w:val="24"/>
        </w:rPr>
        <w:t xml:space="preserve">, </w:t>
      </w:r>
      <w:r w:rsidR="00C616D8" w:rsidRPr="004D18DA">
        <w:rPr>
          <w:rFonts w:asciiTheme="majorHAnsi" w:hAnsiTheme="majorHAnsi"/>
          <w:sz w:val="24"/>
          <w:szCs w:val="24"/>
        </w:rPr>
        <w:t>razvoja stručnih kvalifikacija</w:t>
      </w:r>
      <w:r w:rsidR="008669E2" w:rsidRPr="004D18DA">
        <w:rPr>
          <w:rFonts w:asciiTheme="majorHAnsi" w:hAnsiTheme="majorHAnsi"/>
          <w:sz w:val="24"/>
          <w:szCs w:val="24"/>
        </w:rPr>
        <w:t xml:space="preserve"> i istraživanja (uspostavljanje Centra izvrsnosti)</w:t>
      </w:r>
      <w:r w:rsidR="004C1459" w:rsidRPr="004D18DA">
        <w:rPr>
          <w:rFonts w:asciiTheme="majorHAnsi" w:hAnsiTheme="majorHAnsi"/>
          <w:sz w:val="24"/>
          <w:szCs w:val="24"/>
        </w:rPr>
        <w:t xml:space="preserve"> i dodjeljeni grantovi za podizanje kapaciteta istraživanja za naredne Centre izvrsnosti</w:t>
      </w:r>
      <w:r w:rsidRPr="004D18DA">
        <w:rPr>
          <w:rFonts w:asciiTheme="majorHAnsi" w:hAnsiTheme="majorHAnsi"/>
          <w:sz w:val="24"/>
          <w:szCs w:val="24"/>
        </w:rPr>
        <w:t>.</w:t>
      </w:r>
    </w:p>
    <w:p w:rsidR="0084571F" w:rsidRPr="00C31FCA" w:rsidRDefault="001B6941" w:rsidP="004D18DA">
      <w:pPr>
        <w:pStyle w:val="Heading2"/>
        <w:spacing w:after="240"/>
      </w:pPr>
      <w:bookmarkStart w:id="17" w:name="_Toc419368475"/>
      <w:r w:rsidRPr="00C31FCA">
        <w:t xml:space="preserve">4.4. </w:t>
      </w:r>
      <w:r w:rsidR="003604E0" w:rsidRPr="00C31FCA">
        <w:t xml:space="preserve">   Jednake mogućnosti i rodna ravnopravnost</w:t>
      </w:r>
      <w:bookmarkEnd w:id="17"/>
      <w:r w:rsidR="003604E0" w:rsidRPr="00C31FCA">
        <w:t xml:space="preserve"> </w:t>
      </w:r>
    </w:p>
    <w:p w:rsidR="00DC219F" w:rsidRPr="004D18DA" w:rsidRDefault="003604E0" w:rsidP="00150A08">
      <w:pPr>
        <w:spacing w:after="120"/>
        <w:jc w:val="both"/>
        <w:rPr>
          <w:rFonts w:asciiTheme="majorHAnsi" w:hAnsiTheme="majorHAnsi"/>
          <w:b/>
          <w:sz w:val="24"/>
          <w:szCs w:val="24"/>
        </w:rPr>
      </w:pPr>
      <w:r w:rsidRPr="004D18DA">
        <w:rPr>
          <w:rFonts w:asciiTheme="majorHAnsi" w:hAnsiTheme="majorHAnsi"/>
          <w:sz w:val="24"/>
          <w:szCs w:val="24"/>
        </w:rPr>
        <w:t>Ravnopravnost polova i</w:t>
      </w:r>
      <w:r w:rsidR="0084571F" w:rsidRPr="004D18DA">
        <w:rPr>
          <w:rFonts w:asciiTheme="majorHAnsi" w:hAnsiTheme="majorHAnsi"/>
          <w:sz w:val="24"/>
          <w:szCs w:val="24"/>
        </w:rPr>
        <w:t xml:space="preserve"> osiguran</w:t>
      </w:r>
      <w:r w:rsidRPr="004D18DA">
        <w:rPr>
          <w:rFonts w:asciiTheme="majorHAnsi" w:hAnsiTheme="majorHAnsi"/>
          <w:sz w:val="24"/>
          <w:szCs w:val="24"/>
        </w:rPr>
        <w:t>j</w:t>
      </w:r>
      <w:r w:rsidR="0084571F" w:rsidRPr="004D18DA">
        <w:rPr>
          <w:rFonts w:asciiTheme="majorHAnsi" w:hAnsiTheme="majorHAnsi"/>
          <w:sz w:val="24"/>
          <w:szCs w:val="24"/>
        </w:rPr>
        <w:t>e jednakih mogućnosti predstavljaju horizontalno načelo na</w:t>
      </w:r>
      <w:r w:rsidRPr="004D18DA">
        <w:rPr>
          <w:rFonts w:asciiTheme="majorHAnsi" w:hAnsiTheme="majorHAnsi"/>
          <w:sz w:val="24"/>
          <w:szCs w:val="24"/>
        </w:rPr>
        <w:t xml:space="preserve"> programskom nivou</w:t>
      </w:r>
      <w:r w:rsidR="0084571F" w:rsidRPr="004D18DA">
        <w:rPr>
          <w:rFonts w:asciiTheme="majorHAnsi" w:hAnsiTheme="majorHAnsi"/>
          <w:sz w:val="24"/>
          <w:szCs w:val="24"/>
        </w:rPr>
        <w:t xml:space="preserve"> SOP-a, al</w:t>
      </w:r>
      <w:r w:rsidRPr="004D18DA">
        <w:rPr>
          <w:rFonts w:asciiTheme="majorHAnsi" w:hAnsiTheme="majorHAnsi"/>
          <w:sz w:val="24"/>
          <w:szCs w:val="24"/>
        </w:rPr>
        <w:t>i o istome će se voditi računa i prili</w:t>
      </w:r>
      <w:r w:rsidR="0084571F" w:rsidRPr="004D18DA">
        <w:rPr>
          <w:rFonts w:asciiTheme="majorHAnsi" w:hAnsiTheme="majorHAnsi"/>
          <w:sz w:val="24"/>
          <w:szCs w:val="24"/>
        </w:rPr>
        <w:t xml:space="preserve">kom planiranja </w:t>
      </w:r>
      <w:r w:rsidR="004E6BCD" w:rsidRPr="004D18DA">
        <w:rPr>
          <w:rFonts w:asciiTheme="majorHAnsi" w:hAnsiTheme="majorHAnsi"/>
          <w:sz w:val="24"/>
          <w:szCs w:val="24"/>
        </w:rPr>
        <w:t>pojedinih aktivnosti, te tokom sprovođenja</w:t>
      </w:r>
      <w:r w:rsidR="0084571F" w:rsidRPr="004D18DA">
        <w:rPr>
          <w:rFonts w:asciiTheme="majorHAnsi" w:hAnsiTheme="majorHAnsi"/>
          <w:sz w:val="24"/>
          <w:szCs w:val="24"/>
        </w:rPr>
        <w:t xml:space="preserve"> </w:t>
      </w:r>
      <w:r w:rsidR="004E6BCD" w:rsidRPr="004D18DA">
        <w:rPr>
          <w:rFonts w:asciiTheme="majorHAnsi" w:hAnsiTheme="majorHAnsi"/>
          <w:sz w:val="24"/>
          <w:szCs w:val="24"/>
        </w:rPr>
        <w:t xml:space="preserve"> tenderskih postupaka i</w:t>
      </w:r>
      <w:r w:rsidR="0084571F" w:rsidRPr="004D18DA">
        <w:rPr>
          <w:rFonts w:asciiTheme="majorHAnsi" w:hAnsiTheme="majorHAnsi"/>
          <w:sz w:val="24"/>
          <w:szCs w:val="24"/>
        </w:rPr>
        <w:t xml:space="preserve"> </w:t>
      </w:r>
      <w:r w:rsidR="004E6BCD" w:rsidRPr="004D18DA">
        <w:rPr>
          <w:rFonts w:asciiTheme="majorHAnsi" w:hAnsiTheme="majorHAnsi"/>
          <w:sz w:val="24"/>
          <w:szCs w:val="24"/>
        </w:rPr>
        <w:t xml:space="preserve">sprovođenja  </w:t>
      </w:r>
      <w:r w:rsidR="0084571F" w:rsidRPr="004D18DA">
        <w:rPr>
          <w:rFonts w:asciiTheme="majorHAnsi" w:hAnsiTheme="majorHAnsi"/>
          <w:sz w:val="24"/>
          <w:szCs w:val="24"/>
        </w:rPr>
        <w:t>in</w:t>
      </w:r>
      <w:r w:rsidR="004E6BCD" w:rsidRPr="004D18DA">
        <w:rPr>
          <w:rFonts w:asciiTheme="majorHAnsi" w:hAnsiTheme="majorHAnsi"/>
          <w:sz w:val="24"/>
          <w:szCs w:val="24"/>
        </w:rPr>
        <w:t>dividualnih projekata. Svi poda</w:t>
      </w:r>
      <w:r w:rsidR="0084571F" w:rsidRPr="004D18DA">
        <w:rPr>
          <w:rFonts w:asciiTheme="majorHAnsi" w:hAnsiTheme="majorHAnsi"/>
          <w:sz w:val="24"/>
          <w:szCs w:val="24"/>
        </w:rPr>
        <w:t>ci nužni za praćen</w:t>
      </w:r>
      <w:r w:rsidR="004E6BCD" w:rsidRPr="004D18DA">
        <w:rPr>
          <w:rFonts w:asciiTheme="majorHAnsi" w:hAnsiTheme="majorHAnsi"/>
          <w:sz w:val="24"/>
          <w:szCs w:val="24"/>
        </w:rPr>
        <w:t xml:space="preserve">je SOP-a biti će razvrstani po </w:t>
      </w:r>
      <w:r w:rsidR="0084571F" w:rsidRPr="004D18DA">
        <w:rPr>
          <w:rFonts w:asciiTheme="majorHAnsi" w:hAnsiTheme="majorHAnsi"/>
          <w:sz w:val="24"/>
          <w:szCs w:val="24"/>
        </w:rPr>
        <w:t>polu.</w:t>
      </w:r>
    </w:p>
    <w:p w:rsidR="001B6941" w:rsidRDefault="001B6941" w:rsidP="004D18DA">
      <w:pPr>
        <w:pStyle w:val="Heading2"/>
        <w:spacing w:before="0" w:after="240"/>
      </w:pPr>
      <w:bookmarkStart w:id="18" w:name="_Toc419368476"/>
      <w:r>
        <w:t xml:space="preserve">4.5. </w:t>
      </w:r>
      <w:r w:rsidR="004E6BCD" w:rsidRPr="004E6BCD">
        <w:t>Klimatske akcije i održivi razvoj (ukoliko je relevantno)</w:t>
      </w:r>
      <w:bookmarkEnd w:id="18"/>
      <w:r w:rsidR="001768EC">
        <w:t xml:space="preserve"> </w:t>
      </w:r>
    </w:p>
    <w:p w:rsidR="006C285A" w:rsidRPr="004D18DA" w:rsidRDefault="00287E1B" w:rsidP="00150A08">
      <w:pPr>
        <w:spacing w:after="120"/>
        <w:jc w:val="both"/>
        <w:rPr>
          <w:rFonts w:asciiTheme="majorHAnsi" w:hAnsiTheme="majorHAnsi"/>
          <w:sz w:val="24"/>
          <w:szCs w:val="24"/>
        </w:rPr>
      </w:pPr>
      <w:r w:rsidRPr="004D18DA">
        <w:rPr>
          <w:rFonts w:asciiTheme="majorHAnsi" w:hAnsiTheme="majorHAnsi"/>
          <w:sz w:val="24"/>
          <w:szCs w:val="24"/>
        </w:rPr>
        <w:t xml:space="preserve">U kontekstu ovog tematskog bloka, kroz SOP u okviru prve akcije kao posebna aktivnost realizovaće se obuka za tzv. zelene poslove, čime </w:t>
      </w:r>
      <w:r w:rsidR="00F447A5" w:rsidRPr="004D18DA">
        <w:rPr>
          <w:rFonts w:asciiTheme="majorHAnsi" w:hAnsiTheme="majorHAnsi"/>
          <w:sz w:val="24"/>
          <w:szCs w:val="24"/>
        </w:rPr>
        <w:t xml:space="preserve"> </w:t>
      </w:r>
      <w:r w:rsidRPr="004D18DA">
        <w:rPr>
          <w:rFonts w:asciiTheme="majorHAnsi" w:hAnsiTheme="majorHAnsi"/>
          <w:sz w:val="24"/>
          <w:szCs w:val="24"/>
        </w:rPr>
        <w:t xml:space="preserve">će se </w:t>
      </w:r>
      <w:r w:rsidR="00F447A5" w:rsidRPr="004D18DA">
        <w:rPr>
          <w:rFonts w:asciiTheme="majorHAnsi" w:hAnsiTheme="majorHAnsi"/>
          <w:sz w:val="24"/>
          <w:szCs w:val="24"/>
        </w:rPr>
        <w:t xml:space="preserve">kroz razvoj ljudskih resursa dati doprinos lakšem zapošljavanju na radnim mjestima iz oblasti zaštite životne sredine i održivog razvoja. </w:t>
      </w:r>
    </w:p>
    <w:p w:rsidR="001A2E8E" w:rsidRPr="00287E1B" w:rsidRDefault="001B6941" w:rsidP="004D18DA">
      <w:pPr>
        <w:pStyle w:val="Heading2"/>
        <w:spacing w:after="240"/>
      </w:pPr>
      <w:bookmarkStart w:id="19" w:name="_Toc419368477"/>
      <w:r>
        <w:t xml:space="preserve">4.6. </w:t>
      </w:r>
      <w:r w:rsidR="001A2E8E" w:rsidRPr="00287E1B">
        <w:t>Strategija programa – Akcije i aktivnosti</w:t>
      </w:r>
      <w:bookmarkEnd w:id="19"/>
    </w:p>
    <w:p w:rsidR="001A2E8E" w:rsidRPr="004D18DA" w:rsidRDefault="001A2E8E" w:rsidP="00150A08">
      <w:pPr>
        <w:pStyle w:val="ListBullet2"/>
        <w:numPr>
          <w:ilvl w:val="0"/>
          <w:numId w:val="0"/>
        </w:numPr>
        <w:spacing w:after="120" w:line="276" w:lineRule="auto"/>
        <w:rPr>
          <w:rFonts w:asciiTheme="majorHAnsi" w:hAnsiTheme="majorHAnsi"/>
          <w:szCs w:val="24"/>
          <w:lang w:val="hr-HR"/>
        </w:rPr>
      </w:pPr>
      <w:r w:rsidRPr="004D18DA">
        <w:rPr>
          <w:rFonts w:asciiTheme="majorHAnsi" w:hAnsiTheme="majorHAnsi"/>
          <w:szCs w:val="24"/>
          <w:lang w:val="hr-HR"/>
        </w:rPr>
        <w:t>Kako je definisano</w:t>
      </w:r>
      <w:r w:rsidRPr="004D18DA">
        <w:rPr>
          <w:rFonts w:asciiTheme="majorHAnsi" w:hAnsiTheme="majorHAnsi"/>
          <w:b/>
          <w:szCs w:val="24"/>
          <w:lang w:val="hr-HR"/>
        </w:rPr>
        <w:t xml:space="preserve"> </w:t>
      </w:r>
      <w:r w:rsidRPr="004D18DA">
        <w:rPr>
          <w:rFonts w:asciiTheme="majorHAnsi" w:hAnsiTheme="majorHAnsi"/>
          <w:szCs w:val="24"/>
          <w:lang w:val="hr-HR"/>
        </w:rPr>
        <w:t>u svim nacionalnim, ali i zajedničkim dokumentima Crne Gore i Evropske unije tri su područja djelovanja koja je nužno unaprijediti kako bi se osigurala obučena i adekvatna radna snaga koja će značajno doprinijeti razvoju kompetitivnog crnogorskog dru</w:t>
      </w:r>
      <w:r w:rsidRPr="004D18DA">
        <w:rPr>
          <w:rFonts w:asciiTheme="majorHAnsi" w:hAnsiTheme="majorHAnsi"/>
          <w:szCs w:val="24"/>
        </w:rPr>
        <w:t xml:space="preserve">štva </w:t>
      </w:r>
      <w:r w:rsidRPr="004D18DA">
        <w:rPr>
          <w:rFonts w:asciiTheme="majorHAnsi" w:hAnsiTheme="majorHAnsi"/>
          <w:szCs w:val="24"/>
          <w:lang w:val="hr-HR"/>
        </w:rPr>
        <w:t xml:space="preserve">i odgovoriti promjenama na tržištu rada. U skladu s time tri akcije će se provoditi kroz ovaj Sektorski operativni program: </w:t>
      </w:r>
    </w:p>
    <w:p w:rsidR="001A2E8E" w:rsidRPr="004D18DA" w:rsidRDefault="001A2E8E" w:rsidP="00150A08">
      <w:pPr>
        <w:pStyle w:val="ListBullet2"/>
        <w:numPr>
          <w:ilvl w:val="0"/>
          <w:numId w:val="17"/>
        </w:numPr>
        <w:spacing w:after="120" w:line="276" w:lineRule="auto"/>
        <w:rPr>
          <w:rFonts w:asciiTheme="majorHAnsi" w:hAnsiTheme="majorHAnsi"/>
          <w:szCs w:val="24"/>
          <w:lang w:val="hr-HR"/>
        </w:rPr>
      </w:pPr>
      <w:r w:rsidRPr="004D18DA">
        <w:rPr>
          <w:rFonts w:asciiTheme="majorHAnsi" w:hAnsiTheme="majorHAnsi"/>
          <w:szCs w:val="24"/>
          <w:lang w:val="hr-HR"/>
        </w:rPr>
        <w:t>Unapri</w:t>
      </w:r>
      <w:r w:rsidR="000C65F9" w:rsidRPr="004D18DA">
        <w:rPr>
          <w:rFonts w:asciiTheme="majorHAnsi" w:hAnsiTheme="majorHAnsi"/>
          <w:szCs w:val="24"/>
          <w:lang w:val="hr-HR"/>
        </w:rPr>
        <w:t>j</w:t>
      </w:r>
      <w:r w:rsidRPr="004D18DA">
        <w:rPr>
          <w:rFonts w:asciiTheme="majorHAnsi" w:hAnsiTheme="majorHAnsi"/>
          <w:szCs w:val="24"/>
          <w:lang w:val="hr-HR"/>
        </w:rPr>
        <w:t xml:space="preserve">eđenje tržišta rada i </w:t>
      </w:r>
      <w:r w:rsidR="00C572FF" w:rsidRPr="004D18DA">
        <w:rPr>
          <w:rFonts w:asciiTheme="majorHAnsi" w:hAnsiTheme="majorHAnsi"/>
          <w:szCs w:val="24"/>
          <w:lang w:val="hr-HR"/>
        </w:rPr>
        <w:t xml:space="preserve">povećanje </w:t>
      </w:r>
      <w:r w:rsidRPr="004D18DA">
        <w:rPr>
          <w:rFonts w:asciiTheme="majorHAnsi" w:hAnsiTheme="majorHAnsi"/>
          <w:szCs w:val="24"/>
          <w:lang w:val="hr-HR"/>
        </w:rPr>
        <w:t xml:space="preserve">zapošljivosti; </w:t>
      </w:r>
    </w:p>
    <w:p w:rsidR="001A2E8E" w:rsidRPr="004D18DA" w:rsidRDefault="001A2E8E" w:rsidP="00150A08">
      <w:pPr>
        <w:pStyle w:val="ListBullet2"/>
        <w:numPr>
          <w:ilvl w:val="0"/>
          <w:numId w:val="17"/>
        </w:numPr>
        <w:spacing w:after="120" w:line="276" w:lineRule="auto"/>
        <w:rPr>
          <w:rFonts w:asciiTheme="majorHAnsi" w:hAnsiTheme="majorHAnsi"/>
          <w:szCs w:val="24"/>
          <w:lang w:val="hr-HR"/>
        </w:rPr>
      </w:pPr>
      <w:r w:rsidRPr="004D18DA">
        <w:rPr>
          <w:rFonts w:asciiTheme="majorHAnsi" w:hAnsiTheme="majorHAnsi"/>
          <w:szCs w:val="24"/>
          <w:lang w:val="hr-HR"/>
        </w:rPr>
        <w:t xml:space="preserve">Unaprijeđenje sistema obrazovanja; </w:t>
      </w:r>
    </w:p>
    <w:p w:rsidR="001A2E8E" w:rsidRPr="004D18DA" w:rsidRDefault="00C572FF" w:rsidP="00150A08">
      <w:pPr>
        <w:pStyle w:val="ListBullet2"/>
        <w:numPr>
          <w:ilvl w:val="0"/>
          <w:numId w:val="17"/>
        </w:numPr>
        <w:spacing w:after="120" w:line="276" w:lineRule="auto"/>
        <w:rPr>
          <w:rFonts w:asciiTheme="majorHAnsi" w:hAnsiTheme="majorHAnsi"/>
          <w:szCs w:val="24"/>
          <w:lang w:val="hr-HR"/>
        </w:rPr>
      </w:pPr>
      <w:r w:rsidRPr="004D18DA">
        <w:rPr>
          <w:rFonts w:asciiTheme="majorHAnsi" w:hAnsiTheme="majorHAnsi"/>
          <w:szCs w:val="24"/>
          <w:lang w:val="hr-HR"/>
        </w:rPr>
        <w:t xml:space="preserve">Unaprijeđenje </w:t>
      </w:r>
      <w:r w:rsidR="001A2E8E" w:rsidRPr="004D18DA">
        <w:rPr>
          <w:rFonts w:asciiTheme="majorHAnsi" w:hAnsiTheme="majorHAnsi"/>
          <w:szCs w:val="24"/>
          <w:lang w:val="hr-HR"/>
        </w:rPr>
        <w:t xml:space="preserve">socijalne inkluzije i sistema socijalne zaštite. </w:t>
      </w:r>
    </w:p>
    <w:p w:rsidR="001A2E8E" w:rsidRPr="00D36F91" w:rsidRDefault="001A2E8E" w:rsidP="00150A08">
      <w:pPr>
        <w:pStyle w:val="ListBullet2"/>
        <w:numPr>
          <w:ilvl w:val="0"/>
          <w:numId w:val="0"/>
        </w:numPr>
        <w:spacing w:after="120" w:line="276" w:lineRule="auto"/>
        <w:ind w:left="720"/>
        <w:rPr>
          <w:szCs w:val="24"/>
          <w:lang w:val="hr-HR"/>
        </w:rPr>
      </w:pPr>
    </w:p>
    <w:p w:rsidR="001A2E8E" w:rsidRPr="004D18DA" w:rsidRDefault="001A2E8E" w:rsidP="00150A08">
      <w:pPr>
        <w:pStyle w:val="ListBullet2"/>
        <w:numPr>
          <w:ilvl w:val="0"/>
          <w:numId w:val="0"/>
        </w:numPr>
        <w:spacing w:after="120" w:line="276" w:lineRule="auto"/>
        <w:rPr>
          <w:rFonts w:asciiTheme="majorHAnsi" w:hAnsiTheme="majorHAnsi"/>
          <w:szCs w:val="24"/>
          <w:lang w:val="hr-HR"/>
        </w:rPr>
      </w:pPr>
      <w:r w:rsidRPr="004D18DA">
        <w:rPr>
          <w:rFonts w:asciiTheme="majorHAnsi" w:hAnsiTheme="majorHAnsi"/>
          <w:szCs w:val="24"/>
          <w:lang w:val="hr-HR"/>
        </w:rPr>
        <w:t>U segmentu akcije “Unaprijeđenje tržišta rada i po</w:t>
      </w:r>
      <w:r w:rsidR="00594AED" w:rsidRPr="004D18DA">
        <w:rPr>
          <w:rFonts w:asciiTheme="majorHAnsi" w:hAnsiTheme="majorHAnsi"/>
          <w:szCs w:val="24"/>
          <w:lang w:val="hr-HR"/>
        </w:rPr>
        <w:t>većanje</w:t>
      </w:r>
      <w:r w:rsidRPr="004D18DA">
        <w:rPr>
          <w:rFonts w:asciiTheme="majorHAnsi" w:hAnsiTheme="majorHAnsi"/>
          <w:szCs w:val="24"/>
          <w:lang w:val="hr-HR"/>
        </w:rPr>
        <w:t xml:space="preserve"> zapošljivosti” poseban naglasak će biti na aktivnosti usmjerene na podizanje niske stope zaposlenosti i smanjenje neaktivnosti radne snage, smanjenje nezaposlenosti mladih osoba, s posebnim naglaskom na visokoškolce, smanjenje regionalnih razlika u nezaposlenosti, promocija zapošljavanja domaće radne snage te podsticanje preduzetništva.  </w:t>
      </w:r>
    </w:p>
    <w:p w:rsidR="001A2E8E" w:rsidRPr="004D18DA" w:rsidRDefault="001A2E8E" w:rsidP="00150A08">
      <w:pPr>
        <w:pStyle w:val="ListBullet2"/>
        <w:numPr>
          <w:ilvl w:val="0"/>
          <w:numId w:val="0"/>
        </w:numPr>
        <w:spacing w:after="120" w:line="276" w:lineRule="auto"/>
        <w:rPr>
          <w:rFonts w:asciiTheme="majorHAnsi" w:hAnsiTheme="majorHAnsi"/>
          <w:szCs w:val="24"/>
          <w:lang w:val="hr-HR"/>
        </w:rPr>
      </w:pPr>
      <w:r w:rsidRPr="004D18DA">
        <w:rPr>
          <w:rFonts w:asciiTheme="majorHAnsi" w:hAnsiTheme="majorHAnsi"/>
          <w:szCs w:val="24"/>
          <w:lang w:val="hr-HR"/>
        </w:rPr>
        <w:t>Kroz akciju “Unaprijeđenje sistema obrazovanja” sprovodiće se aktivnosti usmjerene na usklađivanje sistema obrazovanja sa potrebama tržišta rada, osiguranje boljeg pristupa obrazovanju marginalizovanih grupa, povećanju učešća građana u programima cjeloživotnog učenja</w:t>
      </w:r>
      <w:r w:rsidR="00640637" w:rsidRPr="004D18DA">
        <w:rPr>
          <w:rFonts w:asciiTheme="majorHAnsi" w:hAnsiTheme="majorHAnsi"/>
          <w:szCs w:val="24"/>
          <w:lang w:val="hr-HR"/>
        </w:rPr>
        <w:t xml:space="preserve"> kroz promovisanje ovog učenja, istraživanja i razvoja</w:t>
      </w:r>
      <w:r w:rsidRPr="004D18DA">
        <w:rPr>
          <w:rFonts w:asciiTheme="majorHAnsi" w:hAnsiTheme="majorHAnsi"/>
          <w:szCs w:val="24"/>
          <w:lang w:val="hr-HR"/>
        </w:rPr>
        <w:t>. Isto tako aktivnosti će biti usmjerene na unapr</w:t>
      </w:r>
      <w:r w:rsidR="001A5728" w:rsidRPr="004D18DA">
        <w:rPr>
          <w:rFonts w:asciiTheme="majorHAnsi" w:hAnsiTheme="majorHAnsi"/>
          <w:szCs w:val="24"/>
          <w:lang w:val="hr-HR"/>
        </w:rPr>
        <w:t>i</w:t>
      </w:r>
      <w:r w:rsidRPr="004D18DA">
        <w:rPr>
          <w:rFonts w:asciiTheme="majorHAnsi" w:hAnsiTheme="majorHAnsi"/>
          <w:szCs w:val="24"/>
          <w:lang w:val="hr-HR"/>
        </w:rPr>
        <w:t xml:space="preserve">jeđenje kvaliteta obrazovanja na svim nivoima, </w:t>
      </w:r>
      <w:r w:rsidR="00594AED" w:rsidRPr="004D18DA">
        <w:rPr>
          <w:rFonts w:asciiTheme="majorHAnsi" w:hAnsiTheme="majorHAnsi"/>
          <w:szCs w:val="24"/>
          <w:lang w:val="hr-HR"/>
        </w:rPr>
        <w:t xml:space="preserve">unaprijeđivanje kvaliteta realizacije </w:t>
      </w:r>
      <w:r w:rsidRPr="004D18DA">
        <w:rPr>
          <w:rFonts w:asciiTheme="majorHAnsi" w:hAnsiTheme="majorHAnsi"/>
          <w:szCs w:val="24"/>
          <w:lang w:val="hr-HR"/>
        </w:rPr>
        <w:t xml:space="preserve"> praktičn</w:t>
      </w:r>
      <w:r w:rsidR="00594AED" w:rsidRPr="004D18DA">
        <w:rPr>
          <w:rFonts w:asciiTheme="majorHAnsi" w:hAnsiTheme="majorHAnsi"/>
          <w:szCs w:val="24"/>
          <w:lang w:val="hr-HR"/>
        </w:rPr>
        <w:t xml:space="preserve">og obrazovanja </w:t>
      </w:r>
      <w:r w:rsidRPr="004D18DA">
        <w:rPr>
          <w:rFonts w:asciiTheme="majorHAnsi" w:hAnsiTheme="majorHAnsi"/>
          <w:szCs w:val="24"/>
          <w:lang w:val="hr-HR"/>
        </w:rPr>
        <w:t xml:space="preserve"> u obrazovnim programima i podizanju interesa za obrazovanje u deficitarnim  zanimanjima na nivou stručnog obrazovanja.</w:t>
      </w:r>
      <w:r w:rsidRPr="004D18DA">
        <w:rPr>
          <w:rFonts w:asciiTheme="majorHAnsi" w:hAnsiTheme="majorHAnsi"/>
          <w:szCs w:val="24"/>
          <w:lang w:val="hr-HR"/>
        </w:rPr>
        <w:tab/>
      </w:r>
    </w:p>
    <w:p w:rsidR="001A2E8E" w:rsidRPr="004D18DA" w:rsidRDefault="001A2E8E" w:rsidP="00150A08">
      <w:pPr>
        <w:pStyle w:val="ListBullet2"/>
        <w:numPr>
          <w:ilvl w:val="0"/>
          <w:numId w:val="0"/>
        </w:numPr>
        <w:spacing w:after="120" w:line="276" w:lineRule="auto"/>
        <w:rPr>
          <w:rFonts w:asciiTheme="majorHAnsi" w:hAnsiTheme="majorHAnsi"/>
          <w:szCs w:val="24"/>
          <w:lang w:val="hr-HR"/>
        </w:rPr>
      </w:pPr>
      <w:r w:rsidRPr="004D18DA">
        <w:rPr>
          <w:rFonts w:asciiTheme="majorHAnsi" w:hAnsiTheme="majorHAnsi"/>
          <w:szCs w:val="24"/>
          <w:lang w:val="hr-HR"/>
        </w:rPr>
        <w:t>Akcijom “</w:t>
      </w:r>
      <w:r w:rsidR="00401C34" w:rsidRPr="004D18DA">
        <w:rPr>
          <w:rFonts w:asciiTheme="majorHAnsi" w:hAnsiTheme="majorHAnsi"/>
          <w:szCs w:val="24"/>
          <w:lang w:val="hr-HR"/>
        </w:rPr>
        <w:t xml:space="preserve">Unaprijeđenje </w:t>
      </w:r>
      <w:r w:rsidRPr="004D18DA">
        <w:rPr>
          <w:rFonts w:asciiTheme="majorHAnsi" w:hAnsiTheme="majorHAnsi"/>
          <w:szCs w:val="24"/>
          <w:lang w:val="hr-HR"/>
        </w:rPr>
        <w:t>socijalne inkluzije i  sistema socijalne zaštite” osiguraće se sprovo</w:t>
      </w:r>
      <w:r w:rsidRPr="004D18DA">
        <w:rPr>
          <w:rFonts w:asciiTheme="majorHAnsi" w:hAnsiTheme="majorHAnsi"/>
          <w:szCs w:val="24"/>
        </w:rPr>
        <w:t>đenje</w:t>
      </w:r>
      <w:r w:rsidRPr="004D18DA">
        <w:rPr>
          <w:rFonts w:asciiTheme="majorHAnsi" w:hAnsiTheme="majorHAnsi"/>
          <w:szCs w:val="24"/>
          <w:lang w:val="hr-HR"/>
        </w:rPr>
        <w:t xml:space="preserve"> aktivnosti usmjerenih na dalji </w:t>
      </w:r>
      <w:r w:rsidR="00D85591" w:rsidRPr="004D18DA">
        <w:rPr>
          <w:rFonts w:asciiTheme="majorHAnsi" w:hAnsiTheme="majorHAnsi"/>
          <w:szCs w:val="24"/>
          <w:lang w:val="hr-HR"/>
        </w:rPr>
        <w:t>razvoj sistema usluga socijalne zaštite</w:t>
      </w:r>
      <w:r w:rsidRPr="004D18DA">
        <w:rPr>
          <w:rFonts w:asciiTheme="majorHAnsi" w:hAnsiTheme="majorHAnsi"/>
          <w:szCs w:val="24"/>
          <w:lang w:val="hr-HR"/>
        </w:rPr>
        <w:t xml:space="preserve"> </w:t>
      </w:r>
      <w:r w:rsidR="00D85591" w:rsidRPr="004D18DA">
        <w:rPr>
          <w:rFonts w:asciiTheme="majorHAnsi" w:hAnsiTheme="majorHAnsi"/>
          <w:szCs w:val="24"/>
          <w:lang w:val="hr-HR"/>
        </w:rPr>
        <w:t xml:space="preserve">na lokalnom nivou, </w:t>
      </w:r>
      <w:r w:rsidRPr="004D18DA">
        <w:rPr>
          <w:rFonts w:asciiTheme="majorHAnsi" w:hAnsiTheme="majorHAnsi"/>
          <w:szCs w:val="24"/>
          <w:lang w:val="hr-HR"/>
        </w:rPr>
        <w:t>podsticanje uključivanja društveno ranjivih grupa na tržište rada, te promovisanje i razvoj socijalnog preduzetništva.</w:t>
      </w:r>
      <w:r w:rsidR="000C65F9" w:rsidRPr="004D18DA">
        <w:rPr>
          <w:rFonts w:asciiTheme="majorHAnsi" w:hAnsiTheme="majorHAnsi"/>
          <w:szCs w:val="24"/>
          <w:lang w:val="hr-HR"/>
        </w:rPr>
        <w:t xml:space="preserve"> </w:t>
      </w:r>
    </w:p>
    <w:p w:rsidR="00337921" w:rsidRPr="004D18DA" w:rsidRDefault="000C65F9" w:rsidP="00150A08">
      <w:pPr>
        <w:pStyle w:val="ListBullet2"/>
        <w:numPr>
          <w:ilvl w:val="0"/>
          <w:numId w:val="0"/>
        </w:numPr>
        <w:spacing w:after="120" w:line="276" w:lineRule="auto"/>
        <w:rPr>
          <w:rFonts w:asciiTheme="majorHAnsi" w:hAnsiTheme="majorHAnsi"/>
          <w:szCs w:val="24"/>
          <w:lang w:val="hr-HR"/>
        </w:rPr>
      </w:pPr>
      <w:r w:rsidRPr="004D18DA">
        <w:rPr>
          <w:rFonts w:asciiTheme="majorHAnsi" w:hAnsiTheme="majorHAnsi"/>
          <w:szCs w:val="24"/>
          <w:lang w:val="hr-HR"/>
        </w:rPr>
        <w:t>Važno je istaći da će veoma aktuelno pitanje socijalne inkluzije R</w:t>
      </w:r>
      <w:r w:rsidR="008B6F94" w:rsidRPr="004D18DA">
        <w:rPr>
          <w:rFonts w:asciiTheme="majorHAnsi" w:hAnsiTheme="majorHAnsi"/>
          <w:szCs w:val="24"/>
          <w:lang w:val="hr-HR"/>
        </w:rPr>
        <w:t xml:space="preserve">omske i </w:t>
      </w:r>
      <w:r w:rsidRPr="004D18DA">
        <w:rPr>
          <w:rFonts w:asciiTheme="majorHAnsi" w:hAnsiTheme="majorHAnsi"/>
          <w:szCs w:val="24"/>
          <w:lang w:val="hr-HR"/>
        </w:rPr>
        <w:t>E</w:t>
      </w:r>
      <w:r w:rsidR="008B6F94" w:rsidRPr="004D18DA">
        <w:rPr>
          <w:rFonts w:asciiTheme="majorHAnsi" w:hAnsiTheme="majorHAnsi"/>
          <w:szCs w:val="24"/>
          <w:lang w:val="hr-HR"/>
        </w:rPr>
        <w:t>gipćanske (RE)</w:t>
      </w:r>
      <w:r w:rsidRPr="004D18DA">
        <w:rPr>
          <w:rFonts w:asciiTheme="majorHAnsi" w:hAnsiTheme="majorHAnsi"/>
          <w:szCs w:val="24"/>
          <w:lang w:val="hr-HR"/>
        </w:rPr>
        <w:t xml:space="preserve"> populacije biti obuhvaćeno </w:t>
      </w:r>
      <w:r w:rsidR="006A4C15" w:rsidRPr="004D18DA">
        <w:rPr>
          <w:rFonts w:asciiTheme="majorHAnsi" w:hAnsiTheme="majorHAnsi"/>
          <w:szCs w:val="24"/>
          <w:lang w:val="hr-HR"/>
        </w:rPr>
        <w:t xml:space="preserve">kroz aktivnosti </w:t>
      </w:r>
      <w:r w:rsidRPr="004D18DA">
        <w:rPr>
          <w:rFonts w:asciiTheme="majorHAnsi" w:hAnsiTheme="majorHAnsi"/>
          <w:szCs w:val="24"/>
          <w:lang w:val="hr-HR"/>
        </w:rPr>
        <w:t>u okviru</w:t>
      </w:r>
      <w:r w:rsidR="006A4C15" w:rsidRPr="004D18DA">
        <w:rPr>
          <w:rFonts w:asciiTheme="majorHAnsi" w:hAnsiTheme="majorHAnsi"/>
          <w:szCs w:val="24"/>
          <w:lang w:val="hr-HR"/>
        </w:rPr>
        <w:t xml:space="preserve"> sve tri akcije predviđene SOP-om, a na osnovu iskustva stečenog na realizaciji projekata Identifikovanje odživih rješenja za interno raseljena lica, stanovnike Konik kampa (I i II faza) podržane kroz nacionalne programe  IPA 2011 i 2013. </w:t>
      </w:r>
      <w:r w:rsidR="0067783A" w:rsidRPr="004D18DA">
        <w:rPr>
          <w:rFonts w:asciiTheme="majorHAnsi" w:hAnsiTheme="majorHAnsi"/>
          <w:szCs w:val="24"/>
          <w:lang w:val="hr-HR"/>
        </w:rPr>
        <w:t xml:space="preserve"> </w:t>
      </w:r>
      <w:r w:rsidRPr="004D18DA">
        <w:rPr>
          <w:rFonts w:asciiTheme="majorHAnsi" w:hAnsiTheme="majorHAnsi"/>
          <w:szCs w:val="24"/>
          <w:lang w:val="hr-HR"/>
        </w:rPr>
        <w:t xml:space="preserve"> </w:t>
      </w:r>
    </w:p>
    <w:p w:rsidR="00337921" w:rsidRPr="004D18DA" w:rsidRDefault="00337921" w:rsidP="00150A08">
      <w:pPr>
        <w:pStyle w:val="ListBullet2"/>
        <w:numPr>
          <w:ilvl w:val="0"/>
          <w:numId w:val="0"/>
        </w:numPr>
        <w:spacing w:after="120" w:line="276" w:lineRule="auto"/>
        <w:rPr>
          <w:rFonts w:asciiTheme="majorHAnsi" w:hAnsiTheme="majorHAnsi"/>
          <w:szCs w:val="24"/>
          <w:lang w:val="hr-HR"/>
        </w:rPr>
      </w:pPr>
      <w:r w:rsidRPr="004D18DA">
        <w:rPr>
          <w:rFonts w:asciiTheme="majorHAnsi" w:hAnsiTheme="majorHAnsi"/>
          <w:szCs w:val="24"/>
          <w:lang w:val="hr-HR"/>
        </w:rPr>
        <w:t xml:space="preserve">Takođe, iako ovaj dokument u opisu stanja pojašnjava brojne izazove on nema pretenziju da sredstvima pretpistupne pomoći odgovori na sve pomenute izazove. Na neke od njih Vlada sopstvenim sredstvima reaguje, a nekima će se posvetiti pažnja u novom programskom ciklusu 2018-2020. </w:t>
      </w:r>
    </w:p>
    <w:p w:rsidR="001A2E8E" w:rsidRPr="004D18DA" w:rsidRDefault="001A2E8E" w:rsidP="00150A08">
      <w:pPr>
        <w:pStyle w:val="ListBullet2"/>
        <w:numPr>
          <w:ilvl w:val="0"/>
          <w:numId w:val="0"/>
        </w:numPr>
        <w:spacing w:after="120" w:line="276" w:lineRule="auto"/>
        <w:rPr>
          <w:rFonts w:asciiTheme="majorHAnsi" w:hAnsiTheme="majorHAnsi"/>
          <w:szCs w:val="24"/>
          <w:lang w:val="hr-HR"/>
        </w:rPr>
      </w:pPr>
      <w:r w:rsidRPr="004D18DA">
        <w:rPr>
          <w:rFonts w:asciiTheme="majorHAnsi" w:hAnsiTheme="majorHAnsi"/>
          <w:szCs w:val="24"/>
          <w:lang w:val="hr-HR"/>
        </w:rPr>
        <w:t>Kroz akciju “Tehnička pomoć” osiguraće se podrška Operativnoj strukturi (u daljem tekstu OS) za upravljanje i spovođenje ovog Sektorskog operativnog programa, u kontekstu podrške samim institucijama OS, ali i podrške potencijalnim korisnicima prilikom pripreme projektnih prijedloga, te tokom sprovođenja projekata, kao i cijelog spleta aktivnosti vezanih za informisanje, javnost i vidljivost SOP-a.</w:t>
      </w:r>
    </w:p>
    <w:p w:rsidR="001A2E8E" w:rsidRPr="00BD6982" w:rsidRDefault="001A2E8E" w:rsidP="00C31FCA">
      <w:pPr>
        <w:pStyle w:val="Heading4"/>
        <w:rPr>
          <w:lang w:val="hr-HR"/>
        </w:rPr>
      </w:pPr>
    </w:p>
    <w:p w:rsidR="001A2E8E" w:rsidRPr="00697663" w:rsidRDefault="00C31FCA" w:rsidP="004D18DA">
      <w:pPr>
        <w:pStyle w:val="Heading2"/>
        <w:spacing w:after="240"/>
      </w:pPr>
      <w:bookmarkStart w:id="20" w:name="_Toc419368478"/>
      <w:r w:rsidRPr="00697663">
        <w:t xml:space="preserve">4.6.1. </w:t>
      </w:r>
      <w:r w:rsidR="001A2E8E" w:rsidRPr="00697663">
        <w:t>Akcija 1- Unapr</w:t>
      </w:r>
      <w:r w:rsidR="000F4339" w:rsidRPr="00697663">
        <w:t>ij</w:t>
      </w:r>
      <w:r w:rsidR="001A2E8E" w:rsidRPr="00697663">
        <w:t>eđenje tržišta rada i po</w:t>
      </w:r>
      <w:r w:rsidR="00401C34" w:rsidRPr="00697663">
        <w:t>većanje</w:t>
      </w:r>
      <w:r w:rsidR="001A2E8E" w:rsidRPr="00697663">
        <w:t xml:space="preserve"> zapošljivosti</w:t>
      </w:r>
      <w:bookmarkEnd w:id="20"/>
      <w:r w:rsidR="001A2E8E" w:rsidRPr="00697663">
        <w:t xml:space="preserve"> </w:t>
      </w:r>
    </w:p>
    <w:p w:rsidR="001A2E8E" w:rsidRPr="004D18DA" w:rsidRDefault="001A2E8E" w:rsidP="00150A08">
      <w:pPr>
        <w:spacing w:after="120"/>
        <w:jc w:val="both"/>
        <w:rPr>
          <w:rFonts w:asciiTheme="majorHAnsi" w:eastAsia="Times New Roman" w:hAnsiTheme="majorHAnsi"/>
          <w:sz w:val="24"/>
          <w:szCs w:val="24"/>
          <w:lang w:val="hr-HR"/>
        </w:rPr>
      </w:pPr>
      <w:r w:rsidRPr="004D18DA">
        <w:rPr>
          <w:rFonts w:asciiTheme="majorHAnsi" w:eastAsia="Times New Roman" w:hAnsiTheme="majorHAnsi"/>
          <w:sz w:val="24"/>
          <w:szCs w:val="24"/>
          <w:lang w:val="hr-HR"/>
        </w:rPr>
        <w:t>Od 2013. godine na crnogorskom tržištu rada ispoljavaju se blagi znaci oporavka. Zaposlenost prema Anketi o radnoj snazi (ARS) pokazuje trend povećanja zaposlenosti u 2014. godini tako da je prema ARS za treći kvartal 2014. godine broj zaposlenih (219,8 hiljada) bio veći za 6% u odnosu na isti kvartal prethodne godine (207,3 hiljada). Prema istom izvoru, stopa zaposlenosti za populaciju 15-64 godine iznosila je 47,0% u 2012. god., 47,4% u 2013. i 52,1% u drugom kvartalu 2014. godine.</w:t>
      </w:r>
    </w:p>
    <w:p w:rsidR="001A2E8E" w:rsidRPr="004D18DA" w:rsidRDefault="001A2E8E" w:rsidP="00150A08">
      <w:pPr>
        <w:autoSpaceDE w:val="0"/>
        <w:autoSpaceDN w:val="0"/>
        <w:adjustRightInd w:val="0"/>
        <w:spacing w:after="120"/>
        <w:jc w:val="both"/>
        <w:rPr>
          <w:rFonts w:asciiTheme="majorHAnsi" w:eastAsia="Times New Roman" w:hAnsiTheme="majorHAnsi"/>
          <w:sz w:val="24"/>
          <w:szCs w:val="24"/>
          <w:lang w:val="hr-HR"/>
        </w:rPr>
      </w:pPr>
      <w:r w:rsidRPr="004D18DA">
        <w:rPr>
          <w:rFonts w:asciiTheme="majorHAnsi" w:eastAsia="Times New Roman" w:hAnsiTheme="majorHAnsi"/>
          <w:sz w:val="24"/>
          <w:szCs w:val="24"/>
          <w:lang w:val="hr-HR"/>
        </w:rPr>
        <w:t>Dugotrajući tranzicioni procesi djelovali su radikalno na izmjenu strukture crnogorske ekonomije (od proizvodnje ka uslugama) i ti su procesi prouzrokovali visoku stopu nezaposlenosti. Novouspostavljena privredna struktura na kojoj je bio i zasnovan ekonomski rast nije mogla da kreira obim tražnje koji bi apsorbovao ponudu stvorenu gubitkom radnih mjesta u mnogim proizvodnim sektorima.</w:t>
      </w:r>
    </w:p>
    <w:p w:rsidR="001A2E8E" w:rsidRPr="004D18DA" w:rsidRDefault="001A2E8E" w:rsidP="00150A08">
      <w:pPr>
        <w:autoSpaceDE w:val="0"/>
        <w:autoSpaceDN w:val="0"/>
        <w:adjustRightInd w:val="0"/>
        <w:spacing w:after="120"/>
        <w:jc w:val="both"/>
        <w:rPr>
          <w:rFonts w:asciiTheme="majorHAnsi" w:eastAsia="Times New Roman" w:hAnsiTheme="majorHAnsi"/>
          <w:sz w:val="24"/>
          <w:szCs w:val="24"/>
          <w:lang w:val="hr-HR"/>
        </w:rPr>
      </w:pPr>
      <w:r w:rsidRPr="004D18DA">
        <w:rPr>
          <w:rFonts w:asciiTheme="majorHAnsi" w:eastAsia="Times New Roman" w:hAnsiTheme="majorHAnsi"/>
          <w:sz w:val="24"/>
          <w:szCs w:val="24"/>
          <w:lang w:val="hr-HR"/>
        </w:rPr>
        <w:t>Fiskalna ograničenja, uslovljena ekonomskom krizom, u značajnoj su mjeri odredila obim sredstava za aktivne mjere zapošljavanja, tako da je u 2012. godini bilo opredijeljeno svega 3,575 mililona eura, u 2013. godini 2,775 miliona eura, a u 2014. 2,856 miliona eura za ovu namjenu. Navedena finansijska  sredstva su višestruko manja u odnosu na godine iz pre</w:t>
      </w:r>
      <w:r w:rsidR="001A5728" w:rsidRPr="004D18DA">
        <w:rPr>
          <w:rFonts w:asciiTheme="majorHAnsi" w:eastAsia="Times New Roman" w:hAnsiTheme="majorHAnsi"/>
          <w:sz w:val="24"/>
          <w:szCs w:val="24"/>
          <w:lang w:val="hr-HR"/>
        </w:rPr>
        <w:t>tkriznog perioda</w:t>
      </w:r>
      <w:r w:rsidRPr="004D18DA">
        <w:rPr>
          <w:rFonts w:asciiTheme="majorHAnsi" w:eastAsia="Times New Roman" w:hAnsiTheme="majorHAnsi"/>
          <w:sz w:val="24"/>
          <w:szCs w:val="24"/>
          <w:lang w:val="hr-HR"/>
        </w:rPr>
        <w:t xml:space="preserve">, kada se obim sredstava za aktivne mjere kretao i do 12,5 miliona eura. Raspoloživa sredstva su upotrijebljena uglavnom za subvencije za zapošljavanje mladih, javne radove, obuku i prekvalifikacije. Ovim mjerama obuhvaćeno je 22,34% od ukupno nezaposlenih lica. </w:t>
      </w:r>
    </w:p>
    <w:p w:rsidR="004B432D" w:rsidRPr="004D18DA" w:rsidRDefault="004B432D" w:rsidP="00150A08">
      <w:pPr>
        <w:autoSpaceDE w:val="0"/>
        <w:autoSpaceDN w:val="0"/>
        <w:adjustRightInd w:val="0"/>
        <w:spacing w:after="120"/>
        <w:jc w:val="both"/>
        <w:rPr>
          <w:rFonts w:asciiTheme="majorHAnsi" w:eastAsia="Times New Roman" w:hAnsiTheme="majorHAnsi"/>
          <w:sz w:val="24"/>
          <w:szCs w:val="24"/>
          <w:lang w:val="hr-HR"/>
        </w:rPr>
      </w:pPr>
      <w:r w:rsidRPr="004D18DA">
        <w:rPr>
          <w:rFonts w:asciiTheme="majorHAnsi" w:eastAsia="Times New Roman" w:hAnsiTheme="majorHAnsi"/>
          <w:sz w:val="24"/>
          <w:szCs w:val="24"/>
          <w:lang w:val="hr-HR"/>
        </w:rPr>
        <w:t>Kroz Operativni program Razvoj ljudskih resursa 2012-2013 u okviru prioriteta 1 Efikasne i inkluzivne mjere aktivne politike zapošljavanja i</w:t>
      </w:r>
      <w:r w:rsidR="008F5ECE" w:rsidRPr="004D18DA">
        <w:rPr>
          <w:rFonts w:asciiTheme="majorHAnsi" w:eastAsia="Times New Roman" w:hAnsiTheme="majorHAnsi"/>
          <w:sz w:val="24"/>
          <w:szCs w:val="24"/>
          <w:lang w:val="hr-HR"/>
        </w:rPr>
        <w:t>z</w:t>
      </w:r>
      <w:r w:rsidRPr="004D18DA">
        <w:rPr>
          <w:rFonts w:asciiTheme="majorHAnsi" w:eastAsia="Times New Roman" w:hAnsiTheme="majorHAnsi"/>
          <w:sz w:val="24"/>
          <w:szCs w:val="24"/>
          <w:lang w:val="hr-HR"/>
        </w:rPr>
        <w:t>dvojeno je 2,3 miliona eura</w:t>
      </w:r>
      <w:r w:rsidR="00745466" w:rsidRPr="004D18DA">
        <w:rPr>
          <w:rFonts w:asciiTheme="majorHAnsi" w:eastAsia="Times New Roman" w:hAnsiTheme="majorHAnsi"/>
          <w:sz w:val="24"/>
          <w:szCs w:val="24"/>
          <w:lang w:val="hr-HR"/>
        </w:rPr>
        <w:t xml:space="preserve"> (ugovor o uslugama i grant šema)</w:t>
      </w:r>
      <w:r w:rsidR="008B6F94" w:rsidRPr="004D18DA">
        <w:rPr>
          <w:rFonts w:asciiTheme="majorHAnsi" w:eastAsia="Times New Roman" w:hAnsiTheme="majorHAnsi"/>
          <w:sz w:val="24"/>
          <w:szCs w:val="24"/>
          <w:lang w:val="hr-HR"/>
        </w:rPr>
        <w:t xml:space="preserve"> za sprovođenje mjera aktivne politike tržišta rada, </w:t>
      </w:r>
      <w:r w:rsidR="00745466" w:rsidRPr="004D18DA">
        <w:rPr>
          <w:rFonts w:asciiTheme="majorHAnsi" w:eastAsia="Times New Roman" w:hAnsiTheme="majorHAnsi"/>
          <w:sz w:val="24"/>
          <w:szCs w:val="24"/>
          <w:lang w:val="hr-HR"/>
        </w:rPr>
        <w:t xml:space="preserve"> što je u svakom slučaju još uvijek nedovoljno za realizaciju punog obim</w:t>
      </w:r>
      <w:r w:rsidR="00DC219F" w:rsidRPr="004D18DA">
        <w:rPr>
          <w:rFonts w:asciiTheme="majorHAnsi" w:eastAsia="Times New Roman" w:hAnsiTheme="majorHAnsi"/>
          <w:sz w:val="24"/>
          <w:szCs w:val="24"/>
          <w:lang w:val="hr-HR"/>
        </w:rPr>
        <w:t xml:space="preserve">a aktivnih mjera zapošljavanja. </w:t>
      </w:r>
    </w:p>
    <w:p w:rsidR="001A2E8E" w:rsidRPr="004D18DA" w:rsidRDefault="001A2E8E" w:rsidP="00150A08">
      <w:pPr>
        <w:pStyle w:val="ListDash3"/>
        <w:numPr>
          <w:ilvl w:val="0"/>
          <w:numId w:val="0"/>
        </w:numPr>
        <w:spacing w:after="120" w:line="276" w:lineRule="auto"/>
        <w:rPr>
          <w:rFonts w:asciiTheme="majorHAnsi" w:hAnsiTheme="majorHAnsi"/>
          <w:szCs w:val="24"/>
          <w:lang w:val="hr-HR"/>
        </w:rPr>
      </w:pPr>
      <w:r w:rsidRPr="004D18DA">
        <w:rPr>
          <w:rFonts w:asciiTheme="majorHAnsi" w:hAnsiTheme="majorHAnsi"/>
          <w:szCs w:val="24"/>
          <w:lang w:val="hr-HR"/>
        </w:rPr>
        <w:t>Jedan od značajnih izazova koji karakteriše tržište rada Crne Gore je neujednačen razvoj</w:t>
      </w:r>
      <w:r w:rsidR="001A5728" w:rsidRPr="004D18DA">
        <w:rPr>
          <w:rFonts w:asciiTheme="majorHAnsi" w:hAnsiTheme="majorHAnsi"/>
          <w:szCs w:val="24"/>
          <w:lang w:val="hr-HR"/>
        </w:rPr>
        <w:t xml:space="preserve"> njena tri geografska regiona: sjevernog, središnjeg i p</w:t>
      </w:r>
      <w:r w:rsidRPr="004D18DA">
        <w:rPr>
          <w:rFonts w:asciiTheme="majorHAnsi" w:hAnsiTheme="majorHAnsi"/>
          <w:szCs w:val="24"/>
          <w:lang w:val="hr-HR"/>
        </w:rPr>
        <w:t>rimorskog. Ovo je prvenstveno posljedica činjenice da su raspoloživi razvojni resursi regiona u prethodnih nekoliko decenija realizovani na neadekvatan i nervnomjeran način, što kao dugoročnu posljedicu ima odliv stanovništva po regionima i izražene regionalne dimenzije u pokazateljima zaposlenosti i nezaposlenosti. Migracijska kretanja i napuštanje radne sn</w:t>
      </w:r>
      <w:r w:rsidR="001A5728" w:rsidRPr="004D18DA">
        <w:rPr>
          <w:rFonts w:asciiTheme="majorHAnsi" w:hAnsiTheme="majorHAnsi"/>
          <w:szCs w:val="24"/>
          <w:lang w:val="hr-HR"/>
        </w:rPr>
        <w:t>age iz sjevernog regiona prema središnjem i p</w:t>
      </w:r>
      <w:r w:rsidRPr="004D18DA">
        <w:rPr>
          <w:rFonts w:asciiTheme="majorHAnsi" w:hAnsiTheme="majorHAnsi"/>
          <w:szCs w:val="24"/>
          <w:lang w:val="hr-HR"/>
        </w:rPr>
        <w:t>rimorskom  uticala su i na to da sjeverni region karakteriše pad privredne aktivnosti u posljednje dvije decenije i jaka depopulacija seoskih područja.</w:t>
      </w:r>
    </w:p>
    <w:p w:rsidR="001A2E8E" w:rsidRPr="004D18DA" w:rsidRDefault="001A2E8E" w:rsidP="00150A08">
      <w:pPr>
        <w:pStyle w:val="ListDash3"/>
        <w:numPr>
          <w:ilvl w:val="0"/>
          <w:numId w:val="0"/>
        </w:numPr>
        <w:spacing w:after="120" w:line="276" w:lineRule="auto"/>
        <w:rPr>
          <w:rFonts w:asciiTheme="majorHAnsi" w:hAnsiTheme="majorHAnsi"/>
          <w:szCs w:val="24"/>
          <w:lang w:val="hr-HR"/>
        </w:rPr>
      </w:pPr>
      <w:r w:rsidRPr="004D18DA">
        <w:rPr>
          <w:rFonts w:asciiTheme="majorHAnsi" w:hAnsiTheme="majorHAnsi"/>
          <w:szCs w:val="24"/>
          <w:lang w:val="hr-HR"/>
        </w:rPr>
        <w:t xml:space="preserve">Izrazita specifičnost Crne Gore uz naglašen sezonski karakter </w:t>
      </w:r>
      <w:r w:rsidR="001A5728" w:rsidRPr="004D18DA">
        <w:rPr>
          <w:rFonts w:asciiTheme="majorHAnsi" w:hAnsiTheme="majorHAnsi"/>
          <w:szCs w:val="24"/>
          <w:lang w:val="hr-HR"/>
        </w:rPr>
        <w:t>zapošljavanja je i zapošljavanje</w:t>
      </w:r>
      <w:r w:rsidRPr="004D18DA">
        <w:rPr>
          <w:rFonts w:asciiTheme="majorHAnsi" w:hAnsiTheme="majorHAnsi"/>
          <w:szCs w:val="24"/>
          <w:lang w:val="hr-HR"/>
        </w:rPr>
        <w:t xml:space="preserve"> stranaca (najčešće na poslovima u turizmu, poljoprivredi i građevini). Domaću radnu snagu s višim stepenima stručne spreme karakteriše slaba geografska i profesionalna mobilnost i to zbog izrazite neusaglašenosti traženih i raspoloživih zanimanja (naročito u turizmu i građevinarstvu) povezanih s nedostatkom stručnog radnog iskustva koje poslodavci traže, a što je usko povezano s nemogućnošću sticanja istoga u područjima gdje se mladi nalaze, ali i sa još uvijek slabom razvijenošću privatnog sektora, kao i mogućnošću osiguranja nužnih propratnih usluga, poput brige za djecu i starije osobe, dostupnosti zdravstvenim uslugama, kao i razvijenog sistema kvalitetnog obrazovanja u svim regionima, što bi uvelike omogućilo veće migracije unutar Crne Gore. </w:t>
      </w:r>
    </w:p>
    <w:p w:rsidR="001A2E8E" w:rsidRPr="004D18DA" w:rsidRDefault="001A2E8E" w:rsidP="00150A08">
      <w:pPr>
        <w:pStyle w:val="ListDash3"/>
        <w:numPr>
          <w:ilvl w:val="0"/>
          <w:numId w:val="0"/>
        </w:numPr>
        <w:spacing w:after="120" w:line="276" w:lineRule="auto"/>
        <w:rPr>
          <w:rFonts w:asciiTheme="majorHAnsi" w:hAnsiTheme="majorHAnsi"/>
          <w:szCs w:val="24"/>
          <w:lang w:val="hr-HR"/>
        </w:rPr>
      </w:pPr>
      <w:r w:rsidRPr="004D18DA">
        <w:rPr>
          <w:rFonts w:asciiTheme="majorHAnsi" w:hAnsiTheme="majorHAnsi"/>
          <w:szCs w:val="24"/>
          <w:lang w:val="hr-HR"/>
        </w:rPr>
        <w:t>Procentualno učešće mladih u ukupnom broju nezaposlenih na kraju 2014. godine je iznosio 20,87% dok je u 2013. godini taj procenat iznosio 20,45%, dok je učešće mladih do 30 godina u ukupnoj registrovanoj nezaposlenosti u 2013. godini premašilo jednu trećinu.</w:t>
      </w:r>
    </w:p>
    <w:p w:rsidR="001A2E8E" w:rsidRPr="004D18DA" w:rsidRDefault="001A2E8E" w:rsidP="00150A08">
      <w:pPr>
        <w:autoSpaceDE w:val="0"/>
        <w:autoSpaceDN w:val="0"/>
        <w:adjustRightInd w:val="0"/>
        <w:spacing w:after="120"/>
        <w:jc w:val="both"/>
        <w:rPr>
          <w:rFonts w:asciiTheme="majorHAnsi" w:eastAsia="Times New Roman" w:hAnsiTheme="majorHAnsi"/>
          <w:sz w:val="24"/>
          <w:szCs w:val="24"/>
          <w:lang w:val="hr-HR"/>
        </w:rPr>
      </w:pPr>
      <w:r w:rsidRPr="004D18DA">
        <w:rPr>
          <w:rFonts w:asciiTheme="majorHAnsi" w:eastAsia="Times New Roman" w:hAnsiTheme="majorHAnsi"/>
          <w:sz w:val="24"/>
          <w:szCs w:val="24"/>
          <w:lang w:val="hr-HR"/>
        </w:rPr>
        <w:t>Na evidenciji Zavoda za zapošljavanje na kraju 2006. godine je bilo 2369 visokoškolaca što je predstavljalo 4,7% ukupnog broja nezaposlenih (38480), krajem 2012. godine je iznosilo 21,62% (6752 ) da bi krajem 2013. godine to učešće iznosilo 29% ( 10014). Vlada Crne Gore je u cilju rješavanja problema visoke nezaposlenosti visokoškolaca u 2013. godini izdvojila 10 miliona eura za realizaciju Programa stručnog osposobljavanja lica sa stečenim visokim obrazovanjem, kojim je obuhvaćeno 4211 nezaposlenih visokoškolaca. Program se realizovao i u 2014. godini i za njegovo sprovođenje Vlada je izdvojila 9 miliona eura. Priliku da se stručno osposobi u 2014. godini dobilo je 3744 visokoškolaca.</w:t>
      </w:r>
    </w:p>
    <w:p w:rsidR="001A2E8E" w:rsidRPr="004D18DA" w:rsidRDefault="001A2E8E" w:rsidP="00150A08">
      <w:pPr>
        <w:pStyle w:val="ListDash3"/>
        <w:numPr>
          <w:ilvl w:val="0"/>
          <w:numId w:val="0"/>
        </w:numPr>
        <w:spacing w:after="120" w:line="276" w:lineRule="auto"/>
        <w:rPr>
          <w:rFonts w:asciiTheme="majorHAnsi" w:hAnsiTheme="majorHAnsi"/>
          <w:szCs w:val="24"/>
          <w:lang w:val="hr-HR"/>
        </w:rPr>
      </w:pPr>
      <w:r w:rsidRPr="004D18DA">
        <w:rPr>
          <w:rFonts w:asciiTheme="majorHAnsi" w:hAnsiTheme="majorHAnsi"/>
          <w:szCs w:val="24"/>
          <w:lang w:val="hr-HR"/>
        </w:rPr>
        <w:t>Visok rast nezaposlenih visokoškolaca u proteklih nekoliko godina posljedica je znatnog povećanja broja srednjoškolaca koji se upisuju na visokoobrazovne ustanove (sada već preko 80%) što potvrđuje i prisutan trend smanjivanja prijavljenih srednjoškolaca na evidenciju nezaposlenih, a rast prijavljenih visokoškolaca. Taj trend će se nastaviti i u nekoliko narednih godina, imajući u vidu da se na završnim godinama osnovnih, specijalističkih i magistarskih studija nalazi oko 9800 studenata.</w:t>
      </w:r>
    </w:p>
    <w:p w:rsidR="001A2E8E" w:rsidRPr="004D18DA" w:rsidRDefault="001A2E8E" w:rsidP="00150A08">
      <w:pPr>
        <w:pStyle w:val="ListDash3"/>
        <w:numPr>
          <w:ilvl w:val="0"/>
          <w:numId w:val="0"/>
        </w:numPr>
        <w:spacing w:after="120" w:line="276" w:lineRule="auto"/>
        <w:rPr>
          <w:rFonts w:asciiTheme="majorHAnsi" w:hAnsiTheme="majorHAnsi"/>
          <w:szCs w:val="24"/>
          <w:lang w:val="hr-HR"/>
        </w:rPr>
      </w:pPr>
      <w:r w:rsidRPr="004D18DA">
        <w:rPr>
          <w:rFonts w:asciiTheme="majorHAnsi" w:hAnsiTheme="majorHAnsi"/>
          <w:szCs w:val="24"/>
          <w:lang w:val="hr-HR"/>
        </w:rPr>
        <w:t>Sve ovo za rezultat ima visoku stopu nezaposlenosti mladih koja je, iako je smanjena za 2,1 procentna poena  u odnosu na 2012. godinu, ostala i dalje visoka  i iznosila je 41,6% na kraju 2013. godine (ARS).</w:t>
      </w:r>
    </w:p>
    <w:p w:rsidR="001A2E8E" w:rsidRPr="004D18DA" w:rsidRDefault="001A2E8E" w:rsidP="00150A08">
      <w:pPr>
        <w:pStyle w:val="ListDash3"/>
        <w:numPr>
          <w:ilvl w:val="0"/>
          <w:numId w:val="0"/>
        </w:numPr>
        <w:spacing w:after="120" w:line="276" w:lineRule="auto"/>
        <w:rPr>
          <w:rFonts w:asciiTheme="majorHAnsi" w:hAnsiTheme="majorHAnsi"/>
          <w:szCs w:val="24"/>
          <w:lang w:val="hr-HR"/>
        </w:rPr>
      </w:pPr>
      <w:r w:rsidRPr="004D18DA">
        <w:rPr>
          <w:rFonts w:asciiTheme="majorHAnsi" w:hAnsiTheme="majorHAnsi"/>
          <w:szCs w:val="24"/>
          <w:lang w:val="hr-HR"/>
        </w:rPr>
        <w:t xml:space="preserve">Iako se u kontinuitetu sprovode aktivnosti na unaprijeđenju strateškog i zakonodavnog okvira za razvoj preduzetništva i malog i srednjeg biznisa, teškoće u dobijanju finansijskih ili garantnih sredstava, poslovanje u neformalnom sektoru i nedostatak preduzetničkog ambijenta, kao i kontinuirane i kvalitetne  edukacije za preduzetništvo, predstavljaju  glavne izazove za razvoj preduzetništva. </w:t>
      </w:r>
    </w:p>
    <w:p w:rsidR="001A2E8E" w:rsidRPr="004D18DA" w:rsidRDefault="001A2E8E" w:rsidP="00150A08">
      <w:pPr>
        <w:pStyle w:val="ListDash3"/>
        <w:numPr>
          <w:ilvl w:val="0"/>
          <w:numId w:val="0"/>
        </w:numPr>
        <w:spacing w:after="120" w:line="276" w:lineRule="auto"/>
        <w:rPr>
          <w:rFonts w:asciiTheme="majorHAnsi" w:hAnsiTheme="majorHAnsi"/>
          <w:szCs w:val="24"/>
          <w:lang w:val="hr-HR"/>
        </w:rPr>
      </w:pPr>
      <w:r w:rsidRPr="004D18DA">
        <w:rPr>
          <w:rFonts w:asciiTheme="majorHAnsi" w:hAnsiTheme="majorHAnsi"/>
          <w:szCs w:val="24"/>
          <w:lang w:val="hr-HR"/>
        </w:rPr>
        <w:t>Shodno dostupnim podacima za 2013. godinu, svega 14,8 % zaposlenih lica se bavi nekim vidom preduzetništva. Karakteristična je i rodna nejednakost u razvoju preduzetništva. Mušku populaciju karakteriše značajno veći stepen preduzetničke aktivnosti, odnosno sopstveni posao posjeduje 19.2% zaposlenih muškaraca, dok ovaj vid zaposlenja karakteriše svega 9.3% žena.</w:t>
      </w:r>
    </w:p>
    <w:p w:rsidR="001A2E8E" w:rsidRPr="004D18DA" w:rsidRDefault="001A2E8E" w:rsidP="00150A08">
      <w:pPr>
        <w:pStyle w:val="ListDash3"/>
        <w:numPr>
          <w:ilvl w:val="0"/>
          <w:numId w:val="0"/>
        </w:numPr>
        <w:spacing w:after="120" w:line="276" w:lineRule="auto"/>
        <w:rPr>
          <w:rFonts w:asciiTheme="majorHAnsi" w:hAnsiTheme="majorHAnsi"/>
          <w:szCs w:val="24"/>
          <w:lang w:val="hr-HR"/>
        </w:rPr>
      </w:pPr>
      <w:r w:rsidRPr="004D18DA">
        <w:rPr>
          <w:rFonts w:asciiTheme="majorHAnsi" w:hAnsiTheme="majorHAnsi"/>
          <w:szCs w:val="24"/>
          <w:lang w:val="hr-HR"/>
        </w:rPr>
        <w:t>Suzbijanje rada na crno jedan je od prioriteta crnogorske vlade, a značajan je nedostatak istraživanja i analiza u ovoj oblasti. Shodno istraživanju iz 2007. godine koje je sprovedeno od strane Instituta za strateške studije i prognozu (ISSP) 22,6% zaposlenih radi bilo u neregistrovanom preduzeću ili neprijavljeno u registrovanom preduzeću. U skladu sa tim kreću se rezultati i drugih nezvaninčnih istraživanja o ovom problemu. Rad na crno najviše je zastupljen  u trgovini, građevinarstvu, turizmu i ugostiteljstvu, zanatskim i industrijskim pogonima srednjih i malih preduzeća, firmama  koje se bave obezbjeđenjem imovine i lica, odnosno na onim poslovima koji su sezonskog karaktera.</w:t>
      </w:r>
    </w:p>
    <w:p w:rsidR="001A2E8E" w:rsidRPr="004D18DA" w:rsidRDefault="001A2E8E" w:rsidP="00150A08">
      <w:pPr>
        <w:pStyle w:val="ListDash3"/>
        <w:numPr>
          <w:ilvl w:val="0"/>
          <w:numId w:val="0"/>
        </w:numPr>
        <w:spacing w:after="120" w:line="276" w:lineRule="auto"/>
        <w:rPr>
          <w:rFonts w:asciiTheme="majorHAnsi" w:hAnsiTheme="majorHAnsi"/>
          <w:szCs w:val="24"/>
          <w:lang w:val="hr-HR"/>
        </w:rPr>
      </w:pPr>
      <w:r w:rsidRPr="004D18DA">
        <w:rPr>
          <w:rFonts w:asciiTheme="majorHAnsi" w:hAnsiTheme="majorHAnsi"/>
          <w:szCs w:val="24"/>
          <w:lang w:val="hr-HR"/>
        </w:rPr>
        <w:t>Radu na crno najviše su podložni mladi, bez obzira na kvalifikaciju i diplomu koju posjeduju, nekvalifikovani radnici i nezaposleni starije životne dobi, koji su u procesu tranzicije ostajali bez posla, pa i penzioneri. Glavni uzroci izraženog rada na crno ogledaju se u: nefleksibilnosti tržišta rada, visokoj stopi nezaposlenosti, niskoj profitnoj stopi, visokim poreskim opterećenjima poslodavaca,  ali i u ukupnoj kulturi neformalnog poslovanja razvijenoj tokom posljednjih decenija.</w:t>
      </w:r>
    </w:p>
    <w:p w:rsidR="001A2E8E" w:rsidRPr="004D18DA" w:rsidRDefault="001A2E8E" w:rsidP="00150A08">
      <w:pPr>
        <w:autoSpaceDE w:val="0"/>
        <w:autoSpaceDN w:val="0"/>
        <w:adjustRightInd w:val="0"/>
        <w:spacing w:after="120"/>
        <w:jc w:val="both"/>
        <w:rPr>
          <w:rFonts w:asciiTheme="majorHAnsi" w:eastAsia="Times New Roman" w:hAnsiTheme="majorHAnsi"/>
          <w:sz w:val="24"/>
          <w:szCs w:val="24"/>
          <w:lang w:val="hr-HR"/>
        </w:rPr>
      </w:pPr>
      <w:r w:rsidRPr="004D18DA">
        <w:rPr>
          <w:rFonts w:asciiTheme="majorHAnsi" w:eastAsia="Times New Roman" w:hAnsiTheme="majorHAnsi"/>
          <w:sz w:val="24"/>
          <w:szCs w:val="24"/>
          <w:lang w:val="hr-HR"/>
        </w:rPr>
        <w:t>Vezano za zakonodavstvo u ovoj oblasti i pravne tekovine EU, nužno je  dalje usklađivanje radnog zakonodavstva, kako bi se osigurala pravilna primjena acqui-a, posebno u segmentu jačanja administrativnih kapaciteta.</w:t>
      </w:r>
    </w:p>
    <w:p w:rsidR="001A2E8E" w:rsidRPr="004D18DA" w:rsidRDefault="001A2E8E" w:rsidP="00150A08">
      <w:pPr>
        <w:autoSpaceDE w:val="0"/>
        <w:autoSpaceDN w:val="0"/>
        <w:adjustRightInd w:val="0"/>
        <w:spacing w:after="120"/>
        <w:jc w:val="both"/>
        <w:rPr>
          <w:rFonts w:asciiTheme="majorHAnsi" w:eastAsia="Times New Roman" w:hAnsiTheme="majorHAnsi"/>
          <w:sz w:val="24"/>
          <w:szCs w:val="24"/>
          <w:lang w:val="hr-HR"/>
        </w:rPr>
      </w:pPr>
      <w:r w:rsidRPr="004D18DA">
        <w:rPr>
          <w:rFonts w:asciiTheme="majorHAnsi" w:eastAsia="Times New Roman" w:hAnsiTheme="majorHAnsi"/>
          <w:sz w:val="24"/>
          <w:szCs w:val="24"/>
          <w:lang w:val="hr-HR"/>
        </w:rPr>
        <w:t>Izvještaj o analitičkom pregledu usklađenosti (Screening Report) Crne Gore za Poglavlje 19 navodi kako je potrebno preduzeti odlučne akcije za povećanje stope aktivnosti i zaposlenosti, a kako bi se uklonila neusklađenost potreba i raspoloživih vještina, kao i jačanje kapaciteta Zavoda za zapošljavanje Crne Gore za efikasnu i pravovremeno sprovođenje mjera aktivne politike tržišta rada. Nadalje, potrebno je dodatno raditi na uklanjanju odstupanja u razvoju i zapošljavanju između sjevernog i drugih regiona zemlje. Dovoljna pažnja treba se posvetiti obrazovanju i osposobljavanju odraslih. Mreža lokalnih biroa rada treba biti adekvatno opremljena i proširiti opseg svojih usluga</w:t>
      </w:r>
      <w:r w:rsidR="007F0227" w:rsidRPr="004D18DA">
        <w:rPr>
          <w:rFonts w:asciiTheme="majorHAnsi" w:eastAsia="Times New Roman" w:hAnsiTheme="majorHAnsi"/>
          <w:sz w:val="24"/>
          <w:szCs w:val="24"/>
          <w:lang w:val="hr-HR"/>
        </w:rPr>
        <w:t xml:space="preserve"> kako bi mogli</w:t>
      </w:r>
      <w:r w:rsidRPr="004D18DA">
        <w:rPr>
          <w:rFonts w:asciiTheme="majorHAnsi" w:eastAsia="Times New Roman" w:hAnsiTheme="majorHAnsi"/>
          <w:sz w:val="24"/>
          <w:szCs w:val="24"/>
          <w:lang w:val="hr-HR"/>
        </w:rPr>
        <w:t xml:space="preserve"> pravovremeno sprovoditi načela Evropske strategije zapošljavanja, a treba ojačati saradnju između ZZZCG, posebno na nivou lokalnih biroa i obrazovnih institucija.</w:t>
      </w:r>
    </w:p>
    <w:p w:rsidR="001A2E8E" w:rsidRPr="004D18DA" w:rsidRDefault="001A2E8E" w:rsidP="00150A08">
      <w:pPr>
        <w:autoSpaceDE w:val="0"/>
        <w:autoSpaceDN w:val="0"/>
        <w:adjustRightInd w:val="0"/>
        <w:spacing w:after="120"/>
        <w:jc w:val="both"/>
        <w:rPr>
          <w:rFonts w:asciiTheme="majorHAnsi" w:eastAsia="Times New Roman" w:hAnsiTheme="majorHAnsi"/>
          <w:sz w:val="24"/>
          <w:szCs w:val="24"/>
          <w:lang w:val="hr-HR"/>
        </w:rPr>
      </w:pPr>
      <w:r w:rsidRPr="004D18DA">
        <w:rPr>
          <w:rFonts w:asciiTheme="majorHAnsi" w:eastAsia="Times New Roman" w:hAnsiTheme="majorHAnsi"/>
          <w:sz w:val="24"/>
          <w:szCs w:val="24"/>
          <w:lang w:val="hr-HR"/>
        </w:rPr>
        <w:t xml:space="preserve">U području zdravlja i zaštite na radu, Zakon o zdravlju i zaštiti na radu donesen je 25. jula 2014. Zakon propisuje donošenje podzakonskih akata za njegovo sprovođenje u roku od dvije godine nakon što zakon stupi na snagu. Nova strategija za unapređenje zdravlja zaposlenh i zaštite na radu za 2015-2020 planira se za II kvartal 2015. Direkcija za poslove zaštite na radu je osnovana u Ministarstvu rada i socijalnog staranja (MRSS) u martu 2013. godine u Direktoratu za rad. Međutim, Izvještaj o napretku Crne Gore za  2014. godinu navodi da su kapaciteti Uprave za inspekcijske poslove, uključujući i inspekciju rada, i dalje slabi, te da je potrebno učiniti dodatne aktivnosti kako </w:t>
      </w:r>
      <w:r w:rsidR="001A5728" w:rsidRPr="004D18DA">
        <w:rPr>
          <w:rFonts w:asciiTheme="majorHAnsi" w:eastAsia="Times New Roman" w:hAnsiTheme="majorHAnsi"/>
          <w:sz w:val="24"/>
          <w:szCs w:val="24"/>
          <w:lang w:val="hr-HR"/>
        </w:rPr>
        <w:t>b</w:t>
      </w:r>
      <w:r w:rsidRPr="004D18DA">
        <w:rPr>
          <w:rFonts w:asciiTheme="majorHAnsi" w:eastAsia="Times New Roman" w:hAnsiTheme="majorHAnsi"/>
          <w:sz w:val="24"/>
          <w:szCs w:val="24"/>
          <w:lang w:val="hr-HR"/>
        </w:rPr>
        <w:t>i se osigurali adekvatni kapaciteti. Jačanjem kapaciteta inspektora rada osiguraće se i djelotvornija borba protiv neprijavljenog rada i suzbijanje svih oblika rada na crno.</w:t>
      </w:r>
    </w:p>
    <w:p w:rsidR="001A2E8E" w:rsidRPr="004D18DA" w:rsidRDefault="001A2E8E" w:rsidP="00150A08">
      <w:pPr>
        <w:autoSpaceDE w:val="0"/>
        <w:autoSpaceDN w:val="0"/>
        <w:adjustRightInd w:val="0"/>
        <w:spacing w:after="120"/>
        <w:jc w:val="both"/>
        <w:rPr>
          <w:rFonts w:asciiTheme="majorHAnsi" w:eastAsia="Times New Roman" w:hAnsiTheme="majorHAnsi"/>
          <w:sz w:val="24"/>
          <w:szCs w:val="24"/>
          <w:lang w:val="hr-HR"/>
        </w:rPr>
      </w:pPr>
      <w:r w:rsidRPr="004D18DA">
        <w:rPr>
          <w:rFonts w:asciiTheme="majorHAnsi" w:eastAsia="Times New Roman" w:hAnsiTheme="majorHAnsi"/>
          <w:sz w:val="24"/>
          <w:szCs w:val="24"/>
          <w:lang w:val="hr-HR"/>
        </w:rPr>
        <w:t>U području socijalnog dijaloga, Opšti kolektivni ugovor stupio je na snagu u martu 2014. godine. Usvajanjem izmjena i dopuna Zakona o socijalnom savjetu, Sekretarijatu ovog vijeća određen je i osiguran budžet za tehničko i administrativno funkcionisanje. Međutim, procijenjeno je da bipartitni socijalni dijalog,  posebno u privatnom sektoru i na korporativnom nivou, i dalje slab, dok kapaciteti socijalnih partnera zahtijevaju dalje jačanje.</w:t>
      </w:r>
      <w:r w:rsidR="00337921" w:rsidRPr="004D18DA">
        <w:rPr>
          <w:rFonts w:asciiTheme="majorHAnsi" w:eastAsia="Times New Roman" w:hAnsiTheme="majorHAnsi"/>
          <w:sz w:val="24"/>
          <w:szCs w:val="24"/>
          <w:lang w:val="hr-HR"/>
        </w:rPr>
        <w:t xml:space="preserve"> Veoma značajno je unaprijeđenje i razvoj socijalnog partnerstva na lokalnom nivou. </w:t>
      </w:r>
    </w:p>
    <w:p w:rsidR="001A2E8E" w:rsidRPr="004D18DA" w:rsidRDefault="001A2E8E" w:rsidP="00150A08">
      <w:pPr>
        <w:autoSpaceDE w:val="0"/>
        <w:autoSpaceDN w:val="0"/>
        <w:adjustRightInd w:val="0"/>
        <w:spacing w:after="120"/>
        <w:jc w:val="both"/>
        <w:rPr>
          <w:rFonts w:asciiTheme="majorHAnsi" w:eastAsia="Times New Roman" w:hAnsiTheme="majorHAnsi"/>
          <w:sz w:val="24"/>
          <w:szCs w:val="24"/>
          <w:lang w:val="hr-HR"/>
        </w:rPr>
      </w:pPr>
      <w:r w:rsidRPr="004D18DA">
        <w:rPr>
          <w:rFonts w:asciiTheme="majorHAnsi" w:eastAsia="Times New Roman" w:hAnsiTheme="majorHAnsi"/>
          <w:sz w:val="24"/>
          <w:szCs w:val="24"/>
          <w:lang w:val="hr-HR"/>
        </w:rPr>
        <w:t xml:space="preserve">U pogledu zakonodavnog okvira, oblast tržišta rada i zapošljavanja uređena je setom zakona kojim je obuhvaćeno: radno pravo, socijalni dijalog, zaštita radnika u slučaju nezaposlenosti, preduzeća, mirno rješavanje radnih sporova, zdravlje i zaštita na radu, zapošljavanje i osiguranje od nezaposlenosti, profesionalna rehabilitacija i zapošljavanje lica sa invaliditetom, zapošljavanje i rad stranaca u Crnoj Gori. U cjelini gledano, zakonodavni okvir je značajno rekonstruisan sa ciljem veće harmonizacije sa EU standardima. Dalji proces usaglašavanja će teći u skladu sa tokom pregovora vezanih za Poglavlje 19 i Akcionim planom za ovo poglavlje koji </w:t>
      </w:r>
      <w:r w:rsidR="00092B12" w:rsidRPr="004D18DA">
        <w:rPr>
          <w:rFonts w:asciiTheme="majorHAnsi" w:eastAsia="Times New Roman" w:hAnsiTheme="majorHAnsi"/>
          <w:sz w:val="24"/>
          <w:szCs w:val="24"/>
          <w:lang w:val="hr-HR"/>
        </w:rPr>
        <w:t>je Vlada usvojila u martu 2015.godine.</w:t>
      </w:r>
      <w:r w:rsidRPr="004D18DA">
        <w:rPr>
          <w:rFonts w:asciiTheme="majorHAnsi" w:eastAsia="Times New Roman" w:hAnsiTheme="majorHAnsi"/>
          <w:sz w:val="24"/>
          <w:szCs w:val="24"/>
          <w:lang w:val="hr-HR"/>
        </w:rPr>
        <w:t xml:space="preserve"> </w:t>
      </w:r>
    </w:p>
    <w:p w:rsidR="001A2E8E" w:rsidRPr="004D18DA" w:rsidRDefault="001A2E8E" w:rsidP="00150A08">
      <w:pPr>
        <w:autoSpaceDE w:val="0"/>
        <w:autoSpaceDN w:val="0"/>
        <w:adjustRightInd w:val="0"/>
        <w:spacing w:after="120"/>
        <w:jc w:val="both"/>
        <w:rPr>
          <w:rFonts w:asciiTheme="majorHAnsi" w:eastAsia="Times New Roman" w:hAnsiTheme="majorHAnsi"/>
          <w:sz w:val="24"/>
          <w:szCs w:val="24"/>
          <w:lang w:val="hr-HR"/>
        </w:rPr>
      </w:pPr>
      <w:r w:rsidRPr="004D18DA">
        <w:rPr>
          <w:rFonts w:asciiTheme="majorHAnsi" w:eastAsia="Times New Roman" w:hAnsiTheme="majorHAnsi"/>
          <w:sz w:val="24"/>
          <w:szCs w:val="24"/>
          <w:lang w:val="hr-HR"/>
        </w:rPr>
        <w:t>Institucionalno, tržište rada primarno “pokrivaju” Ministarstvo rada i socijalnog staranja, Zavod za zapošljavanje, Fond rada, Agencija za mirno rješavanje radnih sporova, Uprava za inspekcijske poslova (Inspekcija rada i zaštite zdravlja na radu), dok se tripartitni socijalni dijalog odvija u okviru Socijalnog savjeta Crne Gore i lokalnih socijalnih savjeta.</w:t>
      </w:r>
    </w:p>
    <w:p w:rsidR="001A2E8E" w:rsidRPr="004D18DA" w:rsidRDefault="001A2E8E" w:rsidP="00150A08">
      <w:pPr>
        <w:autoSpaceDE w:val="0"/>
        <w:autoSpaceDN w:val="0"/>
        <w:adjustRightInd w:val="0"/>
        <w:spacing w:after="120"/>
        <w:jc w:val="both"/>
        <w:rPr>
          <w:rFonts w:asciiTheme="majorHAnsi" w:eastAsia="Times New Roman" w:hAnsiTheme="majorHAnsi"/>
          <w:sz w:val="24"/>
          <w:szCs w:val="24"/>
          <w:lang w:val="hr-HR"/>
        </w:rPr>
      </w:pPr>
      <w:r w:rsidRPr="004D18DA">
        <w:rPr>
          <w:rFonts w:asciiTheme="majorHAnsi" w:eastAsia="Times New Roman" w:hAnsiTheme="majorHAnsi"/>
          <w:b/>
          <w:sz w:val="24"/>
          <w:szCs w:val="24"/>
          <w:lang w:val="hr-HR"/>
        </w:rPr>
        <w:t>Specifični cilj</w:t>
      </w:r>
      <w:r w:rsidRPr="004D18DA">
        <w:rPr>
          <w:rFonts w:asciiTheme="majorHAnsi" w:eastAsia="Times New Roman" w:hAnsiTheme="majorHAnsi"/>
          <w:sz w:val="24"/>
          <w:szCs w:val="24"/>
          <w:lang w:val="hr-HR"/>
        </w:rPr>
        <w:t xml:space="preserve"> ove akcije je unaprijeđenje uslova za kontinuirano kreiranje novih radnih mjesta za nezaposlene i neaktivne osobe, imajući u vidu regionalne potrebe i razlike, te </w:t>
      </w:r>
      <w:r w:rsidR="009F5746" w:rsidRPr="004D18DA">
        <w:rPr>
          <w:rFonts w:asciiTheme="majorHAnsi" w:eastAsia="Times New Roman" w:hAnsiTheme="majorHAnsi"/>
          <w:sz w:val="24"/>
          <w:szCs w:val="24"/>
          <w:lang w:val="hr-HR"/>
        </w:rPr>
        <w:t xml:space="preserve">unaprijeđenje </w:t>
      </w:r>
      <w:r w:rsidRPr="004D18DA">
        <w:rPr>
          <w:rFonts w:asciiTheme="majorHAnsi" w:eastAsia="Times New Roman" w:hAnsiTheme="majorHAnsi"/>
          <w:sz w:val="24"/>
          <w:szCs w:val="24"/>
          <w:lang w:val="hr-HR"/>
        </w:rPr>
        <w:t xml:space="preserve"> socijalnog dijaloga. </w:t>
      </w:r>
    </w:p>
    <w:p w:rsidR="001A2E8E" w:rsidRPr="00704222" w:rsidRDefault="001A2E8E" w:rsidP="00150A08">
      <w:pPr>
        <w:autoSpaceDE w:val="0"/>
        <w:autoSpaceDN w:val="0"/>
        <w:adjustRightInd w:val="0"/>
        <w:spacing w:after="120"/>
        <w:jc w:val="both"/>
        <w:rPr>
          <w:rFonts w:asciiTheme="majorHAnsi" w:eastAsia="Times New Roman" w:hAnsiTheme="majorHAnsi"/>
          <w:sz w:val="24"/>
          <w:szCs w:val="24"/>
          <w:lang w:val="hr-HR"/>
        </w:rPr>
      </w:pPr>
      <w:r w:rsidRPr="00704222">
        <w:rPr>
          <w:rFonts w:asciiTheme="majorHAnsi" w:eastAsia="Times New Roman" w:hAnsiTheme="majorHAnsi"/>
          <w:sz w:val="24"/>
          <w:szCs w:val="24"/>
          <w:lang w:val="hr-HR"/>
        </w:rPr>
        <w:t xml:space="preserve">Ovaj cilj kroz osiguranje boljih uslova za podizanje nivoa zapošljivosti stanovništva doprinijeće opšem cilju ovog SOP-a. </w:t>
      </w:r>
    </w:p>
    <w:p w:rsidR="001A2E8E" w:rsidRDefault="001A2E8E" w:rsidP="00150A08">
      <w:pPr>
        <w:autoSpaceDE w:val="0"/>
        <w:autoSpaceDN w:val="0"/>
        <w:adjustRightInd w:val="0"/>
        <w:spacing w:after="120"/>
        <w:jc w:val="both"/>
        <w:rPr>
          <w:rFonts w:asciiTheme="majorHAnsi" w:eastAsia="Times New Roman" w:hAnsiTheme="majorHAnsi"/>
          <w:sz w:val="24"/>
          <w:szCs w:val="24"/>
          <w:lang w:val="hr-HR"/>
        </w:rPr>
      </w:pPr>
      <w:r w:rsidRPr="00704222">
        <w:rPr>
          <w:rFonts w:asciiTheme="majorHAnsi" w:eastAsia="Times New Roman" w:hAnsiTheme="majorHAnsi"/>
          <w:sz w:val="24"/>
          <w:szCs w:val="24"/>
          <w:lang w:val="hr-HR"/>
        </w:rPr>
        <w:t>Prilikom unaprijeđivanja uslova za kreiranje novih radnih mjesta posebna će se pažnja posvetiti dugotrajno nezaposlenim osobama, mladima (posebno visoko obrazovanima), pripadnicima marginaliz</w:t>
      </w:r>
      <w:r w:rsidR="009F5746" w:rsidRPr="00704222">
        <w:rPr>
          <w:rFonts w:asciiTheme="majorHAnsi" w:eastAsia="Times New Roman" w:hAnsiTheme="majorHAnsi"/>
          <w:sz w:val="24"/>
          <w:szCs w:val="24"/>
          <w:lang w:val="hr-HR"/>
        </w:rPr>
        <w:t>ovanih</w:t>
      </w:r>
      <w:r w:rsidRPr="00704222">
        <w:rPr>
          <w:rFonts w:asciiTheme="majorHAnsi" w:eastAsia="Times New Roman" w:hAnsiTheme="majorHAnsi"/>
          <w:sz w:val="24"/>
          <w:szCs w:val="24"/>
          <w:lang w:val="hr-HR"/>
        </w:rPr>
        <w:t xml:space="preserve"> grupa (poput pripadnika </w:t>
      </w:r>
      <w:r w:rsidR="001A5728" w:rsidRPr="00704222">
        <w:rPr>
          <w:rFonts w:asciiTheme="majorHAnsi" w:eastAsia="Times New Roman" w:hAnsiTheme="majorHAnsi"/>
          <w:sz w:val="24"/>
          <w:szCs w:val="24"/>
          <w:lang w:val="hr-HR"/>
        </w:rPr>
        <w:t>RE populacije</w:t>
      </w:r>
      <w:r w:rsidRPr="00704222">
        <w:rPr>
          <w:rFonts w:asciiTheme="majorHAnsi" w:eastAsia="Times New Roman" w:hAnsiTheme="majorHAnsi"/>
          <w:sz w:val="24"/>
          <w:szCs w:val="24"/>
          <w:lang w:val="hr-HR"/>
        </w:rPr>
        <w:t xml:space="preserve">) i to kroz unaprijeđenje mjera aktivne politike tržišta rada i uključivanjem većeg broja osoba u mjere s posebnim naglaskom na prethodno navedene grupe. Takođe će se pružati potpora slabije razvijenim područjima Crne Gore, kao i jačanju inicijativa vezanih za lokalna partnerstva za zapošljavanje i unaprijeđenje socijalnog dijaloga. </w:t>
      </w:r>
    </w:p>
    <w:p w:rsidR="00150A08" w:rsidRDefault="00150A08" w:rsidP="00150A08">
      <w:pPr>
        <w:autoSpaceDE w:val="0"/>
        <w:autoSpaceDN w:val="0"/>
        <w:adjustRightInd w:val="0"/>
        <w:spacing w:after="120"/>
        <w:jc w:val="both"/>
        <w:rPr>
          <w:rFonts w:asciiTheme="majorHAnsi" w:eastAsia="Times New Roman" w:hAnsiTheme="majorHAnsi"/>
          <w:sz w:val="24"/>
          <w:szCs w:val="24"/>
          <w:lang w:val="hr-HR"/>
        </w:rPr>
      </w:pPr>
    </w:p>
    <w:p w:rsidR="00150A08" w:rsidRPr="00704222" w:rsidRDefault="00150A08" w:rsidP="00150A08">
      <w:pPr>
        <w:autoSpaceDE w:val="0"/>
        <w:autoSpaceDN w:val="0"/>
        <w:adjustRightInd w:val="0"/>
        <w:spacing w:after="120"/>
        <w:jc w:val="both"/>
        <w:rPr>
          <w:rFonts w:asciiTheme="majorHAnsi" w:eastAsia="Times New Roman" w:hAnsiTheme="majorHAnsi"/>
          <w:sz w:val="24"/>
          <w:szCs w:val="24"/>
          <w:lang w:val="hr-HR"/>
        </w:rPr>
      </w:pPr>
    </w:p>
    <w:p w:rsidR="001A2E8E" w:rsidRDefault="001A2E8E" w:rsidP="001A2E8E">
      <w:pPr>
        <w:autoSpaceDE w:val="0"/>
        <w:autoSpaceDN w:val="0"/>
        <w:adjustRightInd w:val="0"/>
        <w:spacing w:after="120" w:line="240" w:lineRule="auto"/>
        <w:jc w:val="both"/>
        <w:rPr>
          <w:rFonts w:ascii="Times New Roman" w:hAnsi="Times New Roman"/>
          <w:b/>
          <w:sz w:val="24"/>
          <w:szCs w:val="24"/>
          <w:lang w:val="hr-HR"/>
        </w:rPr>
      </w:pPr>
    </w:p>
    <w:p w:rsidR="001A2E8E" w:rsidRPr="00704222" w:rsidRDefault="001A2E8E" w:rsidP="001A2E8E">
      <w:pPr>
        <w:autoSpaceDE w:val="0"/>
        <w:autoSpaceDN w:val="0"/>
        <w:adjustRightInd w:val="0"/>
        <w:spacing w:after="120" w:line="240" w:lineRule="auto"/>
        <w:jc w:val="both"/>
        <w:rPr>
          <w:rFonts w:asciiTheme="majorHAnsi" w:hAnsiTheme="majorHAnsi"/>
          <w:sz w:val="24"/>
          <w:szCs w:val="24"/>
          <w:lang w:val="hr-HR"/>
        </w:rPr>
      </w:pPr>
      <w:r w:rsidRPr="00704222">
        <w:rPr>
          <w:rFonts w:asciiTheme="majorHAnsi" w:hAnsiTheme="majorHAnsi"/>
          <w:b/>
          <w:sz w:val="24"/>
          <w:szCs w:val="24"/>
          <w:lang w:val="hr-HR"/>
        </w:rPr>
        <w:t>Predviđene aktivnosti unutar Akcije „Unaprijeđenje tržišta rada i po</w:t>
      </w:r>
      <w:r w:rsidR="00A063E7" w:rsidRPr="00704222">
        <w:rPr>
          <w:rFonts w:asciiTheme="majorHAnsi" w:hAnsiTheme="majorHAnsi"/>
          <w:b/>
          <w:sz w:val="24"/>
          <w:szCs w:val="24"/>
          <w:lang w:val="hr-HR"/>
        </w:rPr>
        <w:t>većanje</w:t>
      </w:r>
      <w:r w:rsidRPr="00704222">
        <w:rPr>
          <w:rFonts w:asciiTheme="majorHAnsi" w:hAnsiTheme="majorHAnsi"/>
          <w:b/>
          <w:sz w:val="24"/>
          <w:szCs w:val="24"/>
          <w:lang w:val="hr-HR"/>
        </w:rPr>
        <w:t xml:space="preserve"> zapošljivosti“</w:t>
      </w:r>
      <w:r w:rsidRPr="00704222">
        <w:rPr>
          <w:rFonts w:asciiTheme="majorHAnsi" w:hAnsiTheme="majorHAnsi"/>
          <w:sz w:val="24"/>
          <w:szCs w:val="24"/>
          <w:lang w:val="hr-HR"/>
        </w:rPr>
        <w:t xml:space="preserve"> su:</w:t>
      </w:r>
    </w:p>
    <w:p w:rsidR="001A2E8E" w:rsidRPr="00B0184A" w:rsidRDefault="001A2E8E" w:rsidP="001A2E8E">
      <w:pPr>
        <w:autoSpaceDE w:val="0"/>
        <w:autoSpaceDN w:val="0"/>
        <w:adjustRightInd w:val="0"/>
        <w:spacing w:after="120" w:line="240" w:lineRule="auto"/>
        <w:jc w:val="both"/>
        <w:rPr>
          <w:rFonts w:ascii="Times New Roman" w:hAnsi="Times New Roman"/>
          <w:sz w:val="24"/>
          <w:szCs w:val="24"/>
          <w:lang w:val="hr-HR"/>
        </w:rPr>
      </w:pPr>
    </w:p>
    <w:p w:rsidR="001A2E8E" w:rsidRPr="00704222" w:rsidRDefault="001A2E8E" w:rsidP="00150A08">
      <w:pPr>
        <w:pStyle w:val="ListParagraph"/>
        <w:numPr>
          <w:ilvl w:val="0"/>
          <w:numId w:val="18"/>
        </w:numPr>
        <w:autoSpaceDE w:val="0"/>
        <w:autoSpaceDN w:val="0"/>
        <w:adjustRightInd w:val="0"/>
        <w:spacing w:after="120"/>
        <w:jc w:val="both"/>
        <w:rPr>
          <w:rFonts w:asciiTheme="majorHAnsi" w:hAnsiTheme="majorHAnsi"/>
          <w:sz w:val="24"/>
          <w:szCs w:val="24"/>
          <w:lang w:val="hr-HR"/>
        </w:rPr>
      </w:pPr>
      <w:r w:rsidRPr="00704222">
        <w:rPr>
          <w:rFonts w:asciiTheme="majorHAnsi" w:hAnsiTheme="majorHAnsi"/>
          <w:sz w:val="24"/>
          <w:szCs w:val="24"/>
          <w:lang w:val="hr-HR"/>
        </w:rPr>
        <w:t xml:space="preserve">Direktna dodjela sredstava Zavodu za zapošljavanje Crne Gore za </w:t>
      </w:r>
      <w:r w:rsidR="001A5728" w:rsidRPr="00704222">
        <w:rPr>
          <w:rFonts w:asciiTheme="majorHAnsi" w:hAnsiTheme="majorHAnsi"/>
          <w:sz w:val="24"/>
          <w:szCs w:val="24"/>
          <w:lang w:val="hr-HR"/>
        </w:rPr>
        <w:t>s</w:t>
      </w:r>
      <w:r w:rsidRPr="00704222">
        <w:rPr>
          <w:rFonts w:asciiTheme="majorHAnsi" w:hAnsiTheme="majorHAnsi"/>
          <w:sz w:val="24"/>
          <w:szCs w:val="24"/>
          <w:lang w:val="hr-HR"/>
        </w:rPr>
        <w:t>prov</w:t>
      </w:r>
      <w:r w:rsidR="001A5728" w:rsidRPr="00704222">
        <w:rPr>
          <w:rFonts w:asciiTheme="majorHAnsi" w:hAnsiTheme="majorHAnsi"/>
          <w:sz w:val="24"/>
          <w:szCs w:val="24"/>
          <w:lang w:val="hr-HR"/>
        </w:rPr>
        <w:t xml:space="preserve">ođenje </w:t>
      </w:r>
      <w:r w:rsidRPr="00704222">
        <w:rPr>
          <w:rFonts w:asciiTheme="majorHAnsi" w:hAnsiTheme="majorHAnsi"/>
          <w:sz w:val="24"/>
          <w:szCs w:val="24"/>
          <w:lang w:val="hr-HR"/>
        </w:rPr>
        <w:t>mjera aktivne politke tržišta rada</w:t>
      </w:r>
      <w:r w:rsidR="00847E9C" w:rsidRPr="00704222">
        <w:rPr>
          <w:rFonts w:asciiTheme="majorHAnsi" w:hAnsiTheme="majorHAnsi"/>
          <w:sz w:val="24"/>
          <w:szCs w:val="24"/>
          <w:lang w:val="hr-HR"/>
        </w:rPr>
        <w:t xml:space="preserve">, uključujući između ostalog unaprijeđenje </w:t>
      </w:r>
      <w:r w:rsidRPr="00704222">
        <w:rPr>
          <w:rFonts w:asciiTheme="majorHAnsi" w:hAnsiTheme="majorHAnsi"/>
          <w:sz w:val="24"/>
          <w:szCs w:val="24"/>
          <w:lang w:val="hr-HR"/>
        </w:rPr>
        <w:t xml:space="preserve"> samozapošljavanj</w:t>
      </w:r>
      <w:r w:rsidR="00847E9C" w:rsidRPr="00704222">
        <w:rPr>
          <w:rFonts w:asciiTheme="majorHAnsi" w:hAnsiTheme="majorHAnsi"/>
          <w:sz w:val="24"/>
          <w:szCs w:val="24"/>
          <w:lang w:val="hr-HR"/>
        </w:rPr>
        <w:t xml:space="preserve">a, </w:t>
      </w:r>
      <w:r w:rsidR="00882FA7" w:rsidRPr="00704222">
        <w:rPr>
          <w:rFonts w:asciiTheme="majorHAnsi" w:hAnsiTheme="majorHAnsi"/>
          <w:sz w:val="24"/>
          <w:szCs w:val="24"/>
          <w:lang w:val="hr-HR"/>
        </w:rPr>
        <w:t>obuke</w:t>
      </w:r>
      <w:r w:rsidRPr="00704222">
        <w:rPr>
          <w:rFonts w:asciiTheme="majorHAnsi" w:hAnsiTheme="majorHAnsi"/>
          <w:sz w:val="24"/>
          <w:szCs w:val="24"/>
          <w:lang w:val="hr-HR"/>
        </w:rPr>
        <w:t xml:space="preserve"> za zelene poslove</w:t>
      </w:r>
      <w:r w:rsidR="00847E9C" w:rsidRPr="00704222">
        <w:rPr>
          <w:rFonts w:asciiTheme="majorHAnsi" w:hAnsiTheme="majorHAnsi"/>
          <w:sz w:val="24"/>
          <w:szCs w:val="24"/>
          <w:lang w:val="hr-HR"/>
        </w:rPr>
        <w:t>,</w:t>
      </w:r>
      <w:r w:rsidR="0085795C" w:rsidRPr="00704222">
        <w:rPr>
          <w:rFonts w:asciiTheme="majorHAnsi" w:hAnsiTheme="majorHAnsi"/>
          <w:sz w:val="24"/>
          <w:szCs w:val="24"/>
          <w:lang w:val="hr-HR"/>
        </w:rPr>
        <w:t xml:space="preserve"> </w:t>
      </w:r>
      <w:r w:rsidRPr="00704222">
        <w:rPr>
          <w:rFonts w:asciiTheme="majorHAnsi" w:hAnsiTheme="majorHAnsi"/>
          <w:sz w:val="24"/>
          <w:szCs w:val="24"/>
          <w:lang w:val="hr-HR"/>
        </w:rPr>
        <w:t>obuk</w:t>
      </w:r>
      <w:r w:rsidR="00847E9C" w:rsidRPr="00704222">
        <w:rPr>
          <w:rFonts w:asciiTheme="majorHAnsi" w:hAnsiTheme="majorHAnsi"/>
          <w:sz w:val="24"/>
          <w:szCs w:val="24"/>
          <w:lang w:val="hr-HR"/>
        </w:rPr>
        <w:t>e</w:t>
      </w:r>
      <w:r w:rsidRPr="00704222">
        <w:rPr>
          <w:rFonts w:asciiTheme="majorHAnsi" w:hAnsiTheme="majorHAnsi"/>
          <w:sz w:val="24"/>
          <w:szCs w:val="24"/>
          <w:lang w:val="hr-HR"/>
        </w:rPr>
        <w:t xml:space="preserve"> za zapošljavanje u velikim razvojnim projektima</w:t>
      </w:r>
      <w:r w:rsidR="0085795C" w:rsidRPr="00704222">
        <w:rPr>
          <w:rFonts w:asciiTheme="majorHAnsi" w:hAnsiTheme="majorHAnsi"/>
          <w:sz w:val="24"/>
          <w:szCs w:val="24"/>
          <w:lang w:val="hr-HR"/>
        </w:rPr>
        <w:t xml:space="preserve">, </w:t>
      </w:r>
      <w:r w:rsidRPr="00704222">
        <w:rPr>
          <w:rFonts w:asciiTheme="majorHAnsi" w:hAnsiTheme="majorHAnsi"/>
          <w:sz w:val="24"/>
          <w:szCs w:val="24"/>
          <w:lang w:val="hr-HR"/>
        </w:rPr>
        <w:t>zapošljavanje u manje razvijenim područjima Crne Gore</w:t>
      </w:r>
      <w:r w:rsidR="00AA4CD3" w:rsidRPr="00704222">
        <w:rPr>
          <w:rFonts w:asciiTheme="majorHAnsi" w:hAnsiTheme="majorHAnsi"/>
          <w:sz w:val="24"/>
          <w:szCs w:val="24"/>
          <w:lang w:val="hr-HR"/>
        </w:rPr>
        <w:t>, povećanje pristupa tržištu rada, povećanje zaposlenosti i podrška u sticanju preduzetničih znanja i vještina kroz programe obuka za RE populaciju</w:t>
      </w:r>
      <w:r w:rsidR="0085795C" w:rsidRPr="00704222">
        <w:rPr>
          <w:rFonts w:asciiTheme="majorHAnsi" w:hAnsiTheme="majorHAnsi"/>
          <w:sz w:val="24"/>
          <w:szCs w:val="24"/>
          <w:lang w:val="hr-HR"/>
        </w:rPr>
        <w:t>.</w:t>
      </w:r>
    </w:p>
    <w:p w:rsidR="001A2E8E" w:rsidRPr="00704222" w:rsidRDefault="00847E9C" w:rsidP="00150A08">
      <w:pPr>
        <w:pStyle w:val="ListParagraph"/>
        <w:numPr>
          <w:ilvl w:val="0"/>
          <w:numId w:val="18"/>
        </w:numPr>
        <w:autoSpaceDE w:val="0"/>
        <w:autoSpaceDN w:val="0"/>
        <w:adjustRightInd w:val="0"/>
        <w:spacing w:after="120"/>
        <w:jc w:val="both"/>
        <w:rPr>
          <w:rFonts w:asciiTheme="majorHAnsi" w:hAnsiTheme="majorHAnsi"/>
          <w:sz w:val="24"/>
          <w:szCs w:val="24"/>
          <w:lang w:val="hr-HR"/>
        </w:rPr>
      </w:pPr>
      <w:r w:rsidRPr="00704222">
        <w:rPr>
          <w:rFonts w:asciiTheme="majorHAnsi" w:hAnsiTheme="majorHAnsi"/>
          <w:sz w:val="24"/>
          <w:szCs w:val="24"/>
          <w:lang w:val="hr-HR"/>
        </w:rPr>
        <w:t>Ugovor o uslugama za f</w:t>
      </w:r>
      <w:r w:rsidR="001A2E8E" w:rsidRPr="00704222">
        <w:rPr>
          <w:rFonts w:asciiTheme="majorHAnsi" w:hAnsiTheme="majorHAnsi"/>
          <w:sz w:val="24"/>
          <w:szCs w:val="24"/>
          <w:lang w:val="hr-HR"/>
        </w:rPr>
        <w:t>ormiranje lokalnih partnerstava za zapošljavanje i unprijeđenje socijalnog dijaloga, i  realizacija obuka potencijalnih aplikanata za korišćenje grantova za podršku zapošljavanju iz EU fondova</w:t>
      </w:r>
      <w:r w:rsidR="0085795C" w:rsidRPr="00704222">
        <w:rPr>
          <w:rFonts w:asciiTheme="majorHAnsi" w:hAnsiTheme="majorHAnsi"/>
          <w:sz w:val="24"/>
          <w:szCs w:val="24"/>
          <w:lang w:val="hr-HR"/>
        </w:rPr>
        <w:t xml:space="preserve">. </w:t>
      </w:r>
    </w:p>
    <w:p w:rsidR="001A2E8E" w:rsidRPr="008F5ECE" w:rsidRDefault="001A2E8E" w:rsidP="008F5ECE">
      <w:pPr>
        <w:autoSpaceDE w:val="0"/>
        <w:autoSpaceDN w:val="0"/>
        <w:adjustRightInd w:val="0"/>
        <w:spacing w:after="120" w:line="240" w:lineRule="auto"/>
        <w:jc w:val="both"/>
        <w:rPr>
          <w:rFonts w:ascii="Times New Roman" w:hAnsi="Times New Roman"/>
          <w:sz w:val="24"/>
          <w:szCs w:val="24"/>
          <w:lang w:val="hr-HR"/>
        </w:rPr>
      </w:pPr>
    </w:p>
    <w:p w:rsidR="001A2E8E" w:rsidRPr="00704222" w:rsidRDefault="0085795C" w:rsidP="00150A08">
      <w:pPr>
        <w:autoSpaceDE w:val="0"/>
        <w:autoSpaceDN w:val="0"/>
        <w:adjustRightInd w:val="0"/>
        <w:spacing w:after="120"/>
        <w:jc w:val="both"/>
        <w:rPr>
          <w:rFonts w:asciiTheme="majorHAnsi" w:hAnsiTheme="majorHAnsi"/>
          <w:b/>
          <w:sz w:val="24"/>
          <w:szCs w:val="24"/>
          <w:lang w:val="hr-HR"/>
        </w:rPr>
      </w:pPr>
      <w:r w:rsidRPr="00704222">
        <w:rPr>
          <w:rFonts w:asciiTheme="majorHAnsi" w:hAnsiTheme="majorHAnsi"/>
          <w:b/>
          <w:sz w:val="24"/>
          <w:szCs w:val="24"/>
          <w:lang w:val="hr-HR"/>
        </w:rPr>
        <w:t xml:space="preserve">Ciljne grupe: </w:t>
      </w:r>
    </w:p>
    <w:p w:rsidR="001A2E8E" w:rsidRPr="00704222" w:rsidRDefault="001A2E8E"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sz w:val="24"/>
          <w:szCs w:val="24"/>
          <w:lang w:val="hr-HR"/>
        </w:rPr>
        <w:t>Ad1) Nezaposlene osobe registro</w:t>
      </w:r>
      <w:r w:rsidR="0085795C" w:rsidRPr="00704222">
        <w:rPr>
          <w:rFonts w:asciiTheme="majorHAnsi" w:hAnsiTheme="majorHAnsi"/>
          <w:sz w:val="24"/>
          <w:szCs w:val="24"/>
          <w:lang w:val="hr-HR"/>
        </w:rPr>
        <w:t xml:space="preserve">vane na Zavodu za zapošljavanje, </w:t>
      </w:r>
      <w:r w:rsidRPr="00704222">
        <w:rPr>
          <w:rFonts w:asciiTheme="majorHAnsi" w:hAnsiTheme="majorHAnsi"/>
          <w:sz w:val="24"/>
          <w:szCs w:val="24"/>
          <w:lang w:val="hr-HR"/>
        </w:rPr>
        <w:t>posebno dugotrajno nezaposlene osobe, mladi, žene</w:t>
      </w:r>
      <w:r w:rsidR="00847E9C" w:rsidRPr="00704222">
        <w:rPr>
          <w:rFonts w:asciiTheme="majorHAnsi" w:hAnsiTheme="majorHAnsi"/>
          <w:sz w:val="24"/>
          <w:szCs w:val="24"/>
          <w:lang w:val="hr-HR"/>
        </w:rPr>
        <w:t xml:space="preserve">, </w:t>
      </w:r>
      <w:r w:rsidRPr="00704222">
        <w:rPr>
          <w:rFonts w:asciiTheme="majorHAnsi" w:hAnsiTheme="majorHAnsi"/>
          <w:sz w:val="24"/>
          <w:szCs w:val="24"/>
          <w:lang w:val="hr-HR"/>
        </w:rPr>
        <w:t>osobe koje će se specijalizirati u zelenim poslovima, poslodavci</w:t>
      </w:r>
      <w:r w:rsidR="0085795C" w:rsidRPr="00704222">
        <w:rPr>
          <w:rFonts w:asciiTheme="majorHAnsi" w:hAnsiTheme="majorHAnsi"/>
          <w:sz w:val="24"/>
          <w:szCs w:val="24"/>
          <w:lang w:val="hr-HR"/>
        </w:rPr>
        <w:t xml:space="preserve">, </w:t>
      </w:r>
      <w:r w:rsidRPr="00704222">
        <w:rPr>
          <w:rFonts w:asciiTheme="majorHAnsi" w:hAnsiTheme="majorHAnsi"/>
          <w:sz w:val="24"/>
          <w:szCs w:val="24"/>
          <w:lang w:val="hr-HR"/>
        </w:rPr>
        <w:t>osobe niskog stepena obrazovanja</w:t>
      </w:r>
      <w:r w:rsidR="0085795C" w:rsidRPr="00704222">
        <w:rPr>
          <w:rFonts w:asciiTheme="majorHAnsi" w:hAnsiTheme="majorHAnsi"/>
          <w:sz w:val="24"/>
          <w:szCs w:val="24"/>
          <w:lang w:val="hr-HR"/>
        </w:rPr>
        <w:t>, n</w:t>
      </w:r>
      <w:r w:rsidRPr="00704222">
        <w:rPr>
          <w:rFonts w:asciiTheme="majorHAnsi" w:hAnsiTheme="majorHAnsi"/>
          <w:sz w:val="24"/>
          <w:szCs w:val="24"/>
          <w:lang w:val="hr-HR"/>
        </w:rPr>
        <w:t>ezaposlene osobe  u manje razvijenim područjima</w:t>
      </w:r>
      <w:r w:rsidR="00847E9C" w:rsidRPr="00704222">
        <w:rPr>
          <w:rFonts w:asciiTheme="majorHAnsi" w:hAnsiTheme="majorHAnsi"/>
          <w:sz w:val="24"/>
          <w:szCs w:val="24"/>
          <w:lang w:val="hr-HR"/>
        </w:rPr>
        <w:t>, pripadnici marginalizovanih grupa, posebno pripadnici RE populacije</w:t>
      </w:r>
      <w:r w:rsidR="0085795C" w:rsidRPr="00704222">
        <w:rPr>
          <w:rFonts w:asciiTheme="majorHAnsi" w:hAnsiTheme="majorHAnsi"/>
          <w:sz w:val="24"/>
          <w:szCs w:val="24"/>
          <w:lang w:val="hr-HR"/>
        </w:rPr>
        <w:t xml:space="preserve">. </w:t>
      </w:r>
    </w:p>
    <w:p w:rsidR="001A2E8E" w:rsidRPr="00704222" w:rsidRDefault="000F4339"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sz w:val="24"/>
          <w:szCs w:val="24"/>
          <w:lang w:val="hr-HR"/>
        </w:rPr>
        <w:t xml:space="preserve">Ad </w:t>
      </w:r>
      <w:r w:rsidR="001A2E8E" w:rsidRPr="00704222">
        <w:rPr>
          <w:rFonts w:asciiTheme="majorHAnsi" w:hAnsiTheme="majorHAnsi"/>
          <w:sz w:val="24"/>
          <w:szCs w:val="24"/>
          <w:lang w:val="hr-HR"/>
        </w:rPr>
        <w:t>) Biroi rada, socijalni partneri, civilni sektor, poslodavci, obrazovne ustanove, regionalne razvojne agencije i ostali potencijalni dionici lokalnih partnerstava</w:t>
      </w:r>
      <w:r w:rsidR="0085795C" w:rsidRPr="00704222">
        <w:rPr>
          <w:rFonts w:asciiTheme="majorHAnsi" w:hAnsiTheme="majorHAnsi"/>
          <w:sz w:val="24"/>
          <w:szCs w:val="24"/>
          <w:lang w:val="hr-HR"/>
        </w:rPr>
        <w:t xml:space="preserve">. </w:t>
      </w:r>
    </w:p>
    <w:p w:rsidR="001A2E8E" w:rsidRPr="00704222" w:rsidRDefault="001A2E8E" w:rsidP="00150A08">
      <w:pPr>
        <w:autoSpaceDE w:val="0"/>
        <w:autoSpaceDN w:val="0"/>
        <w:adjustRightInd w:val="0"/>
        <w:spacing w:after="120"/>
        <w:jc w:val="both"/>
        <w:rPr>
          <w:rFonts w:asciiTheme="majorHAnsi" w:hAnsiTheme="majorHAnsi"/>
          <w:b/>
          <w:sz w:val="24"/>
          <w:szCs w:val="24"/>
          <w:lang w:val="hr-HR"/>
        </w:rPr>
      </w:pPr>
      <w:r w:rsidRPr="00704222">
        <w:rPr>
          <w:rFonts w:asciiTheme="majorHAnsi" w:hAnsiTheme="majorHAnsi"/>
          <w:b/>
          <w:sz w:val="24"/>
          <w:szCs w:val="24"/>
          <w:lang w:val="hr-HR"/>
        </w:rPr>
        <w:t xml:space="preserve">Mogući korisnici: </w:t>
      </w:r>
    </w:p>
    <w:p w:rsidR="00704222" w:rsidRPr="00150A08" w:rsidRDefault="001A2E8E"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sz w:val="24"/>
          <w:szCs w:val="24"/>
          <w:lang w:val="hr-HR"/>
        </w:rPr>
        <w:t xml:space="preserve">Ministarstvo rada i </w:t>
      </w:r>
      <w:r w:rsidR="001A5728" w:rsidRPr="00704222">
        <w:rPr>
          <w:rFonts w:asciiTheme="majorHAnsi" w:hAnsiTheme="majorHAnsi"/>
          <w:sz w:val="24"/>
          <w:szCs w:val="24"/>
          <w:lang w:val="hr-HR"/>
        </w:rPr>
        <w:t>socijalnog staranja</w:t>
      </w:r>
      <w:r w:rsidRPr="00704222">
        <w:rPr>
          <w:rFonts w:asciiTheme="majorHAnsi" w:hAnsiTheme="majorHAnsi"/>
          <w:sz w:val="24"/>
          <w:szCs w:val="24"/>
          <w:lang w:val="hr-HR"/>
        </w:rPr>
        <w:t xml:space="preserve">, Zavod za zapošljavanje Crne Gore, </w:t>
      </w:r>
      <w:r w:rsidR="001A5728" w:rsidRPr="00704222">
        <w:rPr>
          <w:rFonts w:asciiTheme="majorHAnsi" w:hAnsiTheme="majorHAnsi"/>
          <w:sz w:val="24"/>
          <w:szCs w:val="24"/>
          <w:lang w:val="hr-HR"/>
        </w:rPr>
        <w:t xml:space="preserve">biroi rada, </w:t>
      </w:r>
      <w:r w:rsidRPr="00704222">
        <w:rPr>
          <w:rFonts w:asciiTheme="majorHAnsi" w:hAnsiTheme="majorHAnsi"/>
          <w:sz w:val="24"/>
          <w:szCs w:val="24"/>
          <w:lang w:val="hr-HR"/>
        </w:rPr>
        <w:t xml:space="preserve"> socijalni partneri, civilni sektor, poslodavci, obrazovne ustanove, regionalne razvojne agencije</w:t>
      </w:r>
      <w:r w:rsidR="0085795C" w:rsidRPr="00704222">
        <w:rPr>
          <w:rFonts w:asciiTheme="majorHAnsi" w:hAnsiTheme="majorHAnsi"/>
          <w:sz w:val="24"/>
          <w:szCs w:val="24"/>
          <w:lang w:val="hr-HR"/>
        </w:rPr>
        <w:t>.</w:t>
      </w:r>
      <w:r w:rsidR="00150A08">
        <w:rPr>
          <w:rFonts w:asciiTheme="majorHAnsi" w:hAnsiTheme="majorHAnsi"/>
          <w:sz w:val="24"/>
          <w:szCs w:val="24"/>
          <w:lang w:val="hr-HR"/>
        </w:rPr>
        <w:t xml:space="preserve"> </w:t>
      </w:r>
    </w:p>
    <w:p w:rsidR="001A2E8E" w:rsidRPr="00704222" w:rsidRDefault="001A2E8E" w:rsidP="00150A08">
      <w:pPr>
        <w:autoSpaceDE w:val="0"/>
        <w:autoSpaceDN w:val="0"/>
        <w:adjustRightInd w:val="0"/>
        <w:spacing w:after="120"/>
        <w:jc w:val="both"/>
        <w:rPr>
          <w:rFonts w:asciiTheme="majorHAnsi" w:hAnsiTheme="majorHAnsi"/>
          <w:b/>
          <w:sz w:val="24"/>
          <w:szCs w:val="24"/>
          <w:lang w:val="hr-HR"/>
        </w:rPr>
      </w:pPr>
      <w:r w:rsidRPr="00704222">
        <w:rPr>
          <w:rFonts w:asciiTheme="majorHAnsi" w:hAnsiTheme="majorHAnsi"/>
          <w:b/>
          <w:sz w:val="24"/>
          <w:szCs w:val="24"/>
          <w:lang w:val="hr-HR"/>
        </w:rPr>
        <w:t>Indikatori učinka</w:t>
      </w:r>
      <w:r w:rsidR="00704222" w:rsidRPr="00704222">
        <w:rPr>
          <w:rFonts w:asciiTheme="majorHAnsi" w:hAnsiTheme="majorHAnsi"/>
          <w:b/>
          <w:sz w:val="24"/>
          <w:szCs w:val="24"/>
          <w:lang w:val="hr-HR"/>
        </w:rPr>
        <w:t>:</w:t>
      </w:r>
    </w:p>
    <w:p w:rsidR="00E36B12" w:rsidRPr="00704222" w:rsidRDefault="001A2E8E" w:rsidP="00150A08">
      <w:pPr>
        <w:pStyle w:val="ListParagraph"/>
        <w:numPr>
          <w:ilvl w:val="0"/>
          <w:numId w:val="19"/>
        </w:numPr>
        <w:autoSpaceDE w:val="0"/>
        <w:autoSpaceDN w:val="0"/>
        <w:adjustRightInd w:val="0"/>
        <w:spacing w:after="120"/>
        <w:jc w:val="both"/>
        <w:rPr>
          <w:rFonts w:asciiTheme="majorHAnsi" w:hAnsiTheme="majorHAnsi"/>
          <w:sz w:val="24"/>
          <w:szCs w:val="24"/>
          <w:lang w:val="hr-HR"/>
        </w:rPr>
      </w:pPr>
      <w:r w:rsidRPr="00704222">
        <w:rPr>
          <w:rFonts w:asciiTheme="majorHAnsi" w:hAnsiTheme="majorHAnsi"/>
          <w:sz w:val="24"/>
          <w:szCs w:val="24"/>
          <w:lang w:val="hr-HR"/>
        </w:rPr>
        <w:t>Minimum</w:t>
      </w:r>
      <w:r w:rsidR="0085795C" w:rsidRPr="00704222">
        <w:rPr>
          <w:rFonts w:asciiTheme="majorHAnsi" w:hAnsiTheme="majorHAnsi"/>
          <w:sz w:val="24"/>
          <w:szCs w:val="24"/>
          <w:lang w:val="hr-HR"/>
        </w:rPr>
        <w:t xml:space="preserve"> </w:t>
      </w:r>
      <w:r w:rsidR="00E36B12" w:rsidRPr="00704222">
        <w:rPr>
          <w:rFonts w:asciiTheme="majorHAnsi" w:hAnsiTheme="majorHAnsi"/>
          <w:sz w:val="24"/>
          <w:szCs w:val="24"/>
          <w:lang w:val="hr-HR"/>
        </w:rPr>
        <w:t>1</w:t>
      </w:r>
      <w:r w:rsidR="00165A1A" w:rsidRPr="00704222">
        <w:rPr>
          <w:rFonts w:asciiTheme="majorHAnsi" w:hAnsiTheme="majorHAnsi"/>
          <w:sz w:val="24"/>
          <w:szCs w:val="24"/>
          <w:lang w:val="hr-HR"/>
        </w:rPr>
        <w:t>57</w:t>
      </w:r>
      <w:r w:rsidR="00E36B12" w:rsidRPr="00704222">
        <w:rPr>
          <w:rFonts w:asciiTheme="majorHAnsi" w:hAnsiTheme="majorHAnsi"/>
          <w:sz w:val="24"/>
          <w:szCs w:val="24"/>
          <w:lang w:val="hr-HR"/>
        </w:rPr>
        <w:t>0</w:t>
      </w:r>
      <w:r w:rsidRPr="00704222">
        <w:rPr>
          <w:rFonts w:asciiTheme="majorHAnsi" w:hAnsiTheme="majorHAnsi"/>
          <w:sz w:val="24"/>
          <w:szCs w:val="24"/>
          <w:lang w:val="hr-HR"/>
        </w:rPr>
        <w:t xml:space="preserve"> osoba koje su uključene u mjer</w:t>
      </w:r>
      <w:r w:rsidR="00005F40" w:rsidRPr="00704222">
        <w:rPr>
          <w:rFonts w:asciiTheme="majorHAnsi" w:hAnsiTheme="majorHAnsi"/>
          <w:sz w:val="24"/>
          <w:szCs w:val="24"/>
          <w:lang w:val="hr-HR"/>
        </w:rPr>
        <w:t>ama</w:t>
      </w:r>
      <w:r w:rsidRPr="00704222">
        <w:rPr>
          <w:rFonts w:asciiTheme="majorHAnsi" w:hAnsiTheme="majorHAnsi"/>
          <w:sz w:val="24"/>
          <w:szCs w:val="24"/>
          <w:lang w:val="hr-HR"/>
        </w:rPr>
        <w:t xml:space="preserve"> aktivne politike tržišta rada</w:t>
      </w:r>
      <w:r w:rsidR="0085795C" w:rsidRPr="00704222">
        <w:rPr>
          <w:rFonts w:asciiTheme="majorHAnsi" w:hAnsiTheme="majorHAnsi"/>
          <w:sz w:val="24"/>
          <w:szCs w:val="24"/>
          <w:lang w:val="hr-HR"/>
        </w:rPr>
        <w:t xml:space="preserve"> </w:t>
      </w:r>
      <w:r w:rsidR="00E36B12" w:rsidRPr="00704222">
        <w:rPr>
          <w:rFonts w:asciiTheme="majorHAnsi" w:hAnsiTheme="majorHAnsi"/>
          <w:sz w:val="24"/>
          <w:szCs w:val="24"/>
          <w:lang w:val="hr-HR"/>
        </w:rPr>
        <w:t>(</w:t>
      </w:r>
      <w:r w:rsidR="0085795C" w:rsidRPr="00704222">
        <w:rPr>
          <w:rFonts w:asciiTheme="majorHAnsi" w:hAnsiTheme="majorHAnsi"/>
          <w:sz w:val="24"/>
          <w:szCs w:val="24"/>
          <w:lang w:val="hr-HR"/>
        </w:rPr>
        <w:t>m</w:t>
      </w:r>
      <w:r w:rsidRPr="00704222">
        <w:rPr>
          <w:rFonts w:asciiTheme="majorHAnsi" w:hAnsiTheme="majorHAnsi"/>
          <w:sz w:val="24"/>
          <w:szCs w:val="24"/>
          <w:lang w:val="hr-HR"/>
        </w:rPr>
        <w:t>inimum</w:t>
      </w:r>
      <w:r w:rsidR="001A5728" w:rsidRPr="00704222">
        <w:rPr>
          <w:rFonts w:asciiTheme="majorHAnsi" w:hAnsiTheme="majorHAnsi"/>
          <w:sz w:val="24"/>
          <w:szCs w:val="24"/>
          <w:lang w:val="hr-HR"/>
        </w:rPr>
        <w:t xml:space="preserve"> 470 novih zaposlenih</w:t>
      </w:r>
      <w:r w:rsidRPr="00704222">
        <w:rPr>
          <w:rFonts w:asciiTheme="majorHAnsi" w:hAnsiTheme="majorHAnsi"/>
          <w:sz w:val="24"/>
          <w:szCs w:val="24"/>
          <w:lang w:val="hr-HR"/>
        </w:rPr>
        <w:t xml:space="preserve"> na osnovu dodjele </w:t>
      </w:r>
      <w:r w:rsidR="00E36B12" w:rsidRPr="00704222">
        <w:rPr>
          <w:rFonts w:asciiTheme="majorHAnsi" w:hAnsiTheme="majorHAnsi"/>
          <w:sz w:val="24"/>
          <w:szCs w:val="24"/>
          <w:lang w:val="hr-HR"/>
        </w:rPr>
        <w:t xml:space="preserve">sredstava </w:t>
      </w:r>
      <w:r w:rsidRPr="00704222">
        <w:rPr>
          <w:rFonts w:asciiTheme="majorHAnsi" w:hAnsiTheme="majorHAnsi"/>
          <w:sz w:val="24"/>
          <w:szCs w:val="24"/>
          <w:lang w:val="hr-HR"/>
        </w:rPr>
        <w:t xml:space="preserve"> za samozapošljavanje</w:t>
      </w:r>
      <w:r w:rsidR="0085795C" w:rsidRPr="00704222">
        <w:rPr>
          <w:rFonts w:asciiTheme="majorHAnsi" w:hAnsiTheme="majorHAnsi"/>
          <w:sz w:val="24"/>
          <w:szCs w:val="24"/>
          <w:lang w:val="hr-HR"/>
        </w:rPr>
        <w:t>, m</w:t>
      </w:r>
      <w:r w:rsidRPr="00704222">
        <w:rPr>
          <w:rFonts w:asciiTheme="majorHAnsi" w:hAnsiTheme="majorHAnsi"/>
          <w:sz w:val="24"/>
          <w:szCs w:val="24"/>
          <w:lang w:val="hr-HR"/>
        </w:rPr>
        <w:t>inimum 250 lica osposobljenih za rad na zelenim poslovima</w:t>
      </w:r>
      <w:r w:rsidR="0085795C" w:rsidRPr="00704222">
        <w:rPr>
          <w:rFonts w:asciiTheme="majorHAnsi" w:hAnsiTheme="majorHAnsi"/>
          <w:sz w:val="24"/>
          <w:szCs w:val="24"/>
          <w:lang w:val="hr-HR"/>
        </w:rPr>
        <w:t>, m</w:t>
      </w:r>
      <w:r w:rsidRPr="00704222">
        <w:rPr>
          <w:rFonts w:asciiTheme="majorHAnsi" w:hAnsiTheme="majorHAnsi"/>
          <w:sz w:val="24"/>
          <w:szCs w:val="24"/>
          <w:lang w:val="hr-HR"/>
        </w:rPr>
        <w:t>inimum 350 lica osposobljenih za rad na velikim razvojnim projektima, od čega je minimum  30%  zaposleno po završenom osposobljavanju</w:t>
      </w:r>
      <w:r w:rsidR="00165A1A" w:rsidRPr="00704222">
        <w:rPr>
          <w:rFonts w:asciiTheme="majorHAnsi" w:hAnsiTheme="majorHAnsi"/>
          <w:sz w:val="24"/>
          <w:szCs w:val="24"/>
          <w:lang w:val="hr-HR"/>
        </w:rPr>
        <w:t>,</w:t>
      </w:r>
      <w:r w:rsidR="0085795C" w:rsidRPr="00704222">
        <w:rPr>
          <w:rFonts w:asciiTheme="majorHAnsi" w:hAnsiTheme="majorHAnsi"/>
          <w:sz w:val="24"/>
          <w:szCs w:val="24"/>
          <w:lang w:val="hr-HR"/>
        </w:rPr>
        <w:t xml:space="preserve"> m</w:t>
      </w:r>
      <w:r w:rsidRPr="00704222">
        <w:rPr>
          <w:rFonts w:asciiTheme="majorHAnsi" w:hAnsiTheme="majorHAnsi"/>
          <w:sz w:val="24"/>
          <w:szCs w:val="24"/>
          <w:lang w:val="hr-HR"/>
        </w:rPr>
        <w:t xml:space="preserve">inimum </w:t>
      </w:r>
      <w:r w:rsidR="00165A1A" w:rsidRPr="00704222">
        <w:rPr>
          <w:rFonts w:asciiTheme="majorHAnsi" w:hAnsiTheme="majorHAnsi"/>
          <w:sz w:val="24"/>
          <w:szCs w:val="24"/>
          <w:lang w:val="hr-HR"/>
        </w:rPr>
        <w:t>40</w:t>
      </w:r>
      <w:r w:rsidRPr="00704222">
        <w:rPr>
          <w:rFonts w:asciiTheme="majorHAnsi" w:hAnsiTheme="majorHAnsi"/>
          <w:sz w:val="24"/>
          <w:szCs w:val="24"/>
          <w:lang w:val="hr-HR"/>
        </w:rPr>
        <w:t>0 novozaposlenih u  manje razvijenim područjima Crne Gore</w:t>
      </w:r>
      <w:r w:rsidR="0085795C" w:rsidRPr="00704222">
        <w:rPr>
          <w:rFonts w:asciiTheme="majorHAnsi" w:hAnsiTheme="majorHAnsi"/>
          <w:sz w:val="24"/>
          <w:szCs w:val="24"/>
          <w:lang w:val="hr-HR"/>
        </w:rPr>
        <w:t>, m</w:t>
      </w:r>
      <w:r w:rsidR="00E36B12" w:rsidRPr="00704222">
        <w:rPr>
          <w:rFonts w:asciiTheme="majorHAnsi" w:hAnsiTheme="majorHAnsi"/>
          <w:sz w:val="24"/>
          <w:szCs w:val="24"/>
          <w:lang w:val="hr-HR"/>
        </w:rPr>
        <w:t>inimum 100 osposobljenih lica RE populacije)</w:t>
      </w:r>
    </w:p>
    <w:p w:rsidR="00150A08" w:rsidRPr="00150A08" w:rsidRDefault="001A2E8E" w:rsidP="00150A08">
      <w:pPr>
        <w:pStyle w:val="ListParagraph"/>
        <w:numPr>
          <w:ilvl w:val="0"/>
          <w:numId w:val="19"/>
        </w:numPr>
        <w:autoSpaceDE w:val="0"/>
        <w:autoSpaceDN w:val="0"/>
        <w:adjustRightInd w:val="0"/>
        <w:spacing w:after="120"/>
        <w:jc w:val="both"/>
        <w:rPr>
          <w:rFonts w:asciiTheme="majorHAnsi" w:hAnsiTheme="majorHAnsi"/>
          <w:sz w:val="24"/>
          <w:szCs w:val="24"/>
          <w:lang w:val="hr-HR"/>
        </w:rPr>
      </w:pPr>
      <w:r w:rsidRPr="00704222">
        <w:rPr>
          <w:rFonts w:asciiTheme="majorHAnsi" w:hAnsiTheme="majorHAnsi"/>
          <w:sz w:val="24"/>
          <w:szCs w:val="24"/>
          <w:lang w:val="hr-HR"/>
        </w:rPr>
        <w:t>Uspostavljena lokalna partnerstva u 11 opština</w:t>
      </w:r>
      <w:r w:rsidR="00697663" w:rsidRPr="00704222">
        <w:rPr>
          <w:rFonts w:asciiTheme="majorHAnsi" w:hAnsiTheme="majorHAnsi"/>
          <w:sz w:val="24"/>
          <w:szCs w:val="24"/>
          <w:lang w:val="hr-HR"/>
        </w:rPr>
        <w:t>.</w:t>
      </w:r>
      <w:r w:rsidRPr="00704222">
        <w:rPr>
          <w:rFonts w:asciiTheme="majorHAnsi" w:hAnsiTheme="majorHAnsi"/>
          <w:sz w:val="24"/>
          <w:szCs w:val="24"/>
          <w:lang w:val="hr-HR"/>
        </w:rPr>
        <w:t xml:space="preserve"> </w:t>
      </w:r>
    </w:p>
    <w:p w:rsidR="00697663" w:rsidRDefault="00697663" w:rsidP="00704222">
      <w:pPr>
        <w:pStyle w:val="Heading2"/>
        <w:spacing w:after="240"/>
      </w:pPr>
      <w:bookmarkStart w:id="21" w:name="_Toc419368479"/>
      <w:r w:rsidRPr="00697663">
        <w:rPr>
          <w:lang w:val="hr-HR"/>
        </w:rPr>
        <w:t xml:space="preserve">4.6.1.3. </w:t>
      </w:r>
      <w:r w:rsidR="00AA02E5">
        <w:t>Tabela</w:t>
      </w:r>
      <w:r w:rsidRPr="00AA2C05">
        <w:t xml:space="preserve"> pregled</w:t>
      </w:r>
      <w:r w:rsidR="00AA02E5">
        <w:t>a</w:t>
      </w:r>
      <w:bookmarkEnd w:id="21"/>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7"/>
      </w:tblGrid>
      <w:tr w:rsidR="00697663" w:rsidRPr="00BD6982" w:rsidTr="00E21DF3">
        <w:tc>
          <w:tcPr>
            <w:tcW w:w="2127" w:type="dxa"/>
            <w:shd w:val="clear" w:color="auto" w:fill="auto"/>
          </w:tcPr>
          <w:p w:rsidR="00697663" w:rsidRPr="00704222" w:rsidRDefault="00697663" w:rsidP="00150A08">
            <w:pPr>
              <w:spacing w:after="120"/>
              <w:jc w:val="both"/>
              <w:rPr>
                <w:rFonts w:asciiTheme="majorHAnsi" w:hAnsiTheme="majorHAnsi"/>
                <w:i/>
                <w:sz w:val="24"/>
                <w:szCs w:val="24"/>
                <w:lang w:val="hr-HR"/>
              </w:rPr>
            </w:pPr>
            <w:r w:rsidRPr="00704222">
              <w:rPr>
                <w:rFonts w:asciiTheme="majorHAnsi" w:hAnsiTheme="majorHAnsi"/>
                <w:i/>
                <w:sz w:val="24"/>
                <w:szCs w:val="24"/>
                <w:lang w:val="hr-HR"/>
              </w:rPr>
              <w:t>Naziv akcije</w:t>
            </w:r>
          </w:p>
        </w:tc>
        <w:tc>
          <w:tcPr>
            <w:tcW w:w="7087" w:type="dxa"/>
            <w:shd w:val="clear" w:color="auto" w:fill="auto"/>
          </w:tcPr>
          <w:p w:rsidR="00697663" w:rsidRPr="00704222" w:rsidRDefault="00697663" w:rsidP="00150A08">
            <w:pPr>
              <w:pStyle w:val="ListBullet2"/>
              <w:numPr>
                <w:ilvl w:val="0"/>
                <w:numId w:val="0"/>
              </w:numPr>
              <w:spacing w:after="120" w:line="276" w:lineRule="auto"/>
              <w:rPr>
                <w:rFonts w:asciiTheme="majorHAnsi" w:hAnsiTheme="majorHAnsi"/>
                <w:b/>
                <w:szCs w:val="24"/>
                <w:u w:val="single"/>
                <w:lang w:val="hr-HR"/>
              </w:rPr>
            </w:pPr>
            <w:r w:rsidRPr="00704222">
              <w:rPr>
                <w:rFonts w:asciiTheme="majorHAnsi" w:hAnsiTheme="majorHAnsi"/>
                <w:b/>
                <w:szCs w:val="24"/>
                <w:lang w:val="hr-HR"/>
              </w:rPr>
              <w:t>Unaprijeđenje tržišta rada i povećanje zapošljivosti</w:t>
            </w:r>
            <w:r w:rsidRPr="00704222">
              <w:rPr>
                <w:rFonts w:asciiTheme="majorHAnsi" w:hAnsiTheme="majorHAnsi"/>
                <w:b/>
                <w:szCs w:val="24"/>
                <w:u w:val="single"/>
                <w:lang w:val="hr-HR"/>
              </w:rPr>
              <w:t xml:space="preserve"> </w:t>
            </w:r>
          </w:p>
        </w:tc>
      </w:tr>
      <w:tr w:rsidR="00697663" w:rsidRPr="00BD6982" w:rsidTr="00E21DF3">
        <w:tc>
          <w:tcPr>
            <w:tcW w:w="2127" w:type="dxa"/>
            <w:shd w:val="clear" w:color="auto" w:fill="auto"/>
          </w:tcPr>
          <w:p w:rsidR="00697663" w:rsidRPr="00704222" w:rsidRDefault="00697663" w:rsidP="00150A08">
            <w:pPr>
              <w:spacing w:after="120"/>
              <w:jc w:val="both"/>
              <w:rPr>
                <w:rFonts w:asciiTheme="majorHAnsi" w:hAnsiTheme="majorHAnsi"/>
                <w:i/>
                <w:sz w:val="24"/>
                <w:szCs w:val="24"/>
                <w:lang w:val="hr-HR"/>
              </w:rPr>
            </w:pPr>
            <w:r w:rsidRPr="00704222">
              <w:rPr>
                <w:rFonts w:asciiTheme="majorHAnsi" w:hAnsiTheme="majorHAnsi"/>
                <w:i/>
                <w:sz w:val="24"/>
                <w:szCs w:val="24"/>
                <w:lang w:val="hr-HR"/>
              </w:rPr>
              <w:t>Specifičan cilj</w:t>
            </w:r>
          </w:p>
        </w:tc>
        <w:tc>
          <w:tcPr>
            <w:tcW w:w="7087" w:type="dxa"/>
            <w:shd w:val="clear" w:color="auto" w:fill="auto"/>
          </w:tcPr>
          <w:p w:rsidR="00697663" w:rsidRPr="00704222" w:rsidRDefault="00697663" w:rsidP="00150A08">
            <w:pPr>
              <w:spacing w:after="120"/>
              <w:jc w:val="both"/>
              <w:rPr>
                <w:rFonts w:asciiTheme="majorHAnsi" w:hAnsiTheme="majorHAnsi"/>
                <w:i/>
                <w:sz w:val="24"/>
                <w:szCs w:val="24"/>
                <w:lang w:val="hr-HR"/>
              </w:rPr>
            </w:pPr>
            <w:r w:rsidRPr="00704222">
              <w:rPr>
                <w:rFonts w:asciiTheme="majorHAnsi" w:hAnsiTheme="majorHAnsi"/>
                <w:sz w:val="24"/>
                <w:szCs w:val="24"/>
              </w:rPr>
              <w:t>Unaprijeđenje uslova za kontinuirano kreiranje novih radnih mjesta za nezaposlene i neaktivne osobe, imajući u vidu regionalne potrebe i razlike, te podsticanje socijalnog dijaloga</w:t>
            </w:r>
          </w:p>
        </w:tc>
      </w:tr>
      <w:tr w:rsidR="00697663" w:rsidRPr="00BD6982" w:rsidTr="00E21DF3">
        <w:tc>
          <w:tcPr>
            <w:tcW w:w="2127" w:type="dxa"/>
            <w:shd w:val="clear" w:color="auto" w:fill="auto"/>
          </w:tcPr>
          <w:p w:rsidR="00697663" w:rsidRPr="00704222" w:rsidRDefault="00697663" w:rsidP="00150A08">
            <w:pPr>
              <w:spacing w:after="120"/>
              <w:jc w:val="both"/>
              <w:rPr>
                <w:rFonts w:asciiTheme="majorHAnsi" w:hAnsiTheme="majorHAnsi"/>
                <w:i/>
                <w:sz w:val="24"/>
                <w:szCs w:val="24"/>
                <w:lang w:val="hr-HR"/>
              </w:rPr>
            </w:pPr>
            <w:r w:rsidRPr="00704222">
              <w:rPr>
                <w:rFonts w:asciiTheme="majorHAnsi" w:hAnsiTheme="majorHAnsi"/>
                <w:i/>
                <w:sz w:val="24"/>
                <w:szCs w:val="24"/>
                <w:lang w:val="hr-HR"/>
              </w:rPr>
              <w:t>Rezultati akcije</w:t>
            </w:r>
          </w:p>
        </w:tc>
        <w:tc>
          <w:tcPr>
            <w:tcW w:w="7087" w:type="dxa"/>
            <w:shd w:val="clear" w:color="auto" w:fill="auto"/>
          </w:tcPr>
          <w:p w:rsidR="00697663" w:rsidRPr="00704222" w:rsidRDefault="00697663" w:rsidP="00150A08">
            <w:pPr>
              <w:spacing w:after="120"/>
              <w:jc w:val="both"/>
              <w:rPr>
                <w:rFonts w:asciiTheme="majorHAnsi" w:hAnsiTheme="majorHAnsi"/>
                <w:sz w:val="24"/>
                <w:szCs w:val="24"/>
                <w:lang w:val="hr-HR"/>
              </w:rPr>
            </w:pPr>
            <w:r w:rsidRPr="00704222">
              <w:rPr>
                <w:rFonts w:asciiTheme="majorHAnsi" w:hAnsiTheme="majorHAnsi"/>
                <w:sz w:val="24"/>
                <w:szCs w:val="24"/>
                <w:lang w:val="hr-HR"/>
              </w:rPr>
              <w:t xml:space="preserve">Unaprijeđena zapošljivost nezaposlenih osoba kroz povećanje broja osoba uključenih u mjere aktivne politike tržišta rada i ciljne akcije, te  uspostavljenje sistema uključivanja ključnih učesnika na lokalnom nivou tržišta rada u proces donošenja odluka na lokalnom nivou. </w:t>
            </w:r>
          </w:p>
        </w:tc>
      </w:tr>
      <w:tr w:rsidR="00697663" w:rsidRPr="00BD6982" w:rsidTr="00E21DF3">
        <w:tc>
          <w:tcPr>
            <w:tcW w:w="2127" w:type="dxa"/>
            <w:shd w:val="clear" w:color="auto" w:fill="auto"/>
          </w:tcPr>
          <w:p w:rsidR="00697663" w:rsidRPr="00704222" w:rsidRDefault="00697663" w:rsidP="00150A08">
            <w:pPr>
              <w:spacing w:after="120"/>
              <w:jc w:val="both"/>
              <w:rPr>
                <w:rFonts w:asciiTheme="majorHAnsi" w:hAnsiTheme="majorHAnsi"/>
                <w:i/>
                <w:sz w:val="24"/>
                <w:szCs w:val="24"/>
                <w:lang w:val="hr-HR"/>
              </w:rPr>
            </w:pPr>
            <w:r w:rsidRPr="00704222">
              <w:rPr>
                <w:rFonts w:asciiTheme="majorHAnsi" w:hAnsiTheme="majorHAnsi"/>
                <w:i/>
                <w:sz w:val="24"/>
                <w:szCs w:val="24"/>
                <w:lang w:val="hr-HR"/>
              </w:rPr>
              <w:t>Aktivnosti</w:t>
            </w:r>
          </w:p>
        </w:tc>
        <w:tc>
          <w:tcPr>
            <w:tcW w:w="7087" w:type="dxa"/>
            <w:shd w:val="clear" w:color="auto" w:fill="auto"/>
          </w:tcPr>
          <w:p w:rsidR="00697663" w:rsidRPr="00704222" w:rsidRDefault="00697663" w:rsidP="00150A08">
            <w:pPr>
              <w:spacing w:after="120"/>
              <w:jc w:val="both"/>
              <w:rPr>
                <w:rFonts w:asciiTheme="majorHAnsi" w:hAnsiTheme="majorHAnsi"/>
                <w:i/>
                <w:sz w:val="24"/>
                <w:szCs w:val="24"/>
                <w:lang w:val="hr-HR"/>
              </w:rPr>
            </w:pPr>
            <w:r w:rsidRPr="00704222">
              <w:rPr>
                <w:rFonts w:asciiTheme="majorHAnsi" w:hAnsiTheme="majorHAnsi"/>
                <w:i/>
                <w:sz w:val="24"/>
                <w:szCs w:val="24"/>
                <w:lang w:val="hr-HR"/>
              </w:rPr>
              <w:t xml:space="preserve">Aktivnost 1.1 </w:t>
            </w:r>
            <w:r w:rsidRPr="00704222">
              <w:rPr>
                <w:rFonts w:asciiTheme="majorHAnsi" w:hAnsiTheme="majorHAnsi"/>
                <w:sz w:val="24"/>
                <w:szCs w:val="24"/>
                <w:lang w:val="hr-HR"/>
              </w:rPr>
              <w:t>Direktna dodjela sredstava Zavodu za zapošljavanje Crne Gore za sprovođenje mjera aktivne politke tržišta rada, uključujući između ostalog unaprijeđenje  samozapošljavanja, obuke za zelene poslove, obuke za zapošljavanje u velikim razvojnim projektima, zapošljavanje u manje razvijenim područjima Crne Gore, povećanje pristupa tržištu rada, povećanje zaposlenosti i podrška u sticanju preduzetničih znanja i vještina kroz programe obuka za RE populaciju.</w:t>
            </w:r>
          </w:p>
          <w:p w:rsidR="00697663" w:rsidRPr="00704222" w:rsidRDefault="00697663" w:rsidP="00150A08">
            <w:pPr>
              <w:spacing w:after="120"/>
              <w:jc w:val="both"/>
              <w:rPr>
                <w:rFonts w:asciiTheme="majorHAnsi" w:hAnsiTheme="majorHAnsi"/>
                <w:i/>
                <w:sz w:val="24"/>
                <w:szCs w:val="24"/>
                <w:lang w:val="hr-HR"/>
              </w:rPr>
            </w:pPr>
            <w:r w:rsidRPr="00704222">
              <w:rPr>
                <w:rFonts w:asciiTheme="majorHAnsi" w:hAnsiTheme="majorHAnsi"/>
                <w:i/>
                <w:sz w:val="24"/>
                <w:szCs w:val="24"/>
                <w:lang w:val="hr-HR"/>
              </w:rPr>
              <w:t xml:space="preserve">Aktivnost 1.2 </w:t>
            </w:r>
            <w:r w:rsidRPr="00704222">
              <w:rPr>
                <w:rFonts w:asciiTheme="majorHAnsi" w:hAnsiTheme="majorHAnsi"/>
                <w:sz w:val="24"/>
                <w:szCs w:val="24"/>
                <w:lang w:val="hr-HR"/>
              </w:rPr>
              <w:t>Ugovor o uslugama za formiranje lokalnih partnerstava za zapošljavanje i unprijeđenje socijalnog dijaloga, i  realizacija obuka potencijalnih aplikanata za korišćenje grantova za podršku zapošljavanju iz EU fondova</w:t>
            </w:r>
            <w:r w:rsidRPr="00704222">
              <w:rPr>
                <w:rFonts w:asciiTheme="majorHAnsi" w:hAnsiTheme="majorHAnsi"/>
                <w:i/>
                <w:sz w:val="24"/>
                <w:szCs w:val="24"/>
                <w:lang w:val="hr-HR"/>
              </w:rPr>
              <w:t>.</w:t>
            </w:r>
          </w:p>
        </w:tc>
      </w:tr>
      <w:tr w:rsidR="00697663" w:rsidRPr="00BD6982" w:rsidTr="00E21DF3">
        <w:tc>
          <w:tcPr>
            <w:tcW w:w="2127" w:type="dxa"/>
            <w:shd w:val="clear" w:color="auto" w:fill="auto"/>
          </w:tcPr>
          <w:p w:rsidR="00697663" w:rsidRPr="00704222" w:rsidRDefault="00697663" w:rsidP="00150A08">
            <w:pPr>
              <w:spacing w:after="120"/>
              <w:jc w:val="both"/>
              <w:rPr>
                <w:rFonts w:asciiTheme="majorHAnsi" w:hAnsiTheme="majorHAnsi"/>
                <w:i/>
                <w:sz w:val="24"/>
                <w:szCs w:val="24"/>
                <w:lang w:val="hr-HR"/>
              </w:rPr>
            </w:pPr>
            <w:r w:rsidRPr="00704222">
              <w:rPr>
                <w:rFonts w:asciiTheme="majorHAnsi" w:hAnsiTheme="majorHAnsi"/>
                <w:i/>
                <w:sz w:val="24"/>
                <w:szCs w:val="24"/>
                <w:lang w:val="hr-HR"/>
              </w:rPr>
              <w:t xml:space="preserve">Indikativna lista glavnih projekata </w:t>
            </w:r>
          </w:p>
        </w:tc>
        <w:tc>
          <w:tcPr>
            <w:tcW w:w="7087" w:type="dxa"/>
            <w:shd w:val="clear" w:color="auto" w:fill="auto"/>
          </w:tcPr>
          <w:p w:rsidR="00697663" w:rsidRPr="00704222" w:rsidRDefault="00697663" w:rsidP="00150A08">
            <w:pPr>
              <w:spacing w:after="120"/>
              <w:jc w:val="both"/>
              <w:rPr>
                <w:rFonts w:asciiTheme="majorHAnsi" w:hAnsiTheme="majorHAnsi"/>
                <w:i/>
                <w:sz w:val="24"/>
                <w:szCs w:val="24"/>
                <w:lang w:val="hr-HR"/>
              </w:rPr>
            </w:pPr>
            <w:r w:rsidRPr="00704222">
              <w:rPr>
                <w:rFonts w:asciiTheme="majorHAnsi" w:hAnsiTheme="majorHAnsi"/>
                <w:i/>
                <w:sz w:val="24"/>
                <w:szCs w:val="24"/>
                <w:lang w:val="hr-HR"/>
              </w:rPr>
              <w:t>N/A</w:t>
            </w:r>
          </w:p>
        </w:tc>
      </w:tr>
      <w:tr w:rsidR="00697663" w:rsidRPr="00BD6982" w:rsidTr="00E21DF3">
        <w:tc>
          <w:tcPr>
            <w:tcW w:w="2127" w:type="dxa"/>
            <w:shd w:val="clear" w:color="auto" w:fill="auto"/>
          </w:tcPr>
          <w:p w:rsidR="00697663" w:rsidRPr="00704222" w:rsidRDefault="00697663" w:rsidP="00150A08">
            <w:pPr>
              <w:spacing w:after="120"/>
              <w:jc w:val="both"/>
              <w:rPr>
                <w:rFonts w:asciiTheme="majorHAnsi" w:hAnsiTheme="majorHAnsi"/>
                <w:i/>
                <w:sz w:val="24"/>
                <w:szCs w:val="24"/>
                <w:lang w:val="hr-HR"/>
              </w:rPr>
            </w:pPr>
            <w:r w:rsidRPr="00704222">
              <w:rPr>
                <w:rFonts w:asciiTheme="majorHAnsi" w:hAnsiTheme="majorHAnsi"/>
                <w:i/>
                <w:sz w:val="24"/>
                <w:szCs w:val="24"/>
                <w:lang w:val="hr-HR"/>
              </w:rPr>
              <w:t xml:space="preserve">Načini implementacije </w:t>
            </w:r>
          </w:p>
        </w:tc>
        <w:tc>
          <w:tcPr>
            <w:tcW w:w="7087" w:type="dxa"/>
            <w:shd w:val="clear" w:color="auto" w:fill="auto"/>
          </w:tcPr>
          <w:p w:rsidR="00697663" w:rsidRPr="00704222" w:rsidRDefault="00697663" w:rsidP="00150A08">
            <w:pPr>
              <w:spacing w:after="120"/>
              <w:jc w:val="both"/>
              <w:rPr>
                <w:rFonts w:asciiTheme="majorHAnsi" w:hAnsiTheme="majorHAnsi"/>
                <w:sz w:val="24"/>
                <w:szCs w:val="24"/>
                <w:lang w:val="hr-HR"/>
              </w:rPr>
            </w:pPr>
            <w:r w:rsidRPr="00704222">
              <w:rPr>
                <w:rFonts w:asciiTheme="majorHAnsi" w:hAnsiTheme="majorHAnsi"/>
                <w:i/>
                <w:sz w:val="24"/>
                <w:szCs w:val="24"/>
                <w:lang w:val="hr-HR"/>
              </w:rPr>
              <w:t xml:space="preserve">Aktivnost 1.1 </w:t>
            </w:r>
            <w:r w:rsidRPr="00704222">
              <w:rPr>
                <w:rFonts w:asciiTheme="majorHAnsi" w:hAnsiTheme="majorHAnsi"/>
                <w:sz w:val="24"/>
                <w:szCs w:val="24"/>
                <w:lang w:val="hr-HR"/>
              </w:rPr>
              <w:t>Direktna dodjela sredstava</w:t>
            </w:r>
          </w:p>
          <w:p w:rsidR="00697663" w:rsidRPr="00704222" w:rsidRDefault="00697663" w:rsidP="00150A08">
            <w:pPr>
              <w:spacing w:after="120"/>
              <w:jc w:val="both"/>
              <w:rPr>
                <w:rFonts w:asciiTheme="majorHAnsi" w:hAnsiTheme="majorHAnsi"/>
                <w:i/>
                <w:sz w:val="24"/>
                <w:szCs w:val="24"/>
                <w:lang w:val="hr-HR"/>
              </w:rPr>
            </w:pPr>
            <w:r w:rsidRPr="00704222">
              <w:rPr>
                <w:rFonts w:asciiTheme="majorHAnsi" w:hAnsiTheme="majorHAnsi"/>
                <w:i/>
                <w:sz w:val="24"/>
                <w:szCs w:val="24"/>
                <w:lang w:val="hr-HR"/>
              </w:rPr>
              <w:t xml:space="preserve">Aktivnost 1.2 </w:t>
            </w:r>
            <w:r w:rsidRPr="00704222">
              <w:rPr>
                <w:rFonts w:asciiTheme="majorHAnsi" w:hAnsiTheme="majorHAnsi"/>
                <w:sz w:val="24"/>
                <w:szCs w:val="24"/>
                <w:lang w:val="hr-HR"/>
              </w:rPr>
              <w:t>Ugovor o uslugama</w:t>
            </w:r>
          </w:p>
        </w:tc>
      </w:tr>
      <w:tr w:rsidR="00697663" w:rsidRPr="00BD6982" w:rsidTr="00E21DF3">
        <w:tc>
          <w:tcPr>
            <w:tcW w:w="2127" w:type="dxa"/>
            <w:shd w:val="clear" w:color="auto" w:fill="auto"/>
          </w:tcPr>
          <w:p w:rsidR="00697663" w:rsidRPr="00704222" w:rsidRDefault="00697663" w:rsidP="00150A08">
            <w:pPr>
              <w:spacing w:after="120"/>
              <w:jc w:val="both"/>
              <w:rPr>
                <w:rFonts w:asciiTheme="majorHAnsi" w:hAnsiTheme="majorHAnsi"/>
                <w:i/>
                <w:sz w:val="24"/>
                <w:szCs w:val="24"/>
                <w:lang w:val="hr-HR"/>
              </w:rPr>
            </w:pPr>
            <w:r w:rsidRPr="00704222">
              <w:rPr>
                <w:rFonts w:asciiTheme="majorHAnsi" w:hAnsiTheme="majorHAnsi"/>
                <w:i/>
                <w:sz w:val="24"/>
                <w:szCs w:val="24"/>
                <w:lang w:val="hr-HR"/>
              </w:rPr>
              <w:t xml:space="preserve">Indikatori učinka </w:t>
            </w:r>
          </w:p>
        </w:tc>
        <w:tc>
          <w:tcPr>
            <w:tcW w:w="7087" w:type="dxa"/>
            <w:shd w:val="clear" w:color="auto" w:fill="auto"/>
          </w:tcPr>
          <w:p w:rsidR="00697663" w:rsidRPr="00704222" w:rsidRDefault="00697663"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sz w:val="24"/>
                <w:szCs w:val="24"/>
                <w:lang w:val="hr-HR"/>
              </w:rPr>
              <w:t>Minimum 1</w:t>
            </w:r>
            <w:r w:rsidR="006D048E" w:rsidRPr="00704222">
              <w:rPr>
                <w:rFonts w:asciiTheme="majorHAnsi" w:hAnsiTheme="majorHAnsi"/>
                <w:sz w:val="24"/>
                <w:szCs w:val="24"/>
                <w:lang w:val="hr-HR"/>
              </w:rPr>
              <w:t>57</w:t>
            </w:r>
            <w:r w:rsidRPr="00704222">
              <w:rPr>
                <w:rFonts w:asciiTheme="majorHAnsi" w:hAnsiTheme="majorHAnsi"/>
                <w:sz w:val="24"/>
                <w:szCs w:val="24"/>
                <w:lang w:val="hr-HR"/>
              </w:rPr>
              <w:t>0 osoba koje su uključene u mjerama aktivne politike tržišta rada</w:t>
            </w:r>
          </w:p>
          <w:p w:rsidR="00697663" w:rsidRPr="00704222" w:rsidRDefault="00697663"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sz w:val="24"/>
                <w:szCs w:val="24"/>
                <w:lang w:val="hr-HR"/>
              </w:rPr>
              <w:t>Uspostavljena lokalna partnerstva u 11 opština</w:t>
            </w:r>
          </w:p>
        </w:tc>
      </w:tr>
    </w:tbl>
    <w:p w:rsidR="00697663" w:rsidRDefault="00697663" w:rsidP="00697663">
      <w:pPr>
        <w:pStyle w:val="Heading2"/>
        <w:rPr>
          <w:rFonts w:ascii="Times New Roman" w:hAnsi="Times New Roman"/>
          <w:sz w:val="24"/>
          <w:szCs w:val="24"/>
          <w:lang w:val="hr-HR"/>
        </w:rPr>
      </w:pPr>
    </w:p>
    <w:p w:rsidR="001A2E8E" w:rsidRPr="00697663" w:rsidRDefault="00697663" w:rsidP="00704222">
      <w:pPr>
        <w:pStyle w:val="Heading2"/>
        <w:spacing w:after="240"/>
        <w:rPr>
          <w:rFonts w:ascii="Times New Roman" w:hAnsi="Times New Roman"/>
          <w:sz w:val="24"/>
          <w:szCs w:val="24"/>
          <w:lang w:val="hr-HR"/>
        </w:rPr>
      </w:pPr>
      <w:bookmarkStart w:id="22" w:name="_Toc419368480"/>
      <w:r>
        <w:rPr>
          <w:rFonts w:ascii="Times New Roman" w:hAnsi="Times New Roman"/>
          <w:sz w:val="24"/>
          <w:szCs w:val="24"/>
          <w:lang w:val="hr-HR"/>
        </w:rPr>
        <w:t xml:space="preserve">4.6.2. Akcija 2 - </w:t>
      </w:r>
      <w:r w:rsidR="001A2E8E" w:rsidRPr="00B0184A">
        <w:rPr>
          <w:lang w:val="hr-HR"/>
        </w:rPr>
        <w:t>Unapr</w:t>
      </w:r>
      <w:r w:rsidR="00BA0E15">
        <w:rPr>
          <w:lang w:val="hr-HR"/>
        </w:rPr>
        <w:t>i</w:t>
      </w:r>
      <w:r w:rsidR="001A2E8E" w:rsidRPr="00B0184A">
        <w:rPr>
          <w:lang w:val="hr-HR"/>
        </w:rPr>
        <w:t>jeđenje sistema obrazovanja</w:t>
      </w:r>
      <w:bookmarkEnd w:id="22"/>
    </w:p>
    <w:p w:rsidR="001A2E8E" w:rsidRPr="00704222" w:rsidRDefault="001A2E8E" w:rsidP="00150A08">
      <w:pPr>
        <w:autoSpaceDE w:val="0"/>
        <w:autoSpaceDN w:val="0"/>
        <w:adjustRightInd w:val="0"/>
        <w:jc w:val="both"/>
        <w:rPr>
          <w:rFonts w:asciiTheme="majorHAnsi" w:hAnsiTheme="majorHAnsi"/>
          <w:sz w:val="24"/>
          <w:szCs w:val="24"/>
          <w:lang w:val="hr-HR"/>
        </w:rPr>
      </w:pPr>
      <w:r w:rsidRPr="00704222">
        <w:rPr>
          <w:rFonts w:asciiTheme="majorHAnsi" w:hAnsiTheme="majorHAnsi"/>
          <w:sz w:val="24"/>
          <w:szCs w:val="24"/>
          <w:lang w:val="hr-HR"/>
        </w:rPr>
        <w:t xml:space="preserve">Nacionalni okvir kvalifikacija je instrument kojim se uređuje cjelokupni sistem kvalifikacija u Crnoj Gori u skladu sa setom kriterijuma za određene nivoe postignutih ishoda učenja. Baziran na ishodima učenja Okvir kvalifikacija ima za cilj da podstakne cjeloživotno učenje, poveže obrazovanje i tržište rada kroz veću uključenost poslodavaca i ostalih partnera, harmonizuje i uspostavi koordinaciju aktivnosti unutar podsistema kvalifikacija. </w:t>
      </w:r>
    </w:p>
    <w:p w:rsidR="001A2E8E" w:rsidRPr="00704222" w:rsidRDefault="001A2E8E"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sz w:val="24"/>
          <w:szCs w:val="24"/>
          <w:lang w:val="hr-HR"/>
        </w:rPr>
        <w:t>Zakonima iz oblasti obrazovanja  predviđeno je uvođenje inkluzivnog obrazovanja. To podrazumijeva da u kontinuitetu treba raditi na uspostavljanju servisa podrške, izgradnje pristupačnog okruženja i prevoza, prilagođavanju obrazovnih, odnosno studijskih programa, postojanju udžbenika u adekvatnim formatima.</w:t>
      </w:r>
    </w:p>
    <w:p w:rsidR="001A2E8E" w:rsidRPr="00704222" w:rsidRDefault="001A2E8E"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sz w:val="24"/>
          <w:szCs w:val="24"/>
          <w:lang w:val="hr-HR"/>
        </w:rPr>
        <w:t>Shodno Zakonu o visokom obrazovanju („Službeni list CG”, broj 44/14) za lica sa invaliditetom sprovodi se princip afirmativne akcije pri upisu na studijski program. Takođe Zakonom je propisano da se ustanova može osnovati i obavljati djelatnost ukoliko, između ostalog, ima obezbijeđene uslove i nesmetan pristup za lica sa invaliditetom, da se  studenti sa invaliditetom oslobađaju plaćanja školarine, kao i da  student sa invaliditetom ima pravo da polaže ispit na način prilagođen njegovim obrazovnim potrebama u skladu sa statutom ustanove.</w:t>
      </w:r>
    </w:p>
    <w:p w:rsidR="001A2E8E" w:rsidRPr="00704222" w:rsidRDefault="001A2E8E"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sz w:val="24"/>
          <w:szCs w:val="24"/>
          <w:lang w:val="hr-HR"/>
        </w:rPr>
        <w:t>Cjeloživotno učenje smatra se ključnim činiocem  ekonomsko-socijalnog i individualnog razvoja, kao i jednim od centralnih principa politike Evropske unije. Među prioritetnim ciljevima dokumenta „Rezolucija o strateškom okviru za saradnju u Evropi u obrazovanju i osposobljavanju 2020“ (Education and Training 2020) je cjeloživotno učenje i mobilnost. Ovu rezoluciju potpisale su zemlje članice EU, a ista je poslužila kao osnov za izradu Strategije obrazovanja odraslih u Crnoj Gori (2015-2025), koju je u septembru 2014. godine usvojila Vlada Crne Gore.  Shodno ovim dokumentima, učešće odraslih u cjeloživotnom učenju do 2020. godine treba da bude najmanje 15%.</w:t>
      </w:r>
    </w:p>
    <w:p w:rsidR="001A2E8E" w:rsidRPr="00704222" w:rsidRDefault="001A2E8E"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sz w:val="24"/>
          <w:szCs w:val="24"/>
          <w:lang w:val="hr-HR"/>
        </w:rPr>
        <w:t xml:space="preserve">Obezbjeđenje kvaliteta  se sprovodi i kroz postupak licenciranja ustanova koje izvode javno važeće obrazovne programe, odnosno kroz obavezu ispunjavanja uslova za osnivanje ustanova u oblasti obrazovanja i vaspitanja. Način donošenja obrazovnih </w:t>
      </w:r>
      <w:r w:rsidR="000F0E0A" w:rsidRPr="00704222">
        <w:rPr>
          <w:rFonts w:asciiTheme="majorHAnsi" w:hAnsiTheme="majorHAnsi"/>
          <w:sz w:val="24"/>
          <w:szCs w:val="24"/>
          <w:lang w:val="hr-HR"/>
        </w:rPr>
        <w:t xml:space="preserve">programa </w:t>
      </w:r>
      <w:r w:rsidRPr="00704222">
        <w:rPr>
          <w:rFonts w:asciiTheme="majorHAnsi" w:hAnsiTheme="majorHAnsi"/>
          <w:sz w:val="24"/>
          <w:szCs w:val="24"/>
          <w:lang w:val="hr-HR"/>
        </w:rPr>
        <w:t xml:space="preserve">utvrđen je Opštim zakonom o obrazovanju i vaspitanju. </w:t>
      </w:r>
      <w:r w:rsidR="000F0E0A" w:rsidRPr="00704222">
        <w:rPr>
          <w:rFonts w:asciiTheme="majorHAnsi" w:hAnsiTheme="majorHAnsi"/>
          <w:sz w:val="24"/>
          <w:szCs w:val="24"/>
          <w:lang w:val="hr-HR"/>
        </w:rPr>
        <w:t>Eksterno vrednovanje kvaliteta rada ustanova sprovodi Zavod za školstvo i Centar za stručno obrazovanje u skladu sa propisima koj</w:t>
      </w:r>
      <w:r w:rsidR="007F716F" w:rsidRPr="00704222">
        <w:rPr>
          <w:rFonts w:asciiTheme="majorHAnsi" w:hAnsiTheme="majorHAnsi"/>
          <w:sz w:val="24"/>
          <w:szCs w:val="24"/>
          <w:lang w:val="hr-HR"/>
        </w:rPr>
        <w:t xml:space="preserve">e donosi Ministarstvo prosvjete. </w:t>
      </w:r>
      <w:r w:rsidR="000F0E0A" w:rsidRPr="00704222">
        <w:rPr>
          <w:rFonts w:asciiTheme="majorHAnsi" w:hAnsiTheme="majorHAnsi"/>
          <w:sz w:val="24"/>
          <w:szCs w:val="24"/>
          <w:lang w:val="hr-HR"/>
        </w:rPr>
        <w:t xml:space="preserve"> </w:t>
      </w:r>
      <w:r w:rsidRPr="00704222">
        <w:rPr>
          <w:rFonts w:asciiTheme="majorHAnsi" w:hAnsiTheme="majorHAnsi"/>
          <w:sz w:val="24"/>
          <w:szCs w:val="24"/>
          <w:lang w:val="hr-HR"/>
        </w:rPr>
        <w:t>Praćenje i evaluacija sistema na nivou visokog obrazovanja takođe se odvija posredstvom mehanizama eksterne i interne ocjene kvaliteta, odnosno kroz postupke koji se sprovode u različitim fazama od akreditacije, preko praćenja procesa nastave, do ponovne reakreditacije ustanova visokog obrazovanja.  Ovi mehanizmi se sprovode kroz niz eksplicitnih postupaka vrjednovanja ili procjena koji se odnose na studijske programe, nastavu i uslove rada ustanova, definisanih u saradnji sa agencijama za kvalitet evropskog prostora visokog obrazovanja.</w:t>
      </w:r>
    </w:p>
    <w:p w:rsidR="001A2E8E" w:rsidRPr="00704222" w:rsidRDefault="001A2E8E"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sz w:val="24"/>
          <w:szCs w:val="24"/>
          <w:lang w:val="hr-HR"/>
        </w:rPr>
        <w:t>Jedan od najvećih izazova crnogorskog sistema obrazovanja je pitanje praktične nastave. Osnovni cilj  praktične nastave je osposobljavanje učenika i studenata za samostalno i sigurno obavljanje poslova i radnih zadataka u okviru određenog zanimanja. Učenicima i studentima se kroz praktičnu nastavu omogućava upoznavanje s postupcima, kao usvajanje praktičnih znanja i vještina, što podrazumijeva povezivanje teorijskih znanja s praktičnim radom, sticanje vještina i radnog iskustva.</w:t>
      </w:r>
    </w:p>
    <w:p w:rsidR="001A2E8E" w:rsidRPr="00704222" w:rsidRDefault="001A2E8E"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sz w:val="24"/>
          <w:szCs w:val="24"/>
          <w:lang w:val="hr-HR"/>
        </w:rPr>
        <w:t xml:space="preserve">U skladu sa svojim strateškim opredjeljenjem, Crna Gora je  u posljednjoj deceniji prošla brojne reforme u području obrazovanja, usvojila je niz strategija i zakona vezanih za sve razine obrazovanja. Izvještaj o napretku Crne Gore za 2014.godinu  navodi da je postignut dobar nivo usklađenosti u tom području, kao što je potvrđeno i privremenim zatvaranjem pregovaračkih poglavlja 26 "Obrazovanje i kultura" i 25 "Nauka i istraživanje". Što se tiče zakonodavstva u ovom području najvažniji zakoni su Zakon o osnovnom vaspitanju i obrazovanju, Zakon o stručnom obrazovanju i Zakon o gimnazijama. Novi Zakon o visokom obrazovanju donesen je u oktobru 2014. Inicijativa za stažiranje za apsolvente ima za cilj olakšati prelaz iz obrazovanja na tržište rada. Upisne politike i svrha stručnog obrazovanja i osposobljavanja u nadležnosti su Ministarstva prosvjete. Potrebni pravilnici su doneseni, zajedno s metodološkim dokumenata i to u skladu sa Zakonom o Nacionalnom okviru kvalifikacija. </w:t>
      </w:r>
    </w:p>
    <w:p w:rsidR="001A2E8E" w:rsidRPr="00704222" w:rsidRDefault="001A2E8E"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sz w:val="24"/>
          <w:szCs w:val="24"/>
          <w:lang w:val="hr-HR"/>
        </w:rPr>
        <w:t xml:space="preserve">U Crnoj Gori u 2013. godini samo je 3,10% stanovništva u dobi od 25-64 godine učestvovalo je u programima cjeloživotnog učenja. U ovom trenutku ne  postoji dovoljan broj licenciranih provajdera obrazovanja i tu je nedostatak kvalifikovanog osoblja za obavljanje ove vrste obrazovanja. Jedan od najvećih izazova  sistemu cjeloživotnog učenja je izrada standarda kvalifikacija za odrasle i obrazovne programe koji trebaju biti  u skladu s Nacionalnim okvirom kvalifikacija. U tom smislu je važno </w:t>
      </w:r>
      <w:r w:rsidR="00DA4DE8" w:rsidRPr="00704222">
        <w:rPr>
          <w:rFonts w:asciiTheme="majorHAnsi" w:hAnsiTheme="majorHAnsi"/>
          <w:sz w:val="24"/>
          <w:szCs w:val="24"/>
          <w:lang w:val="hr-HR"/>
        </w:rPr>
        <w:t xml:space="preserve">implementirati </w:t>
      </w:r>
      <w:r w:rsidRPr="00704222">
        <w:rPr>
          <w:rFonts w:asciiTheme="majorHAnsi" w:hAnsiTheme="majorHAnsi"/>
          <w:sz w:val="24"/>
          <w:szCs w:val="24"/>
          <w:lang w:val="hr-HR"/>
        </w:rPr>
        <w:t xml:space="preserve"> sistem za priznavanje rezultata </w:t>
      </w:r>
      <w:r w:rsidR="00DA4DE8" w:rsidRPr="00704222">
        <w:rPr>
          <w:rFonts w:asciiTheme="majorHAnsi" w:hAnsiTheme="majorHAnsi"/>
          <w:sz w:val="24"/>
          <w:szCs w:val="24"/>
          <w:lang w:val="hr-HR"/>
        </w:rPr>
        <w:t>prethodnog,kao i</w:t>
      </w:r>
      <w:r w:rsidRPr="00704222">
        <w:rPr>
          <w:rFonts w:asciiTheme="majorHAnsi" w:hAnsiTheme="majorHAnsi"/>
          <w:sz w:val="24"/>
          <w:szCs w:val="24"/>
          <w:lang w:val="hr-HR"/>
        </w:rPr>
        <w:t xml:space="preserve"> neformalno</w:t>
      </w:r>
      <w:r w:rsidR="00DA4DE8" w:rsidRPr="00704222">
        <w:rPr>
          <w:rFonts w:asciiTheme="majorHAnsi" w:hAnsiTheme="majorHAnsi"/>
          <w:sz w:val="24"/>
          <w:szCs w:val="24"/>
          <w:lang w:val="hr-HR"/>
        </w:rPr>
        <w:t>g</w:t>
      </w:r>
      <w:r w:rsidRPr="00704222">
        <w:rPr>
          <w:rFonts w:asciiTheme="majorHAnsi" w:hAnsiTheme="majorHAnsi"/>
          <w:sz w:val="24"/>
          <w:szCs w:val="24"/>
          <w:lang w:val="hr-HR"/>
        </w:rPr>
        <w:t xml:space="preserve"> </w:t>
      </w:r>
      <w:r w:rsidR="00DA4DE8" w:rsidRPr="00704222">
        <w:rPr>
          <w:rFonts w:asciiTheme="majorHAnsi" w:hAnsiTheme="majorHAnsi"/>
          <w:sz w:val="24"/>
          <w:szCs w:val="24"/>
          <w:lang w:val="hr-HR"/>
        </w:rPr>
        <w:t xml:space="preserve">i informalnog </w:t>
      </w:r>
      <w:r w:rsidRPr="00704222">
        <w:rPr>
          <w:rFonts w:asciiTheme="majorHAnsi" w:hAnsiTheme="majorHAnsi"/>
          <w:sz w:val="24"/>
          <w:szCs w:val="24"/>
          <w:lang w:val="hr-HR"/>
        </w:rPr>
        <w:t>učenj</w:t>
      </w:r>
      <w:r w:rsidR="00DA4DE8" w:rsidRPr="00704222">
        <w:rPr>
          <w:rFonts w:asciiTheme="majorHAnsi" w:hAnsiTheme="majorHAnsi"/>
          <w:sz w:val="24"/>
          <w:szCs w:val="24"/>
          <w:lang w:val="hr-HR"/>
        </w:rPr>
        <w:t>a</w:t>
      </w:r>
      <w:r w:rsidRPr="00704222">
        <w:rPr>
          <w:rFonts w:asciiTheme="majorHAnsi" w:hAnsiTheme="majorHAnsi"/>
          <w:sz w:val="24"/>
          <w:szCs w:val="24"/>
          <w:lang w:val="hr-HR"/>
        </w:rPr>
        <w:t>.</w:t>
      </w:r>
    </w:p>
    <w:p w:rsidR="001A2E8E" w:rsidRPr="00704222" w:rsidRDefault="001A2E8E"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sz w:val="24"/>
          <w:szCs w:val="24"/>
          <w:lang w:val="hr-HR"/>
        </w:rPr>
        <w:t>Kvalitet osnovnog obrazovanja je ključan za kvalitet viših ni</w:t>
      </w:r>
      <w:r w:rsidR="001A5728" w:rsidRPr="00704222">
        <w:rPr>
          <w:rFonts w:asciiTheme="majorHAnsi" w:hAnsiTheme="majorHAnsi"/>
          <w:sz w:val="24"/>
          <w:szCs w:val="24"/>
          <w:lang w:val="hr-HR"/>
        </w:rPr>
        <w:t>vo</w:t>
      </w:r>
      <w:r w:rsidRPr="00704222">
        <w:rPr>
          <w:rFonts w:asciiTheme="majorHAnsi" w:hAnsiTheme="majorHAnsi"/>
          <w:sz w:val="24"/>
          <w:szCs w:val="24"/>
          <w:lang w:val="hr-HR"/>
        </w:rPr>
        <w:t>a obrazovanja. U pogledu  reforme ovog segmenta obrazovanja postoji jasna potreba za smanjenjem</w:t>
      </w:r>
      <w:r w:rsidR="002E507E" w:rsidRPr="00704222">
        <w:rPr>
          <w:rFonts w:asciiTheme="majorHAnsi" w:hAnsiTheme="majorHAnsi"/>
          <w:sz w:val="24"/>
          <w:szCs w:val="24"/>
          <w:lang w:val="hr-HR"/>
        </w:rPr>
        <w:t xml:space="preserve"> obrazovnih </w:t>
      </w:r>
      <w:r w:rsidRPr="00704222">
        <w:rPr>
          <w:rFonts w:asciiTheme="majorHAnsi" w:hAnsiTheme="majorHAnsi"/>
          <w:sz w:val="24"/>
          <w:szCs w:val="24"/>
          <w:lang w:val="hr-HR"/>
        </w:rPr>
        <w:t xml:space="preserve"> programa, stvarajući prostor za sticanje funkcionalnog znanja, ICT znanja, jezika i kreativne sposobnosti i podsticanje istraživanja i inovativnog pristupa u sticanju znanja. Na osnovu dosadašnjih analiza Ministarstvo prosvjete je zaključilo da je potrebno smanjiti obrazovne programe do 25% u njihovom sadržaju.</w:t>
      </w:r>
    </w:p>
    <w:p w:rsidR="001A2E8E" w:rsidRPr="00704222" w:rsidRDefault="001A2E8E"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sz w:val="24"/>
          <w:szCs w:val="24"/>
          <w:lang w:val="hr-HR"/>
        </w:rPr>
        <w:t>Ključne kompetencije i sticanje vještina, nisu u dovoljnoj mjeri ili sistematski uključeni u nastavne planove i programe sekundarnog obrazovanja (opšeg i stručnog). Stoga je izuzetno  važno usredsrediti se na razvijanje širih vještina koje će podržati fleksibilnost i prenosivost kompetencija i osigurati bolju zapošljivost stručnih diplomaca. Ključne kompetencije trebaju bit</w:t>
      </w:r>
      <w:r w:rsidR="00214DD0" w:rsidRPr="00704222">
        <w:rPr>
          <w:rFonts w:asciiTheme="majorHAnsi" w:hAnsiTheme="majorHAnsi"/>
          <w:sz w:val="24"/>
          <w:szCs w:val="24"/>
          <w:lang w:val="hr-HR"/>
        </w:rPr>
        <w:t>i</w:t>
      </w:r>
      <w:r w:rsidRPr="00704222">
        <w:rPr>
          <w:rFonts w:asciiTheme="majorHAnsi" w:hAnsiTheme="majorHAnsi"/>
          <w:sz w:val="24"/>
          <w:szCs w:val="24"/>
          <w:lang w:val="hr-HR"/>
        </w:rPr>
        <w:t xml:space="preserve"> uvedene na svim nivoima obrazovanja i osposobljavanja, te uključivati okvir za preduzetničke ishode učenja s posebnim naglaskom na ključne "zelene" kompetencije. Ministarstvo prosvjete ima ključnu ulogu u razvoju učenja preduzetništva, ali pravi napredak je moguć samo uz podršku svih relevantnih učesnika na nacionalnom i lokalnom nivou.</w:t>
      </w:r>
    </w:p>
    <w:p w:rsidR="001A2E8E" w:rsidRPr="00704222" w:rsidRDefault="001A2E8E"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sz w:val="24"/>
          <w:szCs w:val="24"/>
          <w:lang w:val="hr-HR"/>
        </w:rPr>
        <w:t>Crna Gora nema zadovoljavajući nivo stanovništva sa završenim visokim obrazovanjem. U području visokog obrazovanja, napori se ulažu u definisanju ishoda učenja za studijske programe u skladu s NKO i  Europskim kvalifikacijskim okvirom, te u uspostavljanju novog modela finansiranja za visoko obrazovanje. Dalji napori trebaju se uložiti u prilagođavanje studijskih programa i nastavnih metoda s potrebama tržišta rada, razvijanje sistema stažiranja i pripravništva, kao i aktivno uključiti poslodavce kao mentore mladim osobama za vrijeme i nakon školovanja.</w:t>
      </w:r>
    </w:p>
    <w:p w:rsidR="001A2E8E" w:rsidRPr="00704222" w:rsidRDefault="001A2E8E"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sz w:val="24"/>
          <w:szCs w:val="24"/>
          <w:lang w:val="hr-HR"/>
        </w:rPr>
        <w:t xml:space="preserve">U području istraživanja i inovacija, Izvještaj o napretku Crne Gore za 2014. godinu navodi da je Crna Gora je preduzela značajne korake u tom području. Ukupna stopa uspjeha učešća Crne Gore u Sedmom </w:t>
      </w:r>
      <w:r w:rsidR="001A5728" w:rsidRPr="00704222">
        <w:rPr>
          <w:rFonts w:asciiTheme="majorHAnsi" w:hAnsiTheme="majorHAnsi"/>
          <w:sz w:val="24"/>
          <w:szCs w:val="24"/>
          <w:lang w:val="hr-HR"/>
        </w:rPr>
        <w:t>okvirnom</w:t>
      </w:r>
      <w:r w:rsidRPr="00704222">
        <w:rPr>
          <w:rFonts w:asciiTheme="majorHAnsi" w:hAnsiTheme="majorHAnsi"/>
          <w:sz w:val="24"/>
          <w:szCs w:val="24"/>
          <w:lang w:val="hr-HR"/>
        </w:rPr>
        <w:t xml:space="preserve"> programu (FP7) je na niovu od 23,9% u poređenju s EU prosjekom na 21,6%. Crna Gora je takođe nastavila uspješno učešće u COST </w:t>
      </w:r>
      <w:r w:rsidR="00061EF7" w:rsidRPr="00704222">
        <w:rPr>
          <w:rFonts w:asciiTheme="majorHAnsi" w:hAnsiTheme="majorHAnsi"/>
          <w:sz w:val="24"/>
          <w:szCs w:val="24"/>
          <w:lang w:val="hr-HR"/>
        </w:rPr>
        <w:t xml:space="preserve">akcijama </w:t>
      </w:r>
      <w:r w:rsidRPr="00704222">
        <w:rPr>
          <w:rFonts w:asciiTheme="majorHAnsi" w:hAnsiTheme="majorHAnsi"/>
          <w:sz w:val="24"/>
          <w:szCs w:val="24"/>
          <w:lang w:val="hr-HR"/>
        </w:rPr>
        <w:t>i Eureka</w:t>
      </w:r>
      <w:r w:rsidR="00061EF7" w:rsidRPr="00704222">
        <w:rPr>
          <w:rFonts w:asciiTheme="majorHAnsi" w:hAnsiTheme="majorHAnsi"/>
          <w:sz w:val="24"/>
          <w:szCs w:val="24"/>
          <w:lang w:val="hr-HR"/>
        </w:rPr>
        <w:t xml:space="preserve"> programu</w:t>
      </w:r>
      <w:r w:rsidRPr="00704222">
        <w:rPr>
          <w:rFonts w:asciiTheme="majorHAnsi" w:hAnsiTheme="majorHAnsi"/>
          <w:sz w:val="24"/>
          <w:szCs w:val="24"/>
          <w:lang w:val="hr-HR"/>
        </w:rPr>
        <w:t xml:space="preserve">. Crna Gora takođe učestvuje u novom </w:t>
      </w:r>
      <w:r w:rsidR="001A5728" w:rsidRPr="00704222">
        <w:rPr>
          <w:rFonts w:asciiTheme="majorHAnsi" w:hAnsiTheme="majorHAnsi"/>
          <w:sz w:val="24"/>
          <w:szCs w:val="24"/>
          <w:lang w:val="hr-HR"/>
        </w:rPr>
        <w:t>Ev</w:t>
      </w:r>
      <w:r w:rsidRPr="00704222">
        <w:rPr>
          <w:rFonts w:asciiTheme="majorHAnsi" w:hAnsiTheme="majorHAnsi"/>
          <w:sz w:val="24"/>
          <w:szCs w:val="24"/>
          <w:lang w:val="hr-HR"/>
        </w:rPr>
        <w:t xml:space="preserve">ropskom Programu za istraživanje i inovacije 'Horizon 2020 "(2014-2020), a Ministarstvo nauke je kontakt tačka Programa Horizon 2020. U pogledu </w:t>
      </w:r>
      <w:r w:rsidR="001A5728" w:rsidRPr="00704222">
        <w:rPr>
          <w:rFonts w:asciiTheme="majorHAnsi" w:hAnsiTheme="majorHAnsi"/>
          <w:sz w:val="24"/>
          <w:szCs w:val="24"/>
          <w:lang w:val="hr-HR"/>
        </w:rPr>
        <w:t>integracije Crne Gore u E</w:t>
      </w:r>
      <w:r w:rsidR="00214DD0" w:rsidRPr="00704222">
        <w:rPr>
          <w:rFonts w:asciiTheme="majorHAnsi" w:hAnsiTheme="majorHAnsi"/>
          <w:sz w:val="24"/>
          <w:szCs w:val="24"/>
          <w:lang w:val="hr-HR"/>
        </w:rPr>
        <w:t>v</w:t>
      </w:r>
      <w:r w:rsidRPr="00704222">
        <w:rPr>
          <w:rFonts w:asciiTheme="majorHAnsi" w:hAnsiTheme="majorHAnsi"/>
          <w:sz w:val="24"/>
          <w:szCs w:val="24"/>
          <w:lang w:val="hr-HR"/>
        </w:rPr>
        <w:t>ropski istraživački prostor (ERA), Crna Gora ima status posmatrača u Odboru ERA i u svim drugim tijelima za politike EU-a koji se odnose na istraživanje i inovacije. Nivo ulaganja u istraživanje i inovacije pokazuje povećanje na 0,5% BDP-a u 2013. godini, ali je još uvijek niži u poređenju s prosjekom EU (2,07%).</w:t>
      </w:r>
      <w:r w:rsidRPr="00704222">
        <w:rPr>
          <w:rFonts w:asciiTheme="majorHAnsi" w:hAnsiTheme="majorHAnsi"/>
          <w:sz w:val="24"/>
          <w:szCs w:val="24"/>
          <w:lang w:val="hr-HR"/>
        </w:rPr>
        <w:br/>
      </w:r>
      <w:r w:rsidRPr="00704222">
        <w:rPr>
          <w:rFonts w:asciiTheme="majorHAnsi" w:hAnsiTheme="majorHAnsi"/>
          <w:sz w:val="24"/>
          <w:szCs w:val="24"/>
          <w:lang w:val="hr-HR"/>
        </w:rPr>
        <w:br/>
        <w:t>U Crnoj Gori je na snazi Strategija naučno-istraživačkih</w:t>
      </w:r>
      <w:r w:rsidR="00061EF7" w:rsidRPr="00704222">
        <w:rPr>
          <w:rFonts w:asciiTheme="majorHAnsi" w:hAnsiTheme="majorHAnsi"/>
          <w:sz w:val="24"/>
          <w:szCs w:val="24"/>
          <w:lang w:val="hr-HR"/>
        </w:rPr>
        <w:t xml:space="preserve"> djelatnosti 2012-2016, kojom je definisano niz mjera koje se kontinuirano preduzimaju u vezi sa jačanjem ljudskih resursa i</w:t>
      </w:r>
      <w:r w:rsidRPr="00704222">
        <w:rPr>
          <w:rFonts w:asciiTheme="majorHAnsi" w:hAnsiTheme="majorHAnsi"/>
          <w:sz w:val="24"/>
          <w:szCs w:val="24"/>
          <w:lang w:val="hr-HR"/>
        </w:rPr>
        <w:t xml:space="preserve"> podsticanje mobilnosti istraživača. </w:t>
      </w:r>
      <w:r w:rsidRPr="00704222">
        <w:rPr>
          <w:rFonts w:asciiTheme="majorHAnsi" w:hAnsiTheme="majorHAnsi"/>
          <w:sz w:val="24"/>
          <w:szCs w:val="24"/>
          <w:lang w:val="hr-HR"/>
        </w:rPr>
        <w:br/>
        <w:t>U području nauke i istraživanja u Crnoj Gori potrebni su dalji napori za rješavanje izazova u istraživanju i inovacijama, posebno u kontekstu povezivanja s poslovnim subjektima, te intenzivirati korišćenje mogućnosti pruženih kroz "Horizon 2020" i tako doprinijeti Uniji inovacija.</w:t>
      </w:r>
    </w:p>
    <w:p w:rsidR="003E6828" w:rsidRPr="00704222" w:rsidRDefault="00F34454"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sz w:val="24"/>
          <w:szCs w:val="24"/>
          <w:lang w:val="hr-HR"/>
        </w:rPr>
        <w:t>Kroz Operativni program Razvoj ljudskih resursa 2012-2013 u okviru prioriteta 2 Unaprijeđenje znanja, vještina i kompetencija za zapošljivost i konkurentnost izdvojeno je 2,3 miliona eura, od čega 1,15 miliona za oblast obrazovanja – podrška unaprijeđenju usluga za razvoj kvalifikacija u stručnom obrazovanju i osposobljavanju i 1,15</w:t>
      </w:r>
      <w:r w:rsidR="004B3920" w:rsidRPr="00704222">
        <w:rPr>
          <w:rFonts w:asciiTheme="majorHAnsi" w:hAnsiTheme="majorHAnsi"/>
          <w:sz w:val="24"/>
          <w:szCs w:val="24"/>
          <w:lang w:val="hr-HR"/>
        </w:rPr>
        <w:t xml:space="preserve"> miliona eura</w:t>
      </w:r>
      <w:r w:rsidRPr="00704222">
        <w:rPr>
          <w:rFonts w:asciiTheme="majorHAnsi" w:hAnsiTheme="majorHAnsi"/>
          <w:sz w:val="24"/>
          <w:szCs w:val="24"/>
          <w:lang w:val="hr-HR"/>
        </w:rPr>
        <w:t xml:space="preserve"> za oblast visokog obrazovanja i istraživanja – podrška unaprijeđenju inovativnh kapaciteta visokog obrazovanja, istraživanja i privrede.  </w:t>
      </w:r>
    </w:p>
    <w:p w:rsidR="001A2E8E" w:rsidRPr="00704222" w:rsidRDefault="001A2E8E"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b/>
          <w:sz w:val="24"/>
          <w:szCs w:val="24"/>
          <w:lang w:val="hr-HR"/>
        </w:rPr>
        <w:t>Specifični cilj</w:t>
      </w:r>
      <w:r w:rsidRPr="00704222">
        <w:rPr>
          <w:rFonts w:asciiTheme="majorHAnsi" w:hAnsiTheme="majorHAnsi"/>
          <w:sz w:val="24"/>
          <w:szCs w:val="24"/>
          <w:lang w:val="hr-HR"/>
        </w:rPr>
        <w:t xml:space="preserve"> ove akcije je unaprijeđenje ljudskih resursa kroz formalno</w:t>
      </w:r>
      <w:r w:rsidR="00214DD0" w:rsidRPr="00704222">
        <w:rPr>
          <w:rFonts w:asciiTheme="majorHAnsi" w:hAnsiTheme="majorHAnsi"/>
          <w:sz w:val="24"/>
          <w:szCs w:val="24"/>
          <w:lang w:val="hr-HR"/>
        </w:rPr>
        <w:t xml:space="preserve"> obrazovanje</w:t>
      </w:r>
      <w:r w:rsidRPr="00704222">
        <w:rPr>
          <w:rFonts w:asciiTheme="majorHAnsi" w:hAnsiTheme="majorHAnsi"/>
          <w:sz w:val="24"/>
          <w:szCs w:val="24"/>
          <w:lang w:val="hr-HR"/>
        </w:rPr>
        <w:t xml:space="preserve">, neformalno i informalno </w:t>
      </w:r>
      <w:r w:rsidR="00214DD0" w:rsidRPr="00704222">
        <w:rPr>
          <w:rFonts w:asciiTheme="majorHAnsi" w:hAnsiTheme="majorHAnsi"/>
          <w:sz w:val="24"/>
          <w:szCs w:val="24"/>
          <w:lang w:val="hr-HR"/>
        </w:rPr>
        <w:t xml:space="preserve">učenje </w:t>
      </w:r>
      <w:r w:rsidRPr="00704222">
        <w:rPr>
          <w:rFonts w:asciiTheme="majorHAnsi" w:hAnsiTheme="majorHAnsi"/>
          <w:sz w:val="24"/>
          <w:szCs w:val="24"/>
          <w:lang w:val="hr-HR"/>
        </w:rPr>
        <w:t xml:space="preserve"> na svim nivoima i unaprijeđenje cjeloživotnog obrazovanja, istraživanja i razvoja, </w:t>
      </w:r>
      <w:r w:rsidR="00214DD0" w:rsidRPr="00704222">
        <w:rPr>
          <w:rFonts w:asciiTheme="majorHAnsi" w:hAnsiTheme="majorHAnsi"/>
          <w:sz w:val="24"/>
          <w:szCs w:val="24"/>
          <w:lang w:val="hr-HR"/>
        </w:rPr>
        <w:t xml:space="preserve">te aktivnije uključivanje </w:t>
      </w:r>
      <w:r w:rsidRPr="00704222">
        <w:rPr>
          <w:rFonts w:asciiTheme="majorHAnsi" w:hAnsiTheme="majorHAnsi"/>
          <w:sz w:val="24"/>
          <w:szCs w:val="24"/>
          <w:lang w:val="hr-HR"/>
        </w:rPr>
        <w:t>marginalizovanih grupa</w:t>
      </w:r>
      <w:r w:rsidR="00214DD0" w:rsidRPr="00704222">
        <w:rPr>
          <w:rFonts w:asciiTheme="majorHAnsi" w:hAnsiTheme="majorHAnsi"/>
          <w:sz w:val="24"/>
          <w:szCs w:val="24"/>
          <w:lang w:val="hr-HR"/>
        </w:rPr>
        <w:t xml:space="preserve"> u obrazovanju</w:t>
      </w:r>
      <w:r w:rsidRPr="00704222">
        <w:rPr>
          <w:rFonts w:asciiTheme="majorHAnsi" w:hAnsiTheme="majorHAnsi"/>
          <w:sz w:val="24"/>
          <w:szCs w:val="24"/>
          <w:lang w:val="hr-HR"/>
        </w:rPr>
        <w:t>.</w:t>
      </w:r>
    </w:p>
    <w:p w:rsidR="00333088" w:rsidRPr="00704222" w:rsidRDefault="00333088" w:rsidP="00150A08">
      <w:pPr>
        <w:jc w:val="both"/>
        <w:rPr>
          <w:rFonts w:asciiTheme="majorHAnsi" w:hAnsiTheme="majorHAnsi"/>
          <w:sz w:val="24"/>
          <w:szCs w:val="24"/>
          <w:lang w:val="hr-HR"/>
        </w:rPr>
      </w:pPr>
      <w:r w:rsidRPr="00704222">
        <w:rPr>
          <w:rFonts w:asciiTheme="majorHAnsi" w:hAnsiTheme="majorHAnsi"/>
          <w:sz w:val="24"/>
          <w:szCs w:val="24"/>
          <w:lang w:val="hr-HR"/>
        </w:rPr>
        <w:t>Kroz ovu akciju će se uticati na poboljšanje kvaliteta obrazovanja na svim nivoima, razviće se modularizovani obrazovni programi bazirani na ishodima učenja, unaprijediće se sistem cjeloživotnog učenja, nastaviće se sprovoditi aktivnosti usmjerene na uvođenje praktične nastave u srednjem i visokom obrazovanju. Takođe će se u okviru aktivnosti ove akcije promovisati ključne kompetencije sa naglaskom na preduzetništvo, radiće se na poboljšanju pristupa obrazovanju i profesionalnom osposobljavanju marginalizovanih grupa, kao i aktivnosti u segmentu istraživanja i razvoja koje će biti usmjerene na izvrsnost.</w:t>
      </w:r>
    </w:p>
    <w:p w:rsidR="00333088" w:rsidRPr="00704222" w:rsidRDefault="00333088" w:rsidP="00150A08">
      <w:pPr>
        <w:autoSpaceDE w:val="0"/>
        <w:autoSpaceDN w:val="0"/>
        <w:adjustRightInd w:val="0"/>
        <w:spacing w:after="120"/>
        <w:jc w:val="both"/>
        <w:rPr>
          <w:rFonts w:asciiTheme="majorHAnsi" w:hAnsiTheme="majorHAnsi"/>
          <w:b/>
          <w:sz w:val="24"/>
          <w:szCs w:val="24"/>
          <w:lang w:val="hr-HR"/>
        </w:rPr>
      </w:pPr>
      <w:r w:rsidRPr="00704222">
        <w:rPr>
          <w:rFonts w:asciiTheme="majorHAnsi" w:hAnsiTheme="majorHAnsi"/>
          <w:b/>
          <w:sz w:val="24"/>
          <w:szCs w:val="24"/>
          <w:lang w:val="hr-HR"/>
        </w:rPr>
        <w:t xml:space="preserve">Predviđene aktivnosti unutar akcije „Unaprjeđenje sistema obrazovanja“: </w:t>
      </w:r>
    </w:p>
    <w:p w:rsidR="00333088" w:rsidRPr="00704222" w:rsidRDefault="00333088" w:rsidP="00150A08">
      <w:pPr>
        <w:ind w:left="284" w:hanging="284"/>
        <w:jc w:val="both"/>
        <w:rPr>
          <w:rFonts w:asciiTheme="majorHAnsi" w:hAnsiTheme="majorHAnsi"/>
          <w:sz w:val="24"/>
          <w:szCs w:val="24"/>
          <w:lang w:val="hr-HR"/>
        </w:rPr>
      </w:pPr>
      <w:r w:rsidRPr="00704222">
        <w:rPr>
          <w:rFonts w:asciiTheme="majorHAnsi" w:hAnsiTheme="majorHAnsi"/>
          <w:sz w:val="24"/>
          <w:szCs w:val="24"/>
          <w:lang w:val="hr-HR"/>
        </w:rPr>
        <w:t xml:space="preserve">1. Ugovor o uslugama usmjeren na unaprijeđenje kvaliteta rada  i nastave u obrazovnim institucijama uključujući i sistem obezbjeđenja kvaliteta, razvoj stručnih kompetencija nastavnika, unapređenje načina evaluacije postignuća i ocjenjivanja učenika, razvoj nastavnog materijala i unapređenje nastave iz prirodnih nauka </w:t>
      </w:r>
    </w:p>
    <w:p w:rsidR="00333088" w:rsidRPr="00704222" w:rsidRDefault="00333088" w:rsidP="00150A08">
      <w:pPr>
        <w:ind w:left="284" w:hanging="284"/>
        <w:jc w:val="both"/>
        <w:rPr>
          <w:rFonts w:asciiTheme="majorHAnsi" w:hAnsiTheme="majorHAnsi"/>
          <w:sz w:val="24"/>
          <w:szCs w:val="24"/>
          <w:lang w:val="hr-HR"/>
        </w:rPr>
      </w:pPr>
      <w:r w:rsidRPr="00704222">
        <w:rPr>
          <w:rFonts w:asciiTheme="majorHAnsi" w:hAnsiTheme="majorHAnsi"/>
          <w:sz w:val="24"/>
          <w:szCs w:val="24"/>
          <w:lang w:val="hr-HR"/>
        </w:rPr>
        <w:t xml:space="preserve">2. Grant šema za razvoj i implementaciju obrazovnih programa u skladu sa Nacionalnim okvirom kvalifikacija, sa posebnim naglaskom na programe usklađene s potrebama tržišta rada, i  unapređenje praktičnog obrazovanja </w:t>
      </w:r>
    </w:p>
    <w:p w:rsidR="00333088" w:rsidRPr="00704222" w:rsidRDefault="00333088" w:rsidP="00150A08">
      <w:pPr>
        <w:ind w:left="284" w:hanging="284"/>
        <w:jc w:val="both"/>
        <w:rPr>
          <w:rFonts w:asciiTheme="majorHAnsi" w:hAnsiTheme="majorHAnsi"/>
          <w:sz w:val="24"/>
          <w:szCs w:val="24"/>
          <w:lang w:val="hr-HR"/>
        </w:rPr>
      </w:pPr>
      <w:r w:rsidRPr="00704222">
        <w:rPr>
          <w:rFonts w:asciiTheme="majorHAnsi" w:hAnsiTheme="majorHAnsi"/>
          <w:sz w:val="24"/>
          <w:szCs w:val="24"/>
          <w:lang w:val="hr-HR"/>
        </w:rPr>
        <w:t>3. Ugovor o uslugama i nabavkama za razvoj, prilagođavanje obrazovnih programa i obezbjeđivanje materijalnih sredstava za realizaciju programa namijenjenih licima sa</w:t>
      </w:r>
      <w:r w:rsidRPr="00333088">
        <w:rPr>
          <w:rFonts w:ascii="Times New Roman" w:hAnsi="Times New Roman"/>
          <w:sz w:val="24"/>
          <w:szCs w:val="24"/>
          <w:lang w:val="hr-HR"/>
        </w:rPr>
        <w:t xml:space="preserve"> </w:t>
      </w:r>
      <w:r w:rsidRPr="00704222">
        <w:rPr>
          <w:rFonts w:asciiTheme="majorHAnsi" w:hAnsiTheme="majorHAnsi"/>
          <w:sz w:val="24"/>
          <w:szCs w:val="24"/>
          <w:lang w:val="hr-HR"/>
        </w:rPr>
        <w:t xml:space="preserve">posebnim obrazovnim potrebama i pripadnicima marginalizovanih grupa, posebno pripadnicima RE populacije </w:t>
      </w:r>
    </w:p>
    <w:p w:rsidR="00333088" w:rsidRPr="00704222" w:rsidRDefault="00333088" w:rsidP="00150A08">
      <w:pPr>
        <w:jc w:val="both"/>
        <w:rPr>
          <w:rFonts w:asciiTheme="majorHAnsi" w:hAnsiTheme="majorHAnsi"/>
          <w:sz w:val="24"/>
          <w:szCs w:val="24"/>
          <w:lang w:val="hr-HR"/>
        </w:rPr>
      </w:pPr>
      <w:r w:rsidRPr="00704222">
        <w:rPr>
          <w:rFonts w:asciiTheme="majorHAnsi" w:hAnsiTheme="majorHAnsi"/>
          <w:sz w:val="24"/>
          <w:szCs w:val="24"/>
          <w:lang w:val="hr-HR"/>
        </w:rPr>
        <w:t xml:space="preserve">4. Ugovor o uslugama i radovima za izradu i primjenu Akcionog plana uklanjanja arhitektonskih barijera u svim obrazovnim ustanovama na svim nivoima obrazovanja </w:t>
      </w:r>
    </w:p>
    <w:p w:rsidR="00333088" w:rsidRPr="00704222" w:rsidRDefault="00333088" w:rsidP="00150A08">
      <w:pPr>
        <w:jc w:val="both"/>
        <w:rPr>
          <w:rFonts w:asciiTheme="majorHAnsi" w:hAnsiTheme="majorHAnsi"/>
          <w:sz w:val="24"/>
          <w:szCs w:val="24"/>
          <w:lang w:val="hr-HR"/>
        </w:rPr>
      </w:pPr>
      <w:r w:rsidRPr="00704222">
        <w:rPr>
          <w:rFonts w:asciiTheme="majorHAnsi" w:hAnsiTheme="majorHAnsi"/>
          <w:sz w:val="24"/>
          <w:szCs w:val="24"/>
          <w:lang w:val="hr-HR"/>
        </w:rPr>
        <w:t xml:space="preserve">5. Grant šema “Stipendiranje za izvrsnost” </w:t>
      </w:r>
    </w:p>
    <w:p w:rsidR="00333088" w:rsidRPr="00704222" w:rsidRDefault="00333088" w:rsidP="00150A08">
      <w:pPr>
        <w:rPr>
          <w:rFonts w:asciiTheme="majorHAnsi" w:hAnsiTheme="majorHAnsi"/>
          <w:b/>
          <w:sz w:val="24"/>
          <w:szCs w:val="24"/>
          <w:lang w:val="hr-HR"/>
        </w:rPr>
      </w:pPr>
      <w:r w:rsidRPr="00704222">
        <w:rPr>
          <w:rFonts w:asciiTheme="majorHAnsi" w:hAnsiTheme="majorHAnsi"/>
          <w:b/>
          <w:sz w:val="24"/>
          <w:szCs w:val="24"/>
          <w:lang w:val="hr-HR"/>
        </w:rPr>
        <w:t>Ciljne grupe:</w:t>
      </w:r>
    </w:p>
    <w:p w:rsidR="00333088" w:rsidRPr="00704222" w:rsidRDefault="00333088" w:rsidP="00150A08">
      <w:pPr>
        <w:rPr>
          <w:rFonts w:asciiTheme="majorHAnsi" w:hAnsiTheme="majorHAnsi"/>
          <w:sz w:val="24"/>
          <w:szCs w:val="24"/>
          <w:lang w:val="hr-HR"/>
        </w:rPr>
      </w:pPr>
      <w:r w:rsidRPr="00704222">
        <w:rPr>
          <w:rFonts w:asciiTheme="majorHAnsi" w:hAnsiTheme="majorHAnsi"/>
          <w:sz w:val="24"/>
          <w:szCs w:val="24"/>
          <w:lang w:val="hr-HR"/>
        </w:rPr>
        <w:t>Ad 1) Obrazovne institucije, nastavnici.</w:t>
      </w:r>
    </w:p>
    <w:p w:rsidR="00333088" w:rsidRPr="00704222" w:rsidRDefault="00333088" w:rsidP="00150A08">
      <w:pPr>
        <w:rPr>
          <w:rFonts w:asciiTheme="majorHAnsi" w:hAnsiTheme="majorHAnsi"/>
          <w:sz w:val="24"/>
          <w:szCs w:val="24"/>
          <w:lang w:val="hr-HR"/>
        </w:rPr>
      </w:pPr>
      <w:r w:rsidRPr="00704222">
        <w:rPr>
          <w:rFonts w:asciiTheme="majorHAnsi" w:hAnsiTheme="majorHAnsi"/>
          <w:sz w:val="24"/>
          <w:szCs w:val="24"/>
          <w:lang w:val="hr-HR"/>
        </w:rPr>
        <w:t>Ad 2) Obrazovne institucije i organizatori obrazovanja, nastavnici, učenici, studenti i poslodavci.</w:t>
      </w:r>
    </w:p>
    <w:p w:rsidR="00333088" w:rsidRPr="00704222" w:rsidRDefault="00333088" w:rsidP="00150A08">
      <w:pPr>
        <w:rPr>
          <w:rFonts w:asciiTheme="majorHAnsi" w:hAnsiTheme="majorHAnsi"/>
          <w:sz w:val="24"/>
          <w:szCs w:val="24"/>
          <w:lang w:val="hr-HR"/>
        </w:rPr>
      </w:pPr>
      <w:r w:rsidRPr="00704222">
        <w:rPr>
          <w:rFonts w:asciiTheme="majorHAnsi" w:hAnsiTheme="majorHAnsi"/>
          <w:sz w:val="24"/>
          <w:szCs w:val="24"/>
          <w:lang w:val="hr-HR"/>
        </w:rPr>
        <w:t xml:space="preserve"> Ad 3) Obrazovne institucije, lica sa posebnim obrazovnim potrebama i pripadnici marginalizovanih grupa, posebno pripadnici RE populacije.</w:t>
      </w:r>
    </w:p>
    <w:p w:rsidR="00333088" w:rsidRPr="00704222" w:rsidRDefault="00333088" w:rsidP="00150A08">
      <w:pPr>
        <w:rPr>
          <w:rFonts w:asciiTheme="majorHAnsi" w:hAnsiTheme="majorHAnsi"/>
          <w:sz w:val="24"/>
          <w:szCs w:val="24"/>
          <w:lang w:val="hr-HR"/>
        </w:rPr>
      </w:pPr>
      <w:r w:rsidRPr="00704222">
        <w:rPr>
          <w:rFonts w:asciiTheme="majorHAnsi" w:hAnsiTheme="majorHAnsi"/>
          <w:sz w:val="24"/>
          <w:szCs w:val="24"/>
          <w:lang w:val="hr-HR"/>
        </w:rPr>
        <w:t xml:space="preserve">Ad 4) Obrazovne institucije na svim nivoima  obrazovnog sistema. </w:t>
      </w:r>
    </w:p>
    <w:p w:rsidR="00333088" w:rsidRPr="00704222" w:rsidRDefault="00333088" w:rsidP="00150A08">
      <w:pPr>
        <w:rPr>
          <w:rFonts w:asciiTheme="majorHAnsi" w:hAnsiTheme="majorHAnsi"/>
          <w:sz w:val="24"/>
          <w:szCs w:val="24"/>
          <w:lang w:val="hr-HR"/>
        </w:rPr>
      </w:pPr>
      <w:r w:rsidRPr="00704222">
        <w:rPr>
          <w:rFonts w:asciiTheme="majorHAnsi" w:hAnsiTheme="majorHAnsi"/>
          <w:sz w:val="24"/>
          <w:szCs w:val="24"/>
          <w:lang w:val="hr-HR"/>
        </w:rPr>
        <w:t xml:space="preserve">Ad 5) Doktoranti i istraživači. </w:t>
      </w:r>
    </w:p>
    <w:p w:rsidR="00333088" w:rsidRPr="00704222" w:rsidRDefault="00333088" w:rsidP="00150A08">
      <w:pPr>
        <w:rPr>
          <w:rFonts w:asciiTheme="majorHAnsi" w:hAnsiTheme="majorHAnsi"/>
          <w:b/>
          <w:sz w:val="24"/>
          <w:szCs w:val="24"/>
          <w:lang w:val="hr-HR"/>
        </w:rPr>
      </w:pPr>
      <w:r w:rsidRPr="00704222">
        <w:rPr>
          <w:rFonts w:asciiTheme="majorHAnsi" w:hAnsiTheme="majorHAnsi"/>
          <w:b/>
          <w:sz w:val="24"/>
          <w:szCs w:val="24"/>
          <w:lang w:val="hr-HR"/>
        </w:rPr>
        <w:t>Potencijalni korisnici:</w:t>
      </w:r>
    </w:p>
    <w:p w:rsidR="00333088" w:rsidRPr="00704222" w:rsidRDefault="00333088" w:rsidP="00150A08">
      <w:pPr>
        <w:jc w:val="both"/>
        <w:rPr>
          <w:rFonts w:asciiTheme="majorHAnsi" w:hAnsiTheme="majorHAnsi"/>
          <w:sz w:val="24"/>
          <w:szCs w:val="24"/>
          <w:lang w:val="hr-HR"/>
        </w:rPr>
      </w:pPr>
      <w:r w:rsidRPr="00704222">
        <w:rPr>
          <w:rFonts w:asciiTheme="majorHAnsi" w:hAnsiTheme="majorHAnsi"/>
          <w:sz w:val="24"/>
          <w:szCs w:val="24"/>
          <w:lang w:val="hr-HR"/>
        </w:rPr>
        <w:t xml:space="preserve">Ministarstvo prosvjete, </w:t>
      </w:r>
      <w:r w:rsidR="006736B9" w:rsidRPr="00704222">
        <w:rPr>
          <w:rFonts w:asciiTheme="majorHAnsi" w:hAnsiTheme="majorHAnsi"/>
          <w:sz w:val="24"/>
          <w:szCs w:val="24"/>
          <w:lang w:val="hr-HR"/>
        </w:rPr>
        <w:t xml:space="preserve">institucije visokog obrazovanja, naučno-istraživačke institucije i organizacije koje se bave istraživanjem i razvojem, </w:t>
      </w:r>
      <w:r w:rsidRPr="00704222">
        <w:rPr>
          <w:rFonts w:asciiTheme="majorHAnsi" w:hAnsiTheme="majorHAnsi"/>
          <w:sz w:val="24"/>
          <w:szCs w:val="24"/>
          <w:lang w:val="hr-HR"/>
        </w:rPr>
        <w:t>obrazovne institucije na svim nivoima obrazovnog sistema, socijalni partneri.</w:t>
      </w:r>
    </w:p>
    <w:p w:rsidR="00333088" w:rsidRPr="00704222" w:rsidRDefault="00333088" w:rsidP="00150A08">
      <w:pPr>
        <w:rPr>
          <w:rFonts w:asciiTheme="majorHAnsi" w:hAnsiTheme="majorHAnsi"/>
          <w:b/>
          <w:sz w:val="24"/>
          <w:szCs w:val="24"/>
          <w:lang w:val="hr-HR"/>
        </w:rPr>
      </w:pPr>
      <w:r w:rsidRPr="00704222">
        <w:rPr>
          <w:rFonts w:asciiTheme="majorHAnsi" w:hAnsiTheme="majorHAnsi"/>
          <w:b/>
          <w:sz w:val="24"/>
          <w:szCs w:val="24"/>
          <w:lang w:val="hr-HR"/>
        </w:rPr>
        <w:t>Indikatori učinka:</w:t>
      </w:r>
    </w:p>
    <w:p w:rsidR="00333088" w:rsidRPr="00704222" w:rsidRDefault="00333088" w:rsidP="00150A08">
      <w:pPr>
        <w:pStyle w:val="ListParagraph"/>
        <w:numPr>
          <w:ilvl w:val="0"/>
          <w:numId w:val="44"/>
        </w:numPr>
        <w:rPr>
          <w:rFonts w:asciiTheme="majorHAnsi" w:hAnsiTheme="majorHAnsi"/>
          <w:sz w:val="24"/>
          <w:szCs w:val="24"/>
          <w:lang w:val="hr-HR"/>
        </w:rPr>
      </w:pPr>
      <w:r w:rsidRPr="00704222">
        <w:rPr>
          <w:rFonts w:asciiTheme="majorHAnsi" w:hAnsiTheme="majorHAnsi"/>
          <w:sz w:val="24"/>
          <w:szCs w:val="24"/>
          <w:lang w:val="hr-HR"/>
        </w:rPr>
        <w:t xml:space="preserve">Unapređenje rezultata na PISA testiranju za 5% </w:t>
      </w:r>
    </w:p>
    <w:p w:rsidR="00333088" w:rsidRPr="00704222" w:rsidRDefault="00333088" w:rsidP="00150A08">
      <w:pPr>
        <w:pStyle w:val="ListParagraph"/>
        <w:numPr>
          <w:ilvl w:val="0"/>
          <w:numId w:val="44"/>
        </w:numPr>
        <w:rPr>
          <w:rFonts w:asciiTheme="majorHAnsi" w:hAnsiTheme="majorHAnsi"/>
          <w:sz w:val="24"/>
          <w:szCs w:val="24"/>
          <w:lang w:val="hr-HR"/>
        </w:rPr>
      </w:pPr>
      <w:r w:rsidRPr="00704222">
        <w:rPr>
          <w:rFonts w:asciiTheme="majorHAnsi" w:hAnsiTheme="majorHAnsi"/>
          <w:sz w:val="24"/>
          <w:szCs w:val="24"/>
          <w:lang w:val="hr-HR"/>
        </w:rPr>
        <w:t>Minimum 40% nastavnog osoblja koje je prošlo obuke</w:t>
      </w:r>
    </w:p>
    <w:p w:rsidR="00333088" w:rsidRPr="00704222" w:rsidRDefault="00333088" w:rsidP="00150A08">
      <w:pPr>
        <w:pStyle w:val="ListParagraph"/>
        <w:numPr>
          <w:ilvl w:val="0"/>
          <w:numId w:val="44"/>
        </w:numPr>
        <w:rPr>
          <w:rFonts w:asciiTheme="majorHAnsi" w:hAnsiTheme="majorHAnsi"/>
          <w:sz w:val="24"/>
          <w:szCs w:val="24"/>
          <w:lang w:val="hr-HR"/>
        </w:rPr>
      </w:pPr>
      <w:r w:rsidRPr="00704222">
        <w:rPr>
          <w:rFonts w:asciiTheme="majorHAnsi" w:hAnsiTheme="majorHAnsi"/>
          <w:sz w:val="24"/>
          <w:szCs w:val="24"/>
          <w:lang w:val="hr-HR"/>
        </w:rPr>
        <w:t xml:space="preserve">Najmanje 5  modularizovanih obrazovnih programa u skladu s Nacionalnim okvirom kvalifikacija, koji uključuju i razvijen segment praktične nastave </w:t>
      </w:r>
    </w:p>
    <w:p w:rsidR="00333088" w:rsidRPr="00704222" w:rsidRDefault="00333088" w:rsidP="00150A08">
      <w:pPr>
        <w:pStyle w:val="ListParagraph"/>
        <w:numPr>
          <w:ilvl w:val="0"/>
          <w:numId w:val="44"/>
        </w:numPr>
        <w:rPr>
          <w:rFonts w:asciiTheme="majorHAnsi" w:hAnsiTheme="majorHAnsi"/>
          <w:sz w:val="24"/>
          <w:szCs w:val="24"/>
          <w:lang w:val="hr-HR"/>
        </w:rPr>
      </w:pPr>
      <w:r w:rsidRPr="00704222">
        <w:rPr>
          <w:rFonts w:asciiTheme="majorHAnsi" w:hAnsiTheme="majorHAnsi"/>
          <w:sz w:val="24"/>
          <w:szCs w:val="24"/>
          <w:lang w:val="hr-HR"/>
        </w:rPr>
        <w:t>Procenat učenika sa posebnim obrazovnim potrebama, pripadnika marginalizovanih grupa, posebno pripadnika RE populacije uuključenih u obrazovne /studijske programe povećan za 25%</w:t>
      </w:r>
    </w:p>
    <w:p w:rsidR="00333088" w:rsidRPr="00704222" w:rsidRDefault="00333088" w:rsidP="00150A08">
      <w:pPr>
        <w:pStyle w:val="ListParagraph"/>
        <w:numPr>
          <w:ilvl w:val="0"/>
          <w:numId w:val="44"/>
        </w:numPr>
        <w:rPr>
          <w:rFonts w:asciiTheme="majorHAnsi" w:hAnsiTheme="majorHAnsi"/>
          <w:sz w:val="24"/>
          <w:szCs w:val="24"/>
          <w:lang w:val="hr-HR"/>
        </w:rPr>
      </w:pPr>
      <w:r w:rsidRPr="00704222">
        <w:rPr>
          <w:rFonts w:asciiTheme="majorHAnsi" w:hAnsiTheme="majorHAnsi"/>
          <w:sz w:val="24"/>
          <w:szCs w:val="24"/>
          <w:lang w:val="hr-HR"/>
        </w:rPr>
        <w:t>Minimalno 30 stipendiranih doktoranata</w:t>
      </w:r>
      <w:r w:rsidR="00AB4A71" w:rsidRPr="00704222">
        <w:rPr>
          <w:rFonts w:asciiTheme="majorHAnsi" w:hAnsiTheme="majorHAnsi"/>
          <w:sz w:val="24"/>
          <w:szCs w:val="24"/>
          <w:lang w:val="hr-HR"/>
        </w:rPr>
        <w:t>/post doktoranata</w:t>
      </w:r>
      <w:r w:rsidRPr="00704222">
        <w:rPr>
          <w:rFonts w:asciiTheme="majorHAnsi" w:hAnsiTheme="majorHAnsi"/>
          <w:sz w:val="24"/>
          <w:szCs w:val="24"/>
          <w:lang w:val="hr-HR"/>
        </w:rPr>
        <w:t xml:space="preserve"> i </w:t>
      </w:r>
      <w:r w:rsidR="00AB4A71" w:rsidRPr="00704222">
        <w:rPr>
          <w:rFonts w:asciiTheme="majorHAnsi" w:hAnsiTheme="majorHAnsi"/>
          <w:sz w:val="24"/>
          <w:szCs w:val="24"/>
          <w:lang w:val="hr-HR"/>
        </w:rPr>
        <w:t xml:space="preserve">mladih </w:t>
      </w:r>
      <w:r w:rsidRPr="00704222">
        <w:rPr>
          <w:rFonts w:asciiTheme="majorHAnsi" w:hAnsiTheme="majorHAnsi"/>
          <w:sz w:val="24"/>
          <w:szCs w:val="24"/>
          <w:lang w:val="hr-HR"/>
        </w:rPr>
        <w:t>istraživača</w:t>
      </w:r>
    </w:p>
    <w:p w:rsidR="00697663" w:rsidRPr="00704222" w:rsidRDefault="00AA02E5" w:rsidP="00704222">
      <w:pPr>
        <w:pStyle w:val="Heading2"/>
        <w:spacing w:after="240"/>
        <w:rPr>
          <w:lang w:val="hr-HR"/>
        </w:rPr>
      </w:pPr>
      <w:bookmarkStart w:id="23" w:name="_Toc419368481"/>
      <w:r>
        <w:rPr>
          <w:lang w:val="hr-HR"/>
        </w:rPr>
        <w:t xml:space="preserve">4.6.2.3. Tabela </w:t>
      </w:r>
      <w:r w:rsidR="00697663">
        <w:rPr>
          <w:lang w:val="hr-HR"/>
        </w:rPr>
        <w:t>pregled</w:t>
      </w:r>
      <w:r>
        <w:rPr>
          <w:lang w:val="hr-HR"/>
        </w:rPr>
        <w:t>a</w:t>
      </w:r>
      <w:bookmarkEnd w:id="23"/>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7"/>
      </w:tblGrid>
      <w:tr w:rsidR="00697663" w:rsidRPr="00BD6982" w:rsidTr="00E21DF3">
        <w:tc>
          <w:tcPr>
            <w:tcW w:w="2127" w:type="dxa"/>
            <w:shd w:val="clear" w:color="auto" w:fill="auto"/>
          </w:tcPr>
          <w:p w:rsidR="00697663" w:rsidRPr="00704222" w:rsidRDefault="00697663" w:rsidP="00150A08">
            <w:pPr>
              <w:spacing w:after="120"/>
              <w:jc w:val="both"/>
              <w:rPr>
                <w:rFonts w:asciiTheme="majorHAnsi" w:hAnsiTheme="majorHAnsi"/>
                <w:i/>
                <w:sz w:val="24"/>
                <w:szCs w:val="24"/>
                <w:lang w:val="hr-HR"/>
              </w:rPr>
            </w:pPr>
            <w:r w:rsidRPr="00704222">
              <w:rPr>
                <w:rFonts w:asciiTheme="majorHAnsi" w:hAnsiTheme="majorHAnsi"/>
                <w:i/>
                <w:sz w:val="24"/>
                <w:szCs w:val="24"/>
                <w:lang w:val="hr-HR"/>
              </w:rPr>
              <w:t>Naziv akcije</w:t>
            </w:r>
          </w:p>
        </w:tc>
        <w:tc>
          <w:tcPr>
            <w:tcW w:w="7087" w:type="dxa"/>
            <w:shd w:val="clear" w:color="auto" w:fill="auto"/>
          </w:tcPr>
          <w:p w:rsidR="00697663" w:rsidRPr="00704222" w:rsidRDefault="00697663" w:rsidP="00150A08">
            <w:pPr>
              <w:pStyle w:val="ListParagraph"/>
              <w:numPr>
                <w:ilvl w:val="0"/>
                <w:numId w:val="39"/>
              </w:numPr>
              <w:spacing w:after="120"/>
              <w:jc w:val="both"/>
              <w:rPr>
                <w:rFonts w:asciiTheme="majorHAnsi" w:hAnsiTheme="majorHAnsi"/>
                <w:b/>
                <w:sz w:val="24"/>
                <w:szCs w:val="24"/>
                <w:lang w:val="hr-HR"/>
              </w:rPr>
            </w:pPr>
            <w:r w:rsidRPr="00704222">
              <w:rPr>
                <w:rFonts w:asciiTheme="majorHAnsi" w:hAnsiTheme="majorHAnsi"/>
                <w:b/>
                <w:sz w:val="24"/>
                <w:szCs w:val="24"/>
                <w:lang w:val="hr-HR"/>
              </w:rPr>
              <w:t xml:space="preserve">Unaprijeđenje sistema obrazovanja </w:t>
            </w:r>
          </w:p>
        </w:tc>
      </w:tr>
      <w:tr w:rsidR="00697663" w:rsidRPr="00BD6982" w:rsidTr="00E21DF3">
        <w:tc>
          <w:tcPr>
            <w:tcW w:w="2127" w:type="dxa"/>
            <w:shd w:val="clear" w:color="auto" w:fill="auto"/>
          </w:tcPr>
          <w:p w:rsidR="00697663" w:rsidRPr="00704222" w:rsidRDefault="00697663" w:rsidP="00150A08">
            <w:pPr>
              <w:spacing w:after="120"/>
              <w:jc w:val="both"/>
              <w:rPr>
                <w:rFonts w:asciiTheme="majorHAnsi" w:hAnsiTheme="majorHAnsi"/>
                <w:i/>
                <w:sz w:val="24"/>
                <w:szCs w:val="24"/>
                <w:lang w:val="hr-HR"/>
              </w:rPr>
            </w:pPr>
            <w:r w:rsidRPr="00704222">
              <w:rPr>
                <w:rFonts w:asciiTheme="majorHAnsi" w:hAnsiTheme="majorHAnsi"/>
                <w:i/>
                <w:sz w:val="24"/>
                <w:szCs w:val="24"/>
                <w:lang w:val="hr-HR"/>
              </w:rPr>
              <w:t>Specifičan cilj</w:t>
            </w:r>
          </w:p>
        </w:tc>
        <w:tc>
          <w:tcPr>
            <w:tcW w:w="7087" w:type="dxa"/>
            <w:shd w:val="clear" w:color="auto" w:fill="auto"/>
          </w:tcPr>
          <w:p w:rsidR="00697663" w:rsidRPr="00704222" w:rsidRDefault="00697663" w:rsidP="00150A08">
            <w:pPr>
              <w:spacing w:after="120"/>
              <w:jc w:val="both"/>
              <w:rPr>
                <w:rFonts w:asciiTheme="majorHAnsi" w:hAnsiTheme="majorHAnsi"/>
                <w:i/>
                <w:sz w:val="24"/>
                <w:szCs w:val="24"/>
                <w:lang w:val="hr-HR"/>
              </w:rPr>
            </w:pPr>
            <w:r w:rsidRPr="00704222">
              <w:rPr>
                <w:rFonts w:asciiTheme="majorHAnsi" w:hAnsiTheme="majorHAnsi"/>
                <w:sz w:val="24"/>
                <w:szCs w:val="24"/>
              </w:rPr>
              <w:t>Podsticanje razvoja ljudskog kapitala kroz formalni i neformalni sistem obrazovanja na svim nivoima i promovisanje cjeloživotnog učenja, istraživanja i razvoja.</w:t>
            </w:r>
          </w:p>
        </w:tc>
      </w:tr>
      <w:tr w:rsidR="00697663" w:rsidRPr="00BD6982" w:rsidTr="00E21DF3">
        <w:tc>
          <w:tcPr>
            <w:tcW w:w="2127" w:type="dxa"/>
            <w:shd w:val="clear" w:color="auto" w:fill="auto"/>
          </w:tcPr>
          <w:p w:rsidR="00697663" w:rsidRPr="00704222" w:rsidRDefault="00697663" w:rsidP="00150A08">
            <w:pPr>
              <w:spacing w:after="120"/>
              <w:jc w:val="both"/>
              <w:rPr>
                <w:rFonts w:asciiTheme="majorHAnsi" w:hAnsiTheme="majorHAnsi"/>
                <w:i/>
                <w:sz w:val="24"/>
                <w:szCs w:val="24"/>
                <w:lang w:val="hr-HR"/>
              </w:rPr>
            </w:pPr>
            <w:r w:rsidRPr="00704222">
              <w:rPr>
                <w:rFonts w:asciiTheme="majorHAnsi" w:hAnsiTheme="majorHAnsi"/>
                <w:i/>
                <w:sz w:val="24"/>
                <w:szCs w:val="24"/>
                <w:lang w:val="hr-HR"/>
              </w:rPr>
              <w:t>Rezultati akcije</w:t>
            </w:r>
          </w:p>
        </w:tc>
        <w:tc>
          <w:tcPr>
            <w:tcW w:w="7087" w:type="dxa"/>
            <w:shd w:val="clear" w:color="auto" w:fill="auto"/>
          </w:tcPr>
          <w:p w:rsidR="00697663" w:rsidRPr="00704222" w:rsidRDefault="00697663" w:rsidP="00150A08">
            <w:pPr>
              <w:spacing w:after="120"/>
              <w:jc w:val="both"/>
              <w:rPr>
                <w:rFonts w:asciiTheme="majorHAnsi" w:hAnsiTheme="majorHAnsi"/>
                <w:sz w:val="24"/>
                <w:szCs w:val="24"/>
                <w:lang w:val="hr-HR"/>
              </w:rPr>
            </w:pPr>
            <w:r w:rsidRPr="00704222">
              <w:rPr>
                <w:rFonts w:asciiTheme="majorHAnsi" w:hAnsiTheme="majorHAnsi"/>
                <w:sz w:val="24"/>
                <w:szCs w:val="24"/>
                <w:lang w:val="hr-HR"/>
              </w:rPr>
              <w:t xml:space="preserve">Unaprijeđen kvalitet obrazovanja na svim nivoima kroz unaprijeđen rad nastavnika, modernizacija i razvoj obrazovnih programa usklađenih sa zahtjevima tržišta rada, povećanje broja osoba uključenih u istraživanje i razvoj i unaprijeđen pistup marginalizovanim grupama obrazovanju i obuci  </w:t>
            </w:r>
          </w:p>
        </w:tc>
      </w:tr>
      <w:tr w:rsidR="00697663" w:rsidRPr="00BD6982" w:rsidTr="00E21DF3">
        <w:tc>
          <w:tcPr>
            <w:tcW w:w="2127" w:type="dxa"/>
            <w:shd w:val="clear" w:color="auto" w:fill="auto"/>
          </w:tcPr>
          <w:p w:rsidR="00697663" w:rsidRPr="00704222" w:rsidRDefault="00697663" w:rsidP="00150A08">
            <w:pPr>
              <w:spacing w:after="120"/>
              <w:jc w:val="both"/>
              <w:rPr>
                <w:rFonts w:asciiTheme="majorHAnsi" w:hAnsiTheme="majorHAnsi"/>
                <w:i/>
                <w:sz w:val="24"/>
                <w:szCs w:val="24"/>
                <w:lang w:val="hr-HR"/>
              </w:rPr>
            </w:pPr>
            <w:r w:rsidRPr="00704222">
              <w:rPr>
                <w:rFonts w:asciiTheme="majorHAnsi" w:hAnsiTheme="majorHAnsi"/>
                <w:i/>
                <w:sz w:val="24"/>
                <w:szCs w:val="24"/>
                <w:lang w:val="hr-HR"/>
              </w:rPr>
              <w:t>Aktivnosti</w:t>
            </w:r>
          </w:p>
        </w:tc>
        <w:tc>
          <w:tcPr>
            <w:tcW w:w="7087" w:type="dxa"/>
            <w:shd w:val="clear" w:color="auto" w:fill="auto"/>
          </w:tcPr>
          <w:p w:rsidR="00566472" w:rsidRPr="00704222" w:rsidRDefault="00697663"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i/>
                <w:sz w:val="24"/>
                <w:szCs w:val="24"/>
                <w:lang w:val="hr-HR"/>
              </w:rPr>
              <w:t>Aktivnost 2.1</w:t>
            </w:r>
            <w:r w:rsidRPr="00704222">
              <w:rPr>
                <w:rFonts w:asciiTheme="majorHAnsi" w:hAnsiTheme="majorHAnsi"/>
                <w:sz w:val="24"/>
                <w:szCs w:val="24"/>
                <w:lang w:val="hr-HR"/>
              </w:rPr>
              <w:t xml:space="preserve"> Ugovor o uslugama usmjeren na unaprijeđenje kvaliteta rada  i nastave u obrazovnim institucijama, uključujući i obezbjeđenje kvaliteta, stručne kompetencije nastavnika, evaluaciju postignuća učenika i ocjenu nastavnog materijala (science teaching) </w:t>
            </w:r>
          </w:p>
          <w:p w:rsidR="00697663" w:rsidRPr="00704222" w:rsidRDefault="00697663"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i/>
                <w:sz w:val="24"/>
                <w:szCs w:val="24"/>
                <w:lang w:val="hr-HR"/>
              </w:rPr>
              <w:t>Aktivnost 2.2</w:t>
            </w:r>
            <w:r w:rsidRPr="00704222">
              <w:rPr>
                <w:rFonts w:asciiTheme="majorHAnsi" w:hAnsiTheme="majorHAnsi"/>
                <w:sz w:val="24"/>
                <w:szCs w:val="24"/>
                <w:lang w:val="hr-HR"/>
              </w:rPr>
              <w:t xml:space="preserve"> Grant šema za razvoj </w:t>
            </w:r>
            <w:r w:rsidR="00566472" w:rsidRPr="00704222">
              <w:rPr>
                <w:rFonts w:asciiTheme="majorHAnsi" w:hAnsiTheme="majorHAnsi"/>
                <w:sz w:val="24"/>
                <w:szCs w:val="24"/>
                <w:lang w:val="hr-HR"/>
              </w:rPr>
              <w:t xml:space="preserve">i sprovodjenje </w:t>
            </w:r>
            <w:r w:rsidRPr="00704222">
              <w:rPr>
                <w:rFonts w:asciiTheme="majorHAnsi" w:hAnsiTheme="majorHAnsi"/>
                <w:sz w:val="24"/>
                <w:szCs w:val="24"/>
                <w:lang w:val="hr-HR"/>
              </w:rPr>
              <w:t>obrazovnih programa u skladu sa Nacionalnim okvirom kvalifikacija, sa posebnim naglaskom na programe koji odgovaraju na potrebe tržišta rada i unapređenje</w:t>
            </w:r>
            <w:r w:rsidR="00566472" w:rsidRPr="00704222">
              <w:rPr>
                <w:rFonts w:asciiTheme="majorHAnsi" w:hAnsiTheme="majorHAnsi"/>
                <w:sz w:val="24"/>
                <w:szCs w:val="24"/>
                <w:lang w:val="hr-HR"/>
              </w:rPr>
              <w:t xml:space="preserve"> </w:t>
            </w:r>
            <w:r w:rsidRPr="00704222">
              <w:rPr>
                <w:rFonts w:asciiTheme="majorHAnsi" w:hAnsiTheme="majorHAnsi"/>
                <w:sz w:val="24"/>
                <w:szCs w:val="24"/>
                <w:lang w:val="hr-HR"/>
              </w:rPr>
              <w:t xml:space="preserve">kvaliteta realizacije praktičnog obrazovanja. </w:t>
            </w:r>
          </w:p>
          <w:p w:rsidR="00697663" w:rsidRPr="00704222" w:rsidRDefault="00697663"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i/>
                <w:sz w:val="24"/>
                <w:szCs w:val="24"/>
                <w:lang w:val="hr-HR"/>
              </w:rPr>
              <w:t>Aktivnost 2.3</w:t>
            </w:r>
            <w:r w:rsidRPr="00704222">
              <w:rPr>
                <w:rFonts w:asciiTheme="majorHAnsi" w:hAnsiTheme="majorHAnsi"/>
                <w:sz w:val="24"/>
                <w:szCs w:val="24"/>
                <w:lang w:val="hr-HR"/>
              </w:rPr>
              <w:t xml:space="preserve"> Ugovor o uslugama i nabavkama za razvoj, prilagođavanje obrazovnih, odnosno studijskih programa i obezbjeđivanje materijalnih sredstava za realizaciju programa namijenjenih licima sa posebnim obrazovnim potrebama i pripadnicima marginalizovanih grupa, posebno pripadnicima RE populacije </w:t>
            </w:r>
          </w:p>
          <w:p w:rsidR="00697663" w:rsidRPr="00704222" w:rsidRDefault="00697663"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i/>
                <w:sz w:val="24"/>
                <w:szCs w:val="24"/>
                <w:lang w:val="hr-HR"/>
              </w:rPr>
              <w:t xml:space="preserve">Aktivnost 2.4 </w:t>
            </w:r>
            <w:r w:rsidRPr="00704222">
              <w:rPr>
                <w:rFonts w:asciiTheme="majorHAnsi" w:hAnsiTheme="majorHAnsi"/>
                <w:sz w:val="24"/>
                <w:szCs w:val="24"/>
                <w:lang w:val="hr-HR"/>
              </w:rPr>
              <w:t xml:space="preserve">Ugovor o uslugama i radovima za izradu i primjenu Akcionog plana uklanjanja arhitektonskih barijera u svim obrazovnim ustanovama na svim nivoima </w:t>
            </w:r>
          </w:p>
          <w:p w:rsidR="00697663" w:rsidRPr="00704222" w:rsidRDefault="00697663"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i/>
                <w:sz w:val="24"/>
                <w:szCs w:val="24"/>
                <w:lang w:val="hr-HR"/>
              </w:rPr>
              <w:t>Aktivnost 2.5</w:t>
            </w:r>
            <w:r w:rsidRPr="00704222">
              <w:rPr>
                <w:rFonts w:asciiTheme="majorHAnsi" w:hAnsiTheme="majorHAnsi"/>
                <w:sz w:val="24"/>
                <w:szCs w:val="24"/>
                <w:lang w:val="hr-HR"/>
              </w:rPr>
              <w:t xml:space="preserve"> Grant šema “Stipendiranje za izvrsnost” </w:t>
            </w:r>
          </w:p>
        </w:tc>
      </w:tr>
      <w:tr w:rsidR="00697663" w:rsidRPr="00BD6982" w:rsidTr="00E21DF3">
        <w:tc>
          <w:tcPr>
            <w:tcW w:w="2127" w:type="dxa"/>
            <w:shd w:val="clear" w:color="auto" w:fill="auto"/>
          </w:tcPr>
          <w:p w:rsidR="00697663" w:rsidRPr="00704222" w:rsidRDefault="00697663" w:rsidP="00150A08">
            <w:pPr>
              <w:spacing w:after="120"/>
              <w:jc w:val="both"/>
              <w:rPr>
                <w:rFonts w:asciiTheme="majorHAnsi" w:hAnsiTheme="majorHAnsi"/>
                <w:i/>
                <w:sz w:val="24"/>
                <w:szCs w:val="24"/>
                <w:lang w:val="hr-HR"/>
              </w:rPr>
            </w:pPr>
            <w:r w:rsidRPr="00704222">
              <w:rPr>
                <w:rFonts w:asciiTheme="majorHAnsi" w:hAnsiTheme="majorHAnsi"/>
                <w:i/>
                <w:sz w:val="24"/>
                <w:szCs w:val="24"/>
                <w:lang w:val="hr-HR"/>
              </w:rPr>
              <w:t xml:space="preserve">Indikativna lista glavnih projekata </w:t>
            </w:r>
          </w:p>
        </w:tc>
        <w:tc>
          <w:tcPr>
            <w:tcW w:w="7087" w:type="dxa"/>
            <w:shd w:val="clear" w:color="auto" w:fill="auto"/>
          </w:tcPr>
          <w:p w:rsidR="00697663" w:rsidRPr="00704222" w:rsidRDefault="00697663" w:rsidP="00150A08">
            <w:pPr>
              <w:spacing w:after="120"/>
              <w:jc w:val="both"/>
              <w:rPr>
                <w:rFonts w:asciiTheme="majorHAnsi" w:hAnsiTheme="majorHAnsi"/>
                <w:i/>
                <w:sz w:val="24"/>
                <w:szCs w:val="24"/>
                <w:lang w:val="hr-HR"/>
              </w:rPr>
            </w:pPr>
            <w:r w:rsidRPr="00704222">
              <w:rPr>
                <w:rFonts w:asciiTheme="majorHAnsi" w:hAnsiTheme="majorHAnsi"/>
                <w:i/>
                <w:sz w:val="24"/>
                <w:szCs w:val="24"/>
                <w:lang w:val="hr-HR"/>
              </w:rPr>
              <w:t>N/A</w:t>
            </w:r>
          </w:p>
        </w:tc>
      </w:tr>
      <w:tr w:rsidR="00697663" w:rsidRPr="00BD6982" w:rsidTr="00E21DF3">
        <w:tc>
          <w:tcPr>
            <w:tcW w:w="2127" w:type="dxa"/>
            <w:shd w:val="clear" w:color="auto" w:fill="auto"/>
          </w:tcPr>
          <w:p w:rsidR="00697663" w:rsidRPr="00704222" w:rsidRDefault="00697663" w:rsidP="00150A08">
            <w:pPr>
              <w:spacing w:after="120"/>
              <w:jc w:val="both"/>
              <w:rPr>
                <w:rFonts w:asciiTheme="majorHAnsi" w:hAnsiTheme="majorHAnsi"/>
                <w:i/>
                <w:sz w:val="24"/>
                <w:szCs w:val="24"/>
                <w:lang w:val="hr-HR"/>
              </w:rPr>
            </w:pPr>
            <w:r w:rsidRPr="00704222">
              <w:rPr>
                <w:rFonts w:asciiTheme="majorHAnsi" w:hAnsiTheme="majorHAnsi"/>
                <w:i/>
                <w:sz w:val="24"/>
                <w:szCs w:val="24"/>
                <w:lang w:val="hr-HR"/>
              </w:rPr>
              <w:t xml:space="preserve">Načini implementacije </w:t>
            </w:r>
          </w:p>
        </w:tc>
        <w:tc>
          <w:tcPr>
            <w:tcW w:w="7087" w:type="dxa"/>
            <w:shd w:val="clear" w:color="auto" w:fill="auto"/>
          </w:tcPr>
          <w:p w:rsidR="00697663" w:rsidRPr="00704222" w:rsidRDefault="00697663" w:rsidP="00150A08">
            <w:pPr>
              <w:spacing w:after="120"/>
              <w:jc w:val="both"/>
              <w:rPr>
                <w:rFonts w:asciiTheme="majorHAnsi" w:hAnsiTheme="majorHAnsi"/>
                <w:sz w:val="24"/>
                <w:szCs w:val="24"/>
                <w:lang w:val="hr-HR"/>
              </w:rPr>
            </w:pPr>
            <w:r w:rsidRPr="00704222">
              <w:rPr>
                <w:rFonts w:asciiTheme="majorHAnsi" w:hAnsiTheme="majorHAnsi"/>
                <w:i/>
                <w:sz w:val="24"/>
                <w:szCs w:val="24"/>
                <w:lang w:val="hr-HR"/>
              </w:rPr>
              <w:t>Aktivnost 2.1</w:t>
            </w:r>
            <w:r w:rsidRPr="00704222">
              <w:rPr>
                <w:rFonts w:asciiTheme="majorHAnsi" w:hAnsiTheme="majorHAnsi"/>
                <w:sz w:val="24"/>
                <w:szCs w:val="24"/>
                <w:lang w:val="hr-HR"/>
              </w:rPr>
              <w:t xml:space="preserve"> Ugovor o uslugama</w:t>
            </w:r>
          </w:p>
          <w:p w:rsidR="00697663" w:rsidRPr="00704222" w:rsidRDefault="00697663" w:rsidP="00150A08">
            <w:pPr>
              <w:spacing w:after="120"/>
              <w:jc w:val="both"/>
              <w:rPr>
                <w:rFonts w:asciiTheme="majorHAnsi" w:hAnsiTheme="majorHAnsi"/>
                <w:sz w:val="24"/>
                <w:szCs w:val="24"/>
                <w:lang w:val="hr-HR"/>
              </w:rPr>
            </w:pPr>
            <w:r w:rsidRPr="00704222">
              <w:rPr>
                <w:rFonts w:asciiTheme="majorHAnsi" w:hAnsiTheme="majorHAnsi"/>
                <w:i/>
                <w:sz w:val="24"/>
                <w:szCs w:val="24"/>
                <w:lang w:val="hr-HR"/>
              </w:rPr>
              <w:t>Aktivnost 2.2</w:t>
            </w:r>
            <w:r w:rsidRPr="00704222">
              <w:rPr>
                <w:rFonts w:asciiTheme="majorHAnsi" w:hAnsiTheme="majorHAnsi"/>
                <w:sz w:val="24"/>
                <w:szCs w:val="24"/>
                <w:lang w:val="hr-HR"/>
              </w:rPr>
              <w:t xml:space="preserve"> Grant šema</w:t>
            </w:r>
          </w:p>
          <w:p w:rsidR="00697663" w:rsidRPr="00704222" w:rsidRDefault="00697663" w:rsidP="00150A08">
            <w:pPr>
              <w:spacing w:after="120"/>
              <w:jc w:val="both"/>
              <w:rPr>
                <w:rFonts w:asciiTheme="majorHAnsi" w:hAnsiTheme="majorHAnsi"/>
                <w:sz w:val="24"/>
                <w:szCs w:val="24"/>
                <w:lang w:val="hr-HR"/>
              </w:rPr>
            </w:pPr>
            <w:r w:rsidRPr="00704222">
              <w:rPr>
                <w:rFonts w:asciiTheme="majorHAnsi" w:hAnsiTheme="majorHAnsi"/>
                <w:i/>
                <w:sz w:val="24"/>
                <w:szCs w:val="24"/>
                <w:lang w:val="hr-HR"/>
              </w:rPr>
              <w:t>Aktivnost 2.3</w:t>
            </w:r>
            <w:r w:rsidRPr="00704222">
              <w:rPr>
                <w:rFonts w:asciiTheme="majorHAnsi" w:hAnsiTheme="majorHAnsi"/>
                <w:sz w:val="24"/>
                <w:szCs w:val="24"/>
                <w:lang w:val="hr-HR"/>
              </w:rPr>
              <w:t xml:space="preserve"> Ugovor o uslugama i nabavkama</w:t>
            </w:r>
          </w:p>
          <w:p w:rsidR="00697663" w:rsidRPr="00704222" w:rsidRDefault="00697663" w:rsidP="00150A08">
            <w:pPr>
              <w:spacing w:after="120"/>
              <w:jc w:val="both"/>
              <w:rPr>
                <w:rFonts w:asciiTheme="majorHAnsi" w:hAnsiTheme="majorHAnsi"/>
                <w:sz w:val="24"/>
                <w:szCs w:val="24"/>
                <w:lang w:val="hr-HR"/>
              </w:rPr>
            </w:pPr>
            <w:r w:rsidRPr="00704222">
              <w:rPr>
                <w:rFonts w:asciiTheme="majorHAnsi" w:hAnsiTheme="majorHAnsi"/>
                <w:i/>
                <w:sz w:val="24"/>
                <w:szCs w:val="24"/>
                <w:lang w:val="hr-HR"/>
              </w:rPr>
              <w:t xml:space="preserve">Aktivnost 2.4 </w:t>
            </w:r>
            <w:r w:rsidRPr="00704222">
              <w:rPr>
                <w:rFonts w:asciiTheme="majorHAnsi" w:hAnsiTheme="majorHAnsi"/>
                <w:sz w:val="24"/>
                <w:szCs w:val="24"/>
                <w:lang w:val="hr-HR"/>
              </w:rPr>
              <w:t>Ugovor o uslugama i radovima</w:t>
            </w:r>
          </w:p>
          <w:p w:rsidR="00697663" w:rsidRPr="00704222" w:rsidRDefault="00697663" w:rsidP="00150A08">
            <w:pPr>
              <w:spacing w:after="120"/>
              <w:jc w:val="both"/>
              <w:rPr>
                <w:rFonts w:asciiTheme="majorHAnsi" w:hAnsiTheme="majorHAnsi"/>
                <w:sz w:val="24"/>
                <w:szCs w:val="24"/>
                <w:lang w:val="hr-HR"/>
              </w:rPr>
            </w:pPr>
            <w:r w:rsidRPr="00704222">
              <w:rPr>
                <w:rFonts w:asciiTheme="majorHAnsi" w:hAnsiTheme="majorHAnsi"/>
                <w:i/>
                <w:sz w:val="24"/>
                <w:szCs w:val="24"/>
                <w:lang w:val="hr-HR"/>
              </w:rPr>
              <w:t>Aktivnost 2.5</w:t>
            </w:r>
            <w:r w:rsidRPr="00704222">
              <w:rPr>
                <w:rFonts w:asciiTheme="majorHAnsi" w:hAnsiTheme="majorHAnsi"/>
                <w:sz w:val="24"/>
                <w:szCs w:val="24"/>
                <w:lang w:val="hr-HR"/>
              </w:rPr>
              <w:t xml:space="preserve"> Grant šema</w:t>
            </w:r>
          </w:p>
        </w:tc>
      </w:tr>
      <w:tr w:rsidR="00697663" w:rsidRPr="00BD6982" w:rsidTr="00E21DF3">
        <w:tc>
          <w:tcPr>
            <w:tcW w:w="2127" w:type="dxa"/>
            <w:shd w:val="clear" w:color="auto" w:fill="auto"/>
          </w:tcPr>
          <w:p w:rsidR="00697663" w:rsidRPr="00704222" w:rsidRDefault="00697663" w:rsidP="00150A08">
            <w:pPr>
              <w:spacing w:after="120"/>
              <w:jc w:val="both"/>
              <w:rPr>
                <w:rFonts w:asciiTheme="majorHAnsi" w:hAnsiTheme="majorHAnsi"/>
                <w:i/>
                <w:sz w:val="24"/>
                <w:szCs w:val="24"/>
                <w:lang w:val="hr-HR"/>
              </w:rPr>
            </w:pPr>
            <w:r w:rsidRPr="00704222">
              <w:rPr>
                <w:rFonts w:asciiTheme="majorHAnsi" w:hAnsiTheme="majorHAnsi"/>
                <w:i/>
                <w:sz w:val="24"/>
                <w:szCs w:val="24"/>
                <w:lang w:val="hr-HR"/>
              </w:rPr>
              <w:t xml:space="preserve">Indikatori učinka </w:t>
            </w:r>
          </w:p>
        </w:tc>
        <w:tc>
          <w:tcPr>
            <w:tcW w:w="7087" w:type="dxa"/>
            <w:shd w:val="clear" w:color="auto" w:fill="auto"/>
          </w:tcPr>
          <w:p w:rsidR="00566472" w:rsidRPr="00704222" w:rsidRDefault="00566472" w:rsidP="00150A08">
            <w:pPr>
              <w:spacing w:after="120"/>
              <w:ind w:left="720" w:hanging="720"/>
              <w:jc w:val="both"/>
              <w:rPr>
                <w:rFonts w:asciiTheme="majorHAnsi" w:hAnsiTheme="majorHAnsi"/>
                <w:sz w:val="24"/>
                <w:szCs w:val="24"/>
                <w:lang w:val="hr-HR"/>
              </w:rPr>
            </w:pPr>
            <w:r w:rsidRPr="00704222">
              <w:rPr>
                <w:rFonts w:asciiTheme="majorHAnsi" w:hAnsiTheme="majorHAnsi"/>
                <w:sz w:val="24"/>
                <w:szCs w:val="24"/>
                <w:lang w:val="hr-HR"/>
              </w:rPr>
              <w:t xml:space="preserve">Unapređenje rezultata na PISA testiranju za 5% </w:t>
            </w:r>
          </w:p>
          <w:p w:rsidR="00697663" w:rsidRPr="00704222" w:rsidRDefault="00697663" w:rsidP="00150A08">
            <w:pPr>
              <w:spacing w:after="120"/>
              <w:jc w:val="both"/>
              <w:rPr>
                <w:rFonts w:asciiTheme="majorHAnsi" w:hAnsiTheme="majorHAnsi"/>
                <w:sz w:val="24"/>
                <w:szCs w:val="24"/>
                <w:lang w:val="hr-HR"/>
              </w:rPr>
            </w:pPr>
            <w:r w:rsidRPr="00704222">
              <w:rPr>
                <w:rFonts w:asciiTheme="majorHAnsi" w:hAnsiTheme="majorHAnsi"/>
                <w:sz w:val="24"/>
                <w:szCs w:val="24"/>
                <w:lang w:val="hr-HR"/>
              </w:rPr>
              <w:t>Minimum  40% nastavnog osoblja obučenog u području kvaliteta obrazovanja</w:t>
            </w:r>
          </w:p>
          <w:p w:rsidR="009E57A3" w:rsidRPr="00704222" w:rsidRDefault="009E57A3" w:rsidP="00150A08">
            <w:pPr>
              <w:spacing w:after="120"/>
              <w:jc w:val="both"/>
              <w:rPr>
                <w:rFonts w:asciiTheme="majorHAnsi" w:hAnsiTheme="majorHAnsi"/>
                <w:sz w:val="24"/>
                <w:szCs w:val="24"/>
                <w:lang w:val="hr-HR"/>
              </w:rPr>
            </w:pPr>
            <w:r w:rsidRPr="00704222">
              <w:rPr>
                <w:rFonts w:asciiTheme="majorHAnsi" w:hAnsiTheme="majorHAnsi"/>
                <w:sz w:val="24"/>
                <w:szCs w:val="24"/>
                <w:lang w:val="hr-HR"/>
              </w:rPr>
              <w:t xml:space="preserve">Najmanje 5  modularizovanih obrazovnih programa u skladu s Nacionalnim okvirom kvalifikacija, koji uključuju i razvijen segment praktične nastave </w:t>
            </w:r>
          </w:p>
          <w:p w:rsidR="00697663" w:rsidRPr="00704222" w:rsidRDefault="00697663" w:rsidP="00150A08">
            <w:pPr>
              <w:autoSpaceDE w:val="0"/>
              <w:autoSpaceDN w:val="0"/>
              <w:adjustRightInd w:val="0"/>
              <w:spacing w:after="120"/>
              <w:jc w:val="both"/>
              <w:rPr>
                <w:rFonts w:asciiTheme="majorHAnsi" w:hAnsiTheme="majorHAnsi"/>
                <w:sz w:val="24"/>
                <w:szCs w:val="24"/>
                <w:lang w:val="hr-HR"/>
              </w:rPr>
            </w:pPr>
            <w:r w:rsidRPr="00704222">
              <w:rPr>
                <w:rFonts w:asciiTheme="majorHAnsi" w:hAnsiTheme="majorHAnsi"/>
                <w:sz w:val="24"/>
                <w:szCs w:val="24"/>
                <w:lang w:val="hr-HR"/>
              </w:rPr>
              <w:t>Procenat učenika sa posebnim obrazovnim potrebama, pripadnika marginalizovanih grupa, posebno pripadnika RE populacije uuključenih u obrazovne /studijske programe povećan za 25%</w:t>
            </w:r>
          </w:p>
          <w:p w:rsidR="00697663" w:rsidRPr="00704222" w:rsidRDefault="00697663" w:rsidP="00150A08">
            <w:pPr>
              <w:spacing w:after="120"/>
              <w:jc w:val="both"/>
              <w:rPr>
                <w:rFonts w:asciiTheme="majorHAnsi" w:hAnsiTheme="majorHAnsi"/>
                <w:sz w:val="24"/>
                <w:szCs w:val="24"/>
                <w:lang w:val="hr-HR"/>
              </w:rPr>
            </w:pPr>
            <w:r w:rsidRPr="00704222">
              <w:rPr>
                <w:rFonts w:asciiTheme="majorHAnsi" w:hAnsiTheme="majorHAnsi"/>
                <w:sz w:val="24"/>
                <w:szCs w:val="24"/>
                <w:lang w:val="hr-HR"/>
              </w:rPr>
              <w:t>Minimalno 30 stipendiranih doktoranata</w:t>
            </w:r>
            <w:r w:rsidR="0099772D" w:rsidRPr="00704222">
              <w:rPr>
                <w:rFonts w:asciiTheme="majorHAnsi" w:hAnsiTheme="majorHAnsi"/>
                <w:sz w:val="24"/>
                <w:szCs w:val="24"/>
                <w:lang w:val="hr-HR"/>
              </w:rPr>
              <w:t>/post doktoranata</w:t>
            </w:r>
            <w:r w:rsidRPr="00704222">
              <w:rPr>
                <w:rFonts w:asciiTheme="majorHAnsi" w:hAnsiTheme="majorHAnsi"/>
                <w:sz w:val="24"/>
                <w:szCs w:val="24"/>
                <w:lang w:val="hr-HR"/>
              </w:rPr>
              <w:t xml:space="preserve"> i</w:t>
            </w:r>
            <w:r w:rsidR="0099772D" w:rsidRPr="00704222">
              <w:rPr>
                <w:rFonts w:asciiTheme="majorHAnsi" w:hAnsiTheme="majorHAnsi"/>
                <w:sz w:val="24"/>
                <w:szCs w:val="24"/>
                <w:lang w:val="hr-HR"/>
              </w:rPr>
              <w:t xml:space="preserve"> mladih</w:t>
            </w:r>
            <w:r w:rsidRPr="00704222">
              <w:rPr>
                <w:rFonts w:asciiTheme="majorHAnsi" w:hAnsiTheme="majorHAnsi"/>
                <w:sz w:val="24"/>
                <w:szCs w:val="24"/>
                <w:lang w:val="hr-HR"/>
              </w:rPr>
              <w:t xml:space="preserve"> istraživača</w:t>
            </w:r>
          </w:p>
        </w:tc>
      </w:tr>
    </w:tbl>
    <w:p w:rsidR="00F447A5" w:rsidRPr="00765FA8" w:rsidRDefault="00F447A5" w:rsidP="001A2E8E">
      <w:pPr>
        <w:autoSpaceDE w:val="0"/>
        <w:autoSpaceDN w:val="0"/>
        <w:adjustRightInd w:val="0"/>
        <w:spacing w:after="120" w:line="240" w:lineRule="auto"/>
        <w:ind w:left="360"/>
        <w:jc w:val="both"/>
        <w:rPr>
          <w:rFonts w:ascii="Times New Roman" w:hAnsi="Times New Roman"/>
          <w:b/>
          <w:sz w:val="24"/>
          <w:szCs w:val="24"/>
          <w:lang w:val="hr-HR"/>
        </w:rPr>
      </w:pPr>
    </w:p>
    <w:p w:rsidR="001A2E8E" w:rsidRPr="00704222" w:rsidRDefault="00697663" w:rsidP="00704222">
      <w:pPr>
        <w:pStyle w:val="Heading2"/>
        <w:spacing w:after="240"/>
      </w:pPr>
      <w:bookmarkStart w:id="24" w:name="_Toc419368482"/>
      <w:r w:rsidRPr="00697663">
        <w:t>4.6.3. Akcija</w:t>
      </w:r>
      <w:r>
        <w:t xml:space="preserve"> 3 - </w:t>
      </w:r>
      <w:r w:rsidR="001A2E8E" w:rsidRPr="00697663">
        <w:t>Podsticanje socijalne inkluzije i unaprijeđenje sistema socijalne zaštite</w:t>
      </w:r>
      <w:bookmarkEnd w:id="24"/>
    </w:p>
    <w:p w:rsidR="001A2E8E" w:rsidRPr="00704222" w:rsidRDefault="001A2E8E" w:rsidP="00150A08">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szCs w:val="24"/>
          <w:lang w:val="hr-HR"/>
        </w:rPr>
        <w:t>Cilj socijalne i dječje zaštite u Crnoj Gori je unaprijeđenje kvaliteta života i osnaživanje za samostalan i produktivan život pojedinca i porodice. Zakonom o socijalnoj i dječjoj zaštiti iz 2013. godine propisano je da su prava iz socijalne i dječje zaštite osnovna materijalna davanja i usluge socijalne i dječje zaštite. Ustanove u sistemu socijal</w:t>
      </w:r>
      <w:r w:rsidR="00205F79" w:rsidRPr="00704222">
        <w:rPr>
          <w:rFonts w:asciiTheme="majorHAnsi" w:hAnsiTheme="majorHAnsi"/>
          <w:szCs w:val="24"/>
          <w:lang w:val="hr-HR"/>
        </w:rPr>
        <w:t>ne zaštite</w:t>
      </w:r>
      <w:r w:rsidRPr="00704222">
        <w:rPr>
          <w:rFonts w:asciiTheme="majorHAnsi" w:hAnsiTheme="majorHAnsi"/>
          <w:szCs w:val="24"/>
          <w:lang w:val="hr-HR"/>
        </w:rPr>
        <w:t xml:space="preserve"> može osnovati država, opština ili drugo pravno i fizičko lice. Ustanova čiji je osnivač država ili opština osniva se kao javna ustanova. Javne ustanove su: centar za socijalni rad; ustanova za djecu i mlade; ustanova za odrasla i stara lica i ustanove za odmor i rekreaciju. Prema Zakonu o socijalnoj i dječjoj zaštiti djelatnost u oblasti socijalne i dječje zaštite, odnosno pojedine usluge može pružati i organizacija, preduzetnik, privredno društvo i fizičko lice, u skladu sa zakonom. U Crnoj Gori organizovano je jedanaest centara za socijalni rad koji pokrivaju sve opštine u zemlji. </w:t>
      </w:r>
    </w:p>
    <w:p w:rsidR="001A2E8E" w:rsidRPr="00704222" w:rsidRDefault="001A2E8E" w:rsidP="00150A08">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szCs w:val="24"/>
          <w:lang w:val="hr-HR"/>
        </w:rPr>
        <w:t>Profil siromaštva u Crnoj Gori karakteriše to da je u odnosu na druge djelove države, učestalost siromaštva značajno veća u sjevernom regionu, siromašni obično žive u velikim domaćinstvima (najveću stopu siromaštva (21,9%) imaju domaćinstva sa šest članova, a u domaćinstvima sa troje i više djece rizik od siromaštva je za 2,5 puta veći od nacionalnog prosjeka). Siromaštvo je snažno povezano sa statusom na tržištu rada, a stopa siromaštva je najveća kod lica koja su samozaposlena i nezaposlena i iznosi 18,8%. Kod ostalih neaktivnih lica od ukupnog stanovništva (19,9%) udio siromašnih iznosi 25,4%, a stopa siromaštva 14,4%. Na status siromaštva snažno utiče i nivo obrazovanja. Najveću stopu siromaštva (17,1%) imaju lica sa završenom osnovnom školom (99% iznad prosjeka). Lica sa završenom trogodišnjom srednjom školom su u boljem položaju sa stopom siromaštva od 5,6%, a rizik od siromaštva je za 65% veći od prosjeka. Zarade, bilo iz privatnog bilo iz javnog sektora, u većini slučajeva obezb</w:t>
      </w:r>
      <w:r w:rsidR="001A5728" w:rsidRPr="00704222">
        <w:rPr>
          <w:rFonts w:asciiTheme="majorHAnsi" w:hAnsiTheme="majorHAnsi"/>
          <w:szCs w:val="24"/>
          <w:lang w:val="hr-HR"/>
        </w:rPr>
        <w:t>i</w:t>
      </w:r>
      <w:r w:rsidRPr="00704222">
        <w:rPr>
          <w:rFonts w:asciiTheme="majorHAnsi" w:hAnsiTheme="majorHAnsi"/>
          <w:szCs w:val="24"/>
          <w:lang w:val="hr-HR"/>
        </w:rPr>
        <w:t xml:space="preserve">jeđuju dovoljno sredstava za domaćinstvo kako bi njegovi članovi izbjegli apsolutno siromaštvo. </w:t>
      </w:r>
    </w:p>
    <w:p w:rsidR="001A2E8E" w:rsidRPr="00704222" w:rsidRDefault="001A2E8E" w:rsidP="00150A08">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szCs w:val="24"/>
          <w:lang w:val="hr-HR"/>
        </w:rPr>
        <w:t>Prema analizi Svjetske banke iz 2011. godine, pokrivenost stanovništva ukupnom socijalnom zaštitom je izuzetno visoka, prije svega zahvaljujući visokom procentu populacije najsiromašnijeg kvintila koji primaju barem jednu vrstu socijalnih davanja (u periodu 2006-2009. godine taj procenat iznosio je između 92 i 94,4%), dok je pokrivenost benefita koji nisu zasnovani na doprinosima izuzetno niska, jer svega 21% najsiromašnijeg kvintila prima neki vid materijalnih davanja.</w:t>
      </w:r>
    </w:p>
    <w:p w:rsidR="001A2E8E" w:rsidRPr="00704222" w:rsidRDefault="001A2E8E" w:rsidP="00150A08">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szCs w:val="24"/>
          <w:lang w:val="hr-HR"/>
        </w:rPr>
        <w:t>Lica sa invaliditetom predstavljaju jednu od kategorija lica sa preprekama u zapošljavanju. Fond za profesionalnu rehabilitaciju i zapošljavanje lica sa invaliditetom nije izdvojen kao posebna budžetska jedinica, odnosno posebno pravno lice i funkcioniše u okviru Zavoda za zapošljavanje Crne Gore.  Neutrošena sredstva ne ostaju na računu Fonda, već se na kraju kalendarske godine prelivaju u državni budžet. U 2013. godini, na račun Fonda je uplaćeno 8.799.756,74 eura, a za realizaciju javnih radova, subvencija za zapošljavanje i drugih programa, utrošeno je 234.941,71 euro. U periodu od 1. januara do 1. novembra 2014. godine na račun Fonda je uplaćeno 6.260.660,30 eura. Dosadašnja praksa pokazala je da je potrebno redefinisanje uloge i načina rada ovog Fonda.</w:t>
      </w:r>
    </w:p>
    <w:p w:rsidR="001A2E8E" w:rsidRPr="00704222" w:rsidRDefault="001A2E8E" w:rsidP="00150A08">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szCs w:val="24"/>
          <w:lang w:val="hr-HR"/>
        </w:rPr>
        <w:t xml:space="preserve">Najčešće prepreke s kojima se susreću osobe s invaliditetom su predrasude poslodavaca o radnim sposobnostima, neodgovarajuće obrazovanje, nedostatak znanja ili radnog iskustva, teškoće u prilagođavanju (neprilagođenost radnih mjesta i radne okoline, društvo), nizak nivo socijalne podrške. Sve to onemogućuje licima sa invaliditetom da se ravnopravno uključuju u rad sa ostalim licima, tj. da budu konkurentna na tržištu rada i integrisana u društvo. </w:t>
      </w:r>
    </w:p>
    <w:p w:rsidR="001A2E8E" w:rsidRPr="00704222" w:rsidRDefault="001A1C5A" w:rsidP="00150A08">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szCs w:val="24"/>
          <w:lang w:val="hr-HR"/>
        </w:rPr>
        <w:t>Na osnovu dosadašnjih analiza koje je uradilo Ministarstvo održivog razvoja i turizma u saradnji sa predstavnicima NVO koje se bave problemima lica sa invaliditetom, došlo se do opšteg zaključka da objekti u javnoj upotrebi u Crnoj Gori u najvećem broju slučajeva nisu prilagođeni uslovima iz Pravilnika o bližim uslovima i načinu prilagođavanja objekata za pristup i kretanje lica smanjene pokretljivosti. Stoga je potrebno nastaviti sa aktivnostima u cilju podizanja svijesti cjelokupne javnosti po pitanju obaveza shodno Zakonu o uređenju prostora i izgradnji objekata, i obezbijediti stalno uklanjanje arhitektonskih i ostalih barijera na javnim površinama, saobraćajnim komunikacijama, javnim objektima kao i stambenim objektima</w:t>
      </w:r>
      <w:r w:rsidR="001A2E8E" w:rsidRPr="00704222">
        <w:rPr>
          <w:rFonts w:asciiTheme="majorHAnsi" w:hAnsiTheme="majorHAnsi"/>
          <w:szCs w:val="24"/>
          <w:lang w:val="hr-HR"/>
        </w:rPr>
        <w:t xml:space="preserve">. </w:t>
      </w:r>
    </w:p>
    <w:p w:rsidR="001A1C5A" w:rsidRPr="00704222" w:rsidRDefault="001A1C5A" w:rsidP="00150A08">
      <w:pPr>
        <w:spacing w:after="120"/>
        <w:jc w:val="both"/>
        <w:rPr>
          <w:rFonts w:asciiTheme="majorHAnsi" w:eastAsia="Times New Roman" w:hAnsiTheme="majorHAnsi"/>
          <w:sz w:val="24"/>
          <w:szCs w:val="24"/>
          <w:lang w:val="hr-HR"/>
        </w:rPr>
      </w:pPr>
      <w:r w:rsidRPr="00704222">
        <w:rPr>
          <w:rFonts w:asciiTheme="majorHAnsi" w:eastAsia="Times New Roman" w:hAnsiTheme="majorHAnsi"/>
          <w:sz w:val="24"/>
          <w:szCs w:val="24"/>
          <w:lang w:val="hr-HR"/>
        </w:rPr>
        <w:t>Pojedinac koji je sposoban za rad ima pravo i dužnost da učestvuje u aktivnostima koje omogućavaju prevazilaženje njegove nepovoljne socijalne situacije, odnosno u sprovođenju mjera kojima se obezbjeđuje njegova socijalna uključenost. Centar za socijalni rad i Zavod za zapošljavanje dužni su da međusobno sarađuju u sprovođenju mjera socijalne uključenosti radno sposobnih korisnika materijalnog obezbjeđenja. Stoga, neophodno je unaprijediti saradnju između lokalnih biroa rada i centara za socijalni rad i ojačati njihove kapacitete, kako bi se olakšao proces aktivnog uključivanja radno sposobnih korisnika materijalnog obezbjeđenja na tržište rada.</w:t>
      </w:r>
    </w:p>
    <w:p w:rsidR="00F34454" w:rsidRPr="00704222" w:rsidRDefault="001A1C5A" w:rsidP="00150A08">
      <w:pPr>
        <w:spacing w:after="120"/>
        <w:jc w:val="both"/>
        <w:rPr>
          <w:rFonts w:asciiTheme="majorHAnsi" w:eastAsia="Times New Roman" w:hAnsiTheme="majorHAnsi"/>
          <w:sz w:val="24"/>
          <w:szCs w:val="24"/>
          <w:lang w:val="hr-HR"/>
        </w:rPr>
      </w:pPr>
      <w:r w:rsidRPr="00704222">
        <w:rPr>
          <w:rFonts w:asciiTheme="majorHAnsi" w:eastAsia="Times New Roman" w:hAnsiTheme="majorHAnsi"/>
          <w:sz w:val="24"/>
          <w:szCs w:val="24"/>
          <w:lang w:val="hr-HR"/>
        </w:rPr>
        <w:t xml:space="preserve">Aktivnosti u okviru ove akcije biće usmjerene i na pružanje podrške drugim socijalno ugroženim grupama u povećanju zapošljivosti i u zapošljavanju, kako bi se na taj način smanjilo njihovo siromaštvo i socijalna isključenost i kako bi postali aktivni i punopravni članovi društva. Aktivnosti koje će se razviti  u okviru ovog cilja će podržati i projekte </w:t>
      </w:r>
      <w:r w:rsidR="007E4C3C" w:rsidRPr="00704222">
        <w:rPr>
          <w:rFonts w:asciiTheme="majorHAnsi" w:eastAsia="Times New Roman" w:hAnsiTheme="majorHAnsi"/>
          <w:sz w:val="24"/>
          <w:szCs w:val="24"/>
          <w:lang w:val="hr-HR"/>
        </w:rPr>
        <w:t>vezane za</w:t>
      </w:r>
      <w:r w:rsidRPr="00704222">
        <w:rPr>
          <w:rFonts w:asciiTheme="majorHAnsi" w:eastAsia="Times New Roman" w:hAnsiTheme="majorHAnsi"/>
          <w:sz w:val="24"/>
          <w:szCs w:val="24"/>
          <w:lang w:val="hr-HR"/>
        </w:rPr>
        <w:t xml:space="preserve"> profesionalnu rehabilitaciju i zapošljavanje lica sa invaliditetom, kao i projekte za </w:t>
      </w:r>
      <w:r w:rsidR="007E4C3C" w:rsidRPr="00704222">
        <w:rPr>
          <w:rFonts w:asciiTheme="majorHAnsi" w:eastAsia="Times New Roman" w:hAnsiTheme="majorHAnsi"/>
          <w:sz w:val="24"/>
          <w:szCs w:val="24"/>
          <w:lang w:val="hr-HR"/>
        </w:rPr>
        <w:t>uključivanje pripadnika</w:t>
      </w:r>
      <w:r w:rsidRPr="00704222">
        <w:rPr>
          <w:rFonts w:asciiTheme="majorHAnsi" w:eastAsia="Times New Roman" w:hAnsiTheme="majorHAnsi"/>
          <w:sz w:val="24"/>
          <w:szCs w:val="24"/>
          <w:lang w:val="hr-HR"/>
        </w:rPr>
        <w:t xml:space="preserve"> RE populacije</w:t>
      </w:r>
      <w:r w:rsidR="008060DA" w:rsidRPr="00704222">
        <w:rPr>
          <w:rFonts w:asciiTheme="majorHAnsi" w:eastAsia="Times New Roman" w:hAnsiTheme="majorHAnsi"/>
          <w:sz w:val="24"/>
          <w:szCs w:val="24"/>
          <w:lang w:val="hr-HR"/>
        </w:rPr>
        <w:t xml:space="preserve"> u zajednicu. </w:t>
      </w:r>
    </w:p>
    <w:p w:rsidR="008060DA" w:rsidRPr="00704222" w:rsidRDefault="00F34454" w:rsidP="00150A08">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szCs w:val="24"/>
          <w:lang w:val="hr-HR"/>
        </w:rPr>
        <w:t>Kroz Operativni program Razvoj ljudskih resursa 2012-2013 u okviru prioriteta 3 Unaprijeđenje socijalne inkluzije izdvojen</w:t>
      </w:r>
      <w:r w:rsidR="002F744D" w:rsidRPr="00704222">
        <w:rPr>
          <w:rFonts w:asciiTheme="majorHAnsi" w:hAnsiTheme="majorHAnsi"/>
          <w:szCs w:val="24"/>
          <w:lang w:val="hr-HR"/>
        </w:rPr>
        <w:t xml:space="preserve">o je 1.3 miliona eura za podršku većem pristupu tržištu rada za lica sa invaliditetom i pripadnike RE populacije. </w:t>
      </w:r>
    </w:p>
    <w:p w:rsidR="001A1C5A" w:rsidRPr="00704222" w:rsidRDefault="008060DA" w:rsidP="00150A08">
      <w:pPr>
        <w:spacing w:after="120"/>
        <w:jc w:val="both"/>
        <w:rPr>
          <w:rFonts w:asciiTheme="majorHAnsi" w:eastAsia="Times New Roman" w:hAnsiTheme="majorHAnsi"/>
          <w:sz w:val="24"/>
          <w:szCs w:val="24"/>
          <w:lang w:val="hr-HR"/>
        </w:rPr>
      </w:pPr>
      <w:r w:rsidRPr="00704222">
        <w:rPr>
          <w:rFonts w:asciiTheme="majorHAnsi" w:eastAsia="Times New Roman" w:hAnsiTheme="majorHAnsi"/>
          <w:sz w:val="24"/>
          <w:szCs w:val="24"/>
          <w:lang w:val="hr-HR"/>
        </w:rPr>
        <w:t xml:space="preserve">Crna Gora je prepoznala probleme pripadnika/ca romske i egipćanske manjinske zajednice. Kroz odgovarajuće zakone koji su usaglašeni sa evropskim standardima je stvorila dobar zakonadavni okvir za implementaciju dokumenata kroz koje treba da se konkretno rješavaju problemi i poveća društvena i ekonomska integracija RE zajednice u crnogorsko društvo. To se u prvom redu odnosi na Strategiju za poboljšanje položaja Roma i Egipćana u Crnoj Gori 2012-2016. </w:t>
      </w:r>
    </w:p>
    <w:p w:rsidR="001A1C5A" w:rsidRPr="00704222" w:rsidRDefault="001A1C5A" w:rsidP="00150A08">
      <w:pPr>
        <w:spacing w:after="120"/>
        <w:jc w:val="both"/>
        <w:rPr>
          <w:rFonts w:asciiTheme="majorHAnsi" w:eastAsia="Times New Roman" w:hAnsiTheme="majorHAnsi"/>
          <w:sz w:val="24"/>
          <w:szCs w:val="24"/>
          <w:lang w:val="hr-HR"/>
        </w:rPr>
      </w:pPr>
      <w:r w:rsidRPr="00704222">
        <w:rPr>
          <w:rFonts w:asciiTheme="majorHAnsi" w:eastAsia="Times New Roman" w:hAnsiTheme="majorHAnsi"/>
          <w:sz w:val="24"/>
          <w:szCs w:val="24"/>
          <w:lang w:val="hr-HR"/>
        </w:rPr>
        <w:t>U području zakonodavnog okvira vezanog za socijalnu inkluziju i socijalnu zaštitu usvojen je veliki broj zakona i podzakonskih akata. Tako Zakon o socijalnoj i dječjoj zaštiti („Sl. list Crne Gore“, br . 27/13) po prvi put uvodi socijalnu inspekciju u Crnoj Gori, koje će početi s radom u 2015. Zavod za socijalnu i dječju zaštitu ima ulogu vođenja razvojne politike u ovom području, organizovanje supervizije, istraživanja i drugih stručnih poslova u ovom sektoru. Usvojene su i sljedeća strateška dokumenta: Strategija socijalne i dječje zaštite 2013-2017, Strategija razvoja socijalne zaštite starih lica 2013-2017, kao i Nacionalni plan akcije za djecu 2013-2017. Projekat "Socijalni karton" realizovan je u centrima za socijalni rad, a u drugoj fazi sprovođenja ovog projekta (2015-2017) informatički sistem centara za socijalni rad će biti povezan s institucijama socijalne i dječje zaštite.</w:t>
      </w:r>
    </w:p>
    <w:p w:rsidR="001A2E8E" w:rsidRPr="00704222" w:rsidRDefault="001A2E8E" w:rsidP="00150A08">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szCs w:val="24"/>
          <w:lang w:val="hr-HR"/>
        </w:rPr>
        <w:t>Donošenjem</w:t>
      </w:r>
      <w:r w:rsidR="004B3920" w:rsidRPr="00704222">
        <w:rPr>
          <w:rFonts w:asciiTheme="majorHAnsi" w:hAnsiTheme="majorHAnsi"/>
          <w:szCs w:val="24"/>
          <w:lang w:val="hr-HR"/>
        </w:rPr>
        <w:t xml:space="preserve"> </w:t>
      </w:r>
      <w:r w:rsidRPr="00704222">
        <w:rPr>
          <w:rFonts w:asciiTheme="majorHAnsi" w:hAnsiTheme="majorHAnsi"/>
          <w:szCs w:val="24"/>
          <w:lang w:val="hr-HR"/>
        </w:rPr>
        <w:t xml:space="preserve"> Zakona o socijalnoj i dječjoj zaštiti 2013. godine, podstiče se rаzvoj postojećih i uvođenje novih usluga socijаlne i dječije zaštite i uključivаnje u sferu pružаnjа uslugа što više rаzličitih аkterа. Takođe, u okviru IPA 2010 projekta „Reforma sistema socijalne i dječje zaštite: unapr</w:t>
      </w:r>
      <w:r w:rsidR="001A5728" w:rsidRPr="00704222">
        <w:rPr>
          <w:rFonts w:asciiTheme="majorHAnsi" w:hAnsiTheme="majorHAnsi"/>
          <w:szCs w:val="24"/>
          <w:lang w:val="hr-HR"/>
        </w:rPr>
        <w:t>ij</w:t>
      </w:r>
      <w:r w:rsidRPr="00704222">
        <w:rPr>
          <w:rFonts w:asciiTheme="majorHAnsi" w:hAnsiTheme="majorHAnsi"/>
          <w:szCs w:val="24"/>
          <w:lang w:val="hr-HR"/>
        </w:rPr>
        <w:t>eđenje socijalne inkluzije“, koji su realizovali Ministarstvo rada i socijalnog staranja i Ministarstvo prosvjete, uz stručnu podršku UNDP-a i UNICEF-a i finansijsku podršku Evropske unije, razvijene su procedure i kriterijumi za finansijsku i stručnu podršku pružanju usluga na nivou lokalne zajednice i pilotirane su u devet crnogorskih opština. Kroz projekat su podržane 23 usluge socijalne zaštite, koje je koristilo gotovo 2000 lica (starih lica, lica sa invaliditetom, žrtava nasilja, samohranih roditelja, zavisnika od psihoaktivnih supstanci).</w:t>
      </w:r>
    </w:p>
    <w:p w:rsidR="001A2E8E" w:rsidRPr="00704222" w:rsidRDefault="001A2E8E" w:rsidP="00150A08">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szCs w:val="24"/>
          <w:lang w:val="hr-HR"/>
        </w:rPr>
        <w:t>Sami proces razvoja usluga socijalne i dječje zaštite je dugotrajan i složen, a prelazni period do uspostavljanja sistema zasnovanog na uslugama u zajednici će zahtijevati značajna finansijska sredstva. Omogućavanjem učešča svih nadležnih i zainteresovanih strana na lokalnom nivou, promovisaće se pluralizam u pružanju usluga, proširiti broj usluga i omogućiti da se usluge adekvatno prilagode potrebama zajednice. Kako bi se obezbijedio ujednačen pristup uslugama socijalne i dječje zaštite za sve građane, potrebno je nastaviti proces planiranja na lokalnom nivou i obezbijediti podršku u realizaciji lokalnih planova socijalne inkluzije.</w:t>
      </w:r>
    </w:p>
    <w:p w:rsidR="001A2E8E" w:rsidRPr="00704222" w:rsidRDefault="001A2E8E" w:rsidP="00150A08">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szCs w:val="24"/>
          <w:lang w:val="hr-HR"/>
        </w:rPr>
        <w:t>Isto tako nužno je unaprijediti koordinaciju sa sistemom prosvjete, zdravstva i finansija, kao i sa lokalnom samoupravom. Osnovni preventivni mehanizmi obuhvataju razvoj usluga za unapr</w:t>
      </w:r>
      <w:r w:rsidR="00417CC1" w:rsidRPr="00704222">
        <w:rPr>
          <w:rFonts w:asciiTheme="majorHAnsi" w:hAnsiTheme="majorHAnsi"/>
          <w:szCs w:val="24"/>
          <w:lang w:val="hr-HR"/>
        </w:rPr>
        <w:t>i</w:t>
      </w:r>
      <w:r w:rsidRPr="00704222">
        <w:rPr>
          <w:rFonts w:asciiTheme="majorHAnsi" w:hAnsiTheme="majorHAnsi"/>
          <w:szCs w:val="24"/>
          <w:lang w:val="hr-HR"/>
        </w:rPr>
        <w:t xml:space="preserve">jeđenje kvaliteta života građana, kao i njihovo pravovremeno informisanje i edukovanje o načinima i mogućnostima za korišćenje usluga u zajednici. Od posebnog značaja je i izgradnja baze podataka u sistemu socijalne i dječje zaštite i njeno umrežavanje sa bazama podataka drugih relevantnih institucija. </w:t>
      </w:r>
    </w:p>
    <w:p w:rsidR="001A2E8E" w:rsidRPr="00704222" w:rsidRDefault="001A2E8E" w:rsidP="00150A08">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szCs w:val="24"/>
          <w:lang w:val="hr-HR"/>
        </w:rPr>
        <w:t xml:space="preserve">Obezbjeđivanje kvaliteta usluga podrazumijeva: podizanje kvaliteta usluga u postojećim ustanovama na viši nivo i pružanje novih usluga; uvođenje sistema licenciranja; obezbjeđivanje efikasnog sistema stručne podrške, supervizije i inspekcijskog nadzora; promjenu u organizaciji rada centara za socijalni rad i uvođenje novih metoda rada. Za obavljanje razvojnih, savjetodavnih, istraživačkih i drugih stručnih poslova u socijalnoj i dječjoj zaštiti i jačanje profesionalnih kapaciteta zaposlenih i pružalaca usluga, izuzetno je važno osnivanje i jačanje kapaciteta Zavoda za socijalnu i dječju zaštitu. </w:t>
      </w:r>
    </w:p>
    <w:p w:rsidR="00F34454" w:rsidRPr="00704222" w:rsidRDefault="00F34454" w:rsidP="00150A08">
      <w:pPr>
        <w:pStyle w:val="ListBullet2"/>
        <w:numPr>
          <w:ilvl w:val="0"/>
          <w:numId w:val="0"/>
        </w:numPr>
        <w:spacing w:after="120" w:line="276" w:lineRule="auto"/>
        <w:rPr>
          <w:rFonts w:asciiTheme="majorHAnsi" w:hAnsiTheme="majorHAnsi"/>
          <w:b/>
          <w:szCs w:val="24"/>
          <w:lang w:val="hr-HR"/>
        </w:rPr>
      </w:pPr>
    </w:p>
    <w:p w:rsidR="001A2E8E" w:rsidRPr="00704222" w:rsidRDefault="001A2E8E" w:rsidP="00150A08">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b/>
          <w:szCs w:val="24"/>
          <w:lang w:val="hr-HR"/>
        </w:rPr>
        <w:t>Specifični cilj</w:t>
      </w:r>
      <w:r w:rsidRPr="00704222">
        <w:rPr>
          <w:rFonts w:asciiTheme="majorHAnsi" w:hAnsiTheme="majorHAnsi"/>
          <w:szCs w:val="24"/>
          <w:lang w:val="hr-HR"/>
        </w:rPr>
        <w:t xml:space="preserve"> ove akcije je poboljšanje kvaliteta usluga socijalne i dječje zaštite i pristupa tržištu rada, uzimajući u obzir potrebe marginalizovanih grupa.</w:t>
      </w:r>
    </w:p>
    <w:p w:rsidR="001A2E8E" w:rsidRDefault="001A2E8E" w:rsidP="00150A08">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szCs w:val="24"/>
          <w:lang w:val="hr-HR"/>
        </w:rPr>
        <w:t xml:space="preserve">Kroz ovu akciju sprovodiće se aktivnosti koje će doprinijeti boljem pristupu socijalno osjetljivih grupa kvalitetnim socijalnim i dječjim uslugama i službama socijalne zaštite na lokalnom niovu. Isto </w:t>
      </w:r>
      <w:r w:rsidR="001A1C5A" w:rsidRPr="00704222">
        <w:rPr>
          <w:rFonts w:asciiTheme="majorHAnsi" w:hAnsiTheme="majorHAnsi"/>
          <w:szCs w:val="24"/>
          <w:lang w:val="hr-HR"/>
        </w:rPr>
        <w:t>t</w:t>
      </w:r>
      <w:r w:rsidRPr="00704222">
        <w:rPr>
          <w:rFonts w:asciiTheme="majorHAnsi" w:hAnsiTheme="majorHAnsi"/>
          <w:szCs w:val="24"/>
          <w:lang w:val="hr-HR"/>
        </w:rPr>
        <w:t>ako</w:t>
      </w:r>
      <w:r w:rsidR="001A1C5A" w:rsidRPr="00704222">
        <w:rPr>
          <w:rFonts w:asciiTheme="majorHAnsi" w:hAnsiTheme="majorHAnsi"/>
          <w:szCs w:val="24"/>
          <w:lang w:val="hr-HR"/>
        </w:rPr>
        <w:t>,</w:t>
      </w:r>
      <w:r w:rsidRPr="00704222">
        <w:rPr>
          <w:rFonts w:asciiTheme="majorHAnsi" w:hAnsiTheme="majorHAnsi"/>
          <w:szCs w:val="24"/>
          <w:lang w:val="hr-HR"/>
        </w:rPr>
        <w:t xml:space="preserve"> težiće se funkcionalnoj socijalnoj i dječjoj  zaštiti, a povećaće se i  uključenost marginalizovanih grupa na tržište rada. </w:t>
      </w:r>
    </w:p>
    <w:p w:rsidR="00150A08" w:rsidRPr="00150A08" w:rsidRDefault="00150A08" w:rsidP="00150A08">
      <w:pPr>
        <w:pStyle w:val="ListBullet2"/>
        <w:numPr>
          <w:ilvl w:val="0"/>
          <w:numId w:val="0"/>
        </w:numPr>
        <w:spacing w:after="120" w:line="276" w:lineRule="auto"/>
        <w:rPr>
          <w:rFonts w:asciiTheme="majorHAnsi" w:hAnsiTheme="majorHAnsi"/>
          <w:szCs w:val="24"/>
          <w:lang w:val="hr-HR"/>
        </w:rPr>
      </w:pPr>
    </w:p>
    <w:p w:rsidR="001A2E8E" w:rsidRPr="00150A08" w:rsidRDefault="001A2E8E" w:rsidP="00150A08">
      <w:pPr>
        <w:pStyle w:val="ListBullet2"/>
        <w:numPr>
          <w:ilvl w:val="0"/>
          <w:numId w:val="0"/>
        </w:numPr>
        <w:spacing w:after="120" w:line="276" w:lineRule="auto"/>
        <w:rPr>
          <w:rFonts w:asciiTheme="majorHAnsi" w:hAnsiTheme="majorHAnsi"/>
          <w:b/>
          <w:szCs w:val="24"/>
          <w:lang w:val="hr-HR"/>
        </w:rPr>
      </w:pPr>
      <w:r w:rsidRPr="00704222">
        <w:rPr>
          <w:rFonts w:asciiTheme="majorHAnsi" w:hAnsiTheme="majorHAnsi"/>
          <w:b/>
          <w:szCs w:val="24"/>
          <w:lang w:val="hr-HR"/>
        </w:rPr>
        <w:t>Predviđene aktivnosti</w:t>
      </w:r>
      <w:r w:rsidRPr="00704222">
        <w:rPr>
          <w:rFonts w:asciiTheme="majorHAnsi" w:hAnsiTheme="majorHAnsi"/>
          <w:szCs w:val="24"/>
          <w:lang w:val="hr-HR"/>
        </w:rPr>
        <w:t xml:space="preserve"> </w:t>
      </w:r>
      <w:r w:rsidRPr="00704222">
        <w:rPr>
          <w:rFonts w:asciiTheme="majorHAnsi" w:hAnsiTheme="majorHAnsi"/>
          <w:b/>
          <w:szCs w:val="24"/>
          <w:lang w:val="hr-HR"/>
        </w:rPr>
        <w:t>unutar akcije „Podsticanje socijalne inkluzije i unaprjeđe</w:t>
      </w:r>
      <w:r w:rsidR="00150A08">
        <w:rPr>
          <w:rFonts w:asciiTheme="majorHAnsi" w:hAnsiTheme="majorHAnsi"/>
          <w:b/>
          <w:szCs w:val="24"/>
          <w:lang w:val="hr-HR"/>
        </w:rPr>
        <w:t>nje sistema socijalne zaštite“:</w:t>
      </w:r>
    </w:p>
    <w:p w:rsidR="001A2E8E" w:rsidRPr="00704222" w:rsidRDefault="001A2E8E" w:rsidP="00150A08">
      <w:pPr>
        <w:pStyle w:val="ListBullet2"/>
        <w:numPr>
          <w:ilvl w:val="0"/>
          <w:numId w:val="21"/>
        </w:numPr>
        <w:spacing w:after="120" w:line="276" w:lineRule="auto"/>
        <w:rPr>
          <w:rFonts w:asciiTheme="majorHAnsi" w:hAnsiTheme="majorHAnsi"/>
          <w:szCs w:val="24"/>
          <w:lang w:val="hr-HR"/>
        </w:rPr>
      </w:pPr>
      <w:r w:rsidRPr="00704222">
        <w:rPr>
          <w:rFonts w:asciiTheme="majorHAnsi" w:hAnsiTheme="majorHAnsi"/>
          <w:szCs w:val="24"/>
          <w:lang w:val="hr-HR"/>
        </w:rPr>
        <w:t>Uspostavljanje i implemetacija grant šema  „Unapr</w:t>
      </w:r>
      <w:r w:rsidR="00576D10" w:rsidRPr="00704222">
        <w:rPr>
          <w:rFonts w:asciiTheme="majorHAnsi" w:hAnsiTheme="majorHAnsi"/>
          <w:szCs w:val="24"/>
          <w:lang w:val="hr-HR"/>
        </w:rPr>
        <w:t>i</w:t>
      </w:r>
      <w:r w:rsidRPr="00704222">
        <w:rPr>
          <w:rFonts w:asciiTheme="majorHAnsi" w:hAnsiTheme="majorHAnsi"/>
          <w:szCs w:val="24"/>
          <w:lang w:val="hr-HR"/>
        </w:rPr>
        <w:t>jeđ</w:t>
      </w:r>
      <w:r w:rsidR="007E4C3C" w:rsidRPr="00704222">
        <w:rPr>
          <w:rFonts w:asciiTheme="majorHAnsi" w:hAnsiTheme="majorHAnsi"/>
          <w:szCs w:val="24"/>
          <w:lang w:val="hr-HR"/>
        </w:rPr>
        <w:t>enje</w:t>
      </w:r>
      <w:r w:rsidR="00F54603" w:rsidRPr="00704222">
        <w:rPr>
          <w:rFonts w:asciiTheme="majorHAnsi" w:hAnsiTheme="majorHAnsi"/>
          <w:szCs w:val="24"/>
          <w:lang w:val="hr-HR"/>
        </w:rPr>
        <w:t xml:space="preserve"> </w:t>
      </w:r>
      <w:r w:rsidRPr="00704222">
        <w:rPr>
          <w:rFonts w:asciiTheme="majorHAnsi" w:hAnsiTheme="majorHAnsi"/>
          <w:szCs w:val="24"/>
          <w:lang w:val="hr-HR"/>
        </w:rPr>
        <w:t>usluga socijalne i dječje za</w:t>
      </w:r>
      <w:r w:rsidR="001A6348" w:rsidRPr="00704222">
        <w:rPr>
          <w:rFonts w:asciiTheme="majorHAnsi" w:hAnsiTheme="majorHAnsi"/>
          <w:szCs w:val="24"/>
          <w:lang w:val="hr-HR"/>
        </w:rPr>
        <w:t>štite na lokalnom nivo</w:t>
      </w:r>
      <w:r w:rsidRPr="00704222">
        <w:rPr>
          <w:rFonts w:asciiTheme="majorHAnsi" w:hAnsiTheme="majorHAnsi"/>
          <w:szCs w:val="24"/>
          <w:lang w:val="hr-HR"/>
        </w:rPr>
        <w:t>u“</w:t>
      </w:r>
      <w:r w:rsidR="00951EA9" w:rsidRPr="00704222">
        <w:rPr>
          <w:rFonts w:asciiTheme="majorHAnsi" w:hAnsiTheme="majorHAnsi"/>
          <w:szCs w:val="24"/>
          <w:lang w:val="hr-HR"/>
        </w:rPr>
        <w:t xml:space="preserve"> </w:t>
      </w:r>
    </w:p>
    <w:p w:rsidR="005B6C80" w:rsidRPr="00704222" w:rsidRDefault="001A2E8E" w:rsidP="00150A08">
      <w:pPr>
        <w:pStyle w:val="ListBullet2"/>
        <w:numPr>
          <w:ilvl w:val="0"/>
          <w:numId w:val="21"/>
        </w:numPr>
        <w:spacing w:after="120" w:line="276" w:lineRule="auto"/>
        <w:rPr>
          <w:rFonts w:asciiTheme="majorHAnsi" w:hAnsiTheme="majorHAnsi"/>
          <w:szCs w:val="24"/>
          <w:lang w:val="hr-HR"/>
        </w:rPr>
      </w:pPr>
      <w:r w:rsidRPr="00704222">
        <w:rPr>
          <w:rFonts w:asciiTheme="majorHAnsi" w:hAnsiTheme="majorHAnsi"/>
          <w:szCs w:val="24"/>
          <w:lang w:val="hr-HR"/>
        </w:rPr>
        <w:t>Ugovor o uslugama „Poboljšanje administrativnih kapaciteta za sprovođenje  reforme socijalne i dječje zaštite“</w:t>
      </w:r>
      <w:r w:rsidR="00951EA9" w:rsidRPr="00704222">
        <w:rPr>
          <w:rFonts w:asciiTheme="majorHAnsi" w:hAnsiTheme="majorHAnsi"/>
          <w:szCs w:val="24"/>
          <w:lang w:val="hr-HR"/>
        </w:rPr>
        <w:t xml:space="preserve"> </w:t>
      </w:r>
    </w:p>
    <w:p w:rsidR="001A2E8E" w:rsidRPr="00704222" w:rsidRDefault="00677943" w:rsidP="00150A08">
      <w:pPr>
        <w:pStyle w:val="ListBullet2"/>
        <w:numPr>
          <w:ilvl w:val="0"/>
          <w:numId w:val="21"/>
        </w:numPr>
        <w:spacing w:after="120" w:line="276" w:lineRule="auto"/>
        <w:rPr>
          <w:rFonts w:asciiTheme="majorHAnsi" w:hAnsiTheme="majorHAnsi"/>
          <w:szCs w:val="24"/>
          <w:lang w:val="hr-HR"/>
        </w:rPr>
      </w:pPr>
      <w:r w:rsidRPr="00704222">
        <w:rPr>
          <w:rFonts w:asciiTheme="majorHAnsi" w:hAnsiTheme="majorHAnsi"/>
          <w:szCs w:val="24"/>
          <w:lang w:val="hr-HR"/>
        </w:rPr>
        <w:t>Grant šema „</w:t>
      </w:r>
      <w:r w:rsidR="001A2E8E" w:rsidRPr="00704222">
        <w:rPr>
          <w:rFonts w:asciiTheme="majorHAnsi" w:hAnsiTheme="majorHAnsi"/>
          <w:szCs w:val="24"/>
          <w:lang w:val="hr-HR"/>
        </w:rPr>
        <w:t xml:space="preserve">Uključivanje marginalizovanih grupa </w:t>
      </w:r>
      <w:r w:rsidRPr="00704222">
        <w:rPr>
          <w:rFonts w:asciiTheme="majorHAnsi" w:hAnsiTheme="majorHAnsi"/>
          <w:szCs w:val="24"/>
          <w:lang w:val="hr-HR"/>
        </w:rPr>
        <w:t xml:space="preserve">u zajednicu, s posebnim naglaskom na RE populaciju“ </w:t>
      </w:r>
    </w:p>
    <w:p w:rsidR="0067783A" w:rsidRPr="00704222" w:rsidRDefault="001A2E8E" w:rsidP="00150A08">
      <w:pPr>
        <w:pStyle w:val="ListBullet2"/>
        <w:numPr>
          <w:ilvl w:val="0"/>
          <w:numId w:val="21"/>
        </w:numPr>
        <w:spacing w:after="120" w:line="276" w:lineRule="auto"/>
        <w:rPr>
          <w:rFonts w:asciiTheme="majorHAnsi" w:hAnsiTheme="majorHAnsi"/>
          <w:szCs w:val="24"/>
          <w:lang w:val="hr-HR"/>
        </w:rPr>
      </w:pPr>
      <w:r w:rsidRPr="00704222">
        <w:rPr>
          <w:rFonts w:asciiTheme="majorHAnsi" w:hAnsiTheme="majorHAnsi"/>
          <w:szCs w:val="24"/>
          <w:lang w:val="hr-HR"/>
        </w:rPr>
        <w:t xml:space="preserve">Ugovor o </w:t>
      </w:r>
      <w:r w:rsidR="00F9372C" w:rsidRPr="00704222">
        <w:rPr>
          <w:rFonts w:asciiTheme="majorHAnsi" w:hAnsiTheme="majorHAnsi"/>
          <w:szCs w:val="24"/>
          <w:lang w:val="hr-HR"/>
        </w:rPr>
        <w:t xml:space="preserve">nabavkama vezan </w:t>
      </w:r>
      <w:r w:rsidRPr="00704222">
        <w:rPr>
          <w:rFonts w:asciiTheme="majorHAnsi" w:hAnsiTheme="majorHAnsi"/>
          <w:szCs w:val="24"/>
          <w:lang w:val="hr-HR"/>
        </w:rPr>
        <w:t xml:space="preserve"> za </w:t>
      </w:r>
      <w:r w:rsidR="00F9372C" w:rsidRPr="00704222">
        <w:rPr>
          <w:rFonts w:asciiTheme="majorHAnsi" w:hAnsiTheme="majorHAnsi"/>
          <w:szCs w:val="24"/>
          <w:lang w:val="hr-HR"/>
        </w:rPr>
        <w:t xml:space="preserve">aktiviranje </w:t>
      </w:r>
      <w:r w:rsidRPr="00704222">
        <w:rPr>
          <w:rFonts w:asciiTheme="majorHAnsi" w:hAnsiTheme="majorHAnsi"/>
          <w:szCs w:val="24"/>
          <w:lang w:val="hr-HR"/>
        </w:rPr>
        <w:t>Centra za profesionalnu rehabilitaciju i zapošljavanje lica s invaliditetom</w:t>
      </w:r>
      <w:r w:rsidR="007B14FC" w:rsidRPr="00704222">
        <w:rPr>
          <w:rFonts w:asciiTheme="majorHAnsi" w:hAnsiTheme="majorHAnsi"/>
          <w:szCs w:val="24"/>
          <w:lang w:val="hr-HR"/>
        </w:rPr>
        <w:t xml:space="preserve">. </w:t>
      </w:r>
    </w:p>
    <w:p w:rsidR="001A2E8E" w:rsidRDefault="001A2E8E" w:rsidP="00150A08">
      <w:pPr>
        <w:pStyle w:val="ListBullet2"/>
        <w:numPr>
          <w:ilvl w:val="0"/>
          <w:numId w:val="0"/>
        </w:numPr>
        <w:spacing w:after="120" w:line="276" w:lineRule="auto"/>
        <w:rPr>
          <w:szCs w:val="24"/>
          <w:lang w:val="hr-HR"/>
        </w:rPr>
      </w:pPr>
    </w:p>
    <w:p w:rsidR="001A2E8E" w:rsidRPr="00704222" w:rsidRDefault="001A2E8E" w:rsidP="00150A08">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b/>
          <w:szCs w:val="24"/>
          <w:lang w:val="hr-HR"/>
        </w:rPr>
        <w:t>Cilj</w:t>
      </w:r>
      <w:r w:rsidR="007C383E" w:rsidRPr="00704222">
        <w:rPr>
          <w:rFonts w:asciiTheme="majorHAnsi" w:hAnsiTheme="majorHAnsi"/>
          <w:b/>
          <w:szCs w:val="24"/>
          <w:lang w:val="hr-HR"/>
        </w:rPr>
        <w:t>ne</w:t>
      </w:r>
      <w:r w:rsidRPr="00704222">
        <w:rPr>
          <w:rFonts w:asciiTheme="majorHAnsi" w:hAnsiTheme="majorHAnsi"/>
          <w:b/>
          <w:szCs w:val="24"/>
          <w:lang w:val="hr-HR"/>
        </w:rPr>
        <w:t xml:space="preserve"> </w:t>
      </w:r>
      <w:r w:rsidR="007C383E" w:rsidRPr="00704222">
        <w:rPr>
          <w:rFonts w:asciiTheme="majorHAnsi" w:hAnsiTheme="majorHAnsi"/>
          <w:b/>
          <w:szCs w:val="24"/>
          <w:lang w:val="hr-HR"/>
        </w:rPr>
        <w:t>grupe</w:t>
      </w:r>
      <w:r w:rsidRPr="00704222">
        <w:rPr>
          <w:rFonts w:asciiTheme="majorHAnsi" w:hAnsiTheme="majorHAnsi"/>
          <w:b/>
          <w:szCs w:val="24"/>
          <w:lang w:val="hr-HR"/>
        </w:rPr>
        <w:t>:</w:t>
      </w:r>
    </w:p>
    <w:p w:rsidR="001A2E8E" w:rsidRPr="00704222" w:rsidRDefault="001A2E8E" w:rsidP="00150A08">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szCs w:val="24"/>
          <w:lang w:val="hr-HR"/>
        </w:rPr>
        <w:t>Ad 1</w:t>
      </w:r>
      <w:r w:rsidR="007B14FC" w:rsidRPr="00704222">
        <w:rPr>
          <w:rFonts w:asciiTheme="majorHAnsi" w:hAnsiTheme="majorHAnsi"/>
          <w:szCs w:val="24"/>
          <w:lang w:val="hr-HR"/>
        </w:rPr>
        <w:t>) M</w:t>
      </w:r>
      <w:r w:rsidRPr="00704222">
        <w:rPr>
          <w:rFonts w:asciiTheme="majorHAnsi" w:hAnsiTheme="majorHAnsi"/>
          <w:szCs w:val="24"/>
          <w:lang w:val="hr-HR"/>
        </w:rPr>
        <w:t>arginalizovane grupe u društvu (lica s invaliditetom, pripadnici RE populacije, djeca</w:t>
      </w:r>
      <w:r w:rsidR="001A1C5A" w:rsidRPr="00704222">
        <w:rPr>
          <w:rFonts w:asciiTheme="majorHAnsi" w:hAnsiTheme="majorHAnsi"/>
          <w:szCs w:val="24"/>
          <w:lang w:val="hr-HR"/>
        </w:rPr>
        <w:t>, stara lica</w:t>
      </w:r>
      <w:r w:rsidRPr="00704222">
        <w:rPr>
          <w:rFonts w:asciiTheme="majorHAnsi" w:hAnsiTheme="majorHAnsi"/>
          <w:szCs w:val="24"/>
          <w:lang w:val="hr-HR"/>
        </w:rPr>
        <w:t xml:space="preserve">) i druge grupe u </w:t>
      </w:r>
      <w:r w:rsidR="006317DF" w:rsidRPr="00704222">
        <w:rPr>
          <w:rFonts w:asciiTheme="majorHAnsi" w:hAnsiTheme="majorHAnsi"/>
          <w:szCs w:val="24"/>
          <w:lang w:val="hr-HR"/>
        </w:rPr>
        <w:t xml:space="preserve">riziku </w:t>
      </w:r>
      <w:r w:rsidRPr="00704222">
        <w:rPr>
          <w:rFonts w:asciiTheme="majorHAnsi" w:hAnsiTheme="majorHAnsi"/>
          <w:szCs w:val="24"/>
          <w:lang w:val="hr-HR"/>
        </w:rPr>
        <w:t xml:space="preserve"> od siromaštva</w:t>
      </w:r>
      <w:r w:rsidR="007B14FC" w:rsidRPr="00704222">
        <w:rPr>
          <w:rFonts w:asciiTheme="majorHAnsi" w:hAnsiTheme="majorHAnsi"/>
          <w:szCs w:val="24"/>
          <w:lang w:val="hr-HR"/>
        </w:rPr>
        <w:t>.</w:t>
      </w:r>
    </w:p>
    <w:p w:rsidR="001A2E8E" w:rsidRPr="00704222" w:rsidRDefault="007B14FC" w:rsidP="00150A08">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szCs w:val="24"/>
          <w:lang w:val="hr-HR"/>
        </w:rPr>
        <w:t>Ad 2) D</w:t>
      </w:r>
      <w:r w:rsidR="001A1C5A" w:rsidRPr="00704222">
        <w:rPr>
          <w:rFonts w:asciiTheme="majorHAnsi" w:hAnsiTheme="majorHAnsi"/>
          <w:szCs w:val="24"/>
          <w:lang w:val="hr-HR"/>
        </w:rPr>
        <w:t>ržavni i lokalni organi vlasti zaduženi</w:t>
      </w:r>
      <w:r w:rsidR="001A2E8E" w:rsidRPr="00704222">
        <w:rPr>
          <w:rFonts w:asciiTheme="majorHAnsi" w:hAnsiTheme="majorHAnsi"/>
          <w:szCs w:val="24"/>
          <w:lang w:val="hr-HR"/>
        </w:rPr>
        <w:t xml:space="preserve"> za socijalnu i dječju zaštitu u Crnoj Gori</w:t>
      </w:r>
      <w:r w:rsidRPr="00704222">
        <w:rPr>
          <w:rFonts w:asciiTheme="majorHAnsi" w:hAnsiTheme="majorHAnsi"/>
          <w:szCs w:val="24"/>
          <w:lang w:val="hr-HR"/>
        </w:rPr>
        <w:t xml:space="preserve">. </w:t>
      </w:r>
    </w:p>
    <w:p w:rsidR="001A2E8E" w:rsidRPr="00704222" w:rsidRDefault="001A2E8E" w:rsidP="00150A08">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szCs w:val="24"/>
          <w:lang w:val="hr-HR"/>
        </w:rPr>
        <w:t xml:space="preserve">Ad 3) </w:t>
      </w:r>
      <w:r w:rsidR="007B14FC" w:rsidRPr="00704222">
        <w:rPr>
          <w:rFonts w:asciiTheme="majorHAnsi" w:hAnsiTheme="majorHAnsi"/>
          <w:szCs w:val="24"/>
          <w:lang w:val="hr-HR"/>
        </w:rPr>
        <w:t>M</w:t>
      </w:r>
      <w:r w:rsidRPr="00704222">
        <w:rPr>
          <w:rFonts w:asciiTheme="majorHAnsi" w:hAnsiTheme="majorHAnsi"/>
          <w:szCs w:val="24"/>
          <w:lang w:val="hr-HR"/>
        </w:rPr>
        <w:t>arginalizovane grupe u društvu (</w:t>
      </w:r>
      <w:r w:rsidR="006317DF" w:rsidRPr="00704222">
        <w:rPr>
          <w:rFonts w:asciiTheme="majorHAnsi" w:hAnsiTheme="majorHAnsi"/>
          <w:szCs w:val="24"/>
          <w:lang w:val="hr-HR"/>
        </w:rPr>
        <w:t xml:space="preserve">s naglaskom na </w:t>
      </w:r>
      <w:r w:rsidRPr="00704222">
        <w:rPr>
          <w:rFonts w:asciiTheme="majorHAnsi" w:hAnsiTheme="majorHAnsi"/>
          <w:szCs w:val="24"/>
          <w:lang w:val="hr-HR"/>
        </w:rPr>
        <w:t>pripadni</w:t>
      </w:r>
      <w:r w:rsidR="006317DF" w:rsidRPr="00704222">
        <w:rPr>
          <w:rFonts w:asciiTheme="majorHAnsi" w:hAnsiTheme="majorHAnsi"/>
          <w:szCs w:val="24"/>
          <w:lang w:val="hr-HR"/>
        </w:rPr>
        <w:t>ke</w:t>
      </w:r>
      <w:r w:rsidRPr="00704222">
        <w:rPr>
          <w:rFonts w:asciiTheme="majorHAnsi" w:hAnsiTheme="majorHAnsi"/>
          <w:szCs w:val="24"/>
          <w:lang w:val="hr-HR"/>
        </w:rPr>
        <w:t xml:space="preserve"> RE populacije)</w:t>
      </w:r>
      <w:r w:rsidR="007B14FC" w:rsidRPr="00704222">
        <w:rPr>
          <w:rFonts w:asciiTheme="majorHAnsi" w:hAnsiTheme="majorHAnsi"/>
          <w:szCs w:val="24"/>
          <w:lang w:val="hr-HR"/>
        </w:rPr>
        <w:t xml:space="preserve">. </w:t>
      </w:r>
    </w:p>
    <w:p w:rsidR="001A2E8E" w:rsidRPr="00704222" w:rsidRDefault="007B14FC" w:rsidP="00150A08">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szCs w:val="24"/>
          <w:lang w:val="hr-HR"/>
        </w:rPr>
        <w:t>Ad 4) L</w:t>
      </w:r>
      <w:r w:rsidR="001A2E8E" w:rsidRPr="00704222">
        <w:rPr>
          <w:rFonts w:asciiTheme="majorHAnsi" w:hAnsiTheme="majorHAnsi"/>
          <w:szCs w:val="24"/>
          <w:lang w:val="hr-HR"/>
        </w:rPr>
        <w:t>ica s invaliditetom</w:t>
      </w:r>
      <w:r w:rsidRPr="00704222">
        <w:rPr>
          <w:rFonts w:asciiTheme="majorHAnsi" w:hAnsiTheme="majorHAnsi"/>
          <w:szCs w:val="24"/>
          <w:lang w:val="hr-HR"/>
        </w:rPr>
        <w:t xml:space="preserve">. </w:t>
      </w:r>
    </w:p>
    <w:p w:rsidR="001A2E8E" w:rsidRDefault="001A2E8E" w:rsidP="00150A08">
      <w:pPr>
        <w:pStyle w:val="ListBullet2"/>
        <w:numPr>
          <w:ilvl w:val="0"/>
          <w:numId w:val="0"/>
        </w:numPr>
        <w:spacing w:after="120" w:line="276" w:lineRule="auto"/>
        <w:rPr>
          <w:szCs w:val="24"/>
          <w:lang w:val="hr-HR"/>
        </w:rPr>
      </w:pPr>
    </w:p>
    <w:p w:rsidR="001A2E8E" w:rsidRPr="00704222" w:rsidRDefault="001A2E8E" w:rsidP="00150A08">
      <w:pPr>
        <w:pStyle w:val="ListBullet2"/>
        <w:numPr>
          <w:ilvl w:val="0"/>
          <w:numId w:val="0"/>
        </w:numPr>
        <w:spacing w:after="120" w:line="276" w:lineRule="auto"/>
        <w:rPr>
          <w:rFonts w:asciiTheme="majorHAnsi" w:hAnsiTheme="majorHAnsi"/>
          <w:b/>
          <w:szCs w:val="24"/>
          <w:lang w:val="hr-HR"/>
        </w:rPr>
      </w:pPr>
      <w:r w:rsidRPr="00704222">
        <w:rPr>
          <w:rFonts w:asciiTheme="majorHAnsi" w:hAnsiTheme="majorHAnsi"/>
          <w:b/>
          <w:szCs w:val="24"/>
          <w:lang w:val="hr-HR"/>
        </w:rPr>
        <w:t>Potencijalni korisnici:</w:t>
      </w:r>
    </w:p>
    <w:p w:rsidR="001A2E8E" w:rsidRPr="00704222" w:rsidRDefault="001A2E8E" w:rsidP="00150A08">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szCs w:val="24"/>
          <w:lang w:val="hr-HR"/>
        </w:rPr>
        <w:t xml:space="preserve">Ministarstvo rada i socijalnog staranja, centri za socijalni rad, </w:t>
      </w:r>
      <w:r w:rsidR="001A1C5A" w:rsidRPr="00704222">
        <w:rPr>
          <w:rFonts w:asciiTheme="majorHAnsi" w:hAnsiTheme="majorHAnsi"/>
          <w:szCs w:val="24"/>
          <w:lang w:val="hr-HR"/>
        </w:rPr>
        <w:t>Zavod</w:t>
      </w:r>
      <w:r w:rsidRPr="00704222">
        <w:rPr>
          <w:rFonts w:asciiTheme="majorHAnsi" w:hAnsiTheme="majorHAnsi"/>
          <w:szCs w:val="24"/>
          <w:lang w:val="hr-HR"/>
        </w:rPr>
        <w:t xml:space="preserve"> za socijalnu i dječju zaštitu,  Zavod za zapošljavanje Crne Gore (i biroi </w:t>
      </w:r>
      <w:r w:rsidR="001A1C5A" w:rsidRPr="00704222">
        <w:rPr>
          <w:rFonts w:asciiTheme="majorHAnsi" w:hAnsiTheme="majorHAnsi"/>
          <w:szCs w:val="24"/>
          <w:lang w:val="hr-HR"/>
        </w:rPr>
        <w:t xml:space="preserve">rada), </w:t>
      </w:r>
      <w:r w:rsidR="000F4339" w:rsidRPr="00704222">
        <w:rPr>
          <w:rFonts w:asciiTheme="majorHAnsi" w:hAnsiTheme="majorHAnsi"/>
          <w:szCs w:val="24"/>
          <w:lang w:val="hr-HR"/>
        </w:rPr>
        <w:t>državni i lokaln</w:t>
      </w:r>
      <w:r w:rsidR="00F60B5D" w:rsidRPr="00704222">
        <w:rPr>
          <w:rFonts w:asciiTheme="majorHAnsi" w:hAnsiTheme="majorHAnsi"/>
          <w:szCs w:val="24"/>
          <w:lang w:val="hr-HR"/>
        </w:rPr>
        <w:t>i</w:t>
      </w:r>
      <w:r w:rsidR="000F4339" w:rsidRPr="00704222">
        <w:rPr>
          <w:rFonts w:asciiTheme="majorHAnsi" w:hAnsiTheme="majorHAnsi"/>
          <w:szCs w:val="24"/>
          <w:lang w:val="hr-HR"/>
        </w:rPr>
        <w:t xml:space="preserve"> organi vlasti</w:t>
      </w:r>
      <w:r w:rsidRPr="00704222">
        <w:rPr>
          <w:rFonts w:asciiTheme="majorHAnsi" w:hAnsiTheme="majorHAnsi"/>
          <w:szCs w:val="24"/>
          <w:lang w:val="hr-HR"/>
        </w:rPr>
        <w:t xml:space="preserve"> vlasti, </w:t>
      </w:r>
      <w:r w:rsidR="00514F98" w:rsidRPr="00704222">
        <w:rPr>
          <w:rFonts w:asciiTheme="majorHAnsi" w:hAnsiTheme="majorHAnsi"/>
          <w:szCs w:val="24"/>
          <w:lang w:val="hr-HR"/>
        </w:rPr>
        <w:t>organizacije civilnog društva</w:t>
      </w:r>
      <w:r w:rsidR="007B14FC" w:rsidRPr="00704222">
        <w:rPr>
          <w:rFonts w:asciiTheme="majorHAnsi" w:hAnsiTheme="majorHAnsi"/>
          <w:szCs w:val="24"/>
          <w:lang w:val="hr-HR"/>
        </w:rPr>
        <w:t xml:space="preserve"> i drugi pružaoci usluga.</w:t>
      </w:r>
    </w:p>
    <w:p w:rsidR="001A2E8E" w:rsidRDefault="001A2E8E" w:rsidP="00150A08">
      <w:pPr>
        <w:pStyle w:val="ListBullet2"/>
        <w:numPr>
          <w:ilvl w:val="0"/>
          <w:numId w:val="0"/>
        </w:numPr>
        <w:spacing w:after="120" w:line="276" w:lineRule="auto"/>
        <w:rPr>
          <w:szCs w:val="24"/>
          <w:lang w:val="hr-HR"/>
        </w:rPr>
      </w:pPr>
    </w:p>
    <w:p w:rsidR="007B14FC" w:rsidRPr="00704222" w:rsidRDefault="001A2E8E" w:rsidP="00150A08">
      <w:pPr>
        <w:pStyle w:val="ListBullet2"/>
        <w:numPr>
          <w:ilvl w:val="0"/>
          <w:numId w:val="0"/>
        </w:numPr>
        <w:spacing w:after="120" w:line="276" w:lineRule="auto"/>
        <w:rPr>
          <w:rFonts w:asciiTheme="majorHAnsi" w:hAnsiTheme="majorHAnsi"/>
          <w:b/>
          <w:szCs w:val="24"/>
          <w:lang w:val="hr-HR"/>
        </w:rPr>
      </w:pPr>
      <w:r w:rsidRPr="00704222">
        <w:rPr>
          <w:rFonts w:asciiTheme="majorHAnsi" w:hAnsiTheme="majorHAnsi"/>
          <w:b/>
          <w:szCs w:val="24"/>
          <w:lang w:val="hr-HR"/>
        </w:rPr>
        <w:t>Indikatori učinka</w:t>
      </w:r>
      <w:r w:rsidR="007B14FC" w:rsidRPr="00704222">
        <w:rPr>
          <w:rFonts w:asciiTheme="majorHAnsi" w:hAnsiTheme="majorHAnsi"/>
          <w:b/>
          <w:szCs w:val="24"/>
          <w:lang w:val="hr-HR"/>
        </w:rPr>
        <w:t>:</w:t>
      </w:r>
    </w:p>
    <w:p w:rsidR="007B14FC" w:rsidRPr="00704222" w:rsidRDefault="001A2E8E" w:rsidP="00150A08">
      <w:pPr>
        <w:pStyle w:val="ListBullet2"/>
        <w:numPr>
          <w:ilvl w:val="0"/>
          <w:numId w:val="37"/>
        </w:numPr>
        <w:spacing w:after="120" w:line="276" w:lineRule="auto"/>
        <w:rPr>
          <w:rFonts w:asciiTheme="majorHAnsi" w:hAnsiTheme="majorHAnsi"/>
          <w:b/>
          <w:szCs w:val="24"/>
          <w:lang w:val="hr-HR"/>
        </w:rPr>
      </w:pPr>
      <w:r w:rsidRPr="00704222">
        <w:rPr>
          <w:rFonts w:asciiTheme="majorHAnsi" w:hAnsiTheme="majorHAnsi"/>
          <w:szCs w:val="24"/>
          <w:lang w:val="hr-HR"/>
        </w:rPr>
        <w:t>15 razvijenih usluga socijalne i dječje zaštite u skladu sa standardima</w:t>
      </w:r>
    </w:p>
    <w:p w:rsidR="007B14FC" w:rsidRPr="00704222" w:rsidRDefault="001A2E8E" w:rsidP="00150A08">
      <w:pPr>
        <w:pStyle w:val="ListBullet2"/>
        <w:numPr>
          <w:ilvl w:val="0"/>
          <w:numId w:val="37"/>
        </w:numPr>
        <w:spacing w:after="120" w:line="276" w:lineRule="auto"/>
        <w:rPr>
          <w:rFonts w:asciiTheme="majorHAnsi" w:hAnsiTheme="majorHAnsi"/>
          <w:b/>
          <w:szCs w:val="24"/>
          <w:lang w:val="hr-HR"/>
        </w:rPr>
      </w:pPr>
      <w:r w:rsidRPr="00704222">
        <w:rPr>
          <w:rFonts w:asciiTheme="majorHAnsi" w:hAnsiTheme="majorHAnsi"/>
          <w:szCs w:val="24"/>
          <w:lang w:val="hr-HR"/>
        </w:rPr>
        <w:t xml:space="preserve">Minimalno </w:t>
      </w:r>
      <w:r w:rsidR="00514F98" w:rsidRPr="00704222">
        <w:rPr>
          <w:rFonts w:asciiTheme="majorHAnsi" w:hAnsiTheme="majorHAnsi"/>
          <w:szCs w:val="24"/>
          <w:lang w:val="hr-HR"/>
        </w:rPr>
        <w:t xml:space="preserve">40% stručnih radnika u centrima za socijalni rad licencirano za obavljanje stručnih poslova </w:t>
      </w:r>
    </w:p>
    <w:p w:rsidR="00585D4C" w:rsidRPr="00704222" w:rsidRDefault="007B14FC" w:rsidP="00150A08">
      <w:pPr>
        <w:pStyle w:val="ListBullet2"/>
        <w:numPr>
          <w:ilvl w:val="0"/>
          <w:numId w:val="37"/>
        </w:numPr>
        <w:spacing w:after="120" w:line="276" w:lineRule="auto"/>
        <w:rPr>
          <w:rFonts w:asciiTheme="majorHAnsi" w:hAnsiTheme="majorHAnsi"/>
          <w:b/>
          <w:szCs w:val="24"/>
          <w:lang w:val="hr-HR"/>
        </w:rPr>
      </w:pPr>
      <w:r w:rsidRPr="00704222">
        <w:rPr>
          <w:rFonts w:asciiTheme="majorHAnsi" w:hAnsiTheme="majorHAnsi"/>
          <w:szCs w:val="24"/>
          <w:lang w:val="hr-HR"/>
        </w:rPr>
        <w:t xml:space="preserve">Minimalno </w:t>
      </w:r>
      <w:r w:rsidR="00692493" w:rsidRPr="00704222">
        <w:rPr>
          <w:rFonts w:asciiTheme="majorHAnsi" w:hAnsiTheme="majorHAnsi"/>
          <w:szCs w:val="24"/>
          <w:lang w:val="hr-HR"/>
        </w:rPr>
        <w:t>400</w:t>
      </w:r>
      <w:r w:rsidRPr="00704222">
        <w:rPr>
          <w:rFonts w:asciiTheme="majorHAnsi" w:hAnsiTheme="majorHAnsi"/>
          <w:szCs w:val="24"/>
          <w:lang w:val="hr-HR"/>
        </w:rPr>
        <w:t xml:space="preserve"> </w:t>
      </w:r>
      <w:r w:rsidR="001A2E8E" w:rsidRPr="00704222">
        <w:rPr>
          <w:rFonts w:asciiTheme="majorHAnsi" w:hAnsiTheme="majorHAnsi"/>
          <w:szCs w:val="24"/>
          <w:lang w:val="hr-HR"/>
        </w:rPr>
        <w:t>osoba pripadnika marginalizovanih grupa</w:t>
      </w:r>
      <w:r w:rsidR="00692493" w:rsidRPr="00704222">
        <w:rPr>
          <w:rFonts w:asciiTheme="majorHAnsi" w:hAnsiTheme="majorHAnsi"/>
          <w:szCs w:val="24"/>
          <w:lang w:val="hr-HR"/>
        </w:rPr>
        <w:t>, sa posebnim naglaskom na pripadnike RE populacije</w:t>
      </w:r>
      <w:r w:rsidR="001A2E8E" w:rsidRPr="00704222">
        <w:rPr>
          <w:rFonts w:asciiTheme="majorHAnsi" w:hAnsiTheme="majorHAnsi"/>
          <w:szCs w:val="24"/>
          <w:lang w:val="hr-HR"/>
        </w:rPr>
        <w:t xml:space="preserve"> </w:t>
      </w:r>
      <w:r w:rsidR="00692493" w:rsidRPr="00704222">
        <w:rPr>
          <w:rFonts w:asciiTheme="majorHAnsi" w:hAnsiTheme="majorHAnsi"/>
          <w:szCs w:val="24"/>
          <w:lang w:val="hr-HR"/>
        </w:rPr>
        <w:t xml:space="preserve">učestvovalo u aktivnostima vezanim za uključivanje u zajednicu </w:t>
      </w:r>
    </w:p>
    <w:p w:rsidR="00C1273D" w:rsidRPr="00704222" w:rsidRDefault="008946BB" w:rsidP="00150A08">
      <w:pPr>
        <w:pStyle w:val="ListBullet2"/>
        <w:numPr>
          <w:ilvl w:val="0"/>
          <w:numId w:val="29"/>
        </w:numPr>
        <w:spacing w:after="120" w:line="276" w:lineRule="auto"/>
        <w:rPr>
          <w:rFonts w:asciiTheme="majorHAnsi" w:hAnsiTheme="majorHAnsi"/>
          <w:szCs w:val="24"/>
          <w:lang w:val="hr-HR"/>
        </w:rPr>
      </w:pPr>
      <w:r w:rsidRPr="00704222">
        <w:rPr>
          <w:rFonts w:asciiTheme="majorHAnsi" w:hAnsiTheme="majorHAnsi"/>
          <w:szCs w:val="24"/>
          <w:lang w:val="hr-HR"/>
        </w:rPr>
        <w:t>Opremljen i osposobljen za rad Centar za profesionalnu rehabilitaciju i zapošljavanje lica s invaliditetom</w:t>
      </w:r>
    </w:p>
    <w:p w:rsidR="00697663" w:rsidRDefault="00697663" w:rsidP="00697663">
      <w:pPr>
        <w:pStyle w:val="ListBullet2"/>
        <w:numPr>
          <w:ilvl w:val="0"/>
          <w:numId w:val="0"/>
        </w:numPr>
        <w:spacing w:after="120"/>
        <w:ind w:left="720"/>
        <w:rPr>
          <w:szCs w:val="24"/>
          <w:lang w:val="hr-HR"/>
        </w:rPr>
      </w:pPr>
    </w:p>
    <w:p w:rsidR="00697663" w:rsidRPr="00697663" w:rsidRDefault="00697663" w:rsidP="00704222">
      <w:pPr>
        <w:pStyle w:val="Heading2"/>
        <w:spacing w:after="240"/>
        <w:rPr>
          <w:lang w:val="hr-HR"/>
        </w:rPr>
      </w:pPr>
      <w:bookmarkStart w:id="25" w:name="_Toc419368483"/>
      <w:r>
        <w:rPr>
          <w:lang w:val="hr-HR"/>
        </w:rPr>
        <w:t>4.6.3.3. Tabela sa pregledom</w:t>
      </w:r>
      <w:bookmarkEnd w:id="25"/>
      <w:r>
        <w:rPr>
          <w:lang w:val="hr-HR"/>
        </w:rPr>
        <w:t xml:space="preserve"> </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7"/>
      </w:tblGrid>
      <w:tr w:rsidR="00697663" w:rsidRPr="00BD6982" w:rsidTr="00E21DF3">
        <w:tc>
          <w:tcPr>
            <w:tcW w:w="2127" w:type="dxa"/>
            <w:shd w:val="clear" w:color="auto" w:fill="auto"/>
          </w:tcPr>
          <w:p w:rsidR="00697663" w:rsidRPr="00704222" w:rsidRDefault="00697663" w:rsidP="007E1F50">
            <w:pPr>
              <w:spacing w:after="120"/>
              <w:jc w:val="both"/>
              <w:rPr>
                <w:rFonts w:asciiTheme="majorHAnsi" w:hAnsiTheme="majorHAnsi"/>
                <w:i/>
                <w:sz w:val="24"/>
                <w:szCs w:val="24"/>
                <w:lang w:val="hr-HR"/>
              </w:rPr>
            </w:pPr>
            <w:r w:rsidRPr="00704222">
              <w:rPr>
                <w:rFonts w:asciiTheme="majorHAnsi" w:hAnsiTheme="majorHAnsi"/>
                <w:i/>
                <w:sz w:val="24"/>
                <w:szCs w:val="24"/>
                <w:lang w:val="hr-HR"/>
              </w:rPr>
              <w:t>Naziv akcije</w:t>
            </w:r>
          </w:p>
        </w:tc>
        <w:tc>
          <w:tcPr>
            <w:tcW w:w="7087" w:type="dxa"/>
            <w:shd w:val="clear" w:color="auto" w:fill="auto"/>
          </w:tcPr>
          <w:p w:rsidR="00697663" w:rsidRPr="00704222" w:rsidRDefault="00697663" w:rsidP="007E1F50">
            <w:pPr>
              <w:spacing w:after="120"/>
              <w:jc w:val="both"/>
              <w:rPr>
                <w:rFonts w:asciiTheme="majorHAnsi" w:hAnsiTheme="majorHAnsi"/>
                <w:b/>
                <w:sz w:val="24"/>
                <w:szCs w:val="24"/>
                <w:lang w:val="hr-HR"/>
              </w:rPr>
            </w:pPr>
            <w:r w:rsidRPr="00704222">
              <w:rPr>
                <w:rFonts w:asciiTheme="majorHAnsi" w:hAnsiTheme="majorHAnsi"/>
                <w:b/>
                <w:sz w:val="24"/>
                <w:szCs w:val="24"/>
                <w:lang w:val="hr-HR"/>
              </w:rPr>
              <w:t>Podsticanje socijalne inkluzije i unaprjeđenje sistema socijalne zaštite</w:t>
            </w:r>
          </w:p>
        </w:tc>
      </w:tr>
      <w:tr w:rsidR="00697663" w:rsidRPr="00BD6982" w:rsidTr="00E21DF3">
        <w:tc>
          <w:tcPr>
            <w:tcW w:w="2127" w:type="dxa"/>
            <w:shd w:val="clear" w:color="auto" w:fill="auto"/>
          </w:tcPr>
          <w:p w:rsidR="00697663" w:rsidRPr="00704222" w:rsidRDefault="00697663" w:rsidP="007E1F50">
            <w:pPr>
              <w:spacing w:after="120"/>
              <w:jc w:val="both"/>
              <w:rPr>
                <w:rFonts w:asciiTheme="majorHAnsi" w:hAnsiTheme="majorHAnsi"/>
                <w:i/>
                <w:sz w:val="24"/>
                <w:szCs w:val="24"/>
                <w:lang w:val="hr-HR"/>
              </w:rPr>
            </w:pPr>
            <w:r w:rsidRPr="00704222">
              <w:rPr>
                <w:rFonts w:asciiTheme="majorHAnsi" w:hAnsiTheme="majorHAnsi"/>
                <w:i/>
                <w:sz w:val="24"/>
                <w:szCs w:val="24"/>
                <w:lang w:val="hr-HR"/>
              </w:rPr>
              <w:t>Specifičan cilj</w:t>
            </w:r>
          </w:p>
        </w:tc>
        <w:tc>
          <w:tcPr>
            <w:tcW w:w="7087" w:type="dxa"/>
            <w:shd w:val="clear" w:color="auto" w:fill="auto"/>
          </w:tcPr>
          <w:p w:rsidR="00697663" w:rsidRPr="00704222" w:rsidRDefault="00697663" w:rsidP="007E1F50">
            <w:pPr>
              <w:spacing w:after="120"/>
              <w:jc w:val="both"/>
              <w:rPr>
                <w:rFonts w:asciiTheme="majorHAnsi" w:hAnsiTheme="majorHAnsi"/>
                <w:sz w:val="24"/>
                <w:szCs w:val="24"/>
                <w:lang w:val="hr-HR"/>
              </w:rPr>
            </w:pPr>
            <w:r w:rsidRPr="00704222">
              <w:rPr>
                <w:rFonts w:asciiTheme="majorHAnsi" w:hAnsiTheme="majorHAnsi"/>
                <w:sz w:val="24"/>
                <w:szCs w:val="24"/>
                <w:lang w:val="hr-HR"/>
              </w:rPr>
              <w:t xml:space="preserve">Unaprijeđenje sistema socijalne i dječje zaštite uz punu primjenu novog strateškog, pravnog i institucionalnog okvira, uvažavajući potrebe marginalizovanih grupa. </w:t>
            </w:r>
          </w:p>
        </w:tc>
      </w:tr>
      <w:tr w:rsidR="00697663" w:rsidRPr="00704222" w:rsidTr="00E21DF3">
        <w:tc>
          <w:tcPr>
            <w:tcW w:w="2127" w:type="dxa"/>
            <w:shd w:val="clear" w:color="auto" w:fill="auto"/>
          </w:tcPr>
          <w:p w:rsidR="00697663" w:rsidRPr="00704222" w:rsidRDefault="00697663" w:rsidP="007E1F50">
            <w:pPr>
              <w:spacing w:after="120"/>
              <w:jc w:val="both"/>
              <w:rPr>
                <w:rFonts w:asciiTheme="majorHAnsi" w:hAnsiTheme="majorHAnsi"/>
                <w:i/>
                <w:sz w:val="24"/>
                <w:szCs w:val="24"/>
                <w:lang w:val="hr-HR"/>
              </w:rPr>
            </w:pPr>
            <w:r w:rsidRPr="00704222">
              <w:rPr>
                <w:rFonts w:asciiTheme="majorHAnsi" w:hAnsiTheme="majorHAnsi"/>
                <w:i/>
                <w:sz w:val="24"/>
                <w:szCs w:val="24"/>
                <w:lang w:val="hr-HR"/>
              </w:rPr>
              <w:t>Rezultati akcije</w:t>
            </w:r>
          </w:p>
        </w:tc>
        <w:tc>
          <w:tcPr>
            <w:tcW w:w="7087" w:type="dxa"/>
            <w:shd w:val="clear" w:color="auto" w:fill="auto"/>
          </w:tcPr>
          <w:p w:rsidR="00697663" w:rsidRPr="00704222" w:rsidRDefault="00697663" w:rsidP="007E1F50">
            <w:pPr>
              <w:spacing w:after="120"/>
              <w:jc w:val="both"/>
              <w:rPr>
                <w:rFonts w:asciiTheme="majorHAnsi" w:hAnsiTheme="majorHAnsi"/>
                <w:sz w:val="24"/>
                <w:szCs w:val="24"/>
                <w:lang w:val="hr-HR"/>
              </w:rPr>
            </w:pPr>
            <w:r w:rsidRPr="00704222">
              <w:rPr>
                <w:rFonts w:asciiTheme="majorHAnsi" w:hAnsiTheme="majorHAnsi"/>
                <w:sz w:val="24"/>
                <w:szCs w:val="24"/>
                <w:lang w:val="hr-HR"/>
              </w:rPr>
              <w:t xml:space="preserve">Unaprijeđen sistem socijalne i dječje zašite u Crnoj Gori, s posebnim naglaskom na loklani nivo i uključivanje marginalizovanih grupa u zajednicu u cilju smanjena broja osoba u riziku od siromaštva </w:t>
            </w:r>
          </w:p>
        </w:tc>
      </w:tr>
      <w:tr w:rsidR="00697663" w:rsidRPr="00704222" w:rsidTr="00E21DF3">
        <w:tc>
          <w:tcPr>
            <w:tcW w:w="2127" w:type="dxa"/>
            <w:shd w:val="clear" w:color="auto" w:fill="auto"/>
          </w:tcPr>
          <w:p w:rsidR="00697663" w:rsidRPr="00704222" w:rsidRDefault="00697663" w:rsidP="007E1F50">
            <w:pPr>
              <w:spacing w:after="120"/>
              <w:jc w:val="both"/>
              <w:rPr>
                <w:rFonts w:asciiTheme="majorHAnsi" w:hAnsiTheme="majorHAnsi"/>
                <w:i/>
                <w:sz w:val="24"/>
                <w:szCs w:val="24"/>
                <w:lang w:val="hr-HR"/>
              </w:rPr>
            </w:pPr>
            <w:r w:rsidRPr="00704222">
              <w:rPr>
                <w:rFonts w:asciiTheme="majorHAnsi" w:hAnsiTheme="majorHAnsi"/>
                <w:i/>
                <w:sz w:val="24"/>
                <w:szCs w:val="24"/>
                <w:lang w:val="hr-HR"/>
              </w:rPr>
              <w:t>Aktivnosti</w:t>
            </w:r>
          </w:p>
        </w:tc>
        <w:tc>
          <w:tcPr>
            <w:tcW w:w="7087" w:type="dxa"/>
            <w:shd w:val="clear" w:color="auto" w:fill="auto"/>
          </w:tcPr>
          <w:p w:rsidR="00697663" w:rsidRPr="00704222" w:rsidRDefault="00697663" w:rsidP="007E1F50">
            <w:pPr>
              <w:pStyle w:val="ListBullet2"/>
              <w:numPr>
                <w:ilvl w:val="0"/>
                <w:numId w:val="0"/>
              </w:numPr>
              <w:spacing w:after="120" w:line="276" w:lineRule="auto"/>
              <w:ind w:left="33"/>
              <w:rPr>
                <w:rFonts w:asciiTheme="majorHAnsi" w:eastAsia="Calibri" w:hAnsiTheme="majorHAnsi"/>
                <w:szCs w:val="24"/>
                <w:lang w:val="hr-HR"/>
              </w:rPr>
            </w:pPr>
            <w:r w:rsidRPr="00704222">
              <w:rPr>
                <w:rFonts w:asciiTheme="majorHAnsi" w:eastAsia="Calibri" w:hAnsiTheme="majorHAnsi"/>
                <w:szCs w:val="24"/>
                <w:lang w:val="hr-HR"/>
              </w:rPr>
              <w:t>Aktivnost 3.1 Uspostavljanje i implemetacija grant šema  „Unaprijeđenje</w:t>
            </w:r>
            <w:r w:rsidR="00F54603" w:rsidRPr="00704222">
              <w:rPr>
                <w:rFonts w:asciiTheme="majorHAnsi" w:eastAsia="Calibri" w:hAnsiTheme="majorHAnsi"/>
                <w:szCs w:val="24"/>
                <w:lang w:val="hr-HR"/>
              </w:rPr>
              <w:t xml:space="preserve"> </w:t>
            </w:r>
            <w:r w:rsidRPr="00704222">
              <w:rPr>
                <w:rFonts w:asciiTheme="majorHAnsi" w:eastAsia="Calibri" w:hAnsiTheme="majorHAnsi"/>
                <w:szCs w:val="24"/>
                <w:lang w:val="hr-HR"/>
              </w:rPr>
              <w:t xml:space="preserve">usluga socijalne i dječje zaštite na lokalnom nivou“  </w:t>
            </w:r>
          </w:p>
          <w:p w:rsidR="00697663" w:rsidRPr="00704222" w:rsidRDefault="00697663" w:rsidP="007E1F50">
            <w:pPr>
              <w:pStyle w:val="ListBullet2"/>
              <w:numPr>
                <w:ilvl w:val="0"/>
                <w:numId w:val="0"/>
              </w:numPr>
              <w:spacing w:after="120" w:line="276" w:lineRule="auto"/>
              <w:ind w:left="33"/>
              <w:rPr>
                <w:rFonts w:asciiTheme="majorHAnsi" w:eastAsia="Calibri" w:hAnsiTheme="majorHAnsi"/>
                <w:szCs w:val="24"/>
                <w:lang w:val="hr-HR"/>
              </w:rPr>
            </w:pPr>
            <w:r w:rsidRPr="00704222">
              <w:rPr>
                <w:rFonts w:asciiTheme="majorHAnsi" w:eastAsia="Calibri" w:hAnsiTheme="majorHAnsi"/>
                <w:szCs w:val="24"/>
                <w:lang w:val="hr-HR"/>
              </w:rPr>
              <w:t xml:space="preserve">Aktivnost 3.2 Ugovor o uslugama „Poboljšanje administrativnih kapaciteta za sprovođenje  reforme socijalne i dječje zaštite“ </w:t>
            </w:r>
          </w:p>
          <w:p w:rsidR="00697663" w:rsidRPr="00704222" w:rsidRDefault="00697663" w:rsidP="007E1F50">
            <w:pPr>
              <w:pStyle w:val="ListBullet2"/>
              <w:numPr>
                <w:ilvl w:val="0"/>
                <w:numId w:val="0"/>
              </w:numPr>
              <w:spacing w:after="120" w:line="276" w:lineRule="auto"/>
              <w:ind w:left="33"/>
              <w:rPr>
                <w:rFonts w:asciiTheme="majorHAnsi" w:eastAsia="Calibri" w:hAnsiTheme="majorHAnsi"/>
                <w:szCs w:val="24"/>
                <w:lang w:val="hr-HR"/>
              </w:rPr>
            </w:pPr>
            <w:r w:rsidRPr="00704222">
              <w:rPr>
                <w:rFonts w:asciiTheme="majorHAnsi" w:eastAsia="Calibri" w:hAnsiTheme="majorHAnsi"/>
                <w:szCs w:val="24"/>
                <w:lang w:val="hr-HR"/>
              </w:rPr>
              <w:t xml:space="preserve">Aktivnost 3.3 Grant šema „Uključivanje marginalizovanih grupa u zajednicu, s posebnim naglaskom na RE populaciju“  </w:t>
            </w:r>
          </w:p>
          <w:p w:rsidR="00697663" w:rsidRPr="00704222" w:rsidRDefault="00697663" w:rsidP="007E1F50">
            <w:pPr>
              <w:pStyle w:val="ListBullet2"/>
              <w:numPr>
                <w:ilvl w:val="0"/>
                <w:numId w:val="0"/>
              </w:numPr>
              <w:spacing w:after="120" w:line="276" w:lineRule="auto"/>
              <w:ind w:left="33"/>
              <w:rPr>
                <w:rFonts w:asciiTheme="majorHAnsi" w:eastAsia="Calibri" w:hAnsiTheme="majorHAnsi"/>
                <w:szCs w:val="24"/>
                <w:lang w:val="hr-HR"/>
              </w:rPr>
            </w:pPr>
            <w:r w:rsidRPr="00704222">
              <w:rPr>
                <w:rFonts w:asciiTheme="majorHAnsi" w:eastAsia="Calibri" w:hAnsiTheme="majorHAnsi"/>
                <w:szCs w:val="24"/>
                <w:lang w:val="hr-HR"/>
              </w:rPr>
              <w:t xml:space="preserve">Aktivnost 3.4 Ugovor o nabavkama vezan  za aktiviranje Centra za profesionalnu rehabilitaciju i zapošljavanje lica s invaliditetom </w:t>
            </w:r>
          </w:p>
        </w:tc>
      </w:tr>
      <w:tr w:rsidR="00697663" w:rsidRPr="00704222" w:rsidTr="00E21DF3">
        <w:tc>
          <w:tcPr>
            <w:tcW w:w="2127" w:type="dxa"/>
            <w:shd w:val="clear" w:color="auto" w:fill="auto"/>
          </w:tcPr>
          <w:p w:rsidR="00697663" w:rsidRPr="00704222" w:rsidRDefault="00697663" w:rsidP="007E1F50">
            <w:pPr>
              <w:spacing w:after="120"/>
              <w:jc w:val="both"/>
              <w:rPr>
                <w:rFonts w:asciiTheme="majorHAnsi" w:hAnsiTheme="majorHAnsi"/>
                <w:i/>
                <w:sz w:val="24"/>
                <w:szCs w:val="24"/>
                <w:lang w:val="hr-HR"/>
              </w:rPr>
            </w:pPr>
            <w:r w:rsidRPr="00704222">
              <w:rPr>
                <w:rFonts w:asciiTheme="majorHAnsi" w:hAnsiTheme="majorHAnsi"/>
                <w:i/>
                <w:sz w:val="24"/>
                <w:szCs w:val="24"/>
                <w:lang w:val="hr-HR"/>
              </w:rPr>
              <w:t xml:space="preserve">Indikativna lista glavnih projekata </w:t>
            </w:r>
          </w:p>
        </w:tc>
        <w:tc>
          <w:tcPr>
            <w:tcW w:w="7087" w:type="dxa"/>
            <w:shd w:val="clear" w:color="auto" w:fill="auto"/>
          </w:tcPr>
          <w:p w:rsidR="00697663" w:rsidRPr="00704222" w:rsidRDefault="00697663" w:rsidP="007E1F50">
            <w:pPr>
              <w:spacing w:after="120"/>
              <w:jc w:val="both"/>
              <w:rPr>
                <w:rFonts w:asciiTheme="majorHAnsi" w:hAnsiTheme="majorHAnsi"/>
                <w:sz w:val="24"/>
                <w:szCs w:val="24"/>
                <w:lang w:val="hr-HR"/>
              </w:rPr>
            </w:pPr>
            <w:r w:rsidRPr="00704222">
              <w:rPr>
                <w:rFonts w:asciiTheme="majorHAnsi" w:hAnsiTheme="majorHAnsi"/>
                <w:sz w:val="24"/>
                <w:szCs w:val="24"/>
                <w:lang w:val="hr-HR"/>
              </w:rPr>
              <w:t>N/A</w:t>
            </w:r>
          </w:p>
        </w:tc>
      </w:tr>
      <w:tr w:rsidR="00697663" w:rsidRPr="00704222" w:rsidTr="00E21DF3">
        <w:tc>
          <w:tcPr>
            <w:tcW w:w="2127" w:type="dxa"/>
            <w:shd w:val="clear" w:color="auto" w:fill="auto"/>
          </w:tcPr>
          <w:p w:rsidR="00697663" w:rsidRPr="00704222" w:rsidRDefault="00697663" w:rsidP="007E1F50">
            <w:pPr>
              <w:spacing w:after="120"/>
              <w:jc w:val="both"/>
              <w:rPr>
                <w:rFonts w:asciiTheme="majorHAnsi" w:hAnsiTheme="majorHAnsi"/>
                <w:i/>
                <w:sz w:val="24"/>
                <w:szCs w:val="24"/>
                <w:lang w:val="hr-HR"/>
              </w:rPr>
            </w:pPr>
            <w:r w:rsidRPr="00704222">
              <w:rPr>
                <w:rFonts w:asciiTheme="majorHAnsi" w:hAnsiTheme="majorHAnsi"/>
                <w:i/>
                <w:sz w:val="24"/>
                <w:szCs w:val="24"/>
                <w:lang w:val="hr-HR"/>
              </w:rPr>
              <w:t xml:space="preserve">Načini implementacije </w:t>
            </w:r>
          </w:p>
        </w:tc>
        <w:tc>
          <w:tcPr>
            <w:tcW w:w="7087" w:type="dxa"/>
            <w:shd w:val="clear" w:color="auto" w:fill="auto"/>
          </w:tcPr>
          <w:p w:rsidR="00697663" w:rsidRPr="00704222" w:rsidRDefault="00697663" w:rsidP="007E1F50">
            <w:pPr>
              <w:spacing w:after="120"/>
              <w:jc w:val="both"/>
              <w:rPr>
                <w:rFonts w:asciiTheme="majorHAnsi" w:hAnsiTheme="majorHAnsi"/>
                <w:sz w:val="24"/>
                <w:szCs w:val="24"/>
                <w:lang w:val="hr-HR"/>
              </w:rPr>
            </w:pPr>
            <w:r w:rsidRPr="00704222">
              <w:rPr>
                <w:rFonts w:asciiTheme="majorHAnsi" w:hAnsiTheme="majorHAnsi"/>
                <w:sz w:val="24"/>
                <w:szCs w:val="24"/>
                <w:lang w:val="hr-HR"/>
              </w:rPr>
              <w:t>Aktivnost 3.1 Grant šema</w:t>
            </w:r>
          </w:p>
          <w:p w:rsidR="00697663" w:rsidRPr="00704222" w:rsidRDefault="00697663" w:rsidP="007E1F50">
            <w:pPr>
              <w:spacing w:after="120"/>
              <w:jc w:val="both"/>
              <w:rPr>
                <w:rFonts w:asciiTheme="majorHAnsi" w:hAnsiTheme="majorHAnsi"/>
                <w:sz w:val="24"/>
                <w:szCs w:val="24"/>
                <w:lang w:val="hr-HR"/>
              </w:rPr>
            </w:pPr>
            <w:r w:rsidRPr="00704222">
              <w:rPr>
                <w:rFonts w:asciiTheme="majorHAnsi" w:hAnsiTheme="majorHAnsi"/>
                <w:sz w:val="24"/>
                <w:szCs w:val="24"/>
                <w:lang w:val="hr-HR"/>
              </w:rPr>
              <w:t>Aktivnost 3.2 Ugovor o uslugama</w:t>
            </w:r>
          </w:p>
          <w:p w:rsidR="00697663" w:rsidRPr="00704222" w:rsidRDefault="00697663" w:rsidP="007E1F50">
            <w:pPr>
              <w:spacing w:after="120"/>
              <w:jc w:val="both"/>
              <w:rPr>
                <w:rFonts w:asciiTheme="majorHAnsi" w:hAnsiTheme="majorHAnsi"/>
                <w:sz w:val="24"/>
                <w:szCs w:val="24"/>
                <w:lang w:val="hr-HR"/>
              </w:rPr>
            </w:pPr>
            <w:r w:rsidRPr="00704222">
              <w:rPr>
                <w:rFonts w:asciiTheme="majorHAnsi" w:hAnsiTheme="majorHAnsi"/>
                <w:sz w:val="24"/>
                <w:szCs w:val="24"/>
                <w:lang w:val="hr-HR"/>
              </w:rPr>
              <w:t>Aktivnost 3.3 Grant šema</w:t>
            </w:r>
          </w:p>
          <w:p w:rsidR="00697663" w:rsidRPr="00704222" w:rsidRDefault="00697663" w:rsidP="007E1F50">
            <w:pPr>
              <w:spacing w:after="120"/>
              <w:jc w:val="both"/>
              <w:rPr>
                <w:rFonts w:asciiTheme="majorHAnsi" w:hAnsiTheme="majorHAnsi"/>
                <w:sz w:val="24"/>
                <w:szCs w:val="24"/>
                <w:lang w:val="hr-HR"/>
              </w:rPr>
            </w:pPr>
            <w:r w:rsidRPr="00704222">
              <w:rPr>
                <w:rFonts w:asciiTheme="majorHAnsi" w:hAnsiTheme="majorHAnsi"/>
                <w:sz w:val="24"/>
                <w:szCs w:val="24"/>
                <w:lang w:val="hr-HR"/>
              </w:rPr>
              <w:t>Aktivnost 3.4 Ugovor o nabavkama</w:t>
            </w:r>
          </w:p>
        </w:tc>
      </w:tr>
      <w:tr w:rsidR="00697663" w:rsidRPr="00704222" w:rsidTr="00E21DF3">
        <w:tc>
          <w:tcPr>
            <w:tcW w:w="2127" w:type="dxa"/>
            <w:shd w:val="clear" w:color="auto" w:fill="auto"/>
          </w:tcPr>
          <w:p w:rsidR="00697663" w:rsidRPr="00704222" w:rsidRDefault="00697663" w:rsidP="007E1F50">
            <w:pPr>
              <w:spacing w:after="120"/>
              <w:jc w:val="both"/>
              <w:rPr>
                <w:rFonts w:asciiTheme="majorHAnsi" w:hAnsiTheme="majorHAnsi"/>
                <w:i/>
                <w:sz w:val="24"/>
                <w:szCs w:val="24"/>
                <w:lang w:val="hr-HR"/>
              </w:rPr>
            </w:pPr>
            <w:r w:rsidRPr="00704222">
              <w:rPr>
                <w:rFonts w:asciiTheme="majorHAnsi" w:hAnsiTheme="majorHAnsi"/>
                <w:i/>
                <w:sz w:val="24"/>
                <w:szCs w:val="24"/>
                <w:lang w:val="hr-HR"/>
              </w:rPr>
              <w:t xml:space="preserve">Indikatori učinka </w:t>
            </w:r>
          </w:p>
        </w:tc>
        <w:tc>
          <w:tcPr>
            <w:tcW w:w="7087" w:type="dxa"/>
            <w:shd w:val="clear" w:color="auto" w:fill="auto"/>
          </w:tcPr>
          <w:p w:rsidR="00697663" w:rsidRPr="00704222" w:rsidRDefault="00697663" w:rsidP="007E1F50">
            <w:pPr>
              <w:pStyle w:val="ListBullet2"/>
              <w:numPr>
                <w:ilvl w:val="0"/>
                <w:numId w:val="0"/>
              </w:numPr>
              <w:spacing w:after="120" w:line="276" w:lineRule="auto"/>
              <w:ind w:left="33"/>
              <w:rPr>
                <w:rFonts w:asciiTheme="majorHAnsi" w:eastAsia="Calibri" w:hAnsiTheme="majorHAnsi"/>
                <w:szCs w:val="24"/>
                <w:lang w:val="hr-HR"/>
              </w:rPr>
            </w:pPr>
            <w:r w:rsidRPr="00704222">
              <w:rPr>
                <w:rFonts w:asciiTheme="majorHAnsi" w:eastAsia="Calibri" w:hAnsiTheme="majorHAnsi"/>
                <w:szCs w:val="24"/>
                <w:lang w:val="hr-HR"/>
              </w:rPr>
              <w:t>15 razvijenih usluga socijalne i dječje zaštite u skladu sa standardima</w:t>
            </w:r>
          </w:p>
          <w:p w:rsidR="00697663" w:rsidRPr="00704222" w:rsidRDefault="00697663" w:rsidP="007E1F50">
            <w:pPr>
              <w:pStyle w:val="ListBullet2"/>
              <w:numPr>
                <w:ilvl w:val="0"/>
                <w:numId w:val="0"/>
              </w:numPr>
              <w:spacing w:after="120" w:line="276" w:lineRule="auto"/>
              <w:rPr>
                <w:rFonts w:asciiTheme="majorHAnsi" w:eastAsia="Calibri" w:hAnsiTheme="majorHAnsi"/>
                <w:szCs w:val="24"/>
                <w:lang w:val="hr-HR"/>
              </w:rPr>
            </w:pPr>
            <w:r w:rsidRPr="00704222">
              <w:rPr>
                <w:rFonts w:asciiTheme="majorHAnsi" w:eastAsia="Calibri" w:hAnsiTheme="majorHAnsi"/>
                <w:szCs w:val="24"/>
                <w:lang w:val="hr-HR"/>
              </w:rPr>
              <w:t xml:space="preserve">Minimalno 40% stručnih radnika u centrima za socijalni rad licencirano za obavljanje stručnih poslova </w:t>
            </w:r>
          </w:p>
          <w:p w:rsidR="00697663" w:rsidRPr="00704222" w:rsidRDefault="00697663" w:rsidP="007E1F50">
            <w:pPr>
              <w:pStyle w:val="ListBullet2"/>
              <w:numPr>
                <w:ilvl w:val="0"/>
                <w:numId w:val="0"/>
              </w:numPr>
              <w:spacing w:after="120" w:line="276" w:lineRule="auto"/>
              <w:rPr>
                <w:rFonts w:asciiTheme="majorHAnsi" w:eastAsia="Calibri" w:hAnsiTheme="majorHAnsi"/>
                <w:szCs w:val="24"/>
                <w:lang w:val="hr-HR"/>
              </w:rPr>
            </w:pPr>
            <w:r w:rsidRPr="00704222">
              <w:rPr>
                <w:rFonts w:asciiTheme="majorHAnsi" w:eastAsia="Calibri" w:hAnsiTheme="majorHAnsi"/>
                <w:szCs w:val="24"/>
                <w:lang w:val="hr-HR"/>
              </w:rPr>
              <w:t xml:space="preserve">Minimalno 400 osoba pripadnika marginalizovanih grupa, sa posebnim naglaskom na pripadnike RE populacije učestvovalo u aktivnostima vezanim za uključivanje u zajednicu </w:t>
            </w:r>
          </w:p>
          <w:p w:rsidR="00697663" w:rsidRPr="00704222" w:rsidRDefault="00697663" w:rsidP="007E1F50">
            <w:pPr>
              <w:pStyle w:val="ListBullet2"/>
              <w:numPr>
                <w:ilvl w:val="0"/>
                <w:numId w:val="0"/>
              </w:numPr>
              <w:spacing w:after="120" w:line="276" w:lineRule="auto"/>
              <w:ind w:left="33"/>
              <w:rPr>
                <w:rFonts w:asciiTheme="majorHAnsi" w:eastAsia="Calibri" w:hAnsiTheme="majorHAnsi"/>
                <w:szCs w:val="24"/>
                <w:lang w:val="hr-HR"/>
              </w:rPr>
            </w:pPr>
            <w:r w:rsidRPr="00704222">
              <w:rPr>
                <w:rFonts w:asciiTheme="majorHAnsi" w:eastAsia="Calibri" w:hAnsiTheme="majorHAnsi"/>
                <w:szCs w:val="24"/>
                <w:lang w:val="hr-HR"/>
              </w:rPr>
              <w:t>Opremljen i osposobljen za rad Centar za profesionalnu rehabilitaciju i zapošljavanje lica s invaliditetom</w:t>
            </w:r>
          </w:p>
        </w:tc>
      </w:tr>
    </w:tbl>
    <w:p w:rsidR="00697663" w:rsidRPr="00704222" w:rsidRDefault="00697663" w:rsidP="00697663">
      <w:pPr>
        <w:rPr>
          <w:rFonts w:asciiTheme="majorHAnsi" w:hAnsiTheme="majorHAnsi"/>
          <w:lang w:val="hr-HR"/>
        </w:rPr>
      </w:pPr>
    </w:p>
    <w:p w:rsidR="001A2E8E" w:rsidRPr="00BE344E" w:rsidRDefault="00697663" w:rsidP="00704222">
      <w:pPr>
        <w:pStyle w:val="Heading2"/>
        <w:spacing w:after="240"/>
        <w:rPr>
          <w:lang w:val="hr-HR"/>
        </w:rPr>
      </w:pPr>
      <w:bookmarkStart w:id="26" w:name="_Toc419368484"/>
      <w:r>
        <w:rPr>
          <w:lang w:val="hr-HR"/>
        </w:rPr>
        <w:t xml:space="preserve">4.6.4. Akcija 4 - </w:t>
      </w:r>
      <w:r w:rsidR="001A2E8E" w:rsidRPr="00BE344E">
        <w:rPr>
          <w:lang w:val="hr-HR"/>
        </w:rPr>
        <w:t>Tehnička pomoć</w:t>
      </w:r>
      <w:bookmarkEnd w:id="26"/>
    </w:p>
    <w:p w:rsidR="001A2E8E" w:rsidRPr="00704222" w:rsidRDefault="001A2E8E" w:rsidP="007E1F50">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szCs w:val="24"/>
          <w:lang w:val="hr-HR"/>
        </w:rPr>
        <w:t xml:space="preserve">Iskustvo u sprovođenju  tehničke pomoći tijela Operativne strukture </w:t>
      </w:r>
      <w:r w:rsidR="001A5728" w:rsidRPr="00704222">
        <w:rPr>
          <w:rFonts w:asciiTheme="majorHAnsi" w:hAnsiTheme="majorHAnsi"/>
          <w:szCs w:val="24"/>
          <w:lang w:val="hr-HR"/>
        </w:rPr>
        <w:t>steklo se</w:t>
      </w:r>
      <w:r w:rsidRPr="00704222">
        <w:rPr>
          <w:rFonts w:asciiTheme="majorHAnsi" w:hAnsiTheme="majorHAnsi"/>
          <w:szCs w:val="24"/>
          <w:lang w:val="hr-HR"/>
        </w:rPr>
        <w:t xml:space="preserve"> u sprovođenju IPA komponente IV Razvoj ljudskih resursa. Međutim, veća finansijska sredstava, te potreba uključivanja većeg broja službenika u tijelima uključenim u sistem upravljanja i sprovođenja Sektorskog operativnog programa za period 2015-2017., od kojih mnogi imaju ograničena iskustva u sprovođenju EU predpristupnih fondova, predstavljaju jasan pokazatelj da će izgradnja kapaciteta biti glavna tema prioritetne ose tehnička pomoć. </w:t>
      </w:r>
    </w:p>
    <w:p w:rsidR="001A2E8E" w:rsidRPr="00704222" w:rsidRDefault="001A2E8E" w:rsidP="007E1F50">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szCs w:val="24"/>
          <w:lang w:val="hr-HR"/>
        </w:rPr>
        <w:t xml:space="preserve">Tehnička  pomoć </w:t>
      </w:r>
      <w:r w:rsidR="00493E45" w:rsidRPr="00704222">
        <w:rPr>
          <w:rFonts w:asciiTheme="majorHAnsi" w:hAnsiTheme="majorHAnsi"/>
          <w:szCs w:val="24"/>
          <w:lang w:val="hr-HR"/>
        </w:rPr>
        <w:t xml:space="preserve">će </w:t>
      </w:r>
      <w:r w:rsidRPr="00704222">
        <w:rPr>
          <w:rFonts w:asciiTheme="majorHAnsi" w:hAnsiTheme="majorHAnsi"/>
          <w:szCs w:val="24"/>
          <w:lang w:val="hr-HR"/>
        </w:rPr>
        <w:t xml:space="preserve">biti usmjerena na manjkavosti i nedostatke koji se moraju svladati i na nacionalnom i na regionalnom/lokalnom niovu, a sve u cilju osiguranja dovoljnog broja zaposlenih i administrativno/tehnička stručnost. Sredstava iz tehničke </w:t>
      </w:r>
      <w:r w:rsidR="001A5728" w:rsidRPr="00704222">
        <w:rPr>
          <w:rFonts w:asciiTheme="majorHAnsi" w:hAnsiTheme="majorHAnsi"/>
          <w:szCs w:val="24"/>
          <w:lang w:val="hr-HR"/>
        </w:rPr>
        <w:t>pomoći bi</w:t>
      </w:r>
      <w:r w:rsidRPr="00704222">
        <w:rPr>
          <w:rFonts w:asciiTheme="majorHAnsi" w:hAnsiTheme="majorHAnsi"/>
          <w:szCs w:val="24"/>
          <w:lang w:val="hr-HR"/>
        </w:rPr>
        <w:t>će usmjerena na kofinan</w:t>
      </w:r>
      <w:r w:rsidR="00CF0EFF" w:rsidRPr="00704222">
        <w:rPr>
          <w:rFonts w:asciiTheme="majorHAnsi" w:hAnsiTheme="majorHAnsi"/>
          <w:szCs w:val="24"/>
          <w:lang w:val="hr-HR"/>
        </w:rPr>
        <w:t>s</w:t>
      </w:r>
      <w:r w:rsidRPr="00704222">
        <w:rPr>
          <w:rFonts w:asciiTheme="majorHAnsi" w:hAnsiTheme="majorHAnsi"/>
          <w:szCs w:val="24"/>
          <w:lang w:val="hr-HR"/>
        </w:rPr>
        <w:t xml:space="preserve">iranje poboljšanja administrativnih kapaciteta i efikasnog upravljanja </w:t>
      </w:r>
      <w:r w:rsidR="00CF0EFF" w:rsidRPr="00704222">
        <w:rPr>
          <w:rFonts w:asciiTheme="majorHAnsi" w:hAnsiTheme="majorHAnsi"/>
          <w:szCs w:val="24"/>
          <w:lang w:val="hr-HR"/>
        </w:rPr>
        <w:t xml:space="preserve">u </w:t>
      </w:r>
      <w:r w:rsidRPr="00704222">
        <w:rPr>
          <w:rFonts w:asciiTheme="majorHAnsi" w:hAnsiTheme="majorHAnsi"/>
          <w:szCs w:val="24"/>
          <w:lang w:val="hr-HR"/>
        </w:rPr>
        <w:t xml:space="preserve"> sprovođenj</w:t>
      </w:r>
      <w:r w:rsidR="00CF0EFF" w:rsidRPr="00704222">
        <w:rPr>
          <w:rFonts w:asciiTheme="majorHAnsi" w:hAnsiTheme="majorHAnsi"/>
          <w:szCs w:val="24"/>
          <w:lang w:val="hr-HR"/>
        </w:rPr>
        <w:t xml:space="preserve">u </w:t>
      </w:r>
      <w:r w:rsidRPr="00704222">
        <w:rPr>
          <w:rFonts w:asciiTheme="majorHAnsi" w:hAnsiTheme="majorHAnsi"/>
          <w:szCs w:val="24"/>
          <w:lang w:val="hr-HR"/>
        </w:rPr>
        <w:t xml:space="preserve"> SOP-a i to kroz  aktivnosti usmjerene prema Operativnoj strukturi poput:</w:t>
      </w:r>
    </w:p>
    <w:p w:rsidR="001A2E8E" w:rsidRPr="00704222" w:rsidRDefault="001A2E8E" w:rsidP="007E1F50">
      <w:pPr>
        <w:pStyle w:val="ListBullet2"/>
        <w:numPr>
          <w:ilvl w:val="0"/>
          <w:numId w:val="22"/>
        </w:numPr>
        <w:spacing w:after="120" w:line="276" w:lineRule="auto"/>
        <w:rPr>
          <w:rFonts w:asciiTheme="majorHAnsi" w:hAnsiTheme="majorHAnsi"/>
          <w:szCs w:val="24"/>
          <w:lang w:val="hr-HR"/>
        </w:rPr>
      </w:pPr>
      <w:r w:rsidRPr="00704222">
        <w:rPr>
          <w:rFonts w:asciiTheme="majorHAnsi" w:hAnsiTheme="majorHAnsi"/>
          <w:szCs w:val="24"/>
          <w:lang w:val="hr-HR"/>
        </w:rPr>
        <w:t>sprovođenje edukacije zaposlenih,</w:t>
      </w:r>
    </w:p>
    <w:p w:rsidR="001A2E8E" w:rsidRPr="00704222" w:rsidRDefault="001A2E8E" w:rsidP="007E1F50">
      <w:pPr>
        <w:pStyle w:val="ListBullet2"/>
        <w:numPr>
          <w:ilvl w:val="0"/>
          <w:numId w:val="22"/>
        </w:numPr>
        <w:spacing w:after="120" w:line="276" w:lineRule="auto"/>
        <w:rPr>
          <w:rFonts w:asciiTheme="majorHAnsi" w:hAnsiTheme="majorHAnsi"/>
          <w:szCs w:val="24"/>
          <w:lang w:val="hr-HR"/>
        </w:rPr>
      </w:pPr>
      <w:r w:rsidRPr="00704222">
        <w:rPr>
          <w:rFonts w:asciiTheme="majorHAnsi" w:hAnsiTheme="majorHAnsi"/>
          <w:szCs w:val="24"/>
          <w:lang w:val="hr-HR"/>
        </w:rPr>
        <w:t>kupovina opreme i namještaja u tijelima Operativne strukture</w:t>
      </w:r>
    </w:p>
    <w:p w:rsidR="001A2E8E" w:rsidRPr="00704222" w:rsidRDefault="001A2E8E" w:rsidP="007E1F50">
      <w:pPr>
        <w:pStyle w:val="ListBullet2"/>
        <w:numPr>
          <w:ilvl w:val="0"/>
          <w:numId w:val="22"/>
        </w:numPr>
        <w:spacing w:after="120" w:line="276" w:lineRule="auto"/>
        <w:rPr>
          <w:rFonts w:asciiTheme="majorHAnsi" w:hAnsiTheme="majorHAnsi"/>
          <w:szCs w:val="24"/>
          <w:lang w:val="hr-HR"/>
        </w:rPr>
      </w:pPr>
      <w:r w:rsidRPr="00704222">
        <w:rPr>
          <w:rFonts w:asciiTheme="majorHAnsi" w:hAnsiTheme="majorHAnsi"/>
          <w:szCs w:val="24"/>
          <w:lang w:val="hr-HR"/>
        </w:rPr>
        <w:t>izgradnja kapaciteta za sprovođenje i osiguranje stručne podrške u procesima planiranja i sprovođenje akcija i aktivnosti</w:t>
      </w:r>
    </w:p>
    <w:p w:rsidR="001A2E8E" w:rsidRPr="00704222" w:rsidRDefault="001A2E8E" w:rsidP="007E1F50">
      <w:pPr>
        <w:pStyle w:val="ListBullet2"/>
        <w:numPr>
          <w:ilvl w:val="0"/>
          <w:numId w:val="22"/>
        </w:numPr>
        <w:spacing w:after="120" w:line="276" w:lineRule="auto"/>
        <w:rPr>
          <w:rFonts w:asciiTheme="majorHAnsi" w:hAnsiTheme="majorHAnsi"/>
          <w:szCs w:val="24"/>
          <w:lang w:val="hr-HR"/>
        </w:rPr>
      </w:pPr>
      <w:r w:rsidRPr="00704222">
        <w:rPr>
          <w:rFonts w:asciiTheme="majorHAnsi" w:hAnsiTheme="majorHAnsi"/>
          <w:szCs w:val="24"/>
          <w:lang w:val="hr-HR"/>
        </w:rPr>
        <w:t>podrška Tijelu nadležnom za OP u organizovanju monitoringa OP-a (Sektorski monitoring odbor)</w:t>
      </w:r>
    </w:p>
    <w:p w:rsidR="001A2E8E" w:rsidRPr="00704222" w:rsidRDefault="001A2E8E" w:rsidP="007E1F50">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szCs w:val="24"/>
          <w:lang w:val="hr-HR"/>
        </w:rPr>
        <w:t>Tokom sprovođenja ovog SOP-a jedan od prioriteta će biti priprema i podrška potencijalnim korisnicima u pogledu aktivnosti vezanih za pripremu i sprovođenj</w:t>
      </w:r>
      <w:r w:rsidR="00CF0EFF" w:rsidRPr="00704222">
        <w:rPr>
          <w:rFonts w:asciiTheme="majorHAnsi" w:hAnsiTheme="majorHAnsi"/>
          <w:szCs w:val="24"/>
          <w:lang w:val="hr-HR"/>
        </w:rPr>
        <w:t>e</w:t>
      </w:r>
      <w:r w:rsidRPr="00704222">
        <w:rPr>
          <w:rFonts w:asciiTheme="majorHAnsi" w:hAnsiTheme="majorHAnsi"/>
          <w:szCs w:val="24"/>
          <w:lang w:val="hr-HR"/>
        </w:rPr>
        <w:t xml:space="preserve"> projekata. Ovdje je nužno voditi računa kako će broj potencijalnih aplikanata unutar perioda SOP-a 2015-2017. biti znatno veći od onih u prethodnom programskom razdoblju, te se stoga moraju učiniti dodatni napori za osiguranje visokog nivoa spremnosti za pravilno korišćenje mogućnosti i ulaganja unutar IPA-e II. </w:t>
      </w:r>
    </w:p>
    <w:p w:rsidR="001A2E8E" w:rsidRPr="00704222" w:rsidRDefault="001A2E8E" w:rsidP="007E1F50">
      <w:pPr>
        <w:pStyle w:val="ListBullet2"/>
        <w:numPr>
          <w:ilvl w:val="0"/>
          <w:numId w:val="0"/>
        </w:numPr>
        <w:spacing w:after="120" w:line="276" w:lineRule="auto"/>
        <w:rPr>
          <w:rFonts w:asciiTheme="majorHAnsi" w:hAnsiTheme="majorHAnsi"/>
          <w:szCs w:val="24"/>
          <w:lang w:val="hr-HR"/>
        </w:rPr>
      </w:pPr>
      <w:r w:rsidRPr="00704222">
        <w:rPr>
          <w:rFonts w:asciiTheme="majorHAnsi" w:hAnsiTheme="majorHAnsi"/>
          <w:szCs w:val="24"/>
          <w:lang w:val="hr-HR"/>
        </w:rPr>
        <w:t>Posebna grupa aktivnosti će biti usmjerena na povećanje informativnih aktivnosti uključujući informisanje/promociju mogućnosti finansiranja na svim niv</w:t>
      </w:r>
      <w:r w:rsidR="00CF0EFF" w:rsidRPr="00704222">
        <w:rPr>
          <w:rFonts w:asciiTheme="majorHAnsi" w:hAnsiTheme="majorHAnsi"/>
          <w:szCs w:val="24"/>
          <w:lang w:val="hr-HR"/>
        </w:rPr>
        <w:t>o</w:t>
      </w:r>
      <w:r w:rsidRPr="00704222">
        <w:rPr>
          <w:rFonts w:asciiTheme="majorHAnsi" w:hAnsiTheme="majorHAnsi"/>
          <w:szCs w:val="24"/>
          <w:lang w:val="hr-HR"/>
        </w:rPr>
        <w:t xml:space="preserve">ima (opšta javnost, specifične grupe institucija i ciljanih grupa, potencijalni korisnici), organizaciju stručnih događanja konferencija i seminara. </w:t>
      </w:r>
    </w:p>
    <w:p w:rsidR="00783CC4" w:rsidRDefault="00783CC4" w:rsidP="007E1F50">
      <w:pPr>
        <w:pStyle w:val="ListBullet2"/>
        <w:numPr>
          <w:ilvl w:val="0"/>
          <w:numId w:val="0"/>
        </w:numPr>
        <w:spacing w:after="120" w:line="276" w:lineRule="auto"/>
        <w:rPr>
          <w:szCs w:val="24"/>
          <w:lang w:val="hr-HR"/>
        </w:rPr>
      </w:pPr>
    </w:p>
    <w:p w:rsidR="00697663" w:rsidRPr="00697663" w:rsidRDefault="00697663" w:rsidP="00704222">
      <w:pPr>
        <w:pStyle w:val="Heading2"/>
        <w:spacing w:after="240"/>
      </w:pPr>
      <w:bookmarkStart w:id="27" w:name="_Toc419368485"/>
      <w:r>
        <w:t>4.6.4.3</w:t>
      </w:r>
      <w:r w:rsidR="004B3920" w:rsidRPr="00697663">
        <w:t xml:space="preserve">. </w:t>
      </w:r>
      <w:r w:rsidR="00010C08" w:rsidRPr="00697663">
        <w:t>Tabela pregleda</w:t>
      </w:r>
      <w:bookmarkEnd w:id="27"/>
      <w:r w:rsidR="00010C08" w:rsidRPr="00697663">
        <w:t xml:space="preserve"> </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7"/>
      </w:tblGrid>
      <w:tr w:rsidR="007D3D54" w:rsidRPr="00BD6982" w:rsidTr="007D3D54">
        <w:tc>
          <w:tcPr>
            <w:tcW w:w="2127" w:type="dxa"/>
            <w:shd w:val="clear" w:color="auto" w:fill="auto"/>
          </w:tcPr>
          <w:p w:rsidR="007D3D54" w:rsidRPr="00704222" w:rsidRDefault="007D3D54" w:rsidP="007E1F50">
            <w:pPr>
              <w:spacing w:after="120"/>
              <w:jc w:val="both"/>
              <w:rPr>
                <w:rFonts w:asciiTheme="majorHAnsi" w:hAnsiTheme="majorHAnsi"/>
                <w:i/>
                <w:sz w:val="24"/>
                <w:szCs w:val="24"/>
                <w:lang w:val="hr-HR"/>
              </w:rPr>
            </w:pPr>
            <w:r w:rsidRPr="00704222">
              <w:rPr>
                <w:rFonts w:asciiTheme="majorHAnsi" w:hAnsiTheme="majorHAnsi"/>
                <w:i/>
                <w:sz w:val="24"/>
                <w:szCs w:val="24"/>
                <w:lang w:val="hr-HR"/>
              </w:rPr>
              <w:t>Naziv akcije</w:t>
            </w:r>
          </w:p>
        </w:tc>
        <w:tc>
          <w:tcPr>
            <w:tcW w:w="7087" w:type="dxa"/>
            <w:shd w:val="clear" w:color="auto" w:fill="auto"/>
          </w:tcPr>
          <w:p w:rsidR="007D3D54" w:rsidRPr="00704222" w:rsidRDefault="007D3D54" w:rsidP="007E1F50">
            <w:pPr>
              <w:spacing w:after="120"/>
              <w:jc w:val="both"/>
              <w:rPr>
                <w:rFonts w:asciiTheme="majorHAnsi" w:hAnsiTheme="majorHAnsi"/>
                <w:b/>
                <w:sz w:val="24"/>
                <w:szCs w:val="24"/>
                <w:lang w:val="hr-HR"/>
              </w:rPr>
            </w:pPr>
            <w:r w:rsidRPr="00704222">
              <w:rPr>
                <w:rFonts w:asciiTheme="majorHAnsi" w:hAnsiTheme="majorHAnsi"/>
                <w:b/>
                <w:sz w:val="24"/>
                <w:szCs w:val="24"/>
                <w:lang w:val="hr-HR"/>
              </w:rPr>
              <w:t xml:space="preserve">Tehnička pomoć </w:t>
            </w:r>
          </w:p>
        </w:tc>
      </w:tr>
      <w:tr w:rsidR="007D3D54" w:rsidRPr="00BD6982" w:rsidTr="007D3D54">
        <w:tc>
          <w:tcPr>
            <w:tcW w:w="2127" w:type="dxa"/>
            <w:shd w:val="clear" w:color="auto" w:fill="auto"/>
          </w:tcPr>
          <w:p w:rsidR="007D3D54" w:rsidRPr="00704222" w:rsidRDefault="007D3D54" w:rsidP="007E1F50">
            <w:pPr>
              <w:spacing w:after="120"/>
              <w:jc w:val="both"/>
              <w:rPr>
                <w:rFonts w:asciiTheme="majorHAnsi" w:hAnsiTheme="majorHAnsi"/>
                <w:i/>
                <w:sz w:val="24"/>
                <w:szCs w:val="24"/>
                <w:lang w:val="hr-HR"/>
              </w:rPr>
            </w:pPr>
            <w:r w:rsidRPr="00704222">
              <w:rPr>
                <w:rFonts w:asciiTheme="majorHAnsi" w:hAnsiTheme="majorHAnsi"/>
                <w:i/>
                <w:sz w:val="24"/>
                <w:szCs w:val="24"/>
                <w:lang w:val="hr-HR"/>
              </w:rPr>
              <w:t>Specifičan cilj</w:t>
            </w:r>
          </w:p>
        </w:tc>
        <w:tc>
          <w:tcPr>
            <w:tcW w:w="7087" w:type="dxa"/>
            <w:shd w:val="clear" w:color="auto" w:fill="auto"/>
          </w:tcPr>
          <w:p w:rsidR="007D3D54" w:rsidRPr="00704222" w:rsidRDefault="007D3D54" w:rsidP="007E1F50">
            <w:pPr>
              <w:spacing w:after="120"/>
              <w:jc w:val="both"/>
              <w:rPr>
                <w:rFonts w:asciiTheme="majorHAnsi" w:hAnsiTheme="majorHAnsi"/>
                <w:sz w:val="24"/>
                <w:szCs w:val="24"/>
                <w:lang w:val="hr-HR"/>
              </w:rPr>
            </w:pPr>
            <w:r w:rsidRPr="00704222">
              <w:rPr>
                <w:rFonts w:asciiTheme="majorHAnsi" w:hAnsiTheme="majorHAnsi"/>
                <w:sz w:val="24"/>
                <w:szCs w:val="24"/>
                <w:lang w:val="hr-HR"/>
              </w:rPr>
              <w:t xml:space="preserve">Efikasno i efektivno korišćenje EU sredstava u oblasti SOP-a </w:t>
            </w:r>
          </w:p>
        </w:tc>
      </w:tr>
      <w:tr w:rsidR="007D3D54" w:rsidRPr="00BD6982" w:rsidTr="007D3D54">
        <w:tc>
          <w:tcPr>
            <w:tcW w:w="2127" w:type="dxa"/>
            <w:shd w:val="clear" w:color="auto" w:fill="auto"/>
          </w:tcPr>
          <w:p w:rsidR="007D3D54" w:rsidRPr="00704222" w:rsidRDefault="007D3D54" w:rsidP="007E1F50">
            <w:pPr>
              <w:spacing w:after="120"/>
              <w:jc w:val="both"/>
              <w:rPr>
                <w:rFonts w:asciiTheme="majorHAnsi" w:hAnsiTheme="majorHAnsi"/>
                <w:i/>
                <w:sz w:val="24"/>
                <w:szCs w:val="24"/>
                <w:lang w:val="hr-HR"/>
              </w:rPr>
            </w:pPr>
            <w:r w:rsidRPr="00704222">
              <w:rPr>
                <w:rFonts w:asciiTheme="majorHAnsi" w:hAnsiTheme="majorHAnsi"/>
                <w:i/>
                <w:sz w:val="24"/>
                <w:szCs w:val="24"/>
                <w:lang w:val="hr-HR"/>
              </w:rPr>
              <w:t>Rezultati akcije</w:t>
            </w:r>
          </w:p>
        </w:tc>
        <w:tc>
          <w:tcPr>
            <w:tcW w:w="7087" w:type="dxa"/>
            <w:shd w:val="clear" w:color="auto" w:fill="auto"/>
          </w:tcPr>
          <w:p w:rsidR="007D3D54" w:rsidRPr="00704222" w:rsidRDefault="007D3D54" w:rsidP="007E1F50">
            <w:pPr>
              <w:spacing w:after="120"/>
              <w:jc w:val="both"/>
              <w:rPr>
                <w:rFonts w:asciiTheme="majorHAnsi" w:hAnsiTheme="majorHAnsi"/>
                <w:sz w:val="24"/>
                <w:szCs w:val="24"/>
                <w:lang w:val="hr-HR"/>
              </w:rPr>
            </w:pPr>
            <w:r w:rsidRPr="00704222">
              <w:rPr>
                <w:rFonts w:asciiTheme="majorHAnsi" w:hAnsiTheme="majorHAnsi"/>
                <w:sz w:val="24"/>
                <w:szCs w:val="24"/>
                <w:lang w:val="hr-HR"/>
              </w:rPr>
              <w:t>Osposobljeni administrativni kapa</w:t>
            </w:r>
            <w:r w:rsidR="004B3920" w:rsidRPr="00704222">
              <w:rPr>
                <w:rFonts w:asciiTheme="majorHAnsi" w:hAnsiTheme="majorHAnsi"/>
                <w:sz w:val="24"/>
                <w:szCs w:val="24"/>
                <w:lang w:val="hr-HR"/>
              </w:rPr>
              <w:t xml:space="preserve">citeti i </w:t>
            </w:r>
            <w:r w:rsidRPr="00704222">
              <w:rPr>
                <w:rFonts w:asciiTheme="majorHAnsi" w:hAnsiTheme="majorHAnsi"/>
                <w:sz w:val="24"/>
                <w:szCs w:val="24"/>
                <w:lang w:val="hr-HR"/>
              </w:rPr>
              <w:t xml:space="preserve">osigurana podrška potencijalnim korisnicima u pripemi projektnih prijedloga </w:t>
            </w:r>
          </w:p>
        </w:tc>
      </w:tr>
      <w:tr w:rsidR="007D3D54" w:rsidRPr="00BD6982" w:rsidTr="007D3D54">
        <w:tc>
          <w:tcPr>
            <w:tcW w:w="2127" w:type="dxa"/>
            <w:shd w:val="clear" w:color="auto" w:fill="auto"/>
          </w:tcPr>
          <w:p w:rsidR="007D3D54" w:rsidRPr="00704222" w:rsidRDefault="007D3D54" w:rsidP="007E1F50">
            <w:pPr>
              <w:spacing w:after="120"/>
              <w:jc w:val="both"/>
              <w:rPr>
                <w:rFonts w:asciiTheme="majorHAnsi" w:hAnsiTheme="majorHAnsi"/>
                <w:i/>
                <w:sz w:val="24"/>
                <w:szCs w:val="24"/>
                <w:lang w:val="hr-HR"/>
              </w:rPr>
            </w:pPr>
            <w:r w:rsidRPr="00704222">
              <w:rPr>
                <w:rFonts w:asciiTheme="majorHAnsi" w:hAnsiTheme="majorHAnsi"/>
                <w:i/>
                <w:sz w:val="24"/>
                <w:szCs w:val="24"/>
                <w:lang w:val="hr-HR"/>
              </w:rPr>
              <w:t>Aktivnosti</w:t>
            </w:r>
          </w:p>
        </w:tc>
        <w:tc>
          <w:tcPr>
            <w:tcW w:w="7087" w:type="dxa"/>
            <w:shd w:val="clear" w:color="auto" w:fill="auto"/>
          </w:tcPr>
          <w:p w:rsidR="007D3D54" w:rsidRPr="00704222" w:rsidRDefault="007D3D54" w:rsidP="007E1F50">
            <w:pPr>
              <w:spacing w:after="120"/>
              <w:jc w:val="both"/>
              <w:rPr>
                <w:rFonts w:asciiTheme="majorHAnsi" w:hAnsiTheme="majorHAnsi"/>
                <w:sz w:val="24"/>
                <w:szCs w:val="24"/>
                <w:lang w:val="hr-HR"/>
              </w:rPr>
            </w:pPr>
            <w:r w:rsidRPr="00704222">
              <w:rPr>
                <w:rFonts w:asciiTheme="majorHAnsi" w:hAnsiTheme="majorHAnsi"/>
                <w:sz w:val="24"/>
                <w:szCs w:val="24"/>
                <w:lang w:val="hr-HR"/>
              </w:rPr>
              <w:t xml:space="preserve">Aktivnost 4.1 Podrška upravljanju i implementaciji SOP-a </w:t>
            </w:r>
          </w:p>
          <w:p w:rsidR="007D3D54" w:rsidRPr="00704222" w:rsidRDefault="007D3D54" w:rsidP="007E1F50">
            <w:pPr>
              <w:spacing w:after="120"/>
              <w:jc w:val="both"/>
              <w:rPr>
                <w:rFonts w:asciiTheme="majorHAnsi" w:hAnsiTheme="majorHAnsi"/>
                <w:sz w:val="24"/>
                <w:szCs w:val="24"/>
                <w:lang w:val="hr-HR"/>
              </w:rPr>
            </w:pPr>
            <w:r w:rsidRPr="00704222">
              <w:rPr>
                <w:rFonts w:asciiTheme="majorHAnsi" w:hAnsiTheme="majorHAnsi"/>
                <w:sz w:val="24"/>
                <w:szCs w:val="24"/>
                <w:lang w:val="hr-HR"/>
              </w:rPr>
              <w:t>Aktivnost 4.2 Podrška potencijalnim</w:t>
            </w:r>
            <w:r w:rsidR="00DC4D0C" w:rsidRPr="00704222">
              <w:rPr>
                <w:rFonts w:asciiTheme="majorHAnsi" w:hAnsiTheme="majorHAnsi"/>
                <w:sz w:val="24"/>
                <w:szCs w:val="24"/>
                <w:lang w:val="hr-HR"/>
              </w:rPr>
              <w:t>i krajnjim</w:t>
            </w:r>
            <w:r w:rsidRPr="00704222">
              <w:rPr>
                <w:rFonts w:asciiTheme="majorHAnsi" w:hAnsiTheme="majorHAnsi"/>
                <w:sz w:val="24"/>
                <w:szCs w:val="24"/>
                <w:lang w:val="hr-HR"/>
              </w:rPr>
              <w:t xml:space="preserve"> korisnicima </w:t>
            </w:r>
          </w:p>
        </w:tc>
      </w:tr>
      <w:tr w:rsidR="007D3D54" w:rsidRPr="00BD6982" w:rsidTr="007D3D54">
        <w:tc>
          <w:tcPr>
            <w:tcW w:w="2127" w:type="dxa"/>
            <w:shd w:val="clear" w:color="auto" w:fill="auto"/>
          </w:tcPr>
          <w:p w:rsidR="007D3D54" w:rsidRPr="00704222" w:rsidRDefault="007D3D54" w:rsidP="007E1F50">
            <w:pPr>
              <w:spacing w:after="120"/>
              <w:jc w:val="both"/>
              <w:rPr>
                <w:rFonts w:asciiTheme="majorHAnsi" w:hAnsiTheme="majorHAnsi"/>
                <w:i/>
                <w:sz w:val="24"/>
                <w:szCs w:val="24"/>
                <w:lang w:val="hr-HR"/>
              </w:rPr>
            </w:pPr>
            <w:r w:rsidRPr="00704222">
              <w:rPr>
                <w:rFonts w:asciiTheme="majorHAnsi" w:hAnsiTheme="majorHAnsi"/>
                <w:i/>
                <w:sz w:val="24"/>
                <w:szCs w:val="24"/>
                <w:lang w:val="hr-HR"/>
              </w:rPr>
              <w:t xml:space="preserve">Indikativna lista glavnih projekata </w:t>
            </w:r>
          </w:p>
        </w:tc>
        <w:tc>
          <w:tcPr>
            <w:tcW w:w="7087" w:type="dxa"/>
            <w:shd w:val="clear" w:color="auto" w:fill="auto"/>
          </w:tcPr>
          <w:p w:rsidR="007D3D54" w:rsidRPr="00704222" w:rsidRDefault="006A7CF6" w:rsidP="007E1F50">
            <w:pPr>
              <w:spacing w:after="120"/>
              <w:jc w:val="both"/>
              <w:rPr>
                <w:rFonts w:asciiTheme="majorHAnsi" w:hAnsiTheme="majorHAnsi"/>
                <w:sz w:val="24"/>
                <w:szCs w:val="24"/>
                <w:lang w:val="hr-HR"/>
              </w:rPr>
            </w:pPr>
            <w:r w:rsidRPr="00704222">
              <w:rPr>
                <w:rFonts w:asciiTheme="majorHAnsi" w:hAnsiTheme="majorHAnsi"/>
                <w:sz w:val="24"/>
                <w:szCs w:val="24"/>
                <w:lang w:val="hr-HR"/>
              </w:rPr>
              <w:t>N/A</w:t>
            </w:r>
          </w:p>
        </w:tc>
      </w:tr>
      <w:tr w:rsidR="007D3D54" w:rsidRPr="00BD6982" w:rsidTr="007D3D54">
        <w:tc>
          <w:tcPr>
            <w:tcW w:w="2127" w:type="dxa"/>
            <w:shd w:val="clear" w:color="auto" w:fill="auto"/>
          </w:tcPr>
          <w:p w:rsidR="007D3D54" w:rsidRPr="00704222" w:rsidRDefault="007D3D54" w:rsidP="007E1F50">
            <w:pPr>
              <w:spacing w:after="120"/>
              <w:jc w:val="both"/>
              <w:rPr>
                <w:rFonts w:asciiTheme="majorHAnsi" w:hAnsiTheme="majorHAnsi"/>
                <w:i/>
                <w:sz w:val="24"/>
                <w:szCs w:val="24"/>
                <w:lang w:val="hr-HR"/>
              </w:rPr>
            </w:pPr>
            <w:r w:rsidRPr="00704222">
              <w:rPr>
                <w:rFonts w:asciiTheme="majorHAnsi" w:hAnsiTheme="majorHAnsi"/>
                <w:i/>
                <w:sz w:val="24"/>
                <w:szCs w:val="24"/>
                <w:lang w:val="hr-HR"/>
              </w:rPr>
              <w:t xml:space="preserve">Načini implementacije </w:t>
            </w:r>
          </w:p>
        </w:tc>
        <w:tc>
          <w:tcPr>
            <w:tcW w:w="7087" w:type="dxa"/>
            <w:shd w:val="clear" w:color="auto" w:fill="auto"/>
          </w:tcPr>
          <w:p w:rsidR="007D3D54" w:rsidRPr="00704222" w:rsidRDefault="006A7CF6" w:rsidP="007E1F50">
            <w:pPr>
              <w:spacing w:after="120"/>
              <w:jc w:val="both"/>
              <w:rPr>
                <w:rFonts w:asciiTheme="majorHAnsi" w:hAnsiTheme="majorHAnsi"/>
                <w:sz w:val="24"/>
                <w:szCs w:val="24"/>
                <w:lang w:val="hr-HR"/>
              </w:rPr>
            </w:pPr>
            <w:r w:rsidRPr="00704222">
              <w:rPr>
                <w:rFonts w:asciiTheme="majorHAnsi" w:hAnsiTheme="majorHAnsi"/>
                <w:sz w:val="24"/>
                <w:szCs w:val="24"/>
                <w:lang w:val="hr-HR"/>
              </w:rPr>
              <w:t>Aktivnost 4.1</w:t>
            </w:r>
            <w:r w:rsidR="00EB52DE" w:rsidRPr="00704222">
              <w:rPr>
                <w:rFonts w:asciiTheme="majorHAnsi" w:hAnsiTheme="majorHAnsi"/>
                <w:sz w:val="24"/>
                <w:szCs w:val="24"/>
                <w:lang w:val="hr-HR"/>
              </w:rPr>
              <w:t xml:space="preserve"> </w:t>
            </w:r>
            <w:r w:rsidRPr="00704222">
              <w:rPr>
                <w:rFonts w:asciiTheme="majorHAnsi" w:hAnsiTheme="majorHAnsi"/>
                <w:sz w:val="24"/>
                <w:szCs w:val="24"/>
                <w:lang w:val="hr-HR"/>
              </w:rPr>
              <w:t>Direktni grant</w:t>
            </w:r>
          </w:p>
          <w:p w:rsidR="006A7CF6" w:rsidRPr="00704222" w:rsidRDefault="006A7CF6" w:rsidP="007E1F50">
            <w:pPr>
              <w:spacing w:after="120"/>
              <w:jc w:val="both"/>
              <w:rPr>
                <w:rFonts w:asciiTheme="majorHAnsi" w:hAnsiTheme="majorHAnsi"/>
                <w:sz w:val="24"/>
                <w:szCs w:val="24"/>
                <w:lang w:val="hr-HR"/>
              </w:rPr>
            </w:pPr>
            <w:r w:rsidRPr="00704222">
              <w:rPr>
                <w:rFonts w:asciiTheme="majorHAnsi" w:hAnsiTheme="majorHAnsi"/>
                <w:sz w:val="24"/>
                <w:szCs w:val="24"/>
                <w:lang w:val="hr-HR"/>
              </w:rPr>
              <w:t xml:space="preserve">Aktivnost 4.2 </w:t>
            </w:r>
            <w:r w:rsidR="005E287B" w:rsidRPr="00704222">
              <w:rPr>
                <w:rFonts w:asciiTheme="majorHAnsi" w:hAnsiTheme="majorHAnsi"/>
                <w:sz w:val="24"/>
                <w:szCs w:val="24"/>
                <w:lang w:val="hr-HR"/>
              </w:rPr>
              <w:t xml:space="preserve">Ugovor o uslugama </w:t>
            </w:r>
          </w:p>
        </w:tc>
      </w:tr>
      <w:tr w:rsidR="007D3D54" w:rsidRPr="00BD6982" w:rsidTr="007D3D54">
        <w:tc>
          <w:tcPr>
            <w:tcW w:w="2127" w:type="dxa"/>
            <w:shd w:val="clear" w:color="auto" w:fill="auto"/>
          </w:tcPr>
          <w:p w:rsidR="007D3D54" w:rsidRPr="00704222" w:rsidRDefault="007D3D54" w:rsidP="007E1F50">
            <w:pPr>
              <w:spacing w:after="120"/>
              <w:jc w:val="both"/>
              <w:rPr>
                <w:rFonts w:asciiTheme="majorHAnsi" w:hAnsiTheme="majorHAnsi"/>
                <w:i/>
                <w:sz w:val="24"/>
                <w:szCs w:val="24"/>
                <w:lang w:val="hr-HR"/>
              </w:rPr>
            </w:pPr>
            <w:r w:rsidRPr="00704222">
              <w:rPr>
                <w:rFonts w:asciiTheme="majorHAnsi" w:hAnsiTheme="majorHAnsi"/>
                <w:i/>
                <w:sz w:val="24"/>
                <w:szCs w:val="24"/>
                <w:lang w:val="hr-HR"/>
              </w:rPr>
              <w:t xml:space="preserve">Indikatori učinka </w:t>
            </w:r>
          </w:p>
        </w:tc>
        <w:tc>
          <w:tcPr>
            <w:tcW w:w="7087" w:type="dxa"/>
            <w:shd w:val="clear" w:color="auto" w:fill="auto"/>
          </w:tcPr>
          <w:p w:rsidR="007D3D54" w:rsidRPr="00704222" w:rsidRDefault="00210EDD" w:rsidP="007E1F50">
            <w:pPr>
              <w:spacing w:after="120"/>
              <w:jc w:val="both"/>
              <w:rPr>
                <w:rFonts w:asciiTheme="majorHAnsi" w:hAnsiTheme="majorHAnsi"/>
                <w:sz w:val="24"/>
                <w:szCs w:val="24"/>
                <w:lang w:val="hr-HR"/>
              </w:rPr>
            </w:pPr>
            <w:r w:rsidRPr="00704222">
              <w:rPr>
                <w:rFonts w:asciiTheme="majorHAnsi" w:hAnsiTheme="majorHAnsi"/>
                <w:sz w:val="24"/>
                <w:szCs w:val="24"/>
                <w:lang w:val="hr-HR"/>
              </w:rPr>
              <w:t xml:space="preserve">Osposobljeno </w:t>
            </w:r>
            <w:r w:rsidR="004B3920" w:rsidRPr="00704222">
              <w:rPr>
                <w:rFonts w:asciiTheme="majorHAnsi" w:hAnsiTheme="majorHAnsi"/>
                <w:sz w:val="24"/>
                <w:szCs w:val="24"/>
                <w:lang w:val="hr-HR"/>
              </w:rPr>
              <w:t xml:space="preserve"> najmanje </w:t>
            </w:r>
            <w:r w:rsidR="00753067" w:rsidRPr="00704222">
              <w:rPr>
                <w:rFonts w:asciiTheme="majorHAnsi" w:hAnsiTheme="majorHAnsi"/>
                <w:sz w:val="24"/>
                <w:szCs w:val="24"/>
                <w:lang w:val="hr-HR"/>
              </w:rPr>
              <w:t>80% zaposlenih u tijelima uključenim u  upravljanj</w:t>
            </w:r>
            <w:r w:rsidRPr="00704222">
              <w:rPr>
                <w:rFonts w:asciiTheme="majorHAnsi" w:hAnsiTheme="majorHAnsi"/>
                <w:sz w:val="24"/>
                <w:szCs w:val="24"/>
                <w:lang w:val="hr-HR"/>
              </w:rPr>
              <w:t>u</w:t>
            </w:r>
            <w:r w:rsidR="00753067" w:rsidRPr="00704222">
              <w:rPr>
                <w:rFonts w:asciiTheme="majorHAnsi" w:hAnsiTheme="majorHAnsi"/>
                <w:sz w:val="24"/>
                <w:szCs w:val="24"/>
                <w:lang w:val="hr-HR"/>
              </w:rPr>
              <w:t xml:space="preserve"> i sprovođenj</w:t>
            </w:r>
            <w:r w:rsidRPr="00704222">
              <w:rPr>
                <w:rFonts w:asciiTheme="majorHAnsi" w:hAnsiTheme="majorHAnsi"/>
                <w:sz w:val="24"/>
                <w:szCs w:val="24"/>
                <w:lang w:val="hr-HR"/>
              </w:rPr>
              <w:t>u</w:t>
            </w:r>
            <w:r w:rsidR="00753067" w:rsidRPr="00704222">
              <w:rPr>
                <w:rFonts w:asciiTheme="majorHAnsi" w:hAnsiTheme="majorHAnsi"/>
                <w:sz w:val="24"/>
                <w:szCs w:val="24"/>
                <w:lang w:val="hr-HR"/>
              </w:rPr>
              <w:t xml:space="preserve"> SOP-a i nabavljena potrebna oprema </w:t>
            </w:r>
          </w:p>
          <w:p w:rsidR="00210EDD" w:rsidRPr="00704222" w:rsidRDefault="00210EDD" w:rsidP="007E1F50">
            <w:pPr>
              <w:spacing w:after="120"/>
              <w:jc w:val="both"/>
              <w:rPr>
                <w:rFonts w:asciiTheme="majorHAnsi" w:hAnsiTheme="majorHAnsi"/>
                <w:sz w:val="24"/>
                <w:szCs w:val="24"/>
                <w:lang w:val="hr-HR"/>
              </w:rPr>
            </w:pPr>
            <w:r w:rsidRPr="00704222">
              <w:rPr>
                <w:rFonts w:asciiTheme="majorHAnsi" w:hAnsiTheme="majorHAnsi"/>
                <w:sz w:val="24"/>
                <w:szCs w:val="24"/>
                <w:lang w:val="hr-HR"/>
              </w:rPr>
              <w:t xml:space="preserve">Najmanje 9 informativnih aktivnosti SOP-a </w:t>
            </w:r>
          </w:p>
          <w:p w:rsidR="00DC4D0C" w:rsidRPr="00704222" w:rsidRDefault="00DC4D0C" w:rsidP="007E1F50">
            <w:pPr>
              <w:spacing w:after="120"/>
              <w:jc w:val="both"/>
              <w:rPr>
                <w:rFonts w:asciiTheme="majorHAnsi" w:hAnsiTheme="majorHAnsi"/>
                <w:sz w:val="24"/>
                <w:szCs w:val="24"/>
                <w:lang w:val="hr-HR"/>
              </w:rPr>
            </w:pPr>
            <w:r w:rsidRPr="00704222">
              <w:rPr>
                <w:rFonts w:asciiTheme="majorHAnsi" w:hAnsiTheme="majorHAnsi"/>
                <w:sz w:val="24"/>
                <w:szCs w:val="24"/>
                <w:lang w:val="hr-HR"/>
              </w:rPr>
              <w:t xml:space="preserve">Minimum 100 potencijalnih i krajnjih korisnika </w:t>
            </w:r>
            <w:r w:rsidR="00FD11F4" w:rsidRPr="00704222">
              <w:rPr>
                <w:rFonts w:asciiTheme="majorHAnsi" w:hAnsiTheme="majorHAnsi"/>
                <w:sz w:val="24"/>
                <w:szCs w:val="24"/>
                <w:lang w:val="hr-HR"/>
              </w:rPr>
              <w:t xml:space="preserve">učestvovalo u aktivnostima vezanim za pripremu i sprovođenje projekata </w:t>
            </w:r>
          </w:p>
        </w:tc>
      </w:tr>
    </w:tbl>
    <w:p w:rsidR="00241F37" w:rsidRPr="00241F37" w:rsidRDefault="00241F37" w:rsidP="00AA02E5">
      <w:pPr>
        <w:spacing w:after="120"/>
        <w:jc w:val="both"/>
      </w:pPr>
    </w:p>
    <w:p w:rsidR="00C1273D" w:rsidRDefault="00DC219F" w:rsidP="00697663">
      <w:pPr>
        <w:pStyle w:val="Heading1"/>
        <w:numPr>
          <w:ilvl w:val="0"/>
          <w:numId w:val="21"/>
        </w:numPr>
      </w:pPr>
      <w:bookmarkStart w:id="28" w:name="_Toc419368486"/>
      <w:r w:rsidRPr="00AA2C05">
        <w:t>Finansijska tabela po akcijama i godinama uključujući stopu kofinansiranja ukoliko je primjenjivo</w:t>
      </w:r>
      <w:bookmarkEnd w:id="28"/>
    </w:p>
    <w:tbl>
      <w:tblPr>
        <w:tblW w:w="10326" w:type="dxa"/>
        <w:tblInd w:w="93" w:type="dxa"/>
        <w:tblLook w:val="04A0" w:firstRow="1" w:lastRow="0" w:firstColumn="1" w:lastColumn="0" w:noHBand="0" w:noVBand="1"/>
      </w:tblPr>
      <w:tblGrid>
        <w:gridCol w:w="1427"/>
        <w:gridCol w:w="1504"/>
        <w:gridCol w:w="1504"/>
        <w:gridCol w:w="1504"/>
        <w:gridCol w:w="1392"/>
        <w:gridCol w:w="1383"/>
        <w:gridCol w:w="1612"/>
      </w:tblGrid>
      <w:tr w:rsidR="00967498" w:rsidRPr="001E2A47" w:rsidTr="00704222">
        <w:trPr>
          <w:trHeight w:val="1515"/>
        </w:trPr>
        <w:tc>
          <w:tcPr>
            <w:tcW w:w="1427" w:type="dxa"/>
            <w:tcBorders>
              <w:top w:val="nil"/>
              <w:left w:val="nil"/>
              <w:bottom w:val="single" w:sz="8" w:space="0" w:color="auto"/>
              <w:right w:val="single" w:sz="8" w:space="0" w:color="auto"/>
            </w:tcBorders>
            <w:shd w:val="clear" w:color="auto" w:fill="auto"/>
            <w:vAlign w:val="bottom"/>
            <w:hideMark/>
          </w:tcPr>
          <w:p w:rsidR="001E2A47" w:rsidRPr="001E2A47" w:rsidRDefault="001E2A47" w:rsidP="001E2A47">
            <w:pPr>
              <w:spacing w:after="0" w:line="240" w:lineRule="auto"/>
              <w:rPr>
                <w:rFonts w:eastAsia="Times New Roman"/>
                <w:color w:val="000000"/>
                <w:lang w:val="en-US"/>
              </w:rPr>
            </w:pPr>
            <w:r w:rsidRPr="001E2A47">
              <w:rPr>
                <w:rFonts w:eastAsia="Times New Roman"/>
                <w:color w:val="000000"/>
                <w:lang w:val="en-US"/>
              </w:rPr>
              <w:t> </w:t>
            </w:r>
          </w:p>
        </w:tc>
        <w:tc>
          <w:tcPr>
            <w:tcW w:w="1504" w:type="dxa"/>
            <w:tcBorders>
              <w:top w:val="single" w:sz="8" w:space="0" w:color="auto"/>
              <w:left w:val="nil"/>
              <w:bottom w:val="single" w:sz="8" w:space="0" w:color="auto"/>
              <w:right w:val="single" w:sz="4" w:space="0" w:color="auto"/>
            </w:tcBorders>
            <w:shd w:val="clear" w:color="000000" w:fill="FFFF00"/>
            <w:vAlign w:val="center"/>
            <w:hideMark/>
          </w:tcPr>
          <w:p w:rsidR="001E2A47" w:rsidRPr="001E2A47" w:rsidRDefault="00967498" w:rsidP="00967498">
            <w:pPr>
              <w:spacing w:after="0" w:line="240" w:lineRule="auto"/>
              <w:jc w:val="center"/>
              <w:rPr>
                <w:rFonts w:eastAsia="Times New Roman"/>
                <w:b/>
                <w:bCs/>
                <w:color w:val="000000"/>
                <w:lang w:val="en-US"/>
              </w:rPr>
            </w:pPr>
            <w:r>
              <w:rPr>
                <w:rFonts w:eastAsia="Times New Roman"/>
                <w:b/>
                <w:bCs/>
                <w:color w:val="000000"/>
                <w:lang w:val="en-US"/>
              </w:rPr>
              <w:t>Ukupni tro</w:t>
            </w:r>
            <w:r>
              <w:rPr>
                <w:rFonts w:eastAsia="Times New Roman"/>
                <w:b/>
                <w:bCs/>
                <w:color w:val="000000"/>
              </w:rPr>
              <w:t>š</w:t>
            </w:r>
            <w:r>
              <w:rPr>
                <w:rFonts w:eastAsia="Times New Roman"/>
                <w:b/>
                <w:bCs/>
                <w:color w:val="000000"/>
                <w:lang w:val="en-US"/>
              </w:rPr>
              <w:t>kovi</w:t>
            </w:r>
            <w:r w:rsidR="001E2A47" w:rsidRPr="001E2A47">
              <w:rPr>
                <w:rFonts w:eastAsia="Times New Roman"/>
                <w:b/>
                <w:bCs/>
                <w:color w:val="000000"/>
                <w:lang w:val="en-US"/>
              </w:rPr>
              <w:br/>
            </w:r>
            <w:r w:rsidR="001E2A47" w:rsidRPr="001E2A47">
              <w:rPr>
                <w:rFonts w:eastAsia="Times New Roman"/>
                <w:color w:val="000000"/>
                <w:lang w:val="en-US"/>
              </w:rPr>
              <w:t>(x+y+z)</w:t>
            </w:r>
          </w:p>
        </w:tc>
        <w:tc>
          <w:tcPr>
            <w:tcW w:w="1504" w:type="dxa"/>
            <w:tcBorders>
              <w:top w:val="single" w:sz="8" w:space="0" w:color="auto"/>
              <w:left w:val="nil"/>
              <w:bottom w:val="single" w:sz="8" w:space="0" w:color="auto"/>
              <w:right w:val="single" w:sz="4" w:space="0" w:color="auto"/>
            </w:tcBorders>
            <w:shd w:val="clear" w:color="000000" w:fill="FFFF00"/>
            <w:vAlign w:val="center"/>
            <w:hideMark/>
          </w:tcPr>
          <w:p w:rsidR="001E2A47" w:rsidRPr="001E2A47" w:rsidRDefault="00967498" w:rsidP="00967498">
            <w:pPr>
              <w:spacing w:after="0" w:line="240" w:lineRule="auto"/>
              <w:jc w:val="center"/>
              <w:rPr>
                <w:rFonts w:eastAsia="Times New Roman"/>
                <w:b/>
                <w:bCs/>
                <w:color w:val="000000"/>
                <w:lang w:val="en-US"/>
              </w:rPr>
            </w:pPr>
            <w:r>
              <w:rPr>
                <w:rFonts w:eastAsia="Times New Roman"/>
                <w:b/>
                <w:bCs/>
                <w:color w:val="000000"/>
                <w:lang w:val="en-US"/>
              </w:rPr>
              <w:t xml:space="preserve">Ukupni javni prihvatljivi troškovi </w:t>
            </w:r>
            <w:r w:rsidR="001E2A47" w:rsidRPr="001E2A47">
              <w:rPr>
                <w:rFonts w:eastAsia="Times New Roman"/>
                <w:b/>
                <w:bCs/>
                <w:color w:val="000000"/>
                <w:lang w:val="en-US"/>
              </w:rPr>
              <w:br/>
            </w:r>
            <w:r w:rsidR="001E2A47" w:rsidRPr="001E2A47">
              <w:rPr>
                <w:rFonts w:eastAsia="Times New Roman"/>
                <w:color w:val="000000"/>
                <w:lang w:val="en-US"/>
              </w:rPr>
              <w:t>(x+y)</w:t>
            </w:r>
          </w:p>
        </w:tc>
        <w:tc>
          <w:tcPr>
            <w:tcW w:w="1504" w:type="dxa"/>
            <w:tcBorders>
              <w:top w:val="single" w:sz="8" w:space="0" w:color="auto"/>
              <w:left w:val="nil"/>
              <w:bottom w:val="single" w:sz="8" w:space="0" w:color="auto"/>
              <w:right w:val="single" w:sz="4" w:space="0" w:color="auto"/>
            </w:tcBorders>
            <w:shd w:val="clear" w:color="000000" w:fill="FFFF00"/>
            <w:vAlign w:val="center"/>
            <w:hideMark/>
          </w:tcPr>
          <w:p w:rsidR="001E2A47" w:rsidRPr="001E2A47" w:rsidRDefault="001E2A47" w:rsidP="001E2A47">
            <w:pPr>
              <w:spacing w:after="0" w:line="240" w:lineRule="auto"/>
              <w:jc w:val="center"/>
              <w:rPr>
                <w:rFonts w:eastAsia="Times New Roman"/>
                <w:b/>
                <w:bCs/>
                <w:color w:val="000000"/>
                <w:lang w:val="en-US"/>
              </w:rPr>
            </w:pPr>
            <w:r w:rsidRPr="001E2A47">
              <w:rPr>
                <w:rFonts w:eastAsia="Times New Roman"/>
                <w:b/>
                <w:bCs/>
                <w:color w:val="000000"/>
                <w:lang w:val="en-US"/>
              </w:rPr>
              <w:t>EU (IPA)</w:t>
            </w:r>
            <w:r w:rsidRPr="001E2A47">
              <w:rPr>
                <w:rFonts w:eastAsia="Times New Roman"/>
                <w:b/>
                <w:bCs/>
                <w:color w:val="000000"/>
                <w:lang w:val="en-US"/>
              </w:rPr>
              <w:br/>
            </w:r>
            <w:r w:rsidRPr="001E2A47">
              <w:rPr>
                <w:rFonts w:eastAsia="Times New Roman"/>
                <w:color w:val="000000"/>
                <w:lang w:val="en-US"/>
              </w:rPr>
              <w:t>(x)</w:t>
            </w:r>
          </w:p>
        </w:tc>
        <w:tc>
          <w:tcPr>
            <w:tcW w:w="1392" w:type="dxa"/>
            <w:tcBorders>
              <w:top w:val="single" w:sz="8" w:space="0" w:color="auto"/>
              <w:left w:val="nil"/>
              <w:bottom w:val="single" w:sz="8" w:space="0" w:color="auto"/>
              <w:right w:val="single" w:sz="4" w:space="0" w:color="auto"/>
            </w:tcBorders>
            <w:shd w:val="clear" w:color="000000" w:fill="FFFF00"/>
            <w:vAlign w:val="center"/>
            <w:hideMark/>
          </w:tcPr>
          <w:p w:rsidR="001E2A47" w:rsidRPr="001E2A47" w:rsidRDefault="001E2A47" w:rsidP="00967498">
            <w:pPr>
              <w:spacing w:after="0" w:line="240" w:lineRule="auto"/>
              <w:jc w:val="center"/>
              <w:rPr>
                <w:rFonts w:eastAsia="Times New Roman"/>
                <w:b/>
                <w:bCs/>
                <w:color w:val="000000"/>
                <w:lang w:val="en-US"/>
              </w:rPr>
            </w:pPr>
            <w:r w:rsidRPr="001E2A47">
              <w:rPr>
                <w:rFonts w:eastAsia="Times New Roman"/>
                <w:b/>
                <w:bCs/>
                <w:color w:val="000000"/>
                <w:lang w:val="en-US"/>
              </w:rPr>
              <w:t xml:space="preserve">CC </w:t>
            </w:r>
            <w:r w:rsidR="00967498">
              <w:rPr>
                <w:rFonts w:eastAsia="Times New Roman"/>
                <w:b/>
                <w:bCs/>
                <w:color w:val="000000"/>
                <w:lang w:val="en-US"/>
              </w:rPr>
              <w:t>Nacionalni javni</w:t>
            </w:r>
            <w:r w:rsidRPr="001E2A47">
              <w:rPr>
                <w:rFonts w:eastAsia="Times New Roman"/>
                <w:b/>
                <w:bCs/>
                <w:color w:val="000000"/>
                <w:lang w:val="en-US"/>
              </w:rPr>
              <w:br/>
            </w:r>
            <w:r w:rsidRPr="001E2A47">
              <w:rPr>
                <w:rFonts w:eastAsia="Times New Roman"/>
                <w:color w:val="000000"/>
                <w:lang w:val="en-US"/>
              </w:rPr>
              <w:t>(y)</w:t>
            </w:r>
          </w:p>
        </w:tc>
        <w:tc>
          <w:tcPr>
            <w:tcW w:w="1383" w:type="dxa"/>
            <w:tcBorders>
              <w:top w:val="single" w:sz="8" w:space="0" w:color="auto"/>
              <w:left w:val="nil"/>
              <w:bottom w:val="single" w:sz="8" w:space="0" w:color="auto"/>
              <w:right w:val="single" w:sz="4" w:space="0" w:color="auto"/>
            </w:tcBorders>
            <w:shd w:val="clear" w:color="000000" w:fill="FFFF00"/>
            <w:vAlign w:val="center"/>
            <w:hideMark/>
          </w:tcPr>
          <w:p w:rsidR="001E2A47" w:rsidRPr="001E2A47" w:rsidRDefault="00967498" w:rsidP="00967498">
            <w:pPr>
              <w:spacing w:after="0" w:line="240" w:lineRule="auto"/>
              <w:jc w:val="center"/>
              <w:rPr>
                <w:rFonts w:eastAsia="Times New Roman"/>
                <w:b/>
                <w:bCs/>
                <w:color w:val="000000"/>
                <w:lang w:val="en-US"/>
              </w:rPr>
            </w:pPr>
            <w:r>
              <w:rPr>
                <w:rFonts w:eastAsia="Times New Roman"/>
                <w:b/>
                <w:bCs/>
                <w:color w:val="000000"/>
                <w:lang w:val="en-US"/>
              </w:rPr>
              <w:t>Privatni (indikativno</w:t>
            </w:r>
            <w:r w:rsidR="001E2A47" w:rsidRPr="001E2A47">
              <w:rPr>
                <w:rFonts w:eastAsia="Times New Roman"/>
                <w:b/>
                <w:bCs/>
                <w:color w:val="000000"/>
                <w:lang w:val="en-US"/>
              </w:rPr>
              <w:t>)</w:t>
            </w:r>
            <w:r w:rsidR="001E2A47" w:rsidRPr="001E2A47">
              <w:rPr>
                <w:rFonts w:eastAsia="Times New Roman"/>
                <w:b/>
                <w:bCs/>
                <w:color w:val="000000"/>
                <w:lang w:val="en-US"/>
              </w:rPr>
              <w:br/>
            </w:r>
            <w:r w:rsidR="001E2A47" w:rsidRPr="001E2A47">
              <w:rPr>
                <w:rFonts w:eastAsia="Times New Roman"/>
                <w:color w:val="000000"/>
                <w:lang w:val="en-US"/>
              </w:rPr>
              <w:t>(z)</w:t>
            </w:r>
            <w:r w:rsidR="001E2A47">
              <w:rPr>
                <w:rFonts w:eastAsia="Times New Roman"/>
                <w:color w:val="000000"/>
                <w:lang w:val="en-US"/>
              </w:rPr>
              <w:t>*</w:t>
            </w:r>
          </w:p>
        </w:tc>
        <w:tc>
          <w:tcPr>
            <w:tcW w:w="1612" w:type="dxa"/>
            <w:tcBorders>
              <w:top w:val="single" w:sz="8" w:space="0" w:color="auto"/>
              <w:left w:val="nil"/>
              <w:bottom w:val="single" w:sz="8" w:space="0" w:color="auto"/>
              <w:right w:val="single" w:sz="8" w:space="0" w:color="auto"/>
            </w:tcBorders>
            <w:shd w:val="clear" w:color="000000" w:fill="FFFF00"/>
            <w:vAlign w:val="center"/>
            <w:hideMark/>
          </w:tcPr>
          <w:p w:rsidR="001E2A47" w:rsidRPr="001E2A47" w:rsidRDefault="001E2A47" w:rsidP="00967498">
            <w:pPr>
              <w:spacing w:after="0" w:line="240" w:lineRule="auto"/>
              <w:jc w:val="center"/>
              <w:rPr>
                <w:rFonts w:eastAsia="Times New Roman"/>
                <w:b/>
                <w:bCs/>
                <w:color w:val="000000"/>
                <w:lang w:val="en-US"/>
              </w:rPr>
            </w:pPr>
            <w:r w:rsidRPr="001E2A47">
              <w:rPr>
                <w:rFonts w:eastAsia="Times New Roman"/>
                <w:b/>
                <w:bCs/>
                <w:color w:val="000000"/>
                <w:lang w:val="en-US"/>
              </w:rPr>
              <w:t xml:space="preserve">IPA </w:t>
            </w:r>
            <w:r w:rsidR="00967498">
              <w:rPr>
                <w:rFonts w:eastAsia="Times New Roman"/>
                <w:b/>
                <w:bCs/>
                <w:color w:val="000000"/>
                <w:lang w:val="en-US"/>
              </w:rPr>
              <w:t>kofinansirajuća stopa</w:t>
            </w:r>
            <w:r w:rsidRPr="001E2A47">
              <w:rPr>
                <w:rFonts w:eastAsia="Times New Roman"/>
                <w:b/>
                <w:bCs/>
                <w:color w:val="000000"/>
                <w:lang w:val="en-US"/>
              </w:rPr>
              <w:t xml:space="preserve"> (%)</w:t>
            </w:r>
            <w:r w:rsidRPr="001E2A47">
              <w:rPr>
                <w:rFonts w:eastAsia="Times New Roman"/>
                <w:b/>
                <w:bCs/>
                <w:color w:val="000000"/>
                <w:lang w:val="en-US"/>
              </w:rPr>
              <w:br/>
            </w:r>
            <w:r w:rsidRPr="001E2A47">
              <w:rPr>
                <w:rFonts w:eastAsia="Times New Roman"/>
                <w:color w:val="000000"/>
                <w:lang w:val="en-US"/>
              </w:rPr>
              <w:t>(x/(x+y) or x/(x+y+z)</w:t>
            </w:r>
          </w:p>
        </w:tc>
      </w:tr>
      <w:tr w:rsidR="00967498" w:rsidRPr="001E2A47" w:rsidTr="00704222">
        <w:trPr>
          <w:trHeight w:val="600"/>
        </w:trPr>
        <w:tc>
          <w:tcPr>
            <w:tcW w:w="1427" w:type="dxa"/>
            <w:tcBorders>
              <w:top w:val="nil"/>
              <w:left w:val="single" w:sz="8" w:space="0" w:color="auto"/>
              <w:bottom w:val="single" w:sz="4" w:space="0" w:color="auto"/>
              <w:right w:val="single" w:sz="8" w:space="0" w:color="auto"/>
            </w:tcBorders>
            <w:shd w:val="clear" w:color="auto" w:fill="auto"/>
            <w:vAlign w:val="bottom"/>
            <w:hideMark/>
          </w:tcPr>
          <w:p w:rsidR="001E2A47" w:rsidRPr="001E2A47" w:rsidRDefault="00967498" w:rsidP="00846F1C">
            <w:pPr>
              <w:spacing w:after="0" w:line="240" w:lineRule="auto"/>
              <w:rPr>
                <w:rFonts w:eastAsia="Times New Roman"/>
                <w:color w:val="000000"/>
                <w:lang w:val="en-US"/>
              </w:rPr>
            </w:pPr>
            <w:r>
              <w:rPr>
                <w:rFonts w:eastAsia="Times New Roman"/>
                <w:color w:val="000000"/>
                <w:lang w:val="en-US"/>
              </w:rPr>
              <w:t>Aktivnost</w:t>
            </w:r>
            <w:r w:rsidR="001E2A47" w:rsidRPr="001E2A47">
              <w:rPr>
                <w:rFonts w:eastAsia="Times New Roman"/>
                <w:color w:val="000000"/>
                <w:lang w:val="en-US"/>
              </w:rPr>
              <w:t xml:space="preserve"> 1.1</w:t>
            </w:r>
            <w:r w:rsidR="001E2A47" w:rsidRPr="001E2A47">
              <w:rPr>
                <w:rFonts w:eastAsia="Times New Roman"/>
                <w:color w:val="000000"/>
                <w:lang w:val="en-US"/>
              </w:rPr>
              <w:br/>
              <w:t>(Dire</w:t>
            </w:r>
            <w:r w:rsidR="00846F1C">
              <w:rPr>
                <w:rFonts w:eastAsia="Times New Roman"/>
                <w:color w:val="000000"/>
                <w:lang w:val="en-US"/>
              </w:rPr>
              <w:t>ktni grant</w:t>
            </w:r>
            <w:r w:rsidR="001E2A47" w:rsidRPr="001E2A47">
              <w:rPr>
                <w:rFonts w:eastAsia="Times New Roman"/>
                <w:color w:val="000000"/>
                <w:lang w:val="en-US"/>
              </w:rPr>
              <w:t>)</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8,352,941.18</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8,352,941.18</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7,100,000.00</w:t>
            </w:r>
          </w:p>
        </w:tc>
        <w:tc>
          <w:tcPr>
            <w:tcW w:w="1392"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1,252,941.18</w:t>
            </w:r>
          </w:p>
        </w:tc>
        <w:tc>
          <w:tcPr>
            <w:tcW w:w="1383" w:type="dxa"/>
            <w:tcBorders>
              <w:top w:val="nil"/>
              <w:left w:val="nil"/>
              <w:bottom w:val="single" w:sz="4" w:space="0" w:color="auto"/>
              <w:right w:val="single" w:sz="4" w:space="0" w:color="auto"/>
            </w:tcBorders>
            <w:shd w:val="clear" w:color="auto" w:fill="auto"/>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 </w:t>
            </w:r>
          </w:p>
        </w:tc>
        <w:tc>
          <w:tcPr>
            <w:tcW w:w="1612" w:type="dxa"/>
            <w:tcBorders>
              <w:top w:val="nil"/>
              <w:left w:val="nil"/>
              <w:bottom w:val="single" w:sz="4" w:space="0" w:color="auto"/>
              <w:right w:val="single" w:sz="8" w:space="0" w:color="auto"/>
            </w:tcBorders>
            <w:shd w:val="clear" w:color="auto" w:fill="auto"/>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85%</w:t>
            </w:r>
          </w:p>
        </w:tc>
      </w:tr>
      <w:tr w:rsidR="00967498" w:rsidRPr="001E2A47" w:rsidTr="00704222">
        <w:trPr>
          <w:trHeight w:val="600"/>
        </w:trPr>
        <w:tc>
          <w:tcPr>
            <w:tcW w:w="1427" w:type="dxa"/>
            <w:tcBorders>
              <w:top w:val="nil"/>
              <w:left w:val="single" w:sz="8" w:space="0" w:color="auto"/>
              <w:bottom w:val="single" w:sz="4" w:space="0" w:color="auto"/>
              <w:right w:val="single" w:sz="8" w:space="0" w:color="auto"/>
            </w:tcBorders>
            <w:shd w:val="clear" w:color="auto" w:fill="auto"/>
            <w:vAlign w:val="bottom"/>
            <w:hideMark/>
          </w:tcPr>
          <w:p w:rsidR="001E2A47" w:rsidRPr="001E2A47" w:rsidRDefault="00967498" w:rsidP="00967498">
            <w:pPr>
              <w:spacing w:after="0" w:line="240" w:lineRule="auto"/>
              <w:rPr>
                <w:rFonts w:eastAsia="Times New Roman"/>
                <w:color w:val="000000"/>
                <w:lang w:val="en-US"/>
              </w:rPr>
            </w:pPr>
            <w:r>
              <w:rPr>
                <w:rFonts w:eastAsia="Times New Roman"/>
                <w:color w:val="000000"/>
                <w:lang w:val="en-US"/>
              </w:rPr>
              <w:t>Aktivnost</w:t>
            </w:r>
            <w:r w:rsidR="001E2A47" w:rsidRPr="001E2A47">
              <w:rPr>
                <w:rFonts w:eastAsia="Times New Roman"/>
                <w:color w:val="000000"/>
                <w:lang w:val="en-US"/>
              </w:rPr>
              <w:t xml:space="preserve"> 1.2</w:t>
            </w:r>
            <w:r w:rsidR="001E2A47" w:rsidRPr="001E2A47">
              <w:rPr>
                <w:rFonts w:eastAsia="Times New Roman"/>
                <w:color w:val="000000"/>
                <w:lang w:val="en-US"/>
              </w:rPr>
              <w:br/>
              <w:t>(</w:t>
            </w:r>
            <w:r>
              <w:rPr>
                <w:rFonts w:eastAsia="Times New Roman"/>
                <w:color w:val="000000"/>
                <w:lang w:val="en-US"/>
              </w:rPr>
              <w:t>Ugovor o uslugama</w:t>
            </w:r>
            <w:r w:rsidR="001E2A47" w:rsidRPr="001E2A47">
              <w:rPr>
                <w:rFonts w:eastAsia="Times New Roman"/>
                <w:color w:val="000000"/>
                <w:lang w:val="en-US"/>
              </w:rPr>
              <w:t>)</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352,941.18</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352,941.18</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300,000.00</w:t>
            </w:r>
          </w:p>
        </w:tc>
        <w:tc>
          <w:tcPr>
            <w:tcW w:w="1392"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52,941.18</w:t>
            </w:r>
          </w:p>
        </w:tc>
        <w:tc>
          <w:tcPr>
            <w:tcW w:w="1383" w:type="dxa"/>
            <w:tcBorders>
              <w:top w:val="nil"/>
              <w:left w:val="nil"/>
              <w:bottom w:val="single" w:sz="4" w:space="0" w:color="auto"/>
              <w:right w:val="single" w:sz="4" w:space="0" w:color="auto"/>
            </w:tcBorders>
            <w:shd w:val="clear" w:color="auto" w:fill="auto"/>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 </w:t>
            </w:r>
          </w:p>
        </w:tc>
        <w:tc>
          <w:tcPr>
            <w:tcW w:w="1612" w:type="dxa"/>
            <w:tcBorders>
              <w:top w:val="nil"/>
              <w:left w:val="nil"/>
              <w:bottom w:val="single" w:sz="4" w:space="0" w:color="auto"/>
              <w:right w:val="single" w:sz="8" w:space="0" w:color="auto"/>
            </w:tcBorders>
            <w:shd w:val="clear" w:color="auto" w:fill="auto"/>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85%</w:t>
            </w:r>
          </w:p>
        </w:tc>
      </w:tr>
      <w:tr w:rsidR="00967498" w:rsidRPr="001E2A47" w:rsidTr="00704222">
        <w:trPr>
          <w:trHeight w:val="315"/>
        </w:trPr>
        <w:tc>
          <w:tcPr>
            <w:tcW w:w="1427" w:type="dxa"/>
            <w:tcBorders>
              <w:top w:val="nil"/>
              <w:left w:val="single" w:sz="8" w:space="0" w:color="auto"/>
              <w:bottom w:val="single" w:sz="8" w:space="0" w:color="auto"/>
              <w:right w:val="single" w:sz="8" w:space="0" w:color="auto"/>
            </w:tcBorders>
            <w:shd w:val="clear" w:color="000000" w:fill="FFFF99"/>
            <w:vAlign w:val="bottom"/>
            <w:hideMark/>
          </w:tcPr>
          <w:p w:rsidR="001E2A47" w:rsidRPr="001E2A47" w:rsidRDefault="00967498" w:rsidP="001E2A47">
            <w:pPr>
              <w:spacing w:after="0" w:line="240" w:lineRule="auto"/>
              <w:rPr>
                <w:rFonts w:eastAsia="Times New Roman"/>
                <w:b/>
                <w:bCs/>
                <w:color w:val="000000"/>
                <w:lang w:val="en-US"/>
              </w:rPr>
            </w:pPr>
            <w:r>
              <w:rPr>
                <w:b/>
                <w:bCs/>
                <w:color w:val="000000"/>
              </w:rPr>
              <w:t xml:space="preserve">Ukupno za Akciju </w:t>
            </w:r>
            <w:r w:rsidR="001E2A47" w:rsidRPr="001E2A47">
              <w:rPr>
                <w:rFonts w:eastAsia="Times New Roman"/>
                <w:b/>
                <w:bCs/>
                <w:color w:val="000000"/>
                <w:lang w:val="en-US"/>
              </w:rPr>
              <w:t>1</w:t>
            </w:r>
          </w:p>
        </w:tc>
        <w:tc>
          <w:tcPr>
            <w:tcW w:w="1504" w:type="dxa"/>
            <w:tcBorders>
              <w:top w:val="nil"/>
              <w:left w:val="nil"/>
              <w:bottom w:val="single" w:sz="8" w:space="0" w:color="auto"/>
              <w:right w:val="single" w:sz="4" w:space="0" w:color="auto"/>
            </w:tcBorders>
            <w:shd w:val="clear" w:color="000000" w:fill="FFFF99"/>
            <w:vAlign w:val="center"/>
            <w:hideMark/>
          </w:tcPr>
          <w:p w:rsidR="001E2A47" w:rsidRPr="001E2A47" w:rsidRDefault="00704222" w:rsidP="001E2A47">
            <w:pPr>
              <w:spacing w:after="0" w:line="240" w:lineRule="auto"/>
              <w:jc w:val="center"/>
              <w:rPr>
                <w:rFonts w:eastAsia="Times New Roman"/>
                <w:b/>
                <w:bCs/>
                <w:color w:val="000000"/>
                <w:lang w:val="en-US"/>
              </w:rPr>
            </w:pPr>
            <w:r w:rsidRPr="0073741A">
              <w:rPr>
                <w:rFonts w:eastAsia="Times New Roman" w:cs="Calibri"/>
                <w:b/>
                <w:bCs/>
                <w:color w:val="000000"/>
                <w:lang w:val="en-US"/>
              </w:rPr>
              <w:t>8,705,882.36</w:t>
            </w:r>
          </w:p>
        </w:tc>
        <w:tc>
          <w:tcPr>
            <w:tcW w:w="1504" w:type="dxa"/>
            <w:tcBorders>
              <w:top w:val="nil"/>
              <w:left w:val="nil"/>
              <w:bottom w:val="single" w:sz="8" w:space="0" w:color="auto"/>
              <w:right w:val="single" w:sz="4" w:space="0" w:color="auto"/>
            </w:tcBorders>
            <w:shd w:val="clear" w:color="000000" w:fill="FFFF99"/>
            <w:vAlign w:val="center"/>
            <w:hideMark/>
          </w:tcPr>
          <w:p w:rsidR="001E2A47" w:rsidRPr="001E2A47" w:rsidRDefault="00704222" w:rsidP="001E2A47">
            <w:pPr>
              <w:spacing w:after="0" w:line="240" w:lineRule="auto"/>
              <w:jc w:val="center"/>
              <w:rPr>
                <w:rFonts w:eastAsia="Times New Roman"/>
                <w:b/>
                <w:bCs/>
                <w:color w:val="000000"/>
                <w:lang w:val="en-US"/>
              </w:rPr>
            </w:pPr>
            <w:r w:rsidRPr="0073741A">
              <w:rPr>
                <w:rFonts w:eastAsia="Times New Roman" w:cs="Calibri"/>
                <w:b/>
                <w:bCs/>
                <w:color w:val="000000"/>
                <w:lang w:val="en-US"/>
              </w:rPr>
              <w:t>8,705,882.36</w:t>
            </w:r>
          </w:p>
        </w:tc>
        <w:tc>
          <w:tcPr>
            <w:tcW w:w="1504" w:type="dxa"/>
            <w:tcBorders>
              <w:top w:val="nil"/>
              <w:left w:val="nil"/>
              <w:bottom w:val="single" w:sz="8" w:space="0" w:color="auto"/>
              <w:right w:val="single" w:sz="4" w:space="0" w:color="auto"/>
            </w:tcBorders>
            <w:shd w:val="clear" w:color="000000" w:fill="FFFF99"/>
            <w:vAlign w:val="center"/>
            <w:hideMark/>
          </w:tcPr>
          <w:p w:rsidR="001E2A47" w:rsidRPr="001E2A47" w:rsidRDefault="00704222" w:rsidP="001E2A47">
            <w:pPr>
              <w:spacing w:after="0" w:line="240" w:lineRule="auto"/>
              <w:jc w:val="center"/>
              <w:rPr>
                <w:rFonts w:eastAsia="Times New Roman"/>
                <w:b/>
                <w:bCs/>
                <w:color w:val="000000"/>
                <w:lang w:val="en-US"/>
              </w:rPr>
            </w:pPr>
            <w:r w:rsidRPr="0073741A">
              <w:rPr>
                <w:rFonts w:eastAsia="Times New Roman" w:cs="Calibri"/>
                <w:b/>
                <w:bCs/>
                <w:color w:val="000000"/>
                <w:lang w:val="en-US"/>
              </w:rPr>
              <w:t>7,400,000.00</w:t>
            </w:r>
          </w:p>
        </w:tc>
        <w:tc>
          <w:tcPr>
            <w:tcW w:w="1392" w:type="dxa"/>
            <w:tcBorders>
              <w:top w:val="nil"/>
              <w:left w:val="nil"/>
              <w:bottom w:val="single" w:sz="8" w:space="0" w:color="auto"/>
              <w:right w:val="single" w:sz="4" w:space="0" w:color="auto"/>
            </w:tcBorders>
            <w:shd w:val="clear" w:color="000000" w:fill="FFFF99"/>
            <w:vAlign w:val="center"/>
            <w:hideMark/>
          </w:tcPr>
          <w:p w:rsidR="001E2A47" w:rsidRPr="001E2A47" w:rsidRDefault="00704222" w:rsidP="001E2A47">
            <w:pPr>
              <w:spacing w:after="0" w:line="240" w:lineRule="auto"/>
              <w:jc w:val="center"/>
              <w:rPr>
                <w:rFonts w:eastAsia="Times New Roman"/>
                <w:b/>
                <w:bCs/>
                <w:color w:val="000000"/>
                <w:lang w:val="en-US"/>
              </w:rPr>
            </w:pPr>
            <w:r w:rsidRPr="0073741A">
              <w:rPr>
                <w:rFonts w:eastAsia="Times New Roman" w:cs="Calibri"/>
                <w:b/>
                <w:bCs/>
                <w:color w:val="000000"/>
                <w:lang w:val="en-US"/>
              </w:rPr>
              <w:t>1,305,882.36</w:t>
            </w:r>
          </w:p>
        </w:tc>
        <w:tc>
          <w:tcPr>
            <w:tcW w:w="1383" w:type="dxa"/>
            <w:tcBorders>
              <w:top w:val="nil"/>
              <w:left w:val="nil"/>
              <w:bottom w:val="single" w:sz="8" w:space="0" w:color="auto"/>
              <w:right w:val="single" w:sz="4" w:space="0" w:color="auto"/>
            </w:tcBorders>
            <w:shd w:val="clear" w:color="000000" w:fill="FFFF99"/>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 </w:t>
            </w:r>
          </w:p>
        </w:tc>
        <w:tc>
          <w:tcPr>
            <w:tcW w:w="1612" w:type="dxa"/>
            <w:tcBorders>
              <w:top w:val="nil"/>
              <w:left w:val="nil"/>
              <w:bottom w:val="single" w:sz="8" w:space="0" w:color="auto"/>
              <w:right w:val="single" w:sz="8" w:space="0" w:color="auto"/>
            </w:tcBorders>
            <w:shd w:val="clear" w:color="000000" w:fill="FFFF99"/>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 </w:t>
            </w:r>
          </w:p>
        </w:tc>
      </w:tr>
      <w:tr w:rsidR="00967498" w:rsidRPr="001E2A47" w:rsidTr="00704222">
        <w:trPr>
          <w:trHeight w:val="600"/>
        </w:trPr>
        <w:tc>
          <w:tcPr>
            <w:tcW w:w="1427" w:type="dxa"/>
            <w:tcBorders>
              <w:top w:val="nil"/>
              <w:left w:val="single" w:sz="8" w:space="0" w:color="auto"/>
              <w:bottom w:val="single" w:sz="4" w:space="0" w:color="auto"/>
              <w:right w:val="single" w:sz="8" w:space="0" w:color="auto"/>
            </w:tcBorders>
            <w:shd w:val="clear" w:color="auto" w:fill="auto"/>
            <w:vAlign w:val="bottom"/>
            <w:hideMark/>
          </w:tcPr>
          <w:p w:rsidR="001E2A47" w:rsidRPr="001E2A47" w:rsidRDefault="00967498" w:rsidP="001E2A47">
            <w:pPr>
              <w:spacing w:after="0" w:line="240" w:lineRule="auto"/>
              <w:rPr>
                <w:rFonts w:eastAsia="Times New Roman"/>
                <w:color w:val="000000"/>
                <w:lang w:val="en-US"/>
              </w:rPr>
            </w:pPr>
            <w:r>
              <w:rPr>
                <w:rFonts w:eastAsia="Times New Roman"/>
                <w:color w:val="000000"/>
                <w:lang w:val="en-US"/>
              </w:rPr>
              <w:t>Aktivnost</w:t>
            </w:r>
            <w:r w:rsidR="001E2A47" w:rsidRPr="001E2A47">
              <w:rPr>
                <w:rFonts w:eastAsia="Times New Roman"/>
                <w:color w:val="000000"/>
                <w:lang w:val="en-US"/>
              </w:rPr>
              <w:t xml:space="preserve"> 2.1</w:t>
            </w:r>
            <w:r w:rsidR="001E2A47" w:rsidRPr="001E2A47">
              <w:rPr>
                <w:rFonts w:eastAsia="Times New Roman"/>
                <w:color w:val="000000"/>
                <w:lang w:val="en-US"/>
              </w:rPr>
              <w:br/>
              <w:t>(</w:t>
            </w:r>
            <w:r>
              <w:rPr>
                <w:rFonts w:eastAsia="Times New Roman"/>
                <w:color w:val="000000"/>
                <w:lang w:val="en-US"/>
              </w:rPr>
              <w:t>Ugovor o uslugama</w:t>
            </w:r>
            <w:r w:rsidR="001E2A47" w:rsidRPr="001E2A47">
              <w:rPr>
                <w:rFonts w:eastAsia="Times New Roman"/>
                <w:color w:val="000000"/>
                <w:lang w:val="en-US"/>
              </w:rPr>
              <w:t>)</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1,058,823.53</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1,058,823.53</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1E2A47">
              <w:rPr>
                <w:rFonts w:eastAsia="Times New Roman"/>
                <w:color w:val="000000"/>
                <w:lang w:val="en-US"/>
              </w:rPr>
              <w:t>900,000.00</w:t>
            </w:r>
          </w:p>
        </w:tc>
        <w:tc>
          <w:tcPr>
            <w:tcW w:w="1392"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158,823.53</w:t>
            </w:r>
          </w:p>
        </w:tc>
        <w:tc>
          <w:tcPr>
            <w:tcW w:w="1383" w:type="dxa"/>
            <w:tcBorders>
              <w:top w:val="nil"/>
              <w:left w:val="nil"/>
              <w:bottom w:val="single" w:sz="4" w:space="0" w:color="auto"/>
              <w:right w:val="single" w:sz="4" w:space="0" w:color="auto"/>
            </w:tcBorders>
            <w:shd w:val="clear" w:color="auto" w:fill="auto"/>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 </w:t>
            </w:r>
          </w:p>
        </w:tc>
        <w:tc>
          <w:tcPr>
            <w:tcW w:w="1612" w:type="dxa"/>
            <w:tcBorders>
              <w:top w:val="nil"/>
              <w:left w:val="nil"/>
              <w:bottom w:val="single" w:sz="4" w:space="0" w:color="auto"/>
              <w:right w:val="single" w:sz="8" w:space="0" w:color="auto"/>
            </w:tcBorders>
            <w:shd w:val="clear" w:color="auto" w:fill="auto"/>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85%</w:t>
            </w:r>
          </w:p>
        </w:tc>
      </w:tr>
      <w:tr w:rsidR="00967498" w:rsidRPr="001E2A47" w:rsidTr="00704222">
        <w:trPr>
          <w:trHeight w:val="600"/>
        </w:trPr>
        <w:tc>
          <w:tcPr>
            <w:tcW w:w="1427" w:type="dxa"/>
            <w:tcBorders>
              <w:top w:val="nil"/>
              <w:left w:val="single" w:sz="8" w:space="0" w:color="auto"/>
              <w:bottom w:val="single" w:sz="4" w:space="0" w:color="auto"/>
              <w:right w:val="single" w:sz="8" w:space="0" w:color="auto"/>
            </w:tcBorders>
            <w:shd w:val="clear" w:color="auto" w:fill="auto"/>
            <w:vAlign w:val="bottom"/>
            <w:hideMark/>
          </w:tcPr>
          <w:p w:rsidR="001E2A47" w:rsidRPr="001E2A47" w:rsidRDefault="00967498" w:rsidP="00967498">
            <w:pPr>
              <w:spacing w:after="0" w:line="240" w:lineRule="auto"/>
              <w:rPr>
                <w:rFonts w:eastAsia="Times New Roman"/>
                <w:color w:val="000000"/>
                <w:lang w:val="en-US"/>
              </w:rPr>
            </w:pPr>
            <w:r>
              <w:rPr>
                <w:rFonts w:eastAsia="Times New Roman"/>
                <w:color w:val="000000"/>
                <w:lang w:val="en-US"/>
              </w:rPr>
              <w:t>Aktivnost</w:t>
            </w:r>
            <w:r w:rsidR="001E2A47" w:rsidRPr="001E2A47">
              <w:rPr>
                <w:rFonts w:eastAsia="Times New Roman"/>
                <w:color w:val="000000"/>
                <w:lang w:val="en-US"/>
              </w:rPr>
              <w:t xml:space="preserve"> 2.2.</w:t>
            </w:r>
            <w:r w:rsidR="001E2A47" w:rsidRPr="001E2A47">
              <w:rPr>
                <w:rFonts w:eastAsia="Times New Roman"/>
                <w:color w:val="000000"/>
                <w:lang w:val="en-US"/>
              </w:rPr>
              <w:br/>
              <w:t xml:space="preserve">(Grant </w:t>
            </w:r>
            <w:r>
              <w:rPr>
                <w:rFonts w:eastAsia="Times New Roman"/>
                <w:color w:val="000000"/>
                <w:lang w:val="en-US"/>
              </w:rPr>
              <w:t>šema</w:t>
            </w:r>
            <w:r w:rsidR="001E2A47" w:rsidRPr="001E2A47">
              <w:rPr>
                <w:rFonts w:eastAsia="Times New Roman"/>
                <w:color w:val="000000"/>
                <w:lang w:val="en-US"/>
              </w:rPr>
              <w:t>)</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764,705.88</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764,705.88</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1E2A47">
              <w:rPr>
                <w:rFonts w:eastAsia="Times New Roman"/>
                <w:color w:val="000000"/>
                <w:lang w:val="en-US"/>
              </w:rPr>
              <w:t>650,000.00</w:t>
            </w:r>
          </w:p>
        </w:tc>
        <w:tc>
          <w:tcPr>
            <w:tcW w:w="1392"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114,705.88</w:t>
            </w:r>
          </w:p>
        </w:tc>
        <w:tc>
          <w:tcPr>
            <w:tcW w:w="1383" w:type="dxa"/>
            <w:tcBorders>
              <w:top w:val="nil"/>
              <w:left w:val="nil"/>
              <w:bottom w:val="single" w:sz="4" w:space="0" w:color="auto"/>
              <w:right w:val="single" w:sz="4" w:space="0" w:color="auto"/>
            </w:tcBorders>
            <w:shd w:val="clear" w:color="auto" w:fill="auto"/>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 </w:t>
            </w:r>
          </w:p>
        </w:tc>
        <w:tc>
          <w:tcPr>
            <w:tcW w:w="1612" w:type="dxa"/>
            <w:tcBorders>
              <w:top w:val="nil"/>
              <w:left w:val="nil"/>
              <w:bottom w:val="single" w:sz="4" w:space="0" w:color="auto"/>
              <w:right w:val="single" w:sz="8" w:space="0" w:color="auto"/>
            </w:tcBorders>
            <w:shd w:val="clear" w:color="auto" w:fill="auto"/>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85%</w:t>
            </w:r>
          </w:p>
        </w:tc>
      </w:tr>
      <w:tr w:rsidR="00967498" w:rsidRPr="001E2A47" w:rsidTr="00704222">
        <w:trPr>
          <w:trHeight w:val="945"/>
        </w:trPr>
        <w:tc>
          <w:tcPr>
            <w:tcW w:w="1427" w:type="dxa"/>
            <w:tcBorders>
              <w:top w:val="nil"/>
              <w:left w:val="single" w:sz="8" w:space="0" w:color="auto"/>
              <w:bottom w:val="single" w:sz="4" w:space="0" w:color="auto"/>
              <w:right w:val="single" w:sz="8" w:space="0" w:color="auto"/>
            </w:tcBorders>
            <w:shd w:val="clear" w:color="auto" w:fill="auto"/>
            <w:vAlign w:val="bottom"/>
            <w:hideMark/>
          </w:tcPr>
          <w:p w:rsidR="001E2A47" w:rsidRPr="001E2A47" w:rsidRDefault="00967498" w:rsidP="00967498">
            <w:pPr>
              <w:spacing w:after="0" w:line="240" w:lineRule="auto"/>
              <w:rPr>
                <w:rFonts w:eastAsia="Times New Roman"/>
                <w:color w:val="000000"/>
                <w:lang w:val="en-US"/>
              </w:rPr>
            </w:pPr>
            <w:r>
              <w:rPr>
                <w:rFonts w:eastAsia="Times New Roman"/>
                <w:color w:val="000000"/>
                <w:lang w:val="en-US"/>
              </w:rPr>
              <w:t>Aktivnost</w:t>
            </w:r>
            <w:r w:rsidRPr="001E2A47">
              <w:rPr>
                <w:rFonts w:eastAsia="Times New Roman"/>
                <w:color w:val="000000"/>
                <w:lang w:val="en-US"/>
              </w:rPr>
              <w:t xml:space="preserve"> </w:t>
            </w:r>
            <w:r w:rsidR="001E2A47" w:rsidRPr="001E2A47">
              <w:rPr>
                <w:rFonts w:eastAsia="Times New Roman"/>
                <w:color w:val="000000"/>
                <w:lang w:val="en-US"/>
              </w:rPr>
              <w:t>2.3 (</w:t>
            </w:r>
            <w:r>
              <w:rPr>
                <w:rFonts w:eastAsia="Times New Roman"/>
                <w:color w:val="000000"/>
                <w:lang w:val="en-US"/>
              </w:rPr>
              <w:t>Ugovor o uslugama</w:t>
            </w:r>
            <w:r w:rsidRPr="001E2A47">
              <w:rPr>
                <w:rFonts w:eastAsia="Times New Roman"/>
                <w:color w:val="000000"/>
                <w:lang w:val="en-US"/>
              </w:rPr>
              <w:t xml:space="preserve"> </w:t>
            </w:r>
            <w:r w:rsidR="001E2A47" w:rsidRPr="001E2A47">
              <w:rPr>
                <w:rFonts w:eastAsia="Times New Roman"/>
                <w:color w:val="000000"/>
                <w:lang w:val="en-US"/>
              </w:rPr>
              <w:t>/</w:t>
            </w:r>
            <w:r>
              <w:rPr>
                <w:rFonts w:eastAsia="Times New Roman"/>
                <w:color w:val="000000"/>
                <w:lang w:val="en-US"/>
              </w:rPr>
              <w:t>Ugovor o nabavnkama</w:t>
            </w:r>
            <w:r w:rsidR="001E2A47" w:rsidRPr="001E2A47">
              <w:rPr>
                <w:rFonts w:eastAsia="Times New Roman"/>
                <w:color w:val="000000"/>
                <w:lang w:val="en-US"/>
              </w:rPr>
              <w:t>)</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823,529.41</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823,529.41</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700,000.00</w:t>
            </w:r>
          </w:p>
        </w:tc>
        <w:tc>
          <w:tcPr>
            <w:tcW w:w="1392"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123,529.41</w:t>
            </w:r>
          </w:p>
        </w:tc>
        <w:tc>
          <w:tcPr>
            <w:tcW w:w="1383" w:type="dxa"/>
            <w:tcBorders>
              <w:top w:val="nil"/>
              <w:left w:val="nil"/>
              <w:bottom w:val="single" w:sz="4" w:space="0" w:color="auto"/>
              <w:right w:val="single" w:sz="4" w:space="0" w:color="auto"/>
            </w:tcBorders>
            <w:shd w:val="clear" w:color="auto" w:fill="auto"/>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 </w:t>
            </w:r>
          </w:p>
        </w:tc>
        <w:tc>
          <w:tcPr>
            <w:tcW w:w="1612" w:type="dxa"/>
            <w:tcBorders>
              <w:top w:val="nil"/>
              <w:left w:val="nil"/>
              <w:bottom w:val="single" w:sz="4" w:space="0" w:color="auto"/>
              <w:right w:val="single" w:sz="8" w:space="0" w:color="auto"/>
            </w:tcBorders>
            <w:shd w:val="clear" w:color="auto" w:fill="auto"/>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85%</w:t>
            </w:r>
          </w:p>
        </w:tc>
      </w:tr>
      <w:tr w:rsidR="00967498" w:rsidRPr="001E2A47" w:rsidTr="00704222">
        <w:trPr>
          <w:trHeight w:val="1200"/>
        </w:trPr>
        <w:tc>
          <w:tcPr>
            <w:tcW w:w="1427" w:type="dxa"/>
            <w:tcBorders>
              <w:top w:val="nil"/>
              <w:left w:val="single" w:sz="8" w:space="0" w:color="auto"/>
              <w:bottom w:val="single" w:sz="4" w:space="0" w:color="auto"/>
              <w:right w:val="single" w:sz="8" w:space="0" w:color="auto"/>
            </w:tcBorders>
            <w:shd w:val="clear" w:color="auto" w:fill="auto"/>
            <w:vAlign w:val="bottom"/>
            <w:hideMark/>
          </w:tcPr>
          <w:p w:rsidR="001E2A47" w:rsidRPr="001E2A47" w:rsidRDefault="00967498" w:rsidP="00967498">
            <w:pPr>
              <w:spacing w:after="0" w:line="240" w:lineRule="auto"/>
              <w:rPr>
                <w:rFonts w:eastAsia="Times New Roman"/>
                <w:color w:val="000000"/>
                <w:lang w:val="en-US"/>
              </w:rPr>
            </w:pPr>
            <w:r>
              <w:rPr>
                <w:rFonts w:eastAsia="Times New Roman"/>
                <w:color w:val="000000"/>
                <w:lang w:val="en-US"/>
              </w:rPr>
              <w:t>Aktivnost</w:t>
            </w:r>
            <w:r w:rsidR="001E2A47" w:rsidRPr="001E2A47">
              <w:rPr>
                <w:rFonts w:eastAsia="Times New Roman"/>
                <w:color w:val="000000"/>
                <w:lang w:val="en-US"/>
              </w:rPr>
              <w:t xml:space="preserve"> 2.4</w:t>
            </w:r>
            <w:r w:rsidR="001E2A47" w:rsidRPr="001E2A47">
              <w:rPr>
                <w:rFonts w:eastAsia="Times New Roman"/>
                <w:color w:val="000000"/>
                <w:lang w:val="en-US"/>
              </w:rPr>
              <w:br/>
              <w:t>(</w:t>
            </w:r>
            <w:r>
              <w:rPr>
                <w:rFonts w:eastAsia="Times New Roman"/>
                <w:color w:val="000000"/>
                <w:lang w:val="en-US"/>
              </w:rPr>
              <w:t>Ugovor o uslugama</w:t>
            </w:r>
            <w:r w:rsidRPr="001E2A47">
              <w:rPr>
                <w:rFonts w:eastAsia="Times New Roman"/>
                <w:color w:val="000000"/>
                <w:lang w:val="en-US"/>
              </w:rPr>
              <w:t xml:space="preserve"> </w:t>
            </w:r>
            <w:r w:rsidR="001E2A47" w:rsidRPr="001E2A47">
              <w:rPr>
                <w:rFonts w:eastAsia="Times New Roman"/>
                <w:color w:val="000000"/>
                <w:lang w:val="en-US"/>
              </w:rPr>
              <w:t>/</w:t>
            </w:r>
            <w:r>
              <w:rPr>
                <w:rFonts w:eastAsia="Times New Roman"/>
                <w:color w:val="000000"/>
                <w:lang w:val="en-US"/>
              </w:rPr>
              <w:t>Ugovor o radovima</w:t>
            </w:r>
            <w:r w:rsidR="001E2A47" w:rsidRPr="001E2A47">
              <w:rPr>
                <w:rFonts w:eastAsia="Times New Roman"/>
                <w:color w:val="000000"/>
                <w:lang w:val="en-US"/>
              </w:rPr>
              <w:t>)</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588,235.29</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588,235.29</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500,000.00</w:t>
            </w:r>
          </w:p>
        </w:tc>
        <w:tc>
          <w:tcPr>
            <w:tcW w:w="1392"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88,235.29</w:t>
            </w:r>
          </w:p>
        </w:tc>
        <w:tc>
          <w:tcPr>
            <w:tcW w:w="1383" w:type="dxa"/>
            <w:tcBorders>
              <w:top w:val="nil"/>
              <w:left w:val="nil"/>
              <w:bottom w:val="single" w:sz="4" w:space="0" w:color="auto"/>
              <w:right w:val="single" w:sz="4" w:space="0" w:color="auto"/>
            </w:tcBorders>
            <w:shd w:val="clear" w:color="auto" w:fill="auto"/>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 </w:t>
            </w:r>
          </w:p>
        </w:tc>
        <w:tc>
          <w:tcPr>
            <w:tcW w:w="1612" w:type="dxa"/>
            <w:tcBorders>
              <w:top w:val="nil"/>
              <w:left w:val="nil"/>
              <w:bottom w:val="single" w:sz="4" w:space="0" w:color="auto"/>
              <w:right w:val="single" w:sz="8" w:space="0" w:color="auto"/>
            </w:tcBorders>
            <w:shd w:val="clear" w:color="auto" w:fill="auto"/>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85%</w:t>
            </w:r>
          </w:p>
        </w:tc>
      </w:tr>
      <w:tr w:rsidR="00967498" w:rsidRPr="001E2A47" w:rsidTr="00704222">
        <w:trPr>
          <w:trHeight w:val="600"/>
        </w:trPr>
        <w:tc>
          <w:tcPr>
            <w:tcW w:w="1427" w:type="dxa"/>
            <w:tcBorders>
              <w:top w:val="nil"/>
              <w:left w:val="single" w:sz="8" w:space="0" w:color="auto"/>
              <w:bottom w:val="single" w:sz="4" w:space="0" w:color="auto"/>
              <w:right w:val="single" w:sz="8" w:space="0" w:color="auto"/>
            </w:tcBorders>
            <w:shd w:val="clear" w:color="auto" w:fill="auto"/>
            <w:vAlign w:val="bottom"/>
            <w:hideMark/>
          </w:tcPr>
          <w:p w:rsidR="001E2A47" w:rsidRPr="001E2A47" w:rsidRDefault="00967498" w:rsidP="00967498">
            <w:pPr>
              <w:spacing w:after="0" w:line="240" w:lineRule="auto"/>
              <w:rPr>
                <w:rFonts w:eastAsia="Times New Roman"/>
                <w:color w:val="000000"/>
                <w:lang w:val="en-US"/>
              </w:rPr>
            </w:pPr>
            <w:r>
              <w:rPr>
                <w:rFonts w:eastAsia="Times New Roman"/>
                <w:color w:val="000000"/>
                <w:lang w:val="en-US"/>
              </w:rPr>
              <w:t>Aktivnost</w:t>
            </w:r>
            <w:r w:rsidR="001E2A47" w:rsidRPr="001E2A47">
              <w:rPr>
                <w:rFonts w:eastAsia="Times New Roman"/>
                <w:color w:val="000000"/>
                <w:lang w:val="en-US"/>
              </w:rPr>
              <w:t xml:space="preserve"> 2.5</w:t>
            </w:r>
            <w:r w:rsidR="001E2A47" w:rsidRPr="001E2A47">
              <w:rPr>
                <w:rFonts w:eastAsia="Times New Roman"/>
                <w:color w:val="000000"/>
                <w:lang w:val="en-US"/>
              </w:rPr>
              <w:br/>
              <w:t xml:space="preserve">(Grant </w:t>
            </w:r>
            <w:r>
              <w:rPr>
                <w:rFonts w:eastAsia="Times New Roman"/>
                <w:color w:val="000000"/>
                <w:lang w:val="en-US"/>
              </w:rPr>
              <w:t>šema</w:t>
            </w:r>
            <w:r w:rsidR="001E2A47" w:rsidRPr="001E2A47">
              <w:rPr>
                <w:rFonts w:eastAsia="Times New Roman"/>
                <w:color w:val="000000"/>
                <w:lang w:val="en-US"/>
              </w:rPr>
              <w:t>)</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1,117,647.06</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1,117,647.06</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950,000.00</w:t>
            </w:r>
          </w:p>
        </w:tc>
        <w:tc>
          <w:tcPr>
            <w:tcW w:w="1392"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167,647.06</w:t>
            </w:r>
          </w:p>
        </w:tc>
        <w:tc>
          <w:tcPr>
            <w:tcW w:w="1383" w:type="dxa"/>
            <w:tcBorders>
              <w:top w:val="nil"/>
              <w:left w:val="nil"/>
              <w:bottom w:val="single" w:sz="4" w:space="0" w:color="auto"/>
              <w:right w:val="single" w:sz="4" w:space="0" w:color="auto"/>
            </w:tcBorders>
            <w:shd w:val="clear" w:color="auto" w:fill="auto"/>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 </w:t>
            </w:r>
          </w:p>
        </w:tc>
        <w:tc>
          <w:tcPr>
            <w:tcW w:w="1612" w:type="dxa"/>
            <w:tcBorders>
              <w:top w:val="nil"/>
              <w:left w:val="nil"/>
              <w:bottom w:val="single" w:sz="4" w:space="0" w:color="auto"/>
              <w:right w:val="single" w:sz="8" w:space="0" w:color="auto"/>
            </w:tcBorders>
            <w:shd w:val="clear" w:color="auto" w:fill="auto"/>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85%</w:t>
            </w:r>
          </w:p>
        </w:tc>
      </w:tr>
      <w:tr w:rsidR="00967498" w:rsidRPr="001E2A47" w:rsidTr="00704222">
        <w:trPr>
          <w:trHeight w:val="315"/>
        </w:trPr>
        <w:tc>
          <w:tcPr>
            <w:tcW w:w="1427" w:type="dxa"/>
            <w:tcBorders>
              <w:top w:val="nil"/>
              <w:left w:val="single" w:sz="8" w:space="0" w:color="auto"/>
              <w:bottom w:val="single" w:sz="8" w:space="0" w:color="auto"/>
              <w:right w:val="single" w:sz="8" w:space="0" w:color="auto"/>
            </w:tcBorders>
            <w:shd w:val="clear" w:color="000000" w:fill="FFFF99"/>
            <w:vAlign w:val="bottom"/>
            <w:hideMark/>
          </w:tcPr>
          <w:p w:rsidR="001E2A47" w:rsidRPr="001E2A47" w:rsidRDefault="00967498" w:rsidP="001E2A47">
            <w:pPr>
              <w:spacing w:after="0" w:line="240" w:lineRule="auto"/>
              <w:rPr>
                <w:rFonts w:eastAsia="Times New Roman"/>
                <w:b/>
                <w:bCs/>
                <w:color w:val="000000"/>
                <w:lang w:val="en-US"/>
              </w:rPr>
            </w:pPr>
            <w:r>
              <w:rPr>
                <w:b/>
                <w:bCs/>
                <w:color w:val="000000"/>
              </w:rPr>
              <w:t xml:space="preserve">Ukupno za Akciju </w:t>
            </w:r>
            <w:r w:rsidR="001E2A47" w:rsidRPr="001E2A47">
              <w:rPr>
                <w:rFonts w:eastAsia="Times New Roman"/>
                <w:b/>
                <w:bCs/>
                <w:color w:val="000000"/>
                <w:lang w:val="en-US"/>
              </w:rPr>
              <w:t>2</w:t>
            </w:r>
          </w:p>
        </w:tc>
        <w:tc>
          <w:tcPr>
            <w:tcW w:w="1504" w:type="dxa"/>
            <w:tcBorders>
              <w:top w:val="nil"/>
              <w:left w:val="nil"/>
              <w:bottom w:val="single" w:sz="8" w:space="0" w:color="auto"/>
              <w:right w:val="single" w:sz="4" w:space="0" w:color="auto"/>
            </w:tcBorders>
            <w:shd w:val="clear" w:color="000000" w:fill="FFFF99"/>
            <w:vAlign w:val="center"/>
            <w:hideMark/>
          </w:tcPr>
          <w:p w:rsidR="001E2A47" w:rsidRPr="001E2A47" w:rsidRDefault="00704222" w:rsidP="001E2A47">
            <w:pPr>
              <w:spacing w:after="0" w:line="240" w:lineRule="auto"/>
              <w:jc w:val="center"/>
              <w:rPr>
                <w:rFonts w:eastAsia="Times New Roman"/>
                <w:b/>
                <w:bCs/>
                <w:color w:val="000000"/>
                <w:lang w:val="en-US"/>
              </w:rPr>
            </w:pPr>
            <w:r w:rsidRPr="0073741A">
              <w:rPr>
                <w:rFonts w:eastAsia="Times New Roman" w:cs="Calibri"/>
                <w:b/>
                <w:bCs/>
                <w:color w:val="000000"/>
                <w:lang w:val="en-US"/>
              </w:rPr>
              <w:t>4,352,941.17</w:t>
            </w:r>
          </w:p>
        </w:tc>
        <w:tc>
          <w:tcPr>
            <w:tcW w:w="1504" w:type="dxa"/>
            <w:tcBorders>
              <w:top w:val="nil"/>
              <w:left w:val="nil"/>
              <w:bottom w:val="single" w:sz="8" w:space="0" w:color="auto"/>
              <w:right w:val="single" w:sz="4" w:space="0" w:color="auto"/>
            </w:tcBorders>
            <w:shd w:val="clear" w:color="000000" w:fill="FFFF99"/>
            <w:vAlign w:val="center"/>
            <w:hideMark/>
          </w:tcPr>
          <w:p w:rsidR="001E2A47" w:rsidRPr="001E2A47" w:rsidRDefault="00704222" w:rsidP="001E2A47">
            <w:pPr>
              <w:spacing w:after="0" w:line="240" w:lineRule="auto"/>
              <w:jc w:val="center"/>
              <w:rPr>
                <w:rFonts w:eastAsia="Times New Roman"/>
                <w:b/>
                <w:bCs/>
                <w:color w:val="000000"/>
                <w:lang w:val="en-US"/>
              </w:rPr>
            </w:pPr>
            <w:r w:rsidRPr="0073741A">
              <w:rPr>
                <w:rFonts w:eastAsia="Times New Roman" w:cs="Calibri"/>
                <w:b/>
                <w:bCs/>
                <w:color w:val="000000"/>
                <w:lang w:val="en-US"/>
              </w:rPr>
              <w:t>4,352,941.17</w:t>
            </w:r>
          </w:p>
        </w:tc>
        <w:tc>
          <w:tcPr>
            <w:tcW w:w="1504" w:type="dxa"/>
            <w:tcBorders>
              <w:top w:val="nil"/>
              <w:left w:val="nil"/>
              <w:bottom w:val="single" w:sz="8" w:space="0" w:color="auto"/>
              <w:right w:val="single" w:sz="4" w:space="0" w:color="auto"/>
            </w:tcBorders>
            <w:shd w:val="clear" w:color="000000" w:fill="FFFF99"/>
            <w:vAlign w:val="center"/>
            <w:hideMark/>
          </w:tcPr>
          <w:p w:rsidR="001E2A47" w:rsidRPr="001E2A47" w:rsidRDefault="00704222" w:rsidP="001E2A47">
            <w:pPr>
              <w:spacing w:after="0" w:line="240" w:lineRule="auto"/>
              <w:jc w:val="center"/>
              <w:rPr>
                <w:rFonts w:eastAsia="Times New Roman"/>
                <w:b/>
                <w:bCs/>
                <w:color w:val="000000"/>
                <w:lang w:val="en-US"/>
              </w:rPr>
            </w:pPr>
            <w:r w:rsidRPr="0073741A">
              <w:rPr>
                <w:rFonts w:eastAsia="Times New Roman" w:cs="Calibri"/>
                <w:b/>
                <w:bCs/>
                <w:color w:val="000000"/>
                <w:lang w:val="en-US"/>
              </w:rPr>
              <w:t>3,700,000.00</w:t>
            </w:r>
          </w:p>
        </w:tc>
        <w:tc>
          <w:tcPr>
            <w:tcW w:w="1392" w:type="dxa"/>
            <w:tcBorders>
              <w:top w:val="nil"/>
              <w:left w:val="nil"/>
              <w:bottom w:val="single" w:sz="8" w:space="0" w:color="auto"/>
              <w:right w:val="single" w:sz="4" w:space="0" w:color="auto"/>
            </w:tcBorders>
            <w:shd w:val="clear" w:color="000000" w:fill="FFFF99"/>
            <w:vAlign w:val="center"/>
            <w:hideMark/>
          </w:tcPr>
          <w:p w:rsidR="001E2A47" w:rsidRPr="001E2A47" w:rsidRDefault="00704222" w:rsidP="001E2A47">
            <w:pPr>
              <w:spacing w:after="0" w:line="240" w:lineRule="auto"/>
              <w:jc w:val="center"/>
              <w:rPr>
                <w:rFonts w:eastAsia="Times New Roman"/>
                <w:b/>
                <w:bCs/>
                <w:color w:val="000000"/>
                <w:lang w:val="en-US"/>
              </w:rPr>
            </w:pPr>
            <w:r w:rsidRPr="0073741A">
              <w:rPr>
                <w:rFonts w:eastAsia="Times New Roman" w:cs="Calibri"/>
                <w:b/>
                <w:bCs/>
                <w:color w:val="000000"/>
                <w:lang w:val="en-US"/>
              </w:rPr>
              <w:t>652,941.17</w:t>
            </w:r>
          </w:p>
        </w:tc>
        <w:tc>
          <w:tcPr>
            <w:tcW w:w="1383" w:type="dxa"/>
            <w:tcBorders>
              <w:top w:val="nil"/>
              <w:left w:val="nil"/>
              <w:bottom w:val="single" w:sz="8" w:space="0" w:color="auto"/>
              <w:right w:val="single" w:sz="4" w:space="0" w:color="auto"/>
            </w:tcBorders>
            <w:shd w:val="clear" w:color="000000" w:fill="FFFF99"/>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 </w:t>
            </w:r>
          </w:p>
        </w:tc>
        <w:tc>
          <w:tcPr>
            <w:tcW w:w="1612" w:type="dxa"/>
            <w:tcBorders>
              <w:top w:val="nil"/>
              <w:left w:val="nil"/>
              <w:bottom w:val="single" w:sz="8" w:space="0" w:color="auto"/>
              <w:right w:val="single" w:sz="8" w:space="0" w:color="auto"/>
            </w:tcBorders>
            <w:shd w:val="clear" w:color="000000" w:fill="FFFF99"/>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 </w:t>
            </w:r>
          </w:p>
        </w:tc>
      </w:tr>
      <w:tr w:rsidR="00967498" w:rsidRPr="001E2A47" w:rsidTr="00704222">
        <w:trPr>
          <w:trHeight w:val="600"/>
        </w:trPr>
        <w:tc>
          <w:tcPr>
            <w:tcW w:w="1427" w:type="dxa"/>
            <w:tcBorders>
              <w:top w:val="nil"/>
              <w:left w:val="single" w:sz="8" w:space="0" w:color="auto"/>
              <w:bottom w:val="single" w:sz="4" w:space="0" w:color="auto"/>
              <w:right w:val="single" w:sz="8" w:space="0" w:color="auto"/>
            </w:tcBorders>
            <w:shd w:val="clear" w:color="auto" w:fill="auto"/>
            <w:vAlign w:val="bottom"/>
            <w:hideMark/>
          </w:tcPr>
          <w:p w:rsidR="001E2A47" w:rsidRPr="001E2A47" w:rsidRDefault="00967498" w:rsidP="00967498">
            <w:pPr>
              <w:spacing w:after="0" w:line="240" w:lineRule="auto"/>
              <w:rPr>
                <w:rFonts w:eastAsia="Times New Roman"/>
                <w:color w:val="000000"/>
                <w:lang w:val="en-US"/>
              </w:rPr>
            </w:pPr>
            <w:r>
              <w:rPr>
                <w:rFonts w:eastAsia="Times New Roman"/>
                <w:color w:val="000000"/>
                <w:lang w:val="en-US"/>
              </w:rPr>
              <w:t>Aktivnost</w:t>
            </w:r>
            <w:r w:rsidR="001E2A47" w:rsidRPr="001E2A47">
              <w:rPr>
                <w:rFonts w:eastAsia="Times New Roman"/>
                <w:color w:val="000000"/>
                <w:lang w:val="en-US"/>
              </w:rPr>
              <w:t xml:space="preserve"> 3.1</w:t>
            </w:r>
            <w:r w:rsidR="001E2A47" w:rsidRPr="001E2A47">
              <w:rPr>
                <w:rFonts w:eastAsia="Times New Roman"/>
                <w:color w:val="000000"/>
                <w:lang w:val="en-US"/>
              </w:rPr>
              <w:br/>
              <w:t xml:space="preserve">(Grant </w:t>
            </w:r>
            <w:r>
              <w:rPr>
                <w:rFonts w:eastAsia="Times New Roman"/>
                <w:color w:val="000000"/>
                <w:lang w:val="en-US"/>
              </w:rPr>
              <w:t>šema</w:t>
            </w:r>
            <w:r w:rsidR="001E2A47" w:rsidRPr="001E2A47">
              <w:rPr>
                <w:rFonts w:eastAsia="Times New Roman"/>
                <w:color w:val="000000"/>
                <w:lang w:val="en-US"/>
              </w:rPr>
              <w:t>)</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2,588,235.29</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2,588,235.29</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1E2A47">
              <w:rPr>
                <w:rFonts w:eastAsia="Times New Roman"/>
                <w:color w:val="000000"/>
                <w:lang w:val="en-US"/>
              </w:rPr>
              <w:t>2,200,000.00</w:t>
            </w:r>
          </w:p>
        </w:tc>
        <w:tc>
          <w:tcPr>
            <w:tcW w:w="1392"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388,235.29</w:t>
            </w:r>
          </w:p>
        </w:tc>
        <w:tc>
          <w:tcPr>
            <w:tcW w:w="1383" w:type="dxa"/>
            <w:tcBorders>
              <w:top w:val="nil"/>
              <w:left w:val="nil"/>
              <w:bottom w:val="single" w:sz="4" w:space="0" w:color="auto"/>
              <w:right w:val="single" w:sz="4" w:space="0" w:color="auto"/>
            </w:tcBorders>
            <w:shd w:val="clear" w:color="auto" w:fill="auto"/>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 </w:t>
            </w:r>
          </w:p>
        </w:tc>
        <w:tc>
          <w:tcPr>
            <w:tcW w:w="1612" w:type="dxa"/>
            <w:tcBorders>
              <w:top w:val="nil"/>
              <w:left w:val="nil"/>
              <w:bottom w:val="single" w:sz="4" w:space="0" w:color="auto"/>
              <w:right w:val="single" w:sz="8" w:space="0" w:color="auto"/>
            </w:tcBorders>
            <w:shd w:val="clear" w:color="auto" w:fill="auto"/>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85%</w:t>
            </w:r>
          </w:p>
        </w:tc>
      </w:tr>
      <w:tr w:rsidR="00967498" w:rsidRPr="001E2A47" w:rsidTr="00704222">
        <w:trPr>
          <w:trHeight w:val="600"/>
        </w:trPr>
        <w:tc>
          <w:tcPr>
            <w:tcW w:w="1427" w:type="dxa"/>
            <w:tcBorders>
              <w:top w:val="nil"/>
              <w:left w:val="single" w:sz="8" w:space="0" w:color="auto"/>
              <w:bottom w:val="single" w:sz="4" w:space="0" w:color="auto"/>
              <w:right w:val="single" w:sz="8" w:space="0" w:color="auto"/>
            </w:tcBorders>
            <w:shd w:val="clear" w:color="auto" w:fill="auto"/>
            <w:vAlign w:val="bottom"/>
            <w:hideMark/>
          </w:tcPr>
          <w:p w:rsidR="001E2A47" w:rsidRPr="001E2A47" w:rsidRDefault="00967498" w:rsidP="001E2A47">
            <w:pPr>
              <w:spacing w:after="0" w:line="240" w:lineRule="auto"/>
              <w:rPr>
                <w:rFonts w:eastAsia="Times New Roman"/>
                <w:color w:val="000000"/>
                <w:lang w:val="en-US"/>
              </w:rPr>
            </w:pPr>
            <w:r>
              <w:rPr>
                <w:rFonts w:eastAsia="Times New Roman"/>
                <w:color w:val="000000"/>
                <w:lang w:val="en-US"/>
              </w:rPr>
              <w:t>Aktivnost</w:t>
            </w:r>
            <w:r w:rsidRPr="001E2A47">
              <w:rPr>
                <w:rFonts w:eastAsia="Times New Roman"/>
                <w:color w:val="000000"/>
                <w:lang w:val="en-US"/>
              </w:rPr>
              <w:t xml:space="preserve"> </w:t>
            </w:r>
            <w:r w:rsidR="001E2A47" w:rsidRPr="001E2A47">
              <w:rPr>
                <w:rFonts w:eastAsia="Times New Roman"/>
                <w:color w:val="000000"/>
                <w:lang w:val="en-US"/>
              </w:rPr>
              <w:t>3.2</w:t>
            </w:r>
            <w:r w:rsidR="001E2A47" w:rsidRPr="001E2A47">
              <w:rPr>
                <w:rFonts w:eastAsia="Times New Roman"/>
                <w:color w:val="000000"/>
                <w:lang w:val="en-US"/>
              </w:rPr>
              <w:br/>
              <w:t>(</w:t>
            </w:r>
            <w:r>
              <w:rPr>
                <w:rFonts w:eastAsia="Times New Roman"/>
                <w:color w:val="000000"/>
                <w:lang w:val="en-US"/>
              </w:rPr>
              <w:t>Ugovor o uslugama</w:t>
            </w:r>
            <w:r w:rsidR="001E2A47" w:rsidRPr="001E2A47">
              <w:rPr>
                <w:rFonts w:eastAsia="Times New Roman"/>
                <w:color w:val="000000"/>
                <w:lang w:val="en-US"/>
              </w:rPr>
              <w:t>)</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352,941.18</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352,941.18</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300,000.00</w:t>
            </w:r>
          </w:p>
        </w:tc>
        <w:tc>
          <w:tcPr>
            <w:tcW w:w="1392"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52,941.18</w:t>
            </w:r>
          </w:p>
        </w:tc>
        <w:tc>
          <w:tcPr>
            <w:tcW w:w="1383" w:type="dxa"/>
            <w:tcBorders>
              <w:top w:val="nil"/>
              <w:left w:val="nil"/>
              <w:bottom w:val="single" w:sz="4" w:space="0" w:color="auto"/>
              <w:right w:val="single" w:sz="4" w:space="0" w:color="auto"/>
            </w:tcBorders>
            <w:shd w:val="clear" w:color="auto" w:fill="auto"/>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 </w:t>
            </w:r>
          </w:p>
        </w:tc>
        <w:tc>
          <w:tcPr>
            <w:tcW w:w="1612" w:type="dxa"/>
            <w:tcBorders>
              <w:top w:val="nil"/>
              <w:left w:val="nil"/>
              <w:bottom w:val="single" w:sz="4" w:space="0" w:color="auto"/>
              <w:right w:val="single" w:sz="8" w:space="0" w:color="auto"/>
            </w:tcBorders>
            <w:shd w:val="clear" w:color="auto" w:fill="auto"/>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85%</w:t>
            </w:r>
          </w:p>
        </w:tc>
      </w:tr>
      <w:tr w:rsidR="00967498" w:rsidRPr="001E2A47" w:rsidTr="00704222">
        <w:trPr>
          <w:trHeight w:val="600"/>
        </w:trPr>
        <w:tc>
          <w:tcPr>
            <w:tcW w:w="1427" w:type="dxa"/>
            <w:tcBorders>
              <w:top w:val="nil"/>
              <w:left w:val="single" w:sz="8" w:space="0" w:color="auto"/>
              <w:bottom w:val="single" w:sz="4" w:space="0" w:color="auto"/>
              <w:right w:val="single" w:sz="8" w:space="0" w:color="auto"/>
            </w:tcBorders>
            <w:shd w:val="clear" w:color="auto" w:fill="auto"/>
            <w:vAlign w:val="bottom"/>
            <w:hideMark/>
          </w:tcPr>
          <w:p w:rsidR="001E2A47" w:rsidRPr="001E2A47" w:rsidRDefault="00967498" w:rsidP="00967498">
            <w:pPr>
              <w:spacing w:after="0" w:line="240" w:lineRule="auto"/>
              <w:rPr>
                <w:rFonts w:eastAsia="Times New Roman"/>
                <w:color w:val="000000"/>
                <w:lang w:val="en-US"/>
              </w:rPr>
            </w:pPr>
            <w:r>
              <w:rPr>
                <w:rFonts w:eastAsia="Times New Roman"/>
                <w:color w:val="000000"/>
                <w:lang w:val="en-US"/>
              </w:rPr>
              <w:t>Aktivnost</w:t>
            </w:r>
            <w:r w:rsidRPr="001E2A47">
              <w:rPr>
                <w:rFonts w:eastAsia="Times New Roman"/>
                <w:color w:val="000000"/>
                <w:lang w:val="en-US"/>
              </w:rPr>
              <w:t xml:space="preserve"> </w:t>
            </w:r>
            <w:r w:rsidR="001E2A47" w:rsidRPr="001E2A47">
              <w:rPr>
                <w:rFonts w:eastAsia="Times New Roman"/>
                <w:color w:val="000000"/>
                <w:lang w:val="en-US"/>
              </w:rPr>
              <w:t>3.3</w:t>
            </w:r>
            <w:r w:rsidR="001E2A47" w:rsidRPr="001E2A47">
              <w:rPr>
                <w:rFonts w:eastAsia="Times New Roman"/>
                <w:color w:val="000000"/>
                <w:lang w:val="en-US"/>
              </w:rPr>
              <w:br/>
              <w:t xml:space="preserve">(Grant </w:t>
            </w:r>
            <w:r>
              <w:rPr>
                <w:rFonts w:eastAsia="Times New Roman"/>
                <w:color w:val="000000"/>
                <w:lang w:val="en-US"/>
              </w:rPr>
              <w:t>šema</w:t>
            </w:r>
            <w:r w:rsidR="001E2A47" w:rsidRPr="001E2A47">
              <w:rPr>
                <w:rFonts w:eastAsia="Times New Roman"/>
                <w:color w:val="000000"/>
                <w:lang w:val="en-US"/>
              </w:rPr>
              <w:t>)</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705,882.35</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705,882.35</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600,000.00</w:t>
            </w:r>
          </w:p>
        </w:tc>
        <w:tc>
          <w:tcPr>
            <w:tcW w:w="1392"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105,882.35</w:t>
            </w:r>
          </w:p>
        </w:tc>
        <w:tc>
          <w:tcPr>
            <w:tcW w:w="1383" w:type="dxa"/>
            <w:tcBorders>
              <w:top w:val="nil"/>
              <w:left w:val="nil"/>
              <w:bottom w:val="single" w:sz="4" w:space="0" w:color="auto"/>
              <w:right w:val="single" w:sz="4" w:space="0" w:color="auto"/>
            </w:tcBorders>
            <w:shd w:val="clear" w:color="auto" w:fill="auto"/>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 </w:t>
            </w:r>
          </w:p>
        </w:tc>
        <w:tc>
          <w:tcPr>
            <w:tcW w:w="1612" w:type="dxa"/>
            <w:tcBorders>
              <w:top w:val="nil"/>
              <w:left w:val="nil"/>
              <w:bottom w:val="single" w:sz="4" w:space="0" w:color="auto"/>
              <w:right w:val="single" w:sz="8" w:space="0" w:color="auto"/>
            </w:tcBorders>
            <w:shd w:val="clear" w:color="auto" w:fill="auto"/>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85%</w:t>
            </w:r>
          </w:p>
        </w:tc>
      </w:tr>
      <w:tr w:rsidR="00967498" w:rsidRPr="001E2A47" w:rsidTr="00704222">
        <w:trPr>
          <w:trHeight w:val="600"/>
        </w:trPr>
        <w:tc>
          <w:tcPr>
            <w:tcW w:w="1427" w:type="dxa"/>
            <w:tcBorders>
              <w:top w:val="nil"/>
              <w:left w:val="single" w:sz="8" w:space="0" w:color="auto"/>
              <w:bottom w:val="single" w:sz="4" w:space="0" w:color="auto"/>
              <w:right w:val="single" w:sz="8" w:space="0" w:color="auto"/>
            </w:tcBorders>
            <w:shd w:val="clear" w:color="auto" w:fill="auto"/>
            <w:vAlign w:val="bottom"/>
            <w:hideMark/>
          </w:tcPr>
          <w:p w:rsidR="001E2A47" w:rsidRPr="001E2A47" w:rsidRDefault="00967498" w:rsidP="00967498">
            <w:pPr>
              <w:spacing w:after="0" w:line="240" w:lineRule="auto"/>
              <w:rPr>
                <w:rFonts w:eastAsia="Times New Roman"/>
                <w:color w:val="000000"/>
                <w:lang w:val="en-US"/>
              </w:rPr>
            </w:pPr>
            <w:r>
              <w:rPr>
                <w:rFonts w:eastAsia="Times New Roman"/>
                <w:color w:val="000000"/>
                <w:lang w:val="en-US"/>
              </w:rPr>
              <w:t>Aktivnost</w:t>
            </w:r>
            <w:r w:rsidR="001E2A47" w:rsidRPr="001E2A47">
              <w:rPr>
                <w:rFonts w:eastAsia="Times New Roman"/>
                <w:color w:val="000000"/>
                <w:lang w:val="en-US"/>
              </w:rPr>
              <w:t xml:space="preserve"> 3.4</w:t>
            </w:r>
            <w:r w:rsidR="001E2A47" w:rsidRPr="001E2A47">
              <w:rPr>
                <w:rFonts w:eastAsia="Times New Roman"/>
                <w:color w:val="000000"/>
                <w:lang w:val="en-US"/>
              </w:rPr>
              <w:br/>
              <w:t>(</w:t>
            </w:r>
            <w:r>
              <w:rPr>
                <w:rFonts w:eastAsia="Times New Roman"/>
                <w:color w:val="000000"/>
                <w:lang w:val="en-US"/>
              </w:rPr>
              <w:t>Ugovor o nabavkama</w:t>
            </w:r>
            <w:r w:rsidR="001E2A47" w:rsidRPr="001E2A47">
              <w:rPr>
                <w:rFonts w:eastAsia="Times New Roman"/>
                <w:color w:val="000000"/>
                <w:lang w:val="en-US"/>
              </w:rPr>
              <w:t>)</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470,588.24</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470,588.24</w:t>
            </w:r>
          </w:p>
        </w:tc>
        <w:tc>
          <w:tcPr>
            <w:tcW w:w="1504"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400,000.00</w:t>
            </w:r>
          </w:p>
        </w:tc>
        <w:tc>
          <w:tcPr>
            <w:tcW w:w="1392" w:type="dxa"/>
            <w:tcBorders>
              <w:top w:val="nil"/>
              <w:left w:val="nil"/>
              <w:bottom w:val="single" w:sz="4" w:space="0" w:color="auto"/>
              <w:right w:val="single" w:sz="4" w:space="0" w:color="auto"/>
            </w:tcBorders>
            <w:shd w:val="clear" w:color="auto" w:fill="auto"/>
            <w:vAlign w:val="center"/>
            <w:hideMark/>
          </w:tcPr>
          <w:p w:rsidR="001E2A47" w:rsidRPr="001E2A47" w:rsidRDefault="00704222" w:rsidP="001E2A47">
            <w:pPr>
              <w:spacing w:after="0" w:line="240" w:lineRule="auto"/>
              <w:jc w:val="center"/>
              <w:rPr>
                <w:rFonts w:eastAsia="Times New Roman"/>
                <w:color w:val="000000"/>
                <w:lang w:val="en-US"/>
              </w:rPr>
            </w:pPr>
            <w:r w:rsidRPr="0073741A">
              <w:rPr>
                <w:rFonts w:eastAsia="Times New Roman" w:cs="Calibri"/>
                <w:color w:val="000000"/>
                <w:lang w:val="en-US"/>
              </w:rPr>
              <w:t>70,588.24</w:t>
            </w:r>
          </w:p>
        </w:tc>
        <w:tc>
          <w:tcPr>
            <w:tcW w:w="1383" w:type="dxa"/>
            <w:tcBorders>
              <w:top w:val="nil"/>
              <w:left w:val="nil"/>
              <w:bottom w:val="single" w:sz="4" w:space="0" w:color="auto"/>
              <w:right w:val="single" w:sz="4" w:space="0" w:color="auto"/>
            </w:tcBorders>
            <w:shd w:val="clear" w:color="auto" w:fill="auto"/>
            <w:noWrap/>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 </w:t>
            </w:r>
          </w:p>
        </w:tc>
        <w:tc>
          <w:tcPr>
            <w:tcW w:w="1612" w:type="dxa"/>
            <w:tcBorders>
              <w:top w:val="nil"/>
              <w:left w:val="nil"/>
              <w:bottom w:val="single" w:sz="4" w:space="0" w:color="auto"/>
              <w:right w:val="single" w:sz="8" w:space="0" w:color="auto"/>
            </w:tcBorders>
            <w:shd w:val="clear" w:color="auto" w:fill="auto"/>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85%</w:t>
            </w:r>
          </w:p>
        </w:tc>
      </w:tr>
      <w:tr w:rsidR="00967498" w:rsidRPr="001E2A47" w:rsidTr="00704222">
        <w:trPr>
          <w:trHeight w:val="315"/>
        </w:trPr>
        <w:tc>
          <w:tcPr>
            <w:tcW w:w="1427" w:type="dxa"/>
            <w:tcBorders>
              <w:top w:val="nil"/>
              <w:left w:val="single" w:sz="8" w:space="0" w:color="auto"/>
              <w:bottom w:val="single" w:sz="8" w:space="0" w:color="auto"/>
              <w:right w:val="single" w:sz="8" w:space="0" w:color="auto"/>
            </w:tcBorders>
            <w:shd w:val="clear" w:color="000000" w:fill="FFFF99"/>
            <w:vAlign w:val="bottom"/>
            <w:hideMark/>
          </w:tcPr>
          <w:p w:rsidR="001E2A47" w:rsidRPr="001E2A47" w:rsidRDefault="00967498" w:rsidP="001E2A47">
            <w:pPr>
              <w:spacing w:after="0" w:line="240" w:lineRule="auto"/>
              <w:rPr>
                <w:rFonts w:eastAsia="Times New Roman"/>
                <w:b/>
                <w:bCs/>
                <w:color w:val="000000"/>
                <w:lang w:val="en-US"/>
              </w:rPr>
            </w:pPr>
            <w:r>
              <w:rPr>
                <w:b/>
                <w:bCs/>
                <w:color w:val="000000"/>
              </w:rPr>
              <w:t xml:space="preserve">Ukupno za Akciju </w:t>
            </w:r>
            <w:r w:rsidR="001E2A47" w:rsidRPr="001E2A47">
              <w:rPr>
                <w:rFonts w:eastAsia="Times New Roman"/>
                <w:b/>
                <w:bCs/>
                <w:color w:val="000000"/>
                <w:lang w:val="en-US"/>
              </w:rPr>
              <w:t>3</w:t>
            </w:r>
          </w:p>
        </w:tc>
        <w:tc>
          <w:tcPr>
            <w:tcW w:w="1504" w:type="dxa"/>
            <w:tcBorders>
              <w:top w:val="nil"/>
              <w:left w:val="nil"/>
              <w:bottom w:val="single" w:sz="8" w:space="0" w:color="auto"/>
              <w:right w:val="single" w:sz="4" w:space="0" w:color="auto"/>
            </w:tcBorders>
            <w:shd w:val="clear" w:color="000000" w:fill="FFFF99"/>
            <w:vAlign w:val="center"/>
            <w:hideMark/>
          </w:tcPr>
          <w:p w:rsidR="001E2A47" w:rsidRPr="001E2A47" w:rsidRDefault="00704222" w:rsidP="001E2A47">
            <w:pPr>
              <w:spacing w:after="0" w:line="240" w:lineRule="auto"/>
              <w:jc w:val="center"/>
              <w:rPr>
                <w:rFonts w:eastAsia="Times New Roman"/>
                <w:b/>
                <w:bCs/>
                <w:color w:val="000000"/>
                <w:lang w:val="en-US"/>
              </w:rPr>
            </w:pPr>
            <w:r w:rsidRPr="0073741A">
              <w:rPr>
                <w:rFonts w:eastAsia="Times New Roman" w:cs="Calibri"/>
                <w:b/>
                <w:bCs/>
                <w:color w:val="000000"/>
                <w:lang w:val="en-US"/>
              </w:rPr>
              <w:t>4,117,647.06</w:t>
            </w:r>
          </w:p>
        </w:tc>
        <w:tc>
          <w:tcPr>
            <w:tcW w:w="1504" w:type="dxa"/>
            <w:tcBorders>
              <w:top w:val="nil"/>
              <w:left w:val="nil"/>
              <w:bottom w:val="single" w:sz="8" w:space="0" w:color="auto"/>
              <w:right w:val="single" w:sz="4" w:space="0" w:color="auto"/>
            </w:tcBorders>
            <w:shd w:val="clear" w:color="000000" w:fill="FFFF99"/>
            <w:vAlign w:val="center"/>
            <w:hideMark/>
          </w:tcPr>
          <w:p w:rsidR="001E2A47" w:rsidRPr="001E2A47" w:rsidRDefault="00704222" w:rsidP="001E2A47">
            <w:pPr>
              <w:spacing w:after="0" w:line="240" w:lineRule="auto"/>
              <w:jc w:val="center"/>
              <w:rPr>
                <w:rFonts w:eastAsia="Times New Roman"/>
                <w:b/>
                <w:bCs/>
                <w:color w:val="000000"/>
                <w:lang w:val="en-US"/>
              </w:rPr>
            </w:pPr>
            <w:r w:rsidRPr="0073741A">
              <w:rPr>
                <w:rFonts w:eastAsia="Times New Roman" w:cs="Calibri"/>
                <w:b/>
                <w:bCs/>
                <w:color w:val="000000"/>
                <w:lang w:val="en-US"/>
              </w:rPr>
              <w:t>4,117,647.06</w:t>
            </w:r>
          </w:p>
        </w:tc>
        <w:tc>
          <w:tcPr>
            <w:tcW w:w="1504" w:type="dxa"/>
            <w:tcBorders>
              <w:top w:val="nil"/>
              <w:left w:val="nil"/>
              <w:bottom w:val="single" w:sz="8" w:space="0" w:color="auto"/>
              <w:right w:val="single" w:sz="4" w:space="0" w:color="auto"/>
            </w:tcBorders>
            <w:shd w:val="clear" w:color="000000" w:fill="FFFF99"/>
            <w:vAlign w:val="center"/>
            <w:hideMark/>
          </w:tcPr>
          <w:p w:rsidR="001E2A47" w:rsidRPr="001E2A47" w:rsidRDefault="00150A08" w:rsidP="001E2A47">
            <w:pPr>
              <w:spacing w:after="0" w:line="240" w:lineRule="auto"/>
              <w:jc w:val="center"/>
              <w:rPr>
                <w:rFonts w:eastAsia="Times New Roman"/>
                <w:b/>
                <w:bCs/>
                <w:color w:val="000000"/>
                <w:lang w:val="en-US"/>
              </w:rPr>
            </w:pPr>
            <w:r w:rsidRPr="0073741A">
              <w:rPr>
                <w:rFonts w:eastAsia="Times New Roman" w:cs="Calibri"/>
                <w:b/>
                <w:bCs/>
                <w:color w:val="000000"/>
                <w:lang w:val="en-US"/>
              </w:rPr>
              <w:t>3,500,000.00</w:t>
            </w:r>
          </w:p>
        </w:tc>
        <w:tc>
          <w:tcPr>
            <w:tcW w:w="1392" w:type="dxa"/>
            <w:tcBorders>
              <w:top w:val="nil"/>
              <w:left w:val="nil"/>
              <w:bottom w:val="single" w:sz="8" w:space="0" w:color="auto"/>
              <w:right w:val="single" w:sz="4" w:space="0" w:color="auto"/>
            </w:tcBorders>
            <w:shd w:val="clear" w:color="000000" w:fill="FFFF99"/>
            <w:vAlign w:val="center"/>
            <w:hideMark/>
          </w:tcPr>
          <w:p w:rsidR="001E2A47" w:rsidRPr="001E2A47" w:rsidRDefault="00150A08" w:rsidP="001E2A47">
            <w:pPr>
              <w:spacing w:after="0" w:line="240" w:lineRule="auto"/>
              <w:jc w:val="center"/>
              <w:rPr>
                <w:rFonts w:eastAsia="Times New Roman"/>
                <w:b/>
                <w:bCs/>
                <w:color w:val="000000"/>
                <w:lang w:val="en-US"/>
              </w:rPr>
            </w:pPr>
            <w:r w:rsidRPr="0073741A">
              <w:rPr>
                <w:rFonts w:eastAsia="Times New Roman" w:cs="Calibri"/>
                <w:b/>
                <w:bCs/>
                <w:color w:val="000000"/>
                <w:lang w:val="en-US"/>
              </w:rPr>
              <w:t>617,647.06</w:t>
            </w:r>
          </w:p>
        </w:tc>
        <w:tc>
          <w:tcPr>
            <w:tcW w:w="1383" w:type="dxa"/>
            <w:tcBorders>
              <w:top w:val="nil"/>
              <w:left w:val="nil"/>
              <w:bottom w:val="single" w:sz="8" w:space="0" w:color="auto"/>
              <w:right w:val="single" w:sz="4" w:space="0" w:color="auto"/>
            </w:tcBorders>
            <w:shd w:val="clear" w:color="000000" w:fill="FFFF99"/>
            <w:noWrap/>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 </w:t>
            </w:r>
          </w:p>
        </w:tc>
        <w:tc>
          <w:tcPr>
            <w:tcW w:w="1612" w:type="dxa"/>
            <w:tcBorders>
              <w:top w:val="nil"/>
              <w:left w:val="nil"/>
              <w:bottom w:val="single" w:sz="8" w:space="0" w:color="auto"/>
              <w:right w:val="single" w:sz="8" w:space="0" w:color="auto"/>
            </w:tcBorders>
            <w:shd w:val="clear" w:color="000000" w:fill="FFFF99"/>
            <w:vAlign w:val="center"/>
            <w:hideMark/>
          </w:tcPr>
          <w:p w:rsidR="001E2A47" w:rsidRPr="001E2A47" w:rsidRDefault="001E2A47" w:rsidP="001E2A47">
            <w:pPr>
              <w:spacing w:after="0" w:line="240" w:lineRule="auto"/>
              <w:jc w:val="center"/>
              <w:rPr>
                <w:rFonts w:eastAsia="Times New Roman"/>
                <w:color w:val="000000"/>
                <w:lang w:val="en-US"/>
              </w:rPr>
            </w:pPr>
            <w:r w:rsidRPr="001E2A47">
              <w:rPr>
                <w:rFonts w:eastAsia="Times New Roman"/>
                <w:color w:val="000000"/>
                <w:lang w:val="en-US"/>
              </w:rPr>
              <w:t> </w:t>
            </w:r>
          </w:p>
        </w:tc>
      </w:tr>
      <w:tr w:rsidR="00967498" w:rsidRPr="001E2A47" w:rsidTr="00704222">
        <w:trPr>
          <w:trHeight w:val="300"/>
        </w:trPr>
        <w:tc>
          <w:tcPr>
            <w:tcW w:w="1427" w:type="dxa"/>
            <w:tcBorders>
              <w:top w:val="nil"/>
              <w:left w:val="single" w:sz="8" w:space="0" w:color="auto"/>
              <w:bottom w:val="single" w:sz="4" w:space="0" w:color="auto"/>
              <w:right w:val="single" w:sz="8" w:space="0" w:color="auto"/>
            </w:tcBorders>
            <w:shd w:val="clear" w:color="auto" w:fill="auto"/>
            <w:vAlign w:val="bottom"/>
            <w:hideMark/>
          </w:tcPr>
          <w:p w:rsidR="009A396B" w:rsidRPr="001E2A47" w:rsidRDefault="00967498" w:rsidP="00967498">
            <w:pPr>
              <w:spacing w:after="0" w:line="240" w:lineRule="auto"/>
              <w:rPr>
                <w:rFonts w:eastAsia="Times New Roman"/>
                <w:color w:val="000000"/>
                <w:lang w:val="en-US"/>
              </w:rPr>
            </w:pPr>
            <w:r>
              <w:rPr>
                <w:rFonts w:eastAsia="Times New Roman"/>
                <w:color w:val="000000"/>
                <w:lang w:val="en-US"/>
              </w:rPr>
              <w:t>Aktivnost</w:t>
            </w:r>
            <w:r w:rsidR="009A396B">
              <w:rPr>
                <w:color w:val="000000"/>
              </w:rPr>
              <w:t xml:space="preserve"> 4.1</w:t>
            </w:r>
            <w:r w:rsidR="009A396B">
              <w:rPr>
                <w:color w:val="000000"/>
              </w:rPr>
              <w:br/>
              <w:t>(</w:t>
            </w:r>
            <w:r>
              <w:rPr>
                <w:color w:val="000000"/>
              </w:rPr>
              <w:t>Direktni grant</w:t>
            </w:r>
            <w:r w:rsidR="009A396B">
              <w:rPr>
                <w:color w:val="000000"/>
              </w:rPr>
              <w:t>)</w:t>
            </w:r>
          </w:p>
        </w:tc>
        <w:tc>
          <w:tcPr>
            <w:tcW w:w="1504" w:type="dxa"/>
            <w:tcBorders>
              <w:top w:val="nil"/>
              <w:left w:val="nil"/>
              <w:bottom w:val="single" w:sz="4" w:space="0" w:color="auto"/>
              <w:right w:val="single" w:sz="4" w:space="0" w:color="auto"/>
            </w:tcBorders>
            <w:shd w:val="clear" w:color="auto" w:fill="auto"/>
            <w:vAlign w:val="center"/>
            <w:hideMark/>
          </w:tcPr>
          <w:p w:rsidR="009A396B" w:rsidRPr="001E2A47" w:rsidRDefault="00150A08" w:rsidP="001E2A47">
            <w:pPr>
              <w:spacing w:after="0" w:line="240" w:lineRule="auto"/>
              <w:jc w:val="center"/>
              <w:rPr>
                <w:rFonts w:eastAsia="Times New Roman"/>
                <w:color w:val="000000"/>
                <w:lang w:val="en-US"/>
              </w:rPr>
            </w:pPr>
            <w:r w:rsidRPr="0073741A">
              <w:rPr>
                <w:rFonts w:eastAsia="Times New Roman" w:cs="Calibri"/>
                <w:color w:val="000000"/>
                <w:lang w:val="en-US"/>
              </w:rPr>
              <w:t>588,235.29</w:t>
            </w:r>
          </w:p>
        </w:tc>
        <w:tc>
          <w:tcPr>
            <w:tcW w:w="1504" w:type="dxa"/>
            <w:tcBorders>
              <w:top w:val="nil"/>
              <w:left w:val="nil"/>
              <w:bottom w:val="single" w:sz="4" w:space="0" w:color="auto"/>
              <w:right w:val="single" w:sz="4" w:space="0" w:color="auto"/>
            </w:tcBorders>
            <w:shd w:val="clear" w:color="auto" w:fill="auto"/>
            <w:vAlign w:val="center"/>
            <w:hideMark/>
          </w:tcPr>
          <w:p w:rsidR="009A396B" w:rsidRPr="001E2A47" w:rsidRDefault="00150A08" w:rsidP="001E2A47">
            <w:pPr>
              <w:spacing w:after="0" w:line="240" w:lineRule="auto"/>
              <w:jc w:val="center"/>
              <w:rPr>
                <w:rFonts w:eastAsia="Times New Roman"/>
                <w:color w:val="000000"/>
                <w:lang w:val="en-US"/>
              </w:rPr>
            </w:pPr>
            <w:r w:rsidRPr="0073741A">
              <w:rPr>
                <w:rFonts w:eastAsia="Times New Roman" w:cs="Calibri"/>
                <w:color w:val="000000"/>
                <w:lang w:val="en-US"/>
              </w:rPr>
              <w:t>588,235.29</w:t>
            </w:r>
          </w:p>
        </w:tc>
        <w:tc>
          <w:tcPr>
            <w:tcW w:w="1504" w:type="dxa"/>
            <w:tcBorders>
              <w:top w:val="nil"/>
              <w:left w:val="nil"/>
              <w:bottom w:val="single" w:sz="4" w:space="0" w:color="auto"/>
              <w:right w:val="single" w:sz="4" w:space="0" w:color="auto"/>
            </w:tcBorders>
            <w:shd w:val="clear" w:color="auto" w:fill="auto"/>
            <w:vAlign w:val="center"/>
            <w:hideMark/>
          </w:tcPr>
          <w:p w:rsidR="009A396B" w:rsidRPr="001E2A47" w:rsidRDefault="00150A08" w:rsidP="001E2A47">
            <w:pPr>
              <w:spacing w:after="0" w:line="240" w:lineRule="auto"/>
              <w:jc w:val="center"/>
              <w:rPr>
                <w:rFonts w:eastAsia="Times New Roman"/>
                <w:color w:val="000000"/>
                <w:lang w:val="en-US"/>
              </w:rPr>
            </w:pPr>
            <w:r w:rsidRPr="0073741A">
              <w:rPr>
                <w:rFonts w:eastAsia="Times New Roman" w:cs="Calibri"/>
                <w:color w:val="000000"/>
                <w:lang w:val="en-US"/>
              </w:rPr>
              <w:t>500,000.00</w:t>
            </w:r>
          </w:p>
        </w:tc>
        <w:tc>
          <w:tcPr>
            <w:tcW w:w="1392" w:type="dxa"/>
            <w:tcBorders>
              <w:top w:val="nil"/>
              <w:left w:val="nil"/>
              <w:bottom w:val="single" w:sz="4" w:space="0" w:color="auto"/>
              <w:right w:val="single" w:sz="4" w:space="0" w:color="auto"/>
            </w:tcBorders>
            <w:shd w:val="clear" w:color="auto" w:fill="auto"/>
            <w:vAlign w:val="center"/>
            <w:hideMark/>
          </w:tcPr>
          <w:p w:rsidR="009A396B" w:rsidRPr="001E2A47" w:rsidRDefault="00150A08" w:rsidP="001E2A47">
            <w:pPr>
              <w:spacing w:after="0" w:line="240" w:lineRule="auto"/>
              <w:jc w:val="center"/>
              <w:rPr>
                <w:rFonts w:eastAsia="Times New Roman"/>
                <w:color w:val="000000"/>
                <w:lang w:val="en-US"/>
              </w:rPr>
            </w:pPr>
            <w:r w:rsidRPr="0073741A">
              <w:rPr>
                <w:rFonts w:eastAsia="Times New Roman" w:cs="Calibri"/>
                <w:color w:val="000000"/>
                <w:lang w:val="en-US"/>
              </w:rPr>
              <w:t>88,235.29</w:t>
            </w:r>
          </w:p>
        </w:tc>
        <w:tc>
          <w:tcPr>
            <w:tcW w:w="1383" w:type="dxa"/>
            <w:tcBorders>
              <w:top w:val="nil"/>
              <w:left w:val="nil"/>
              <w:bottom w:val="single" w:sz="4" w:space="0" w:color="auto"/>
              <w:right w:val="single" w:sz="4" w:space="0" w:color="auto"/>
            </w:tcBorders>
            <w:shd w:val="clear" w:color="auto" w:fill="auto"/>
            <w:noWrap/>
            <w:vAlign w:val="center"/>
            <w:hideMark/>
          </w:tcPr>
          <w:p w:rsidR="009A396B" w:rsidRPr="001E2A47" w:rsidRDefault="009A396B" w:rsidP="001E2A47">
            <w:pPr>
              <w:spacing w:after="0" w:line="240" w:lineRule="auto"/>
              <w:jc w:val="center"/>
              <w:rPr>
                <w:rFonts w:eastAsia="Times New Roman"/>
                <w:color w:val="000000"/>
                <w:lang w:val="en-US"/>
              </w:rPr>
            </w:pPr>
            <w:r>
              <w:rPr>
                <w:color w:val="000000"/>
              </w:rPr>
              <w:t> </w:t>
            </w:r>
          </w:p>
        </w:tc>
        <w:tc>
          <w:tcPr>
            <w:tcW w:w="1612" w:type="dxa"/>
            <w:tcBorders>
              <w:top w:val="nil"/>
              <w:left w:val="nil"/>
              <w:bottom w:val="single" w:sz="4" w:space="0" w:color="auto"/>
              <w:right w:val="single" w:sz="8" w:space="0" w:color="auto"/>
            </w:tcBorders>
            <w:shd w:val="clear" w:color="auto" w:fill="auto"/>
            <w:vAlign w:val="center"/>
            <w:hideMark/>
          </w:tcPr>
          <w:p w:rsidR="009A396B" w:rsidRPr="001E2A47" w:rsidRDefault="009A396B" w:rsidP="001E2A47">
            <w:pPr>
              <w:spacing w:after="0" w:line="240" w:lineRule="auto"/>
              <w:jc w:val="center"/>
              <w:rPr>
                <w:rFonts w:eastAsia="Times New Roman"/>
                <w:color w:val="000000"/>
                <w:lang w:val="en-US"/>
              </w:rPr>
            </w:pPr>
            <w:r>
              <w:rPr>
                <w:color w:val="000000"/>
              </w:rPr>
              <w:t>85%</w:t>
            </w:r>
          </w:p>
        </w:tc>
      </w:tr>
      <w:tr w:rsidR="00967498" w:rsidRPr="001E2A47" w:rsidTr="00704222">
        <w:trPr>
          <w:trHeight w:val="300"/>
        </w:trPr>
        <w:tc>
          <w:tcPr>
            <w:tcW w:w="1427" w:type="dxa"/>
            <w:tcBorders>
              <w:top w:val="nil"/>
              <w:left w:val="single" w:sz="8" w:space="0" w:color="auto"/>
              <w:bottom w:val="single" w:sz="4" w:space="0" w:color="auto"/>
              <w:right w:val="single" w:sz="8" w:space="0" w:color="auto"/>
            </w:tcBorders>
            <w:shd w:val="clear" w:color="auto" w:fill="auto"/>
            <w:vAlign w:val="bottom"/>
            <w:hideMark/>
          </w:tcPr>
          <w:p w:rsidR="009A396B" w:rsidRPr="00967498" w:rsidRDefault="00967498" w:rsidP="001E2A47">
            <w:pPr>
              <w:spacing w:after="0" w:line="240" w:lineRule="auto"/>
              <w:rPr>
                <w:color w:val="000000"/>
              </w:rPr>
            </w:pPr>
            <w:r>
              <w:rPr>
                <w:rFonts w:eastAsia="Times New Roman"/>
                <w:color w:val="000000"/>
                <w:lang w:val="en-US"/>
              </w:rPr>
              <w:t>Aktivnost</w:t>
            </w:r>
            <w:r w:rsidR="009A396B">
              <w:rPr>
                <w:color w:val="000000"/>
              </w:rPr>
              <w:t xml:space="preserve"> 4.2</w:t>
            </w:r>
            <w:r w:rsidR="009A396B">
              <w:rPr>
                <w:color w:val="000000"/>
              </w:rPr>
              <w:br/>
              <w:t>(</w:t>
            </w:r>
            <w:r>
              <w:rPr>
                <w:color w:val="000000"/>
              </w:rPr>
              <w:t>Ugovor o uslugama)</w:t>
            </w:r>
          </w:p>
        </w:tc>
        <w:tc>
          <w:tcPr>
            <w:tcW w:w="1504" w:type="dxa"/>
            <w:tcBorders>
              <w:top w:val="nil"/>
              <w:left w:val="nil"/>
              <w:bottom w:val="single" w:sz="4" w:space="0" w:color="auto"/>
              <w:right w:val="single" w:sz="4" w:space="0" w:color="auto"/>
            </w:tcBorders>
            <w:shd w:val="clear" w:color="auto" w:fill="auto"/>
            <w:vAlign w:val="center"/>
            <w:hideMark/>
          </w:tcPr>
          <w:p w:rsidR="009A396B" w:rsidRPr="001E2A47" w:rsidRDefault="00150A08" w:rsidP="001E2A47">
            <w:pPr>
              <w:spacing w:after="0" w:line="240" w:lineRule="auto"/>
              <w:jc w:val="center"/>
              <w:rPr>
                <w:rFonts w:eastAsia="Times New Roman"/>
                <w:color w:val="000000"/>
                <w:lang w:val="en-US"/>
              </w:rPr>
            </w:pPr>
            <w:r w:rsidRPr="0073741A">
              <w:rPr>
                <w:rFonts w:eastAsia="Times New Roman" w:cs="Calibri"/>
                <w:color w:val="000000"/>
                <w:lang w:val="en-US"/>
              </w:rPr>
              <w:t>235,294.12</w:t>
            </w:r>
          </w:p>
        </w:tc>
        <w:tc>
          <w:tcPr>
            <w:tcW w:w="1504" w:type="dxa"/>
            <w:tcBorders>
              <w:top w:val="nil"/>
              <w:left w:val="nil"/>
              <w:bottom w:val="single" w:sz="4" w:space="0" w:color="auto"/>
              <w:right w:val="single" w:sz="4" w:space="0" w:color="auto"/>
            </w:tcBorders>
            <w:shd w:val="clear" w:color="auto" w:fill="auto"/>
            <w:vAlign w:val="center"/>
            <w:hideMark/>
          </w:tcPr>
          <w:p w:rsidR="009A396B" w:rsidRPr="001E2A47" w:rsidRDefault="00150A08" w:rsidP="001E2A47">
            <w:pPr>
              <w:spacing w:after="0" w:line="240" w:lineRule="auto"/>
              <w:jc w:val="center"/>
              <w:rPr>
                <w:rFonts w:eastAsia="Times New Roman"/>
                <w:color w:val="000000"/>
                <w:lang w:val="en-US"/>
              </w:rPr>
            </w:pPr>
            <w:r w:rsidRPr="0073741A">
              <w:rPr>
                <w:rFonts w:eastAsia="Times New Roman" w:cs="Calibri"/>
                <w:color w:val="000000"/>
                <w:lang w:val="en-US"/>
              </w:rPr>
              <w:t>235,294.12</w:t>
            </w:r>
          </w:p>
        </w:tc>
        <w:tc>
          <w:tcPr>
            <w:tcW w:w="1504" w:type="dxa"/>
            <w:tcBorders>
              <w:top w:val="nil"/>
              <w:left w:val="nil"/>
              <w:bottom w:val="single" w:sz="4" w:space="0" w:color="auto"/>
              <w:right w:val="single" w:sz="4" w:space="0" w:color="auto"/>
            </w:tcBorders>
            <w:shd w:val="clear" w:color="auto" w:fill="auto"/>
            <w:vAlign w:val="center"/>
            <w:hideMark/>
          </w:tcPr>
          <w:p w:rsidR="009A396B" w:rsidRPr="001E2A47" w:rsidRDefault="00150A08" w:rsidP="001E2A47">
            <w:pPr>
              <w:spacing w:after="0" w:line="240" w:lineRule="auto"/>
              <w:jc w:val="center"/>
              <w:rPr>
                <w:rFonts w:eastAsia="Times New Roman"/>
                <w:color w:val="000000"/>
                <w:lang w:val="en-US"/>
              </w:rPr>
            </w:pPr>
            <w:r w:rsidRPr="0073741A">
              <w:rPr>
                <w:rFonts w:eastAsia="Times New Roman" w:cs="Calibri"/>
                <w:color w:val="000000"/>
                <w:lang w:val="en-US"/>
              </w:rPr>
              <w:t>200,000.00</w:t>
            </w:r>
          </w:p>
        </w:tc>
        <w:tc>
          <w:tcPr>
            <w:tcW w:w="1392" w:type="dxa"/>
            <w:tcBorders>
              <w:top w:val="nil"/>
              <w:left w:val="nil"/>
              <w:bottom w:val="single" w:sz="4" w:space="0" w:color="auto"/>
              <w:right w:val="single" w:sz="4" w:space="0" w:color="auto"/>
            </w:tcBorders>
            <w:shd w:val="clear" w:color="auto" w:fill="auto"/>
            <w:vAlign w:val="center"/>
            <w:hideMark/>
          </w:tcPr>
          <w:p w:rsidR="009A396B" w:rsidRPr="001E2A47" w:rsidRDefault="00150A08" w:rsidP="001E2A47">
            <w:pPr>
              <w:spacing w:after="0" w:line="240" w:lineRule="auto"/>
              <w:jc w:val="center"/>
              <w:rPr>
                <w:rFonts w:eastAsia="Times New Roman"/>
                <w:color w:val="000000"/>
                <w:lang w:val="en-US"/>
              </w:rPr>
            </w:pPr>
            <w:r w:rsidRPr="0073741A">
              <w:rPr>
                <w:rFonts w:eastAsia="Times New Roman" w:cs="Calibri"/>
                <w:color w:val="000000"/>
                <w:lang w:val="en-US"/>
              </w:rPr>
              <w:t>35,294.12</w:t>
            </w:r>
          </w:p>
        </w:tc>
        <w:tc>
          <w:tcPr>
            <w:tcW w:w="1383" w:type="dxa"/>
            <w:tcBorders>
              <w:top w:val="nil"/>
              <w:left w:val="nil"/>
              <w:bottom w:val="single" w:sz="4" w:space="0" w:color="auto"/>
              <w:right w:val="single" w:sz="4" w:space="0" w:color="auto"/>
            </w:tcBorders>
            <w:shd w:val="clear" w:color="auto" w:fill="auto"/>
            <w:noWrap/>
            <w:vAlign w:val="center"/>
            <w:hideMark/>
          </w:tcPr>
          <w:p w:rsidR="009A396B" w:rsidRPr="001E2A47" w:rsidRDefault="009A396B" w:rsidP="001E2A47">
            <w:pPr>
              <w:spacing w:after="0" w:line="240" w:lineRule="auto"/>
              <w:jc w:val="center"/>
              <w:rPr>
                <w:rFonts w:eastAsia="Times New Roman"/>
                <w:color w:val="000000"/>
                <w:lang w:val="en-US"/>
              </w:rPr>
            </w:pPr>
            <w:r>
              <w:rPr>
                <w:color w:val="000000"/>
              </w:rPr>
              <w:t> </w:t>
            </w:r>
          </w:p>
        </w:tc>
        <w:tc>
          <w:tcPr>
            <w:tcW w:w="1612" w:type="dxa"/>
            <w:tcBorders>
              <w:top w:val="nil"/>
              <w:left w:val="nil"/>
              <w:bottom w:val="single" w:sz="4" w:space="0" w:color="auto"/>
              <w:right w:val="single" w:sz="8" w:space="0" w:color="auto"/>
            </w:tcBorders>
            <w:shd w:val="clear" w:color="auto" w:fill="auto"/>
            <w:vAlign w:val="center"/>
            <w:hideMark/>
          </w:tcPr>
          <w:p w:rsidR="009A396B" w:rsidRPr="001E2A47" w:rsidRDefault="009A396B" w:rsidP="001E2A47">
            <w:pPr>
              <w:spacing w:after="0" w:line="240" w:lineRule="auto"/>
              <w:jc w:val="center"/>
              <w:rPr>
                <w:rFonts w:eastAsia="Times New Roman"/>
                <w:color w:val="000000"/>
                <w:lang w:val="en-US"/>
              </w:rPr>
            </w:pPr>
            <w:r>
              <w:rPr>
                <w:color w:val="000000"/>
              </w:rPr>
              <w:t>85%</w:t>
            </w:r>
          </w:p>
        </w:tc>
      </w:tr>
      <w:tr w:rsidR="00967498" w:rsidRPr="001E2A47" w:rsidTr="00704222">
        <w:trPr>
          <w:trHeight w:val="315"/>
        </w:trPr>
        <w:tc>
          <w:tcPr>
            <w:tcW w:w="1427" w:type="dxa"/>
            <w:tcBorders>
              <w:top w:val="nil"/>
              <w:left w:val="single" w:sz="8" w:space="0" w:color="auto"/>
              <w:bottom w:val="single" w:sz="8" w:space="0" w:color="auto"/>
              <w:right w:val="single" w:sz="8" w:space="0" w:color="auto"/>
            </w:tcBorders>
            <w:shd w:val="clear" w:color="000000" w:fill="FFFF99"/>
            <w:vAlign w:val="bottom"/>
            <w:hideMark/>
          </w:tcPr>
          <w:p w:rsidR="009A396B" w:rsidRPr="001E2A47" w:rsidRDefault="00967498" w:rsidP="00967498">
            <w:pPr>
              <w:spacing w:after="0" w:line="240" w:lineRule="auto"/>
              <w:rPr>
                <w:rFonts w:eastAsia="Times New Roman"/>
                <w:b/>
                <w:bCs/>
                <w:color w:val="000000"/>
                <w:lang w:val="en-US"/>
              </w:rPr>
            </w:pPr>
            <w:r>
              <w:rPr>
                <w:b/>
                <w:bCs/>
                <w:color w:val="000000"/>
              </w:rPr>
              <w:t>Ukupno za Akciju 4</w:t>
            </w:r>
          </w:p>
        </w:tc>
        <w:tc>
          <w:tcPr>
            <w:tcW w:w="1504" w:type="dxa"/>
            <w:tcBorders>
              <w:top w:val="nil"/>
              <w:left w:val="nil"/>
              <w:bottom w:val="single" w:sz="8" w:space="0" w:color="auto"/>
              <w:right w:val="single" w:sz="4" w:space="0" w:color="auto"/>
            </w:tcBorders>
            <w:shd w:val="clear" w:color="000000" w:fill="FFFF99"/>
            <w:vAlign w:val="center"/>
            <w:hideMark/>
          </w:tcPr>
          <w:p w:rsidR="009A396B" w:rsidRPr="001E2A47" w:rsidRDefault="00150A08" w:rsidP="001E2A47">
            <w:pPr>
              <w:spacing w:after="0" w:line="240" w:lineRule="auto"/>
              <w:jc w:val="center"/>
              <w:rPr>
                <w:rFonts w:eastAsia="Times New Roman"/>
                <w:b/>
                <w:bCs/>
                <w:color w:val="000000"/>
                <w:lang w:val="en-US"/>
              </w:rPr>
            </w:pPr>
            <w:r w:rsidRPr="0073741A">
              <w:rPr>
                <w:rFonts w:eastAsia="Times New Roman" w:cs="Calibri"/>
                <w:b/>
                <w:bCs/>
                <w:color w:val="000000"/>
                <w:lang w:val="en-US"/>
              </w:rPr>
              <w:t>823,529.41</w:t>
            </w:r>
          </w:p>
        </w:tc>
        <w:tc>
          <w:tcPr>
            <w:tcW w:w="1504" w:type="dxa"/>
            <w:tcBorders>
              <w:top w:val="nil"/>
              <w:left w:val="nil"/>
              <w:bottom w:val="single" w:sz="8" w:space="0" w:color="auto"/>
              <w:right w:val="single" w:sz="4" w:space="0" w:color="auto"/>
            </w:tcBorders>
            <w:shd w:val="clear" w:color="000000" w:fill="FFFF99"/>
            <w:vAlign w:val="center"/>
            <w:hideMark/>
          </w:tcPr>
          <w:p w:rsidR="009A396B" w:rsidRPr="001E2A47" w:rsidRDefault="00150A08" w:rsidP="001E2A47">
            <w:pPr>
              <w:spacing w:after="0" w:line="240" w:lineRule="auto"/>
              <w:jc w:val="center"/>
              <w:rPr>
                <w:rFonts w:eastAsia="Times New Roman"/>
                <w:b/>
                <w:bCs/>
                <w:color w:val="000000"/>
                <w:lang w:val="en-US"/>
              </w:rPr>
            </w:pPr>
            <w:r w:rsidRPr="0073741A">
              <w:rPr>
                <w:rFonts w:eastAsia="Times New Roman" w:cs="Calibri"/>
                <w:b/>
                <w:bCs/>
                <w:color w:val="000000"/>
                <w:lang w:val="en-US"/>
              </w:rPr>
              <w:t>823,529.41</w:t>
            </w:r>
          </w:p>
        </w:tc>
        <w:tc>
          <w:tcPr>
            <w:tcW w:w="1504" w:type="dxa"/>
            <w:tcBorders>
              <w:top w:val="nil"/>
              <w:left w:val="nil"/>
              <w:bottom w:val="single" w:sz="8" w:space="0" w:color="auto"/>
              <w:right w:val="single" w:sz="4" w:space="0" w:color="auto"/>
            </w:tcBorders>
            <w:shd w:val="clear" w:color="000000" w:fill="FFFF99"/>
            <w:vAlign w:val="center"/>
            <w:hideMark/>
          </w:tcPr>
          <w:p w:rsidR="009A396B" w:rsidRPr="001E2A47" w:rsidRDefault="00150A08" w:rsidP="001E2A47">
            <w:pPr>
              <w:spacing w:after="0" w:line="240" w:lineRule="auto"/>
              <w:jc w:val="center"/>
              <w:rPr>
                <w:rFonts w:eastAsia="Times New Roman"/>
                <w:b/>
                <w:bCs/>
                <w:color w:val="000000"/>
                <w:lang w:val="en-US"/>
              </w:rPr>
            </w:pPr>
            <w:r w:rsidRPr="0073741A">
              <w:rPr>
                <w:rFonts w:eastAsia="Times New Roman" w:cs="Calibri"/>
                <w:b/>
                <w:bCs/>
                <w:color w:val="000000"/>
                <w:lang w:val="en-US"/>
              </w:rPr>
              <w:t>700,000.00</w:t>
            </w:r>
          </w:p>
        </w:tc>
        <w:tc>
          <w:tcPr>
            <w:tcW w:w="1392" w:type="dxa"/>
            <w:tcBorders>
              <w:top w:val="nil"/>
              <w:left w:val="nil"/>
              <w:bottom w:val="single" w:sz="8" w:space="0" w:color="auto"/>
              <w:right w:val="single" w:sz="4" w:space="0" w:color="auto"/>
            </w:tcBorders>
            <w:shd w:val="clear" w:color="000000" w:fill="FFFF99"/>
            <w:vAlign w:val="center"/>
            <w:hideMark/>
          </w:tcPr>
          <w:p w:rsidR="009A396B" w:rsidRPr="001E2A47" w:rsidRDefault="00150A08" w:rsidP="001E2A47">
            <w:pPr>
              <w:spacing w:after="0" w:line="240" w:lineRule="auto"/>
              <w:jc w:val="center"/>
              <w:rPr>
                <w:rFonts w:eastAsia="Times New Roman"/>
                <w:b/>
                <w:bCs/>
                <w:color w:val="000000"/>
                <w:lang w:val="en-US"/>
              </w:rPr>
            </w:pPr>
            <w:r w:rsidRPr="0073741A">
              <w:rPr>
                <w:rFonts w:eastAsia="Times New Roman" w:cs="Calibri"/>
                <w:b/>
                <w:bCs/>
                <w:color w:val="000000"/>
                <w:lang w:val="en-US"/>
              </w:rPr>
              <w:t>123,529.41</w:t>
            </w:r>
          </w:p>
        </w:tc>
        <w:tc>
          <w:tcPr>
            <w:tcW w:w="1383" w:type="dxa"/>
            <w:tcBorders>
              <w:top w:val="nil"/>
              <w:left w:val="nil"/>
              <w:bottom w:val="single" w:sz="8" w:space="0" w:color="auto"/>
              <w:right w:val="single" w:sz="4" w:space="0" w:color="auto"/>
            </w:tcBorders>
            <w:shd w:val="clear" w:color="000000" w:fill="FFFF99"/>
            <w:noWrap/>
            <w:vAlign w:val="center"/>
            <w:hideMark/>
          </w:tcPr>
          <w:p w:rsidR="009A396B" w:rsidRPr="001E2A47" w:rsidRDefault="009A396B" w:rsidP="001E2A47">
            <w:pPr>
              <w:spacing w:after="0" w:line="240" w:lineRule="auto"/>
              <w:jc w:val="center"/>
              <w:rPr>
                <w:rFonts w:eastAsia="Times New Roman"/>
                <w:color w:val="000000"/>
                <w:lang w:val="en-US"/>
              </w:rPr>
            </w:pPr>
            <w:r>
              <w:rPr>
                <w:color w:val="000000"/>
              </w:rPr>
              <w:t> </w:t>
            </w:r>
          </w:p>
        </w:tc>
        <w:tc>
          <w:tcPr>
            <w:tcW w:w="1612" w:type="dxa"/>
            <w:tcBorders>
              <w:top w:val="nil"/>
              <w:left w:val="nil"/>
              <w:bottom w:val="single" w:sz="8" w:space="0" w:color="auto"/>
              <w:right w:val="single" w:sz="8" w:space="0" w:color="auto"/>
            </w:tcBorders>
            <w:shd w:val="clear" w:color="000000" w:fill="FFFF99"/>
            <w:vAlign w:val="center"/>
            <w:hideMark/>
          </w:tcPr>
          <w:p w:rsidR="009A396B" w:rsidRPr="001E2A47" w:rsidRDefault="009A396B" w:rsidP="001E2A47">
            <w:pPr>
              <w:spacing w:after="0" w:line="240" w:lineRule="auto"/>
              <w:jc w:val="center"/>
              <w:rPr>
                <w:rFonts w:eastAsia="Times New Roman"/>
                <w:color w:val="000000"/>
                <w:lang w:val="en-US"/>
              </w:rPr>
            </w:pPr>
            <w:r>
              <w:rPr>
                <w:color w:val="000000"/>
              </w:rPr>
              <w:t> </w:t>
            </w:r>
          </w:p>
        </w:tc>
      </w:tr>
      <w:tr w:rsidR="00150A08" w:rsidRPr="009A396B" w:rsidTr="00704222">
        <w:trPr>
          <w:trHeight w:val="315"/>
        </w:trPr>
        <w:tc>
          <w:tcPr>
            <w:tcW w:w="1427" w:type="dxa"/>
            <w:tcBorders>
              <w:top w:val="nil"/>
              <w:left w:val="single" w:sz="8" w:space="0" w:color="auto"/>
              <w:bottom w:val="single" w:sz="8" w:space="0" w:color="auto"/>
              <w:right w:val="single" w:sz="8" w:space="0" w:color="auto"/>
            </w:tcBorders>
            <w:shd w:val="clear" w:color="auto" w:fill="FFFF00"/>
            <w:vAlign w:val="bottom"/>
            <w:hideMark/>
          </w:tcPr>
          <w:p w:rsidR="00150A08" w:rsidRPr="009A396B" w:rsidRDefault="00150A08" w:rsidP="00967498">
            <w:pPr>
              <w:spacing w:after="0" w:line="240" w:lineRule="auto"/>
              <w:rPr>
                <w:b/>
                <w:bCs/>
                <w:color w:val="000000"/>
              </w:rPr>
            </w:pPr>
            <w:r>
              <w:rPr>
                <w:b/>
                <w:bCs/>
                <w:color w:val="000000"/>
              </w:rPr>
              <w:t xml:space="preserve">Ukupno za SOP </w:t>
            </w:r>
          </w:p>
        </w:tc>
        <w:tc>
          <w:tcPr>
            <w:tcW w:w="1504" w:type="dxa"/>
            <w:tcBorders>
              <w:top w:val="nil"/>
              <w:left w:val="nil"/>
              <w:bottom w:val="single" w:sz="8" w:space="0" w:color="auto"/>
              <w:right w:val="single" w:sz="4" w:space="0" w:color="auto"/>
            </w:tcBorders>
            <w:shd w:val="clear" w:color="auto" w:fill="FFFF00"/>
            <w:vAlign w:val="center"/>
            <w:hideMark/>
          </w:tcPr>
          <w:p w:rsidR="00150A08" w:rsidRPr="009A396B" w:rsidRDefault="00150A08" w:rsidP="009A396B">
            <w:pPr>
              <w:spacing w:after="0" w:line="240" w:lineRule="auto"/>
              <w:jc w:val="center"/>
              <w:rPr>
                <w:b/>
                <w:bCs/>
                <w:color w:val="000000"/>
              </w:rPr>
            </w:pPr>
            <w:r w:rsidRPr="0073741A">
              <w:rPr>
                <w:rFonts w:eastAsia="Times New Roman" w:cs="Calibri"/>
                <w:b/>
                <w:bCs/>
                <w:color w:val="000000"/>
                <w:lang w:val="en-US"/>
              </w:rPr>
              <w:t>18,000,000.00</w:t>
            </w:r>
          </w:p>
        </w:tc>
        <w:tc>
          <w:tcPr>
            <w:tcW w:w="1504" w:type="dxa"/>
            <w:tcBorders>
              <w:top w:val="nil"/>
              <w:left w:val="nil"/>
              <w:bottom w:val="single" w:sz="8" w:space="0" w:color="auto"/>
              <w:right w:val="single" w:sz="4" w:space="0" w:color="auto"/>
            </w:tcBorders>
            <w:shd w:val="clear" w:color="auto" w:fill="FFFF00"/>
            <w:vAlign w:val="center"/>
            <w:hideMark/>
          </w:tcPr>
          <w:p w:rsidR="00150A08" w:rsidRPr="009A396B" w:rsidRDefault="00150A08" w:rsidP="009A396B">
            <w:pPr>
              <w:spacing w:after="0" w:line="240" w:lineRule="auto"/>
              <w:jc w:val="center"/>
              <w:rPr>
                <w:b/>
                <w:bCs/>
                <w:color w:val="000000"/>
              </w:rPr>
            </w:pPr>
            <w:r w:rsidRPr="0073741A">
              <w:rPr>
                <w:rFonts w:eastAsia="Times New Roman" w:cs="Calibri"/>
                <w:b/>
                <w:bCs/>
                <w:color w:val="000000"/>
                <w:lang w:val="en-US"/>
              </w:rPr>
              <w:t>18,000,000.00</w:t>
            </w:r>
          </w:p>
        </w:tc>
        <w:tc>
          <w:tcPr>
            <w:tcW w:w="1504" w:type="dxa"/>
            <w:tcBorders>
              <w:top w:val="nil"/>
              <w:left w:val="nil"/>
              <w:bottom w:val="single" w:sz="8" w:space="0" w:color="auto"/>
              <w:right w:val="single" w:sz="4" w:space="0" w:color="auto"/>
            </w:tcBorders>
            <w:shd w:val="clear" w:color="auto" w:fill="FFFF00"/>
            <w:vAlign w:val="center"/>
            <w:hideMark/>
          </w:tcPr>
          <w:p w:rsidR="00150A08" w:rsidRPr="009A396B" w:rsidRDefault="00150A08" w:rsidP="009A396B">
            <w:pPr>
              <w:spacing w:after="0" w:line="240" w:lineRule="auto"/>
              <w:jc w:val="center"/>
              <w:rPr>
                <w:b/>
                <w:bCs/>
                <w:color w:val="000000"/>
              </w:rPr>
            </w:pPr>
            <w:r w:rsidRPr="0073741A">
              <w:rPr>
                <w:rFonts w:eastAsia="Times New Roman" w:cs="Calibri"/>
                <w:b/>
                <w:bCs/>
                <w:color w:val="000000"/>
                <w:lang w:val="en-US"/>
              </w:rPr>
              <w:t>15,300,000.00</w:t>
            </w:r>
          </w:p>
        </w:tc>
        <w:tc>
          <w:tcPr>
            <w:tcW w:w="1392" w:type="dxa"/>
            <w:tcBorders>
              <w:top w:val="nil"/>
              <w:left w:val="nil"/>
              <w:bottom w:val="single" w:sz="8" w:space="0" w:color="auto"/>
              <w:right w:val="single" w:sz="4" w:space="0" w:color="auto"/>
            </w:tcBorders>
            <w:shd w:val="clear" w:color="auto" w:fill="FFFF00"/>
            <w:vAlign w:val="center"/>
            <w:hideMark/>
          </w:tcPr>
          <w:p w:rsidR="00150A08" w:rsidRPr="0073741A" w:rsidRDefault="00150A08" w:rsidP="00355E64">
            <w:pPr>
              <w:spacing w:after="0" w:line="240" w:lineRule="auto"/>
              <w:jc w:val="center"/>
              <w:rPr>
                <w:rFonts w:eastAsia="Times New Roman" w:cs="Calibri"/>
                <w:b/>
                <w:bCs/>
                <w:color w:val="000000"/>
                <w:lang w:val="en-US"/>
              </w:rPr>
            </w:pPr>
            <w:r w:rsidRPr="0073741A">
              <w:rPr>
                <w:rFonts w:eastAsia="Times New Roman" w:cs="Calibri"/>
                <w:b/>
                <w:bCs/>
                <w:color w:val="000000"/>
                <w:lang w:val="en-US"/>
              </w:rPr>
              <w:t>2,700,000.00</w:t>
            </w:r>
          </w:p>
        </w:tc>
        <w:tc>
          <w:tcPr>
            <w:tcW w:w="1383" w:type="dxa"/>
            <w:tcBorders>
              <w:top w:val="nil"/>
              <w:left w:val="nil"/>
              <w:bottom w:val="single" w:sz="8" w:space="0" w:color="auto"/>
              <w:right w:val="single" w:sz="4" w:space="0" w:color="auto"/>
            </w:tcBorders>
            <w:shd w:val="clear" w:color="auto" w:fill="FFFF00"/>
            <w:noWrap/>
            <w:vAlign w:val="center"/>
            <w:hideMark/>
          </w:tcPr>
          <w:p w:rsidR="00150A08" w:rsidRPr="009A396B" w:rsidRDefault="00150A08" w:rsidP="009A396B">
            <w:pPr>
              <w:spacing w:after="0" w:line="240" w:lineRule="auto"/>
              <w:jc w:val="center"/>
              <w:rPr>
                <w:color w:val="000000"/>
              </w:rPr>
            </w:pPr>
            <w:r w:rsidRPr="009A396B">
              <w:rPr>
                <w:color w:val="000000"/>
              </w:rPr>
              <w:t> </w:t>
            </w:r>
          </w:p>
        </w:tc>
        <w:tc>
          <w:tcPr>
            <w:tcW w:w="1612" w:type="dxa"/>
            <w:tcBorders>
              <w:top w:val="nil"/>
              <w:left w:val="nil"/>
              <w:bottom w:val="single" w:sz="8" w:space="0" w:color="auto"/>
              <w:right w:val="single" w:sz="8" w:space="0" w:color="auto"/>
            </w:tcBorders>
            <w:shd w:val="clear" w:color="auto" w:fill="FFFF00"/>
            <w:vAlign w:val="center"/>
            <w:hideMark/>
          </w:tcPr>
          <w:p w:rsidR="00150A08" w:rsidRPr="009A396B" w:rsidRDefault="00150A08" w:rsidP="009A396B">
            <w:pPr>
              <w:spacing w:after="0" w:line="240" w:lineRule="auto"/>
              <w:jc w:val="center"/>
              <w:rPr>
                <w:color w:val="000000"/>
              </w:rPr>
            </w:pPr>
            <w:r w:rsidRPr="009A396B">
              <w:rPr>
                <w:color w:val="000000"/>
              </w:rPr>
              <w:t> </w:t>
            </w:r>
          </w:p>
        </w:tc>
      </w:tr>
    </w:tbl>
    <w:p w:rsidR="00241F37" w:rsidRDefault="00241F37" w:rsidP="00241F37">
      <w:pPr>
        <w:spacing w:after="120"/>
        <w:jc w:val="both"/>
      </w:pPr>
    </w:p>
    <w:p w:rsidR="00D67532" w:rsidRDefault="001E2A47" w:rsidP="00241F37">
      <w:pPr>
        <w:spacing w:after="120"/>
        <w:jc w:val="both"/>
      </w:pPr>
      <w:r>
        <w:t xml:space="preserve">* </w:t>
      </w:r>
      <w:r w:rsidRPr="00150A08">
        <w:rPr>
          <w:rFonts w:asciiTheme="majorHAnsi" w:hAnsiTheme="majorHAnsi"/>
        </w:rPr>
        <w:t>For the purposes of the HR Development programme only</w:t>
      </w:r>
    </w:p>
    <w:p w:rsidR="00D67532" w:rsidRPr="00D67532" w:rsidRDefault="00D67532" w:rsidP="00D67532">
      <w:pPr>
        <w:pStyle w:val="ListParagraph"/>
        <w:spacing w:after="120"/>
        <w:jc w:val="both"/>
        <w:rPr>
          <w:rFonts w:ascii="Times New Roman" w:hAnsi="Times New Roman"/>
          <w:b/>
          <w:sz w:val="24"/>
          <w:szCs w:val="24"/>
        </w:rPr>
      </w:pPr>
    </w:p>
    <w:p w:rsidR="008263BE" w:rsidRPr="00D67532" w:rsidRDefault="00D67532" w:rsidP="00150A08">
      <w:pPr>
        <w:pStyle w:val="Heading1"/>
        <w:numPr>
          <w:ilvl w:val="0"/>
          <w:numId w:val="21"/>
        </w:numPr>
        <w:spacing w:after="240"/>
      </w:pPr>
      <w:bookmarkStart w:id="29" w:name="_Toc419368487"/>
      <w:r w:rsidRPr="00D67532">
        <w:t>Pregled procesa konsultacija</w:t>
      </w:r>
      <w:bookmarkEnd w:id="29"/>
    </w:p>
    <w:p w:rsidR="008263BE" w:rsidRPr="00150A08" w:rsidRDefault="00077382" w:rsidP="007E1F50">
      <w:pPr>
        <w:pStyle w:val="ListBullet2"/>
        <w:numPr>
          <w:ilvl w:val="0"/>
          <w:numId w:val="0"/>
        </w:numPr>
        <w:spacing w:line="276" w:lineRule="auto"/>
        <w:rPr>
          <w:rFonts w:asciiTheme="majorHAnsi" w:eastAsia="Calibri" w:hAnsiTheme="majorHAnsi"/>
          <w:szCs w:val="24"/>
          <w:lang w:val="hr-HR"/>
        </w:rPr>
      </w:pPr>
      <w:r w:rsidRPr="00150A08">
        <w:rPr>
          <w:rFonts w:asciiTheme="majorHAnsi" w:eastAsia="Calibri" w:hAnsiTheme="majorHAnsi"/>
          <w:szCs w:val="24"/>
          <w:lang w:val="hr-HR"/>
        </w:rPr>
        <w:t xml:space="preserve">I pored toga što je konsultatvni process pri izradi SOP-a praktično započeo formiranjem radne grupe u čiji sastav su uključeni predstavnici socijalnih partnera i civilnog sektora, širi proces konsultacija će se obaviti tokom maja mjeseca 2015.godine. </w:t>
      </w:r>
    </w:p>
    <w:p w:rsidR="00077382" w:rsidRPr="00D67532" w:rsidRDefault="00D67532" w:rsidP="007E1F50">
      <w:pPr>
        <w:pStyle w:val="Heading1"/>
        <w:numPr>
          <w:ilvl w:val="0"/>
          <w:numId w:val="21"/>
        </w:numPr>
        <w:spacing w:after="240"/>
        <w:rPr>
          <w:lang w:val="hr-HR"/>
        </w:rPr>
      </w:pPr>
      <w:bookmarkStart w:id="30" w:name="_Toc419368488"/>
      <w:r w:rsidRPr="00D67532">
        <w:rPr>
          <w:lang w:val="hr-HR"/>
        </w:rPr>
        <w:t>Osnovna načela odabira aktivnosti</w:t>
      </w:r>
      <w:bookmarkEnd w:id="30"/>
    </w:p>
    <w:p w:rsidR="000271D7" w:rsidRPr="00150A08" w:rsidRDefault="004C6493" w:rsidP="007E1F50">
      <w:pPr>
        <w:rPr>
          <w:rFonts w:asciiTheme="majorHAnsi" w:hAnsiTheme="majorHAnsi"/>
          <w:sz w:val="24"/>
          <w:szCs w:val="24"/>
          <w:lang w:val="hr-HR"/>
        </w:rPr>
      </w:pPr>
      <w:r w:rsidRPr="00150A08">
        <w:rPr>
          <w:rFonts w:asciiTheme="majorHAnsi" w:hAnsiTheme="majorHAnsi"/>
          <w:sz w:val="24"/>
          <w:szCs w:val="24"/>
          <w:lang w:val="hr-HR"/>
        </w:rPr>
        <w:t>Monitoring</w:t>
      </w:r>
      <w:r w:rsidR="000271D7" w:rsidRPr="00150A08">
        <w:rPr>
          <w:rFonts w:asciiTheme="majorHAnsi" w:hAnsiTheme="majorHAnsi"/>
          <w:sz w:val="24"/>
          <w:szCs w:val="24"/>
          <w:lang w:val="hr-HR"/>
        </w:rPr>
        <w:t xml:space="preserve"> odbor za Sektorski operativni program </w:t>
      </w:r>
      <w:r w:rsidRPr="00150A08">
        <w:rPr>
          <w:rFonts w:asciiTheme="majorHAnsi" w:hAnsiTheme="majorHAnsi"/>
          <w:sz w:val="24"/>
          <w:szCs w:val="24"/>
          <w:lang w:val="hr-HR"/>
        </w:rPr>
        <w:t>odobri</w:t>
      </w:r>
      <w:r w:rsidR="000271D7" w:rsidRPr="00150A08">
        <w:rPr>
          <w:rFonts w:asciiTheme="majorHAnsi" w:hAnsiTheme="majorHAnsi"/>
          <w:sz w:val="24"/>
          <w:szCs w:val="24"/>
          <w:lang w:val="hr-HR"/>
        </w:rPr>
        <w:t>će</w:t>
      </w:r>
      <w:r w:rsidRPr="00150A08">
        <w:rPr>
          <w:rFonts w:asciiTheme="majorHAnsi" w:hAnsiTheme="majorHAnsi"/>
          <w:sz w:val="24"/>
          <w:szCs w:val="24"/>
          <w:lang w:val="hr-HR"/>
        </w:rPr>
        <w:t xml:space="preserve"> </w:t>
      </w:r>
      <w:r w:rsidR="000271D7" w:rsidRPr="00150A08">
        <w:rPr>
          <w:rFonts w:asciiTheme="majorHAnsi" w:hAnsiTheme="majorHAnsi"/>
          <w:sz w:val="24"/>
          <w:szCs w:val="24"/>
          <w:lang w:val="hr-HR"/>
        </w:rPr>
        <w:t xml:space="preserve"> i usv</w:t>
      </w:r>
      <w:r w:rsidRPr="00150A08">
        <w:rPr>
          <w:rFonts w:asciiTheme="majorHAnsi" w:hAnsiTheme="majorHAnsi"/>
          <w:sz w:val="24"/>
          <w:szCs w:val="24"/>
          <w:lang w:val="hr-HR"/>
        </w:rPr>
        <w:t>ojiće kriterijume</w:t>
      </w:r>
      <w:r w:rsidR="000271D7" w:rsidRPr="00150A08">
        <w:rPr>
          <w:rFonts w:asciiTheme="majorHAnsi" w:hAnsiTheme="majorHAnsi"/>
          <w:sz w:val="24"/>
          <w:szCs w:val="24"/>
          <w:lang w:val="hr-HR"/>
        </w:rPr>
        <w:t xml:space="preserve"> za odabir aktivnosti na </w:t>
      </w:r>
      <w:r w:rsidRPr="00150A08">
        <w:rPr>
          <w:rFonts w:asciiTheme="majorHAnsi" w:hAnsiTheme="majorHAnsi"/>
          <w:sz w:val="24"/>
          <w:szCs w:val="24"/>
          <w:lang w:val="hr-HR"/>
        </w:rPr>
        <w:t>niovu</w:t>
      </w:r>
      <w:r w:rsidR="000271D7" w:rsidRPr="00150A08">
        <w:rPr>
          <w:rFonts w:asciiTheme="majorHAnsi" w:hAnsiTheme="majorHAnsi"/>
          <w:sz w:val="24"/>
          <w:szCs w:val="24"/>
          <w:lang w:val="hr-HR"/>
        </w:rPr>
        <w:t xml:space="preserve"> SOP-a.</w:t>
      </w:r>
    </w:p>
    <w:p w:rsidR="000271D7" w:rsidRPr="00150A08" w:rsidRDefault="000271D7" w:rsidP="007E1F50">
      <w:pPr>
        <w:rPr>
          <w:rFonts w:asciiTheme="majorHAnsi" w:hAnsiTheme="majorHAnsi"/>
          <w:sz w:val="24"/>
          <w:szCs w:val="24"/>
          <w:lang w:val="hr-HR"/>
        </w:rPr>
      </w:pPr>
      <w:r w:rsidRPr="00150A08">
        <w:rPr>
          <w:rFonts w:asciiTheme="majorHAnsi" w:hAnsiTheme="majorHAnsi"/>
          <w:sz w:val="24"/>
          <w:szCs w:val="24"/>
          <w:lang w:val="hr-HR"/>
        </w:rPr>
        <w:t xml:space="preserve">Na temelju kriterijuma za odabir </w:t>
      </w:r>
      <w:r w:rsidR="004C6493" w:rsidRPr="00150A08">
        <w:rPr>
          <w:rFonts w:asciiTheme="majorHAnsi" w:hAnsiTheme="majorHAnsi"/>
          <w:sz w:val="24"/>
          <w:szCs w:val="24"/>
          <w:lang w:val="hr-HR"/>
        </w:rPr>
        <w:t>sektorsko</w:t>
      </w:r>
      <w:r w:rsidRPr="00150A08">
        <w:rPr>
          <w:rFonts w:asciiTheme="majorHAnsi" w:hAnsiTheme="majorHAnsi"/>
          <w:sz w:val="24"/>
          <w:szCs w:val="24"/>
          <w:lang w:val="hr-HR"/>
        </w:rPr>
        <w:t xml:space="preserve"> nadležno tijela/korisničke institucije će pripremiti OIS (obrazac za identifikaciju operacija)  koji će se podnijeti tijelu nadležnom za SOP/EK na odobrenje. Odobrenje OIS-a će biti temelj za razvoj i pripremu projektne dokumentacije za svaku aktivnost.</w:t>
      </w:r>
    </w:p>
    <w:p w:rsidR="000271D7" w:rsidRPr="00150A08" w:rsidRDefault="000271D7" w:rsidP="007E1F50">
      <w:pPr>
        <w:jc w:val="both"/>
        <w:rPr>
          <w:rFonts w:asciiTheme="majorHAnsi" w:hAnsiTheme="majorHAnsi"/>
          <w:sz w:val="24"/>
          <w:szCs w:val="24"/>
          <w:lang w:val="hr-HR"/>
        </w:rPr>
      </w:pPr>
      <w:r w:rsidRPr="00150A08">
        <w:rPr>
          <w:rFonts w:asciiTheme="majorHAnsi" w:hAnsiTheme="majorHAnsi"/>
          <w:sz w:val="24"/>
          <w:szCs w:val="24"/>
          <w:lang w:val="hr-HR"/>
        </w:rPr>
        <w:t xml:space="preserve">Aktivnosti će se sprovoditi kao </w:t>
      </w:r>
      <w:r w:rsidR="004C6493" w:rsidRPr="00150A08">
        <w:rPr>
          <w:rFonts w:asciiTheme="majorHAnsi" w:hAnsiTheme="majorHAnsi"/>
          <w:sz w:val="24"/>
          <w:szCs w:val="24"/>
          <w:lang w:val="hr-HR"/>
        </w:rPr>
        <w:t xml:space="preserve">direktni grant,  </w:t>
      </w:r>
      <w:r w:rsidRPr="00150A08">
        <w:rPr>
          <w:rFonts w:asciiTheme="majorHAnsi" w:hAnsiTheme="majorHAnsi"/>
          <w:sz w:val="24"/>
          <w:szCs w:val="24"/>
          <w:lang w:val="hr-HR"/>
        </w:rPr>
        <w:t xml:space="preserve">dodjele bespovratnih sredstava, ugovori o uslugama, ugovori o nabavci roba, i kao ugovori o radovima. </w:t>
      </w:r>
    </w:p>
    <w:p w:rsidR="000271D7" w:rsidRPr="00150A08" w:rsidRDefault="000271D7" w:rsidP="007E1F50">
      <w:pPr>
        <w:rPr>
          <w:rFonts w:asciiTheme="majorHAnsi" w:hAnsiTheme="majorHAnsi"/>
          <w:sz w:val="24"/>
          <w:szCs w:val="24"/>
          <w:lang w:val="hr-HR"/>
        </w:rPr>
      </w:pPr>
      <w:r w:rsidRPr="00150A08">
        <w:rPr>
          <w:rFonts w:asciiTheme="majorHAnsi" w:hAnsiTheme="majorHAnsi"/>
          <w:sz w:val="24"/>
          <w:szCs w:val="24"/>
          <w:lang w:val="hr-HR"/>
        </w:rPr>
        <w:t>Kriteriji</w:t>
      </w:r>
      <w:r w:rsidR="008263BE" w:rsidRPr="00150A08">
        <w:rPr>
          <w:rFonts w:asciiTheme="majorHAnsi" w:hAnsiTheme="majorHAnsi"/>
          <w:sz w:val="24"/>
          <w:szCs w:val="24"/>
          <w:lang w:val="hr-HR"/>
        </w:rPr>
        <w:t>umi</w:t>
      </w:r>
      <w:r w:rsidRPr="00150A08">
        <w:rPr>
          <w:rFonts w:asciiTheme="majorHAnsi" w:hAnsiTheme="majorHAnsi"/>
          <w:sz w:val="24"/>
          <w:szCs w:val="24"/>
          <w:lang w:val="hr-HR"/>
        </w:rPr>
        <w:t xml:space="preserve"> za odabir aktivnosti uključuju minimalno:</w:t>
      </w:r>
    </w:p>
    <w:p w:rsidR="000271D7" w:rsidRPr="00150A08" w:rsidRDefault="000271D7" w:rsidP="007E1F50">
      <w:pPr>
        <w:numPr>
          <w:ilvl w:val="0"/>
          <w:numId w:val="34"/>
        </w:numPr>
        <w:rPr>
          <w:rFonts w:asciiTheme="majorHAnsi" w:hAnsiTheme="majorHAnsi"/>
          <w:sz w:val="24"/>
          <w:szCs w:val="24"/>
          <w:lang w:val="hr-HR"/>
        </w:rPr>
      </w:pPr>
      <w:r w:rsidRPr="00150A08">
        <w:rPr>
          <w:rFonts w:asciiTheme="majorHAnsi" w:hAnsiTheme="majorHAnsi"/>
          <w:sz w:val="24"/>
          <w:szCs w:val="24"/>
          <w:lang w:val="hr-HR"/>
        </w:rPr>
        <w:t>usklađenost i doprinos prijedloga aktivnosti  ostvarivanju ciljeva utvrđenih u relevantnim nacionalnim, strateškim dokumentima</w:t>
      </w:r>
      <w:r w:rsidR="004C6493" w:rsidRPr="00150A08">
        <w:rPr>
          <w:rFonts w:asciiTheme="majorHAnsi" w:hAnsiTheme="majorHAnsi"/>
          <w:sz w:val="24"/>
          <w:szCs w:val="24"/>
          <w:lang w:val="hr-HR"/>
        </w:rPr>
        <w:t>;</w:t>
      </w:r>
    </w:p>
    <w:p w:rsidR="000271D7" w:rsidRPr="00150A08" w:rsidRDefault="000271D7" w:rsidP="007E1F50">
      <w:pPr>
        <w:numPr>
          <w:ilvl w:val="0"/>
          <w:numId w:val="34"/>
        </w:numPr>
        <w:rPr>
          <w:rFonts w:asciiTheme="majorHAnsi" w:hAnsiTheme="majorHAnsi"/>
          <w:sz w:val="24"/>
          <w:szCs w:val="24"/>
          <w:lang w:val="hr-HR"/>
        </w:rPr>
      </w:pPr>
      <w:r w:rsidRPr="00150A08">
        <w:rPr>
          <w:rFonts w:asciiTheme="majorHAnsi" w:hAnsiTheme="majorHAnsi"/>
          <w:sz w:val="24"/>
          <w:szCs w:val="24"/>
          <w:lang w:val="hr-HR"/>
        </w:rPr>
        <w:t xml:space="preserve"> relevantnost i važnost aktivnosti za ostvarivanje ciljeva i indikatora  SOP-a; </w:t>
      </w:r>
    </w:p>
    <w:p w:rsidR="000271D7" w:rsidRPr="00150A08" w:rsidRDefault="000271D7" w:rsidP="007E1F50">
      <w:pPr>
        <w:numPr>
          <w:ilvl w:val="0"/>
          <w:numId w:val="34"/>
        </w:numPr>
        <w:rPr>
          <w:rFonts w:asciiTheme="majorHAnsi" w:hAnsiTheme="majorHAnsi"/>
          <w:sz w:val="24"/>
          <w:szCs w:val="24"/>
          <w:lang w:val="hr-HR"/>
        </w:rPr>
      </w:pPr>
      <w:r w:rsidRPr="00150A08">
        <w:rPr>
          <w:rFonts w:asciiTheme="majorHAnsi" w:hAnsiTheme="majorHAnsi"/>
          <w:sz w:val="24"/>
          <w:szCs w:val="24"/>
          <w:lang w:val="hr-HR"/>
        </w:rPr>
        <w:t xml:space="preserve">jasno određene i opisane ciljne grupe i njihove potrebe u pogledu ciljeva SOP-a; </w:t>
      </w:r>
    </w:p>
    <w:p w:rsidR="000271D7" w:rsidRPr="00150A08" w:rsidRDefault="000271D7" w:rsidP="007E1F50">
      <w:pPr>
        <w:numPr>
          <w:ilvl w:val="0"/>
          <w:numId w:val="34"/>
        </w:numPr>
        <w:rPr>
          <w:rFonts w:asciiTheme="majorHAnsi" w:hAnsiTheme="majorHAnsi"/>
          <w:sz w:val="24"/>
          <w:szCs w:val="24"/>
          <w:lang w:val="hr-HR"/>
        </w:rPr>
      </w:pPr>
      <w:r w:rsidRPr="00150A08">
        <w:rPr>
          <w:rFonts w:asciiTheme="majorHAnsi" w:hAnsiTheme="majorHAnsi"/>
          <w:sz w:val="24"/>
          <w:szCs w:val="24"/>
          <w:lang w:val="hr-HR"/>
        </w:rPr>
        <w:t>kvaliteta prijedloga projekta;</w:t>
      </w:r>
    </w:p>
    <w:p w:rsidR="000271D7" w:rsidRPr="00150A08" w:rsidRDefault="000271D7" w:rsidP="007E1F50">
      <w:pPr>
        <w:jc w:val="both"/>
        <w:rPr>
          <w:rFonts w:asciiTheme="majorHAnsi" w:hAnsiTheme="majorHAnsi"/>
          <w:sz w:val="24"/>
          <w:szCs w:val="24"/>
          <w:lang w:val="hr-HR"/>
        </w:rPr>
      </w:pPr>
      <w:r w:rsidRPr="00150A08">
        <w:rPr>
          <w:rFonts w:asciiTheme="majorHAnsi" w:hAnsiTheme="majorHAnsi"/>
          <w:sz w:val="24"/>
          <w:szCs w:val="24"/>
          <w:lang w:val="hr-HR"/>
        </w:rPr>
        <w:t>sposobnost podnositelja zahtjeva za sprovođenje aktivnosti.</w:t>
      </w:r>
    </w:p>
    <w:sectPr w:rsidR="000271D7" w:rsidRPr="00150A08" w:rsidSect="00D84394">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7FD" w:rsidRDefault="00EC77FD" w:rsidP="0084571F">
      <w:pPr>
        <w:spacing w:after="0" w:line="240" w:lineRule="auto"/>
      </w:pPr>
      <w:r>
        <w:separator/>
      </w:r>
    </w:p>
  </w:endnote>
  <w:endnote w:type="continuationSeparator" w:id="0">
    <w:p w:rsidR="00EC77FD" w:rsidRDefault="00EC77FD" w:rsidP="00845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785905"/>
      <w:docPartObj>
        <w:docPartGallery w:val="Page Numbers (Bottom of Page)"/>
        <w:docPartUnique/>
      </w:docPartObj>
    </w:sdtPr>
    <w:sdtEndPr>
      <w:rPr>
        <w:noProof/>
      </w:rPr>
    </w:sdtEndPr>
    <w:sdtContent>
      <w:p w:rsidR="00D84394" w:rsidRDefault="00A94AFA">
        <w:pPr>
          <w:pStyle w:val="Footer"/>
          <w:jc w:val="right"/>
        </w:pPr>
        <w:r>
          <w:fldChar w:fldCharType="begin"/>
        </w:r>
        <w:r w:rsidR="00D84394">
          <w:instrText xml:space="preserve"> PAGE   \* MERGEFORMAT </w:instrText>
        </w:r>
        <w:r>
          <w:fldChar w:fldCharType="separate"/>
        </w:r>
        <w:r w:rsidR="00763376">
          <w:rPr>
            <w:noProof/>
          </w:rPr>
          <w:t>2</w:t>
        </w:r>
        <w:r>
          <w:rPr>
            <w:noProof/>
          </w:rPr>
          <w:fldChar w:fldCharType="end"/>
        </w:r>
      </w:p>
    </w:sdtContent>
  </w:sdt>
  <w:p w:rsidR="00E21DF3" w:rsidRDefault="00E21D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485" w:rsidRDefault="00A16485">
    <w:pPr>
      <w:pStyle w:val="Footer"/>
      <w:jc w:val="right"/>
    </w:pPr>
  </w:p>
  <w:p w:rsidR="00E21DF3" w:rsidRDefault="00E21D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A48" w:rsidRDefault="00063A48">
    <w:pPr>
      <w:pStyle w:val="Footer"/>
      <w:jc w:val="right"/>
    </w:pPr>
    <w:r>
      <w:t>3</w:t>
    </w:r>
  </w:p>
  <w:p w:rsidR="00063A48" w:rsidRDefault="00063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7FD" w:rsidRDefault="00EC77FD" w:rsidP="0084571F">
      <w:pPr>
        <w:spacing w:after="0" w:line="240" w:lineRule="auto"/>
      </w:pPr>
      <w:r>
        <w:separator/>
      </w:r>
    </w:p>
  </w:footnote>
  <w:footnote w:type="continuationSeparator" w:id="0">
    <w:p w:rsidR="00EC77FD" w:rsidRDefault="00EC77FD" w:rsidP="0084571F">
      <w:pPr>
        <w:spacing w:after="0" w:line="240" w:lineRule="auto"/>
      </w:pPr>
      <w:r>
        <w:continuationSeparator/>
      </w:r>
    </w:p>
  </w:footnote>
  <w:footnote w:id="1">
    <w:p w:rsidR="00E21DF3" w:rsidRPr="004D18DA" w:rsidRDefault="00E21DF3" w:rsidP="00DC219F">
      <w:pPr>
        <w:pStyle w:val="FootnoteText"/>
        <w:spacing w:after="0"/>
        <w:ind w:left="142" w:hanging="142"/>
        <w:rPr>
          <w:rFonts w:asciiTheme="majorHAnsi" w:hAnsiTheme="majorHAnsi"/>
          <w:sz w:val="18"/>
          <w:szCs w:val="18"/>
        </w:rPr>
      </w:pPr>
      <w:r w:rsidRPr="0059716F">
        <w:rPr>
          <w:rStyle w:val="FootnoteReference"/>
          <w:rFonts w:eastAsia="Calibri"/>
        </w:rPr>
        <w:footnoteRef/>
      </w:r>
      <w:r w:rsidRPr="0059716F">
        <w:t xml:space="preserve"> </w:t>
      </w:r>
      <w:r w:rsidRPr="004D18DA">
        <w:rPr>
          <w:rFonts w:asciiTheme="majorHAnsi" w:hAnsiTheme="majorHAnsi"/>
        </w:rPr>
        <w:t>Prema podacima MONSTATA-a (Anketa o radnoj snazi), stopa nezaposlenosti je u 2008.godini iznosila  16,7%,dok je porasla na 19,5 % u 2013. godini. Stopa siromaštva je sa 4,9% u 2008.godini porasla na 8,6% u 2013. godini</w:t>
      </w:r>
    </w:p>
  </w:footnote>
  <w:footnote w:id="2">
    <w:p w:rsidR="00E21DF3" w:rsidRPr="004D18DA" w:rsidRDefault="00E21DF3" w:rsidP="00DC219F">
      <w:pPr>
        <w:pStyle w:val="FootnoteText"/>
        <w:spacing w:after="0"/>
        <w:rPr>
          <w:rFonts w:asciiTheme="majorHAnsi" w:hAnsiTheme="majorHAnsi"/>
          <w:sz w:val="18"/>
          <w:szCs w:val="18"/>
        </w:rPr>
      </w:pPr>
      <w:r w:rsidRPr="004D18DA">
        <w:rPr>
          <w:rStyle w:val="FootnoteReference"/>
          <w:rFonts w:asciiTheme="majorHAnsi" w:eastAsia="Calibri" w:hAnsiTheme="majorHAnsi"/>
          <w:sz w:val="18"/>
          <w:szCs w:val="18"/>
        </w:rPr>
        <w:footnoteRef/>
      </w:r>
      <w:r w:rsidRPr="004D18DA">
        <w:rPr>
          <w:rFonts w:asciiTheme="majorHAnsi" w:hAnsiTheme="majorHAnsi"/>
          <w:sz w:val="18"/>
          <w:szCs w:val="18"/>
        </w:rPr>
        <w:t xml:space="preserve"> </w:t>
      </w:r>
      <w:r w:rsidRPr="004D18DA">
        <w:rPr>
          <w:rFonts w:asciiTheme="majorHAnsi" w:hAnsiTheme="majorHAnsi"/>
          <w:lang w:val="pl-PL"/>
        </w:rPr>
        <w:t>Indikativni strateški dokument za Crnu Goru (2014-2020), usvojen je 18 avgusta 2014.godine</w:t>
      </w:r>
    </w:p>
  </w:footnote>
  <w:footnote w:id="3">
    <w:p w:rsidR="00E21DF3" w:rsidRPr="004D18DA" w:rsidRDefault="00E21DF3" w:rsidP="00DC219F">
      <w:pPr>
        <w:pStyle w:val="FootnoteText"/>
        <w:spacing w:after="0"/>
        <w:rPr>
          <w:rFonts w:asciiTheme="majorHAnsi" w:hAnsiTheme="majorHAnsi"/>
          <w:sz w:val="18"/>
          <w:szCs w:val="18"/>
        </w:rPr>
      </w:pPr>
      <w:r w:rsidRPr="004D18DA">
        <w:rPr>
          <w:rStyle w:val="FootnoteReference"/>
          <w:rFonts w:asciiTheme="majorHAnsi" w:eastAsia="Calibri" w:hAnsiTheme="majorHAnsi"/>
          <w:sz w:val="18"/>
          <w:szCs w:val="18"/>
        </w:rPr>
        <w:footnoteRef/>
      </w:r>
      <w:r w:rsidRPr="004D18DA">
        <w:rPr>
          <w:rFonts w:asciiTheme="majorHAnsi" w:hAnsiTheme="majorHAnsi"/>
          <w:sz w:val="18"/>
          <w:szCs w:val="18"/>
          <w:lang w:val="en-US"/>
        </w:rPr>
        <w:t xml:space="preserve"> </w:t>
      </w:r>
      <w:r w:rsidRPr="004D18DA">
        <w:rPr>
          <w:rFonts w:asciiTheme="majorHAnsi" w:hAnsiTheme="majorHAnsi"/>
          <w:lang w:val="pl-PL"/>
        </w:rPr>
        <w:t>Izvještaj o napretku Crne Gore za 2014. godinu, decembar 2014.godine</w:t>
      </w:r>
    </w:p>
  </w:footnote>
  <w:footnote w:id="4">
    <w:p w:rsidR="00E21DF3" w:rsidRDefault="00E21DF3" w:rsidP="00DC219F">
      <w:pPr>
        <w:pStyle w:val="FootnoteText"/>
        <w:spacing w:after="0"/>
        <w:ind w:left="110" w:hanging="110"/>
      </w:pPr>
      <w:r w:rsidRPr="004D18DA">
        <w:rPr>
          <w:rStyle w:val="FootnoteReference"/>
          <w:rFonts w:asciiTheme="majorHAnsi" w:eastAsia="Calibri" w:hAnsiTheme="majorHAnsi"/>
          <w:sz w:val="18"/>
          <w:szCs w:val="18"/>
        </w:rPr>
        <w:footnoteRef/>
      </w:r>
      <w:r w:rsidRPr="004D18DA">
        <w:rPr>
          <w:rFonts w:asciiTheme="majorHAnsi" w:hAnsiTheme="majorHAnsi"/>
          <w:sz w:val="18"/>
          <w:szCs w:val="18"/>
          <w:lang w:val="en-US"/>
        </w:rPr>
        <w:t xml:space="preserve"> </w:t>
      </w:r>
      <w:r w:rsidRPr="004D18DA">
        <w:rPr>
          <w:rFonts w:asciiTheme="majorHAnsi" w:hAnsiTheme="majorHAnsi"/>
          <w:lang w:val="pl-PL"/>
        </w:rPr>
        <w:t>Izvještaj o analitičkom pregledu usklađenosti zakonodavstva Crne Gore za Poglavlje 19 – Socijalna politika i zapošljavanje (februar 2014. godine)</w:t>
      </w:r>
    </w:p>
  </w:footnote>
  <w:footnote w:id="5">
    <w:p w:rsidR="00E21DF3" w:rsidRPr="00F144B0" w:rsidRDefault="00E21DF3">
      <w:pPr>
        <w:pStyle w:val="FootnoteText"/>
      </w:pPr>
      <w:r>
        <w:rPr>
          <w:rStyle w:val="FootnoteReference"/>
        </w:rPr>
        <w:footnoteRef/>
      </w:r>
      <w:r>
        <w:t xml:space="preserve"> </w:t>
      </w:r>
      <w:r w:rsidRPr="004D18DA">
        <w:rPr>
          <w:rFonts w:asciiTheme="majorHAnsi" w:hAnsiTheme="majorHAnsi"/>
        </w:rPr>
        <w:t>U toku je izrada nove Nacionalne strategije zapošljavanja i razvoja ljudskih resursa za period 2016-2020, čije se usvajanje očekuje do kraja 2015.godine. Osim postojećih, strategija će sadržati novi prioritet: efikasno funkcionisanje tržišta rada.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DF3" w:rsidRDefault="00E21D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BAD"/>
    <w:multiLevelType w:val="multilevel"/>
    <w:tmpl w:val="79321494"/>
    <w:lvl w:ilvl="0">
      <w:start w:val="1"/>
      <w:numFmt w:val="none"/>
      <w:lvlText w:val="4.6.1.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66913BD"/>
    <w:multiLevelType w:val="hybridMultilevel"/>
    <w:tmpl w:val="35543686"/>
    <w:lvl w:ilvl="0" w:tplc="0840D3F0">
      <w:start w:val="1"/>
      <w:numFmt w:val="decimal"/>
      <w:lvlText w:val="%1."/>
      <w:lvlJc w:val="left"/>
      <w:pPr>
        <w:ind w:left="393" w:hanging="360"/>
      </w:pPr>
      <w:rPr>
        <w:rFonts w:hint="default"/>
        <w:u w:val="none"/>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
    <w:nsid w:val="07CD7338"/>
    <w:multiLevelType w:val="hybridMultilevel"/>
    <w:tmpl w:val="0EE6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D36F8"/>
    <w:multiLevelType w:val="multilevel"/>
    <w:tmpl w:val="1B6C6DD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U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0C40275C"/>
    <w:multiLevelType w:val="hybridMultilevel"/>
    <w:tmpl w:val="66DA5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F42A2C"/>
    <w:multiLevelType w:val="hybridMultilevel"/>
    <w:tmpl w:val="9A8086C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nsid w:val="188444D5"/>
    <w:multiLevelType w:val="hybridMultilevel"/>
    <w:tmpl w:val="D47ACF7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
    <w:nsid w:val="1C786365"/>
    <w:multiLevelType w:val="multilevel"/>
    <w:tmpl w:val="B9406714"/>
    <w:lvl w:ilvl="0">
      <w:start w:val="1"/>
      <w:numFmt w:val="decimal"/>
      <w:lvlText w:val="%1."/>
      <w:lvlJc w:val="left"/>
      <w:pPr>
        <w:ind w:left="720" w:hanging="360"/>
      </w:pPr>
      <w:rPr>
        <w:b/>
      </w:rPr>
    </w:lvl>
    <w:lvl w:ilvl="1">
      <w:start w:val="6"/>
      <w:numFmt w:val="decimal"/>
      <w:isLgl/>
      <w:lvlText w:val="%1.%2."/>
      <w:lvlJc w:val="left"/>
      <w:pPr>
        <w:ind w:left="1200" w:hanging="840"/>
      </w:pPr>
      <w:rPr>
        <w:rFonts w:hint="default"/>
      </w:rPr>
    </w:lvl>
    <w:lvl w:ilvl="2">
      <w:start w:val="3"/>
      <w:numFmt w:val="decimal"/>
      <w:isLgl/>
      <w:lvlText w:val="%1.%2.%3."/>
      <w:lvlJc w:val="left"/>
      <w:pPr>
        <w:ind w:left="1200" w:hanging="8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E141714"/>
    <w:multiLevelType w:val="hybridMultilevel"/>
    <w:tmpl w:val="186E8398"/>
    <w:lvl w:ilvl="0" w:tplc="07B287D2">
      <w:start w:val="1"/>
      <w:numFmt w:val="bullet"/>
      <w:lvlText w:val="•"/>
      <w:lvlJc w:val="left"/>
      <w:pPr>
        <w:tabs>
          <w:tab w:val="num" w:pos="720"/>
        </w:tabs>
        <w:ind w:left="720" w:hanging="360"/>
      </w:pPr>
      <w:rPr>
        <w:rFonts w:ascii="Arial" w:hAnsi="Arial" w:hint="default"/>
      </w:rPr>
    </w:lvl>
    <w:lvl w:ilvl="1" w:tplc="2E9A1F40" w:tentative="1">
      <w:start w:val="1"/>
      <w:numFmt w:val="bullet"/>
      <w:lvlText w:val="•"/>
      <w:lvlJc w:val="left"/>
      <w:pPr>
        <w:tabs>
          <w:tab w:val="num" w:pos="1440"/>
        </w:tabs>
        <w:ind w:left="1440" w:hanging="360"/>
      </w:pPr>
      <w:rPr>
        <w:rFonts w:ascii="Arial" w:hAnsi="Arial" w:hint="default"/>
      </w:rPr>
    </w:lvl>
    <w:lvl w:ilvl="2" w:tplc="3ACAACC6" w:tentative="1">
      <w:start w:val="1"/>
      <w:numFmt w:val="bullet"/>
      <w:lvlText w:val="•"/>
      <w:lvlJc w:val="left"/>
      <w:pPr>
        <w:tabs>
          <w:tab w:val="num" w:pos="2160"/>
        </w:tabs>
        <w:ind w:left="2160" w:hanging="360"/>
      </w:pPr>
      <w:rPr>
        <w:rFonts w:ascii="Arial" w:hAnsi="Arial" w:hint="default"/>
      </w:rPr>
    </w:lvl>
    <w:lvl w:ilvl="3" w:tplc="9B963882" w:tentative="1">
      <w:start w:val="1"/>
      <w:numFmt w:val="bullet"/>
      <w:lvlText w:val="•"/>
      <w:lvlJc w:val="left"/>
      <w:pPr>
        <w:tabs>
          <w:tab w:val="num" w:pos="2880"/>
        </w:tabs>
        <w:ind w:left="2880" w:hanging="360"/>
      </w:pPr>
      <w:rPr>
        <w:rFonts w:ascii="Arial" w:hAnsi="Arial" w:hint="default"/>
      </w:rPr>
    </w:lvl>
    <w:lvl w:ilvl="4" w:tplc="2D08000E" w:tentative="1">
      <w:start w:val="1"/>
      <w:numFmt w:val="bullet"/>
      <w:lvlText w:val="•"/>
      <w:lvlJc w:val="left"/>
      <w:pPr>
        <w:tabs>
          <w:tab w:val="num" w:pos="3600"/>
        </w:tabs>
        <w:ind w:left="3600" w:hanging="360"/>
      </w:pPr>
      <w:rPr>
        <w:rFonts w:ascii="Arial" w:hAnsi="Arial" w:hint="default"/>
      </w:rPr>
    </w:lvl>
    <w:lvl w:ilvl="5" w:tplc="6F4AD2AE" w:tentative="1">
      <w:start w:val="1"/>
      <w:numFmt w:val="bullet"/>
      <w:lvlText w:val="•"/>
      <w:lvlJc w:val="left"/>
      <w:pPr>
        <w:tabs>
          <w:tab w:val="num" w:pos="4320"/>
        </w:tabs>
        <w:ind w:left="4320" w:hanging="360"/>
      </w:pPr>
      <w:rPr>
        <w:rFonts w:ascii="Arial" w:hAnsi="Arial" w:hint="default"/>
      </w:rPr>
    </w:lvl>
    <w:lvl w:ilvl="6" w:tplc="E848A02C" w:tentative="1">
      <w:start w:val="1"/>
      <w:numFmt w:val="bullet"/>
      <w:lvlText w:val="•"/>
      <w:lvlJc w:val="left"/>
      <w:pPr>
        <w:tabs>
          <w:tab w:val="num" w:pos="5040"/>
        </w:tabs>
        <w:ind w:left="5040" w:hanging="360"/>
      </w:pPr>
      <w:rPr>
        <w:rFonts w:ascii="Arial" w:hAnsi="Arial" w:hint="default"/>
      </w:rPr>
    </w:lvl>
    <w:lvl w:ilvl="7" w:tplc="5E18357A" w:tentative="1">
      <w:start w:val="1"/>
      <w:numFmt w:val="bullet"/>
      <w:lvlText w:val="•"/>
      <w:lvlJc w:val="left"/>
      <w:pPr>
        <w:tabs>
          <w:tab w:val="num" w:pos="5760"/>
        </w:tabs>
        <w:ind w:left="5760" w:hanging="360"/>
      </w:pPr>
      <w:rPr>
        <w:rFonts w:ascii="Arial" w:hAnsi="Arial" w:hint="default"/>
      </w:rPr>
    </w:lvl>
    <w:lvl w:ilvl="8" w:tplc="1102DB30" w:tentative="1">
      <w:start w:val="1"/>
      <w:numFmt w:val="bullet"/>
      <w:lvlText w:val="•"/>
      <w:lvlJc w:val="left"/>
      <w:pPr>
        <w:tabs>
          <w:tab w:val="num" w:pos="6480"/>
        </w:tabs>
        <w:ind w:left="6480" w:hanging="360"/>
      </w:pPr>
      <w:rPr>
        <w:rFonts w:ascii="Arial" w:hAnsi="Arial" w:hint="default"/>
      </w:rPr>
    </w:lvl>
  </w:abstractNum>
  <w:abstractNum w:abstractNumId="9">
    <w:nsid w:val="24D3768D"/>
    <w:multiLevelType w:val="hybridMultilevel"/>
    <w:tmpl w:val="932688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5D35627"/>
    <w:multiLevelType w:val="hybridMultilevel"/>
    <w:tmpl w:val="DF22A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2A0A79"/>
    <w:multiLevelType w:val="hybridMultilevel"/>
    <w:tmpl w:val="7606556A"/>
    <w:lvl w:ilvl="0" w:tplc="83C23812">
      <w:start w:val="3"/>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320D65D9"/>
    <w:multiLevelType w:val="hybridMultilevel"/>
    <w:tmpl w:val="1C462BA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nsid w:val="333A6B05"/>
    <w:multiLevelType w:val="hybridMultilevel"/>
    <w:tmpl w:val="BFD4A2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33F2D07"/>
    <w:multiLevelType w:val="hybridMultilevel"/>
    <w:tmpl w:val="D9F2D3C8"/>
    <w:lvl w:ilvl="0" w:tplc="A200692A">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6D13819"/>
    <w:multiLevelType w:val="hybridMultilevel"/>
    <w:tmpl w:val="7650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482E85"/>
    <w:multiLevelType w:val="hybridMultilevel"/>
    <w:tmpl w:val="665679C4"/>
    <w:lvl w:ilvl="0" w:tplc="F2F8978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9A706A7"/>
    <w:multiLevelType w:val="hybridMultilevel"/>
    <w:tmpl w:val="B1A44E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DC20F0F"/>
    <w:multiLevelType w:val="hybridMultilevel"/>
    <w:tmpl w:val="B05C3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DB7D60"/>
    <w:multiLevelType w:val="multilevel"/>
    <w:tmpl w:val="468250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621D53"/>
    <w:multiLevelType w:val="multilevel"/>
    <w:tmpl w:val="B7547FB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42BE4751"/>
    <w:multiLevelType w:val="multilevel"/>
    <w:tmpl w:val="6114A24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3">
    <w:nsid w:val="487914B9"/>
    <w:multiLevelType w:val="hybridMultilevel"/>
    <w:tmpl w:val="42C6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F629DF"/>
    <w:multiLevelType w:val="multilevel"/>
    <w:tmpl w:val="F6C6C6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F1635A0"/>
    <w:multiLevelType w:val="multilevel"/>
    <w:tmpl w:val="BB4CF2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4620D1F"/>
    <w:multiLevelType w:val="multilevel"/>
    <w:tmpl w:val="43BE6348"/>
    <w:lvl w:ilvl="0">
      <w:start w:val="1"/>
      <w:numFmt w:val="decimal"/>
      <w:lvlRestart w:val="0"/>
      <w:lvlText w:val="%1."/>
      <w:lvlJc w:val="left"/>
      <w:pPr>
        <w:tabs>
          <w:tab w:val="num" w:pos="709"/>
        </w:tabs>
        <w:ind w:left="709" w:hanging="709"/>
      </w:pPr>
      <w:rPr>
        <w:rFonts w:cs="Times New Roman" w:hint="default"/>
      </w:rPr>
    </w:lvl>
    <w:lvl w:ilvl="1">
      <w:start w:val="1"/>
      <w:numFmt w:val="lowerLetter"/>
      <w:lvlText w:val="(%2)"/>
      <w:lvlJc w:val="left"/>
      <w:pPr>
        <w:tabs>
          <w:tab w:val="num" w:pos="1417"/>
        </w:tabs>
        <w:ind w:left="1417" w:hanging="708"/>
      </w:pPr>
      <w:rPr>
        <w:rFonts w:cs="Times New Roman" w:hint="default"/>
        <w:b w:val="0"/>
        <w:sz w:val="24"/>
        <w:szCs w:val="24"/>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59490A24"/>
    <w:multiLevelType w:val="hybridMultilevel"/>
    <w:tmpl w:val="9CCE3140"/>
    <w:lvl w:ilvl="0" w:tplc="F2F897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3F0EEC"/>
    <w:multiLevelType w:val="multilevel"/>
    <w:tmpl w:val="06843382"/>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29">
    <w:nsid w:val="5F6158B8"/>
    <w:multiLevelType w:val="hybridMultilevel"/>
    <w:tmpl w:val="C0F02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4960F9F"/>
    <w:multiLevelType w:val="hybridMultilevel"/>
    <w:tmpl w:val="7E0AD9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2">
    <w:nsid w:val="6FB66EDF"/>
    <w:multiLevelType w:val="hybridMultilevel"/>
    <w:tmpl w:val="48D8E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4B6DD9"/>
    <w:multiLevelType w:val="hybridMultilevel"/>
    <w:tmpl w:val="B4F4A5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7345643F"/>
    <w:multiLevelType w:val="multilevel"/>
    <w:tmpl w:val="0680DA5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5384182"/>
    <w:multiLevelType w:val="hybridMultilevel"/>
    <w:tmpl w:val="8E26D2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75EA6032"/>
    <w:multiLevelType w:val="hybridMultilevel"/>
    <w:tmpl w:val="35543686"/>
    <w:lvl w:ilvl="0" w:tplc="0840D3F0">
      <w:start w:val="1"/>
      <w:numFmt w:val="decimal"/>
      <w:lvlText w:val="%1."/>
      <w:lvlJc w:val="left"/>
      <w:pPr>
        <w:ind w:left="393" w:hanging="360"/>
      </w:pPr>
      <w:rPr>
        <w:rFonts w:hint="default"/>
        <w:u w:val="none"/>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37">
    <w:nsid w:val="7987088C"/>
    <w:multiLevelType w:val="multilevel"/>
    <w:tmpl w:val="36A23278"/>
    <w:lvl w:ilvl="0">
      <w:start w:val="4"/>
      <w:numFmt w:val="decimal"/>
      <w:lvlText w:val="%1."/>
      <w:lvlJc w:val="left"/>
      <w:pPr>
        <w:ind w:left="840" w:hanging="840"/>
      </w:pPr>
      <w:rPr>
        <w:rFonts w:hint="default"/>
      </w:rPr>
    </w:lvl>
    <w:lvl w:ilvl="1">
      <w:start w:val="6"/>
      <w:numFmt w:val="decimal"/>
      <w:lvlText w:val="%1.%2."/>
      <w:lvlJc w:val="left"/>
      <w:pPr>
        <w:ind w:left="960" w:hanging="840"/>
      </w:pPr>
      <w:rPr>
        <w:rFonts w:hint="default"/>
      </w:rPr>
    </w:lvl>
    <w:lvl w:ilvl="2">
      <w:start w:val="1"/>
      <w:numFmt w:val="decimal"/>
      <w:lvlText w:val="%1.%2.%3."/>
      <w:lvlJc w:val="left"/>
      <w:pPr>
        <w:ind w:left="1080" w:hanging="840"/>
      </w:pPr>
      <w:rPr>
        <w:rFonts w:hint="default"/>
      </w:rPr>
    </w:lvl>
    <w:lvl w:ilvl="3">
      <w:start w:val="3"/>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8">
    <w:nsid w:val="7E071618"/>
    <w:multiLevelType w:val="hybridMultilevel"/>
    <w:tmpl w:val="BAA0119A"/>
    <w:lvl w:ilvl="0" w:tplc="FFFFFFFF">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ECC3AFE"/>
    <w:multiLevelType w:val="hybridMultilevel"/>
    <w:tmpl w:val="A3B00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5"/>
  </w:num>
  <w:num w:numId="4">
    <w:abstractNumId w:val="18"/>
  </w:num>
  <w:num w:numId="5">
    <w:abstractNumId w:val="30"/>
  </w:num>
  <w:num w:numId="6">
    <w:abstractNumId w:val="1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0"/>
  </w:num>
  <w:num w:numId="10">
    <w:abstractNumId w:val="38"/>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31"/>
  </w:num>
  <w:num w:numId="16">
    <w:abstractNumId w:val="0"/>
  </w:num>
  <w:num w:numId="17">
    <w:abstractNumId w:val="33"/>
  </w:num>
  <w:num w:numId="18">
    <w:abstractNumId w:val="24"/>
  </w:num>
  <w:num w:numId="19">
    <w:abstractNumId w:val="14"/>
  </w:num>
  <w:num w:numId="20">
    <w:abstractNumId w:val="9"/>
  </w:num>
  <w:num w:numId="21">
    <w:abstractNumId w:val="7"/>
  </w:num>
  <w:num w:numId="22">
    <w:abstractNumId w:val="35"/>
  </w:num>
  <w:num w:numId="23">
    <w:abstractNumId w:val="32"/>
  </w:num>
  <w:num w:numId="24">
    <w:abstractNumId w:val="34"/>
  </w:num>
  <w:num w:numId="25">
    <w:abstractNumId w:val="28"/>
  </w:num>
  <w:num w:numId="26">
    <w:abstractNumId w:val="39"/>
  </w:num>
  <w:num w:numId="27">
    <w:abstractNumId w:val="10"/>
  </w:num>
  <w:num w:numId="28">
    <w:abstractNumId w:val="12"/>
  </w:num>
  <w:num w:numId="29">
    <w:abstractNumId w:val="16"/>
  </w:num>
  <w:num w:numId="30">
    <w:abstractNumId w:val="27"/>
  </w:num>
  <w:num w:numId="31">
    <w:abstractNumId w:val="4"/>
  </w:num>
  <w:num w:numId="32">
    <w:abstractNumId w:val="29"/>
  </w:num>
  <w:num w:numId="33">
    <w:abstractNumId w:val="17"/>
  </w:num>
  <w:num w:numId="34">
    <w:abstractNumId w:val="8"/>
  </w:num>
  <w:num w:numId="35">
    <w:abstractNumId w:val="6"/>
  </w:num>
  <w:num w:numId="36">
    <w:abstractNumId w:val="19"/>
  </w:num>
  <w:num w:numId="37">
    <w:abstractNumId w:val="2"/>
  </w:num>
  <w:num w:numId="38">
    <w:abstractNumId w:val="12"/>
  </w:num>
  <w:num w:numId="39">
    <w:abstractNumId w:val="1"/>
  </w:num>
  <w:num w:numId="40">
    <w:abstractNumId w:val="25"/>
  </w:num>
  <w:num w:numId="41">
    <w:abstractNumId w:val="37"/>
  </w:num>
  <w:num w:numId="42">
    <w:abstractNumId w:val="36"/>
  </w:num>
  <w:num w:numId="43">
    <w:abstractNumId w:val="1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1F"/>
    <w:rsid w:val="00005F40"/>
    <w:rsid w:val="00010C08"/>
    <w:rsid w:val="000271D7"/>
    <w:rsid w:val="00043745"/>
    <w:rsid w:val="00050A61"/>
    <w:rsid w:val="00061EF7"/>
    <w:rsid w:val="000629FC"/>
    <w:rsid w:val="00063A48"/>
    <w:rsid w:val="00077382"/>
    <w:rsid w:val="0008309C"/>
    <w:rsid w:val="00085040"/>
    <w:rsid w:val="00092B12"/>
    <w:rsid w:val="000943D8"/>
    <w:rsid w:val="000B61CD"/>
    <w:rsid w:val="000C116F"/>
    <w:rsid w:val="000C1DE2"/>
    <w:rsid w:val="000C5353"/>
    <w:rsid w:val="000C5E71"/>
    <w:rsid w:val="000C6598"/>
    <w:rsid w:val="000C65F9"/>
    <w:rsid w:val="000D3E8D"/>
    <w:rsid w:val="000E7BF1"/>
    <w:rsid w:val="000F0E0A"/>
    <w:rsid w:val="000F23E9"/>
    <w:rsid w:val="000F2FC1"/>
    <w:rsid w:val="000F4339"/>
    <w:rsid w:val="000F7C13"/>
    <w:rsid w:val="001138AD"/>
    <w:rsid w:val="001155C5"/>
    <w:rsid w:val="00122D7D"/>
    <w:rsid w:val="001372C2"/>
    <w:rsid w:val="00150A08"/>
    <w:rsid w:val="00162157"/>
    <w:rsid w:val="00165A1A"/>
    <w:rsid w:val="001768EC"/>
    <w:rsid w:val="00186208"/>
    <w:rsid w:val="00195792"/>
    <w:rsid w:val="001A1C5A"/>
    <w:rsid w:val="001A2E8E"/>
    <w:rsid w:val="001A5728"/>
    <w:rsid w:val="001A5B33"/>
    <w:rsid w:val="001A6348"/>
    <w:rsid w:val="001A6E1D"/>
    <w:rsid w:val="001B6383"/>
    <w:rsid w:val="001B6941"/>
    <w:rsid w:val="001C12CB"/>
    <w:rsid w:val="001C31E3"/>
    <w:rsid w:val="001C744C"/>
    <w:rsid w:val="001C7473"/>
    <w:rsid w:val="001D5AB4"/>
    <w:rsid w:val="001E2A47"/>
    <w:rsid w:val="001E5295"/>
    <w:rsid w:val="001E7AE9"/>
    <w:rsid w:val="001F7DCC"/>
    <w:rsid w:val="00205F79"/>
    <w:rsid w:val="00210EDD"/>
    <w:rsid w:val="00214DD0"/>
    <w:rsid w:val="002153C9"/>
    <w:rsid w:val="00224E77"/>
    <w:rsid w:val="00225B91"/>
    <w:rsid w:val="00236308"/>
    <w:rsid w:val="00241F37"/>
    <w:rsid w:val="0024664C"/>
    <w:rsid w:val="0025568E"/>
    <w:rsid w:val="00263FEF"/>
    <w:rsid w:val="002719E4"/>
    <w:rsid w:val="0028358E"/>
    <w:rsid w:val="00287275"/>
    <w:rsid w:val="00287E1B"/>
    <w:rsid w:val="00287FE1"/>
    <w:rsid w:val="0029121D"/>
    <w:rsid w:val="002A5682"/>
    <w:rsid w:val="002B2724"/>
    <w:rsid w:val="002E507E"/>
    <w:rsid w:val="002E651A"/>
    <w:rsid w:val="002F744D"/>
    <w:rsid w:val="00303D7E"/>
    <w:rsid w:val="00303DBC"/>
    <w:rsid w:val="00312962"/>
    <w:rsid w:val="00312B1D"/>
    <w:rsid w:val="00317901"/>
    <w:rsid w:val="00322825"/>
    <w:rsid w:val="003275A9"/>
    <w:rsid w:val="00333088"/>
    <w:rsid w:val="00337921"/>
    <w:rsid w:val="00341B12"/>
    <w:rsid w:val="00343DB7"/>
    <w:rsid w:val="00344E79"/>
    <w:rsid w:val="00345420"/>
    <w:rsid w:val="00345836"/>
    <w:rsid w:val="00353690"/>
    <w:rsid w:val="003604E0"/>
    <w:rsid w:val="003616F0"/>
    <w:rsid w:val="00365209"/>
    <w:rsid w:val="003724F8"/>
    <w:rsid w:val="00381FDC"/>
    <w:rsid w:val="00382C21"/>
    <w:rsid w:val="0039699F"/>
    <w:rsid w:val="003A0798"/>
    <w:rsid w:val="003A1E01"/>
    <w:rsid w:val="003D342F"/>
    <w:rsid w:val="003D6198"/>
    <w:rsid w:val="003E509E"/>
    <w:rsid w:val="003E6828"/>
    <w:rsid w:val="003F4FF7"/>
    <w:rsid w:val="003F51F7"/>
    <w:rsid w:val="00401C34"/>
    <w:rsid w:val="00411F60"/>
    <w:rsid w:val="004132D6"/>
    <w:rsid w:val="00417CC1"/>
    <w:rsid w:val="00425761"/>
    <w:rsid w:val="00426CDC"/>
    <w:rsid w:val="004446EF"/>
    <w:rsid w:val="0045763E"/>
    <w:rsid w:val="00470608"/>
    <w:rsid w:val="00472842"/>
    <w:rsid w:val="00475EBF"/>
    <w:rsid w:val="00486CA5"/>
    <w:rsid w:val="00491212"/>
    <w:rsid w:val="00493E45"/>
    <w:rsid w:val="004A5621"/>
    <w:rsid w:val="004B3920"/>
    <w:rsid w:val="004B432D"/>
    <w:rsid w:val="004C1459"/>
    <w:rsid w:val="004C5233"/>
    <w:rsid w:val="004C6493"/>
    <w:rsid w:val="004D18DA"/>
    <w:rsid w:val="004E6BCD"/>
    <w:rsid w:val="004E7393"/>
    <w:rsid w:val="004F1976"/>
    <w:rsid w:val="004F412D"/>
    <w:rsid w:val="0050058C"/>
    <w:rsid w:val="00502D0E"/>
    <w:rsid w:val="0050527D"/>
    <w:rsid w:val="00514F98"/>
    <w:rsid w:val="00522BBF"/>
    <w:rsid w:val="00533805"/>
    <w:rsid w:val="005428C2"/>
    <w:rsid w:val="00550C7B"/>
    <w:rsid w:val="00550FED"/>
    <w:rsid w:val="00566472"/>
    <w:rsid w:val="00576D10"/>
    <w:rsid w:val="005831AE"/>
    <w:rsid w:val="00585D4C"/>
    <w:rsid w:val="00593760"/>
    <w:rsid w:val="00594AED"/>
    <w:rsid w:val="005B353E"/>
    <w:rsid w:val="005B6C80"/>
    <w:rsid w:val="005C2C68"/>
    <w:rsid w:val="005D4BE0"/>
    <w:rsid w:val="005E287B"/>
    <w:rsid w:val="00600FC7"/>
    <w:rsid w:val="00607D3A"/>
    <w:rsid w:val="006142B5"/>
    <w:rsid w:val="0062348C"/>
    <w:rsid w:val="006315CE"/>
    <w:rsid w:val="006317DF"/>
    <w:rsid w:val="00633FC0"/>
    <w:rsid w:val="00640637"/>
    <w:rsid w:val="006444AC"/>
    <w:rsid w:val="00647543"/>
    <w:rsid w:val="006578D0"/>
    <w:rsid w:val="006736B9"/>
    <w:rsid w:val="0067783A"/>
    <w:rsid w:val="00677943"/>
    <w:rsid w:val="00692493"/>
    <w:rsid w:val="00697663"/>
    <w:rsid w:val="006A418B"/>
    <w:rsid w:val="006A4C15"/>
    <w:rsid w:val="006A5FFC"/>
    <w:rsid w:val="006A683F"/>
    <w:rsid w:val="006A7CF6"/>
    <w:rsid w:val="006C285A"/>
    <w:rsid w:val="006C51A4"/>
    <w:rsid w:val="006D048E"/>
    <w:rsid w:val="006D0745"/>
    <w:rsid w:val="006D78D8"/>
    <w:rsid w:val="006E7529"/>
    <w:rsid w:val="00701577"/>
    <w:rsid w:val="00704222"/>
    <w:rsid w:val="007353A0"/>
    <w:rsid w:val="00736EE7"/>
    <w:rsid w:val="00745466"/>
    <w:rsid w:val="00746821"/>
    <w:rsid w:val="00753067"/>
    <w:rsid w:val="00763376"/>
    <w:rsid w:val="00783CC4"/>
    <w:rsid w:val="0078712A"/>
    <w:rsid w:val="007A1D44"/>
    <w:rsid w:val="007B14FC"/>
    <w:rsid w:val="007B52BB"/>
    <w:rsid w:val="007C10C5"/>
    <w:rsid w:val="007C383E"/>
    <w:rsid w:val="007C3F78"/>
    <w:rsid w:val="007D3D54"/>
    <w:rsid w:val="007E04DE"/>
    <w:rsid w:val="007E1F50"/>
    <w:rsid w:val="007E4A35"/>
    <w:rsid w:val="007E4C3C"/>
    <w:rsid w:val="007E71A7"/>
    <w:rsid w:val="007F0227"/>
    <w:rsid w:val="007F716F"/>
    <w:rsid w:val="008060DA"/>
    <w:rsid w:val="008129C3"/>
    <w:rsid w:val="008263BE"/>
    <w:rsid w:val="008272D8"/>
    <w:rsid w:val="00831141"/>
    <w:rsid w:val="0083276C"/>
    <w:rsid w:val="0084571F"/>
    <w:rsid w:val="00846F1C"/>
    <w:rsid w:val="00847C05"/>
    <w:rsid w:val="00847E9C"/>
    <w:rsid w:val="00850451"/>
    <w:rsid w:val="0085795C"/>
    <w:rsid w:val="008669E2"/>
    <w:rsid w:val="00882FA7"/>
    <w:rsid w:val="008945DF"/>
    <w:rsid w:val="008946BB"/>
    <w:rsid w:val="008B00D1"/>
    <w:rsid w:val="008B61CF"/>
    <w:rsid w:val="008B6F94"/>
    <w:rsid w:val="008D618E"/>
    <w:rsid w:val="008D6BB3"/>
    <w:rsid w:val="008D7955"/>
    <w:rsid w:val="008E2247"/>
    <w:rsid w:val="008F26A8"/>
    <w:rsid w:val="008F5ECE"/>
    <w:rsid w:val="00901224"/>
    <w:rsid w:val="0091015F"/>
    <w:rsid w:val="00911A57"/>
    <w:rsid w:val="009200EB"/>
    <w:rsid w:val="0092468A"/>
    <w:rsid w:val="0094191B"/>
    <w:rsid w:val="009512FE"/>
    <w:rsid w:val="00951EA9"/>
    <w:rsid w:val="009638D8"/>
    <w:rsid w:val="00967498"/>
    <w:rsid w:val="00996A3C"/>
    <w:rsid w:val="0099772D"/>
    <w:rsid w:val="009A396B"/>
    <w:rsid w:val="009B08B2"/>
    <w:rsid w:val="009C4239"/>
    <w:rsid w:val="009D7EC1"/>
    <w:rsid w:val="009E57A3"/>
    <w:rsid w:val="009E7509"/>
    <w:rsid w:val="009F5746"/>
    <w:rsid w:val="00A063E7"/>
    <w:rsid w:val="00A15BCC"/>
    <w:rsid w:val="00A16485"/>
    <w:rsid w:val="00A42D19"/>
    <w:rsid w:val="00A70F11"/>
    <w:rsid w:val="00A7560D"/>
    <w:rsid w:val="00A81615"/>
    <w:rsid w:val="00A85CCA"/>
    <w:rsid w:val="00A94AFA"/>
    <w:rsid w:val="00A95142"/>
    <w:rsid w:val="00A96071"/>
    <w:rsid w:val="00AA02E5"/>
    <w:rsid w:val="00AA2C05"/>
    <w:rsid w:val="00AA4CD3"/>
    <w:rsid w:val="00AA7D5F"/>
    <w:rsid w:val="00AB4A71"/>
    <w:rsid w:val="00AB73CA"/>
    <w:rsid w:val="00AE6924"/>
    <w:rsid w:val="00AF35B6"/>
    <w:rsid w:val="00AF5281"/>
    <w:rsid w:val="00B02715"/>
    <w:rsid w:val="00B05F50"/>
    <w:rsid w:val="00B12F19"/>
    <w:rsid w:val="00B1618E"/>
    <w:rsid w:val="00B261C8"/>
    <w:rsid w:val="00B272BB"/>
    <w:rsid w:val="00B53C19"/>
    <w:rsid w:val="00B656A5"/>
    <w:rsid w:val="00B741D9"/>
    <w:rsid w:val="00B87880"/>
    <w:rsid w:val="00BA0E15"/>
    <w:rsid w:val="00BC759D"/>
    <w:rsid w:val="00BD14D8"/>
    <w:rsid w:val="00BD787C"/>
    <w:rsid w:val="00BE35EB"/>
    <w:rsid w:val="00BE6E1F"/>
    <w:rsid w:val="00BE6F82"/>
    <w:rsid w:val="00BF2109"/>
    <w:rsid w:val="00BF4E23"/>
    <w:rsid w:val="00C05E43"/>
    <w:rsid w:val="00C1273D"/>
    <w:rsid w:val="00C13A0D"/>
    <w:rsid w:val="00C13AD6"/>
    <w:rsid w:val="00C31FCA"/>
    <w:rsid w:val="00C34EE3"/>
    <w:rsid w:val="00C35664"/>
    <w:rsid w:val="00C373A3"/>
    <w:rsid w:val="00C40643"/>
    <w:rsid w:val="00C572FF"/>
    <w:rsid w:val="00C616D8"/>
    <w:rsid w:val="00C67267"/>
    <w:rsid w:val="00CB4135"/>
    <w:rsid w:val="00CB6D69"/>
    <w:rsid w:val="00CC0D6F"/>
    <w:rsid w:val="00CD4197"/>
    <w:rsid w:val="00CE0EB1"/>
    <w:rsid w:val="00CE6045"/>
    <w:rsid w:val="00CF0EFF"/>
    <w:rsid w:val="00CF51EC"/>
    <w:rsid w:val="00D01A02"/>
    <w:rsid w:val="00D143C0"/>
    <w:rsid w:val="00D145F0"/>
    <w:rsid w:val="00D15ABE"/>
    <w:rsid w:val="00D22175"/>
    <w:rsid w:val="00D30A3D"/>
    <w:rsid w:val="00D32CCA"/>
    <w:rsid w:val="00D67532"/>
    <w:rsid w:val="00D6780A"/>
    <w:rsid w:val="00D7582C"/>
    <w:rsid w:val="00D8205D"/>
    <w:rsid w:val="00D84394"/>
    <w:rsid w:val="00D85591"/>
    <w:rsid w:val="00D91626"/>
    <w:rsid w:val="00D95CD9"/>
    <w:rsid w:val="00DA4DE8"/>
    <w:rsid w:val="00DA4E72"/>
    <w:rsid w:val="00DC0AB0"/>
    <w:rsid w:val="00DC219F"/>
    <w:rsid w:val="00DC4D0C"/>
    <w:rsid w:val="00DE0F58"/>
    <w:rsid w:val="00DE2C25"/>
    <w:rsid w:val="00DE3FAD"/>
    <w:rsid w:val="00DE6000"/>
    <w:rsid w:val="00DF4306"/>
    <w:rsid w:val="00DF52E7"/>
    <w:rsid w:val="00DF7607"/>
    <w:rsid w:val="00E16256"/>
    <w:rsid w:val="00E16766"/>
    <w:rsid w:val="00E21056"/>
    <w:rsid w:val="00E21DF3"/>
    <w:rsid w:val="00E33104"/>
    <w:rsid w:val="00E35D19"/>
    <w:rsid w:val="00E36B12"/>
    <w:rsid w:val="00E36BED"/>
    <w:rsid w:val="00E405D8"/>
    <w:rsid w:val="00E677A4"/>
    <w:rsid w:val="00E82123"/>
    <w:rsid w:val="00E86998"/>
    <w:rsid w:val="00EB52DE"/>
    <w:rsid w:val="00EB7509"/>
    <w:rsid w:val="00EC77FD"/>
    <w:rsid w:val="00ED2606"/>
    <w:rsid w:val="00ED78C3"/>
    <w:rsid w:val="00F1285C"/>
    <w:rsid w:val="00F137F9"/>
    <w:rsid w:val="00F144B0"/>
    <w:rsid w:val="00F34454"/>
    <w:rsid w:val="00F447A5"/>
    <w:rsid w:val="00F47984"/>
    <w:rsid w:val="00F54603"/>
    <w:rsid w:val="00F60B5D"/>
    <w:rsid w:val="00F65179"/>
    <w:rsid w:val="00F651CE"/>
    <w:rsid w:val="00F67FA1"/>
    <w:rsid w:val="00F858B5"/>
    <w:rsid w:val="00F9372C"/>
    <w:rsid w:val="00F9696F"/>
    <w:rsid w:val="00FA2D6C"/>
    <w:rsid w:val="00FC3320"/>
    <w:rsid w:val="00FC54F1"/>
    <w:rsid w:val="00FD11F4"/>
    <w:rsid w:val="00FD6C6C"/>
    <w:rsid w:val="00FD750E"/>
    <w:rsid w:val="00FF093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1F"/>
    <w:rPr>
      <w:rFonts w:ascii="Calibri" w:eastAsia="Calibri" w:hAnsi="Calibri" w:cs="Times New Roman"/>
      <w:lang w:val="en-GB"/>
    </w:rPr>
  </w:style>
  <w:style w:type="paragraph" w:styleId="Heading1">
    <w:name w:val="heading 1"/>
    <w:basedOn w:val="Normal"/>
    <w:next w:val="Normal"/>
    <w:link w:val="Heading1Char"/>
    <w:uiPriority w:val="9"/>
    <w:qFormat/>
    <w:rsid w:val="00C31F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1F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F9696F"/>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C31FC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9766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9766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
    <w:basedOn w:val="Normal"/>
    <w:link w:val="FootnoteTextChar"/>
    <w:uiPriority w:val="99"/>
    <w:semiHidden/>
    <w:rsid w:val="0084571F"/>
    <w:pPr>
      <w:spacing w:after="240" w:line="240" w:lineRule="auto"/>
      <w:ind w:left="357" w:hanging="357"/>
      <w:jc w:val="both"/>
    </w:pPr>
    <w:rPr>
      <w:rFonts w:ascii="Times New Roman" w:eastAsia="Times New Roman" w:hAnsi="Times New Roman"/>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
    <w:basedOn w:val="DefaultParagraphFont"/>
    <w:link w:val="FootnoteText"/>
    <w:uiPriority w:val="99"/>
    <w:semiHidden/>
    <w:rsid w:val="0084571F"/>
    <w:rPr>
      <w:rFonts w:ascii="Times New Roman" w:eastAsia="Times New Roman" w:hAnsi="Times New Roman" w:cs="Times New Roman"/>
      <w:sz w:val="20"/>
      <w:szCs w:val="20"/>
      <w:lang w:val="en-GB"/>
    </w:rPr>
  </w:style>
  <w:style w:type="character" w:styleId="FootnoteReference">
    <w:name w:val="footnote reference"/>
    <w:aliases w:val="BVI fnr"/>
    <w:uiPriority w:val="99"/>
    <w:semiHidden/>
    <w:rsid w:val="0084571F"/>
    <w:rPr>
      <w:vertAlign w:val="superscript"/>
    </w:rPr>
  </w:style>
  <w:style w:type="paragraph" w:styleId="ListParagraph">
    <w:name w:val="List Paragraph"/>
    <w:basedOn w:val="Normal"/>
    <w:link w:val="ListParagraphChar"/>
    <w:uiPriority w:val="34"/>
    <w:qFormat/>
    <w:rsid w:val="0084571F"/>
    <w:pPr>
      <w:ind w:left="720"/>
      <w:contextualSpacing/>
    </w:pPr>
  </w:style>
  <w:style w:type="character" w:customStyle="1" w:styleId="ListParagraphChar">
    <w:name w:val="List Paragraph Char"/>
    <w:link w:val="ListParagraph"/>
    <w:uiPriority w:val="34"/>
    <w:locked/>
    <w:rsid w:val="0084571F"/>
    <w:rPr>
      <w:rFonts w:ascii="Calibri" w:eastAsia="Calibri" w:hAnsi="Calibri" w:cs="Times New Roman"/>
      <w:lang w:val="en-GB"/>
    </w:rPr>
  </w:style>
  <w:style w:type="paragraph" w:styleId="Header">
    <w:name w:val="header"/>
    <w:basedOn w:val="Normal"/>
    <w:link w:val="HeaderChar"/>
    <w:uiPriority w:val="99"/>
    <w:unhideWhenUsed/>
    <w:rsid w:val="009512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12FE"/>
    <w:rPr>
      <w:rFonts w:ascii="Calibri" w:eastAsia="Calibri" w:hAnsi="Calibri" w:cs="Times New Roman"/>
      <w:lang w:val="en-GB"/>
    </w:rPr>
  </w:style>
  <w:style w:type="paragraph" w:styleId="Footer">
    <w:name w:val="footer"/>
    <w:basedOn w:val="Normal"/>
    <w:link w:val="FooterChar"/>
    <w:uiPriority w:val="99"/>
    <w:unhideWhenUsed/>
    <w:rsid w:val="009512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12FE"/>
    <w:rPr>
      <w:rFonts w:ascii="Calibri" w:eastAsia="Calibri" w:hAnsi="Calibri" w:cs="Times New Roman"/>
      <w:lang w:val="en-GB"/>
    </w:rPr>
  </w:style>
  <w:style w:type="character" w:customStyle="1" w:styleId="Heading3Char">
    <w:name w:val="Heading 3 Char"/>
    <w:basedOn w:val="DefaultParagraphFont"/>
    <w:link w:val="Heading3"/>
    <w:uiPriority w:val="99"/>
    <w:rsid w:val="00F9696F"/>
    <w:rPr>
      <w:rFonts w:ascii="Cambria" w:eastAsia="Times New Roman" w:hAnsi="Cambria" w:cs="Times New Roman"/>
      <w:b/>
      <w:bCs/>
      <w:color w:val="4F81BD"/>
      <w:lang w:val="en-GB"/>
    </w:rPr>
  </w:style>
  <w:style w:type="paragraph" w:customStyle="1" w:styleId="ListNumberLevel3">
    <w:name w:val="List Number (Level 3)"/>
    <w:basedOn w:val="Normal"/>
    <w:rsid w:val="00FD6C6C"/>
    <w:pPr>
      <w:numPr>
        <w:ilvl w:val="2"/>
        <w:numId w:val="11"/>
      </w:numPr>
      <w:spacing w:before="120" w:after="120" w:line="240" w:lineRule="auto"/>
      <w:jc w:val="both"/>
    </w:pPr>
    <w:rPr>
      <w:rFonts w:ascii="Times New Roman" w:eastAsia="Times New Roman" w:hAnsi="Times New Roman"/>
      <w:sz w:val="24"/>
      <w:szCs w:val="24"/>
      <w:lang w:eastAsia="en-GB"/>
    </w:rPr>
  </w:style>
  <w:style w:type="paragraph" w:customStyle="1" w:styleId="ListNumberLevel4">
    <w:name w:val="List Number (Level 4)"/>
    <w:basedOn w:val="Normal"/>
    <w:rsid w:val="00FD6C6C"/>
    <w:pPr>
      <w:numPr>
        <w:ilvl w:val="3"/>
        <w:numId w:val="11"/>
      </w:numPr>
      <w:spacing w:before="120" w:after="120" w:line="240" w:lineRule="auto"/>
      <w:jc w:val="both"/>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DC0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AB0"/>
    <w:rPr>
      <w:rFonts w:ascii="Tahoma" w:eastAsia="Calibri" w:hAnsi="Tahoma" w:cs="Tahoma"/>
      <w:sz w:val="16"/>
      <w:szCs w:val="16"/>
      <w:lang w:val="en-GB"/>
    </w:rPr>
  </w:style>
  <w:style w:type="paragraph" w:styleId="ListBullet2">
    <w:name w:val="List Bullet 2"/>
    <w:basedOn w:val="Normal"/>
    <w:rsid w:val="001A2E8E"/>
    <w:pPr>
      <w:numPr>
        <w:numId w:val="14"/>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rsid w:val="001A2E8E"/>
    <w:pPr>
      <w:numPr>
        <w:numId w:val="15"/>
      </w:numPr>
      <w:spacing w:after="240" w:line="240" w:lineRule="auto"/>
      <w:jc w:val="both"/>
    </w:pPr>
    <w:rPr>
      <w:rFonts w:ascii="Times New Roman" w:eastAsia="Times New Roman" w:hAnsi="Times New Roman"/>
      <w:sz w:val="24"/>
      <w:szCs w:val="20"/>
    </w:rPr>
  </w:style>
  <w:style w:type="character" w:styleId="CommentReference">
    <w:name w:val="annotation reference"/>
    <w:basedOn w:val="DefaultParagraphFont"/>
    <w:uiPriority w:val="99"/>
    <w:semiHidden/>
    <w:unhideWhenUsed/>
    <w:rsid w:val="000C65F9"/>
    <w:rPr>
      <w:sz w:val="16"/>
      <w:szCs w:val="16"/>
    </w:rPr>
  </w:style>
  <w:style w:type="paragraph" w:styleId="CommentText">
    <w:name w:val="annotation text"/>
    <w:basedOn w:val="Normal"/>
    <w:link w:val="CommentTextChar"/>
    <w:uiPriority w:val="99"/>
    <w:semiHidden/>
    <w:unhideWhenUsed/>
    <w:rsid w:val="000C65F9"/>
    <w:pPr>
      <w:spacing w:line="240" w:lineRule="auto"/>
    </w:pPr>
    <w:rPr>
      <w:sz w:val="20"/>
      <w:szCs w:val="20"/>
    </w:rPr>
  </w:style>
  <w:style w:type="character" w:customStyle="1" w:styleId="CommentTextChar">
    <w:name w:val="Comment Text Char"/>
    <w:basedOn w:val="DefaultParagraphFont"/>
    <w:link w:val="CommentText"/>
    <w:uiPriority w:val="99"/>
    <w:semiHidden/>
    <w:rsid w:val="000C65F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C65F9"/>
    <w:rPr>
      <w:b/>
      <w:bCs/>
    </w:rPr>
  </w:style>
  <w:style w:type="character" w:customStyle="1" w:styleId="CommentSubjectChar">
    <w:name w:val="Comment Subject Char"/>
    <w:basedOn w:val="CommentTextChar"/>
    <w:link w:val="CommentSubject"/>
    <w:uiPriority w:val="99"/>
    <w:semiHidden/>
    <w:rsid w:val="000C65F9"/>
    <w:rPr>
      <w:rFonts w:ascii="Calibri" w:eastAsia="Calibri" w:hAnsi="Calibri" w:cs="Times New Roman"/>
      <w:b/>
      <w:bCs/>
      <w:sz w:val="20"/>
      <w:szCs w:val="20"/>
      <w:lang w:val="en-GB"/>
    </w:rPr>
  </w:style>
  <w:style w:type="character" w:customStyle="1" w:styleId="hps">
    <w:name w:val="hps"/>
    <w:basedOn w:val="DefaultParagraphFont"/>
    <w:rsid w:val="006C51A4"/>
  </w:style>
  <w:style w:type="paragraph" w:customStyle="1" w:styleId="Copies">
    <w:name w:val="Copies"/>
    <w:basedOn w:val="Normal"/>
    <w:uiPriority w:val="99"/>
    <w:rsid w:val="00241F37"/>
    <w:pPr>
      <w:suppressAutoHyphens/>
      <w:spacing w:after="120" w:line="240" w:lineRule="auto"/>
      <w:jc w:val="both"/>
    </w:pPr>
    <w:rPr>
      <w:kern w:val="24"/>
      <w:sz w:val="24"/>
      <w:szCs w:val="20"/>
      <w:lang w:eastAsia="ar-SA"/>
    </w:rPr>
  </w:style>
  <w:style w:type="character" w:customStyle="1" w:styleId="Heading1Char">
    <w:name w:val="Heading 1 Char"/>
    <w:basedOn w:val="DefaultParagraphFont"/>
    <w:link w:val="Heading1"/>
    <w:uiPriority w:val="9"/>
    <w:rsid w:val="00C31FCA"/>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C31FCA"/>
    <w:rPr>
      <w:rFonts w:asciiTheme="majorHAnsi" w:eastAsiaTheme="majorEastAsia" w:hAnsiTheme="majorHAnsi" w:cstheme="majorBidi"/>
      <w:b/>
      <w:bCs/>
      <w:color w:val="4F81BD" w:themeColor="accent1"/>
      <w:sz w:val="26"/>
      <w:szCs w:val="26"/>
      <w:lang w:val="en-GB"/>
    </w:rPr>
  </w:style>
  <w:style w:type="character" w:customStyle="1" w:styleId="Heading4Char">
    <w:name w:val="Heading 4 Char"/>
    <w:basedOn w:val="DefaultParagraphFont"/>
    <w:link w:val="Heading4"/>
    <w:uiPriority w:val="9"/>
    <w:rsid w:val="00C31FCA"/>
    <w:rPr>
      <w:rFonts w:asciiTheme="majorHAnsi" w:eastAsiaTheme="majorEastAsia" w:hAnsiTheme="majorHAnsi" w:cstheme="majorBidi"/>
      <w:b/>
      <w:bCs/>
      <w:i/>
      <w:iCs/>
      <w:color w:val="4F81BD" w:themeColor="accent1"/>
      <w:lang w:val="en-GB"/>
    </w:rPr>
  </w:style>
  <w:style w:type="paragraph" w:styleId="TOCHeading">
    <w:name w:val="TOC Heading"/>
    <w:basedOn w:val="Heading1"/>
    <w:next w:val="Normal"/>
    <w:uiPriority w:val="39"/>
    <w:semiHidden/>
    <w:unhideWhenUsed/>
    <w:qFormat/>
    <w:rsid w:val="00C31FCA"/>
    <w:pPr>
      <w:outlineLvl w:val="9"/>
    </w:pPr>
    <w:rPr>
      <w:lang w:val="en-US" w:eastAsia="ja-JP"/>
    </w:rPr>
  </w:style>
  <w:style w:type="paragraph" w:styleId="TOC1">
    <w:name w:val="toc 1"/>
    <w:basedOn w:val="Normal"/>
    <w:next w:val="Normal"/>
    <w:autoRedefine/>
    <w:uiPriority w:val="39"/>
    <w:unhideWhenUsed/>
    <w:rsid w:val="00475EBF"/>
    <w:pPr>
      <w:tabs>
        <w:tab w:val="left" w:pos="284"/>
        <w:tab w:val="right" w:leader="dot" w:pos="9062"/>
      </w:tabs>
      <w:spacing w:after="100"/>
    </w:pPr>
  </w:style>
  <w:style w:type="paragraph" w:styleId="TOC2">
    <w:name w:val="toc 2"/>
    <w:basedOn w:val="Normal"/>
    <w:next w:val="Normal"/>
    <w:autoRedefine/>
    <w:uiPriority w:val="39"/>
    <w:unhideWhenUsed/>
    <w:rsid w:val="00F1285C"/>
    <w:pPr>
      <w:tabs>
        <w:tab w:val="left" w:pos="567"/>
        <w:tab w:val="right" w:leader="dot" w:pos="9062"/>
      </w:tabs>
      <w:spacing w:after="100"/>
      <w:ind w:left="220"/>
    </w:pPr>
  </w:style>
  <w:style w:type="character" w:styleId="Hyperlink">
    <w:name w:val="Hyperlink"/>
    <w:basedOn w:val="DefaultParagraphFont"/>
    <w:uiPriority w:val="99"/>
    <w:unhideWhenUsed/>
    <w:rsid w:val="00C31FCA"/>
    <w:rPr>
      <w:color w:val="0000FF" w:themeColor="hyperlink"/>
      <w:u w:val="single"/>
    </w:rPr>
  </w:style>
  <w:style w:type="character" w:customStyle="1" w:styleId="Heading5Char">
    <w:name w:val="Heading 5 Char"/>
    <w:basedOn w:val="DefaultParagraphFont"/>
    <w:link w:val="Heading5"/>
    <w:uiPriority w:val="9"/>
    <w:rsid w:val="00697663"/>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rsid w:val="00697663"/>
    <w:rPr>
      <w:rFonts w:asciiTheme="majorHAnsi" w:eastAsiaTheme="majorEastAsia" w:hAnsiTheme="majorHAnsi" w:cstheme="majorBidi"/>
      <w:i/>
      <w:iCs/>
      <w:color w:val="243F60" w:themeColor="accent1" w:themeShade="7F"/>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71F"/>
    <w:rPr>
      <w:rFonts w:ascii="Calibri" w:eastAsia="Calibri" w:hAnsi="Calibri" w:cs="Times New Roman"/>
      <w:lang w:val="en-GB"/>
    </w:rPr>
  </w:style>
  <w:style w:type="paragraph" w:styleId="Heading1">
    <w:name w:val="heading 1"/>
    <w:basedOn w:val="Normal"/>
    <w:next w:val="Normal"/>
    <w:link w:val="Heading1Char"/>
    <w:uiPriority w:val="9"/>
    <w:qFormat/>
    <w:rsid w:val="00C31F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1F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F9696F"/>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C31FC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9766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9766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
    <w:basedOn w:val="Normal"/>
    <w:link w:val="FootnoteTextChar"/>
    <w:uiPriority w:val="99"/>
    <w:semiHidden/>
    <w:rsid w:val="0084571F"/>
    <w:pPr>
      <w:spacing w:after="240" w:line="240" w:lineRule="auto"/>
      <w:ind w:left="357" w:hanging="357"/>
      <w:jc w:val="both"/>
    </w:pPr>
    <w:rPr>
      <w:rFonts w:ascii="Times New Roman" w:eastAsia="Times New Roman" w:hAnsi="Times New Roman"/>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
    <w:basedOn w:val="DefaultParagraphFont"/>
    <w:link w:val="FootnoteText"/>
    <w:uiPriority w:val="99"/>
    <w:semiHidden/>
    <w:rsid w:val="0084571F"/>
    <w:rPr>
      <w:rFonts w:ascii="Times New Roman" w:eastAsia="Times New Roman" w:hAnsi="Times New Roman" w:cs="Times New Roman"/>
      <w:sz w:val="20"/>
      <w:szCs w:val="20"/>
      <w:lang w:val="en-GB"/>
    </w:rPr>
  </w:style>
  <w:style w:type="character" w:styleId="FootnoteReference">
    <w:name w:val="footnote reference"/>
    <w:aliases w:val="BVI fnr"/>
    <w:uiPriority w:val="99"/>
    <w:semiHidden/>
    <w:rsid w:val="0084571F"/>
    <w:rPr>
      <w:vertAlign w:val="superscript"/>
    </w:rPr>
  </w:style>
  <w:style w:type="paragraph" w:styleId="ListParagraph">
    <w:name w:val="List Paragraph"/>
    <w:basedOn w:val="Normal"/>
    <w:link w:val="ListParagraphChar"/>
    <w:uiPriority w:val="34"/>
    <w:qFormat/>
    <w:rsid w:val="0084571F"/>
    <w:pPr>
      <w:ind w:left="720"/>
      <w:contextualSpacing/>
    </w:pPr>
  </w:style>
  <w:style w:type="character" w:customStyle="1" w:styleId="ListParagraphChar">
    <w:name w:val="List Paragraph Char"/>
    <w:link w:val="ListParagraph"/>
    <w:uiPriority w:val="34"/>
    <w:locked/>
    <w:rsid w:val="0084571F"/>
    <w:rPr>
      <w:rFonts w:ascii="Calibri" w:eastAsia="Calibri" w:hAnsi="Calibri" w:cs="Times New Roman"/>
      <w:lang w:val="en-GB"/>
    </w:rPr>
  </w:style>
  <w:style w:type="paragraph" w:styleId="Header">
    <w:name w:val="header"/>
    <w:basedOn w:val="Normal"/>
    <w:link w:val="HeaderChar"/>
    <w:uiPriority w:val="99"/>
    <w:unhideWhenUsed/>
    <w:rsid w:val="009512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12FE"/>
    <w:rPr>
      <w:rFonts w:ascii="Calibri" w:eastAsia="Calibri" w:hAnsi="Calibri" w:cs="Times New Roman"/>
      <w:lang w:val="en-GB"/>
    </w:rPr>
  </w:style>
  <w:style w:type="paragraph" w:styleId="Footer">
    <w:name w:val="footer"/>
    <w:basedOn w:val="Normal"/>
    <w:link w:val="FooterChar"/>
    <w:uiPriority w:val="99"/>
    <w:unhideWhenUsed/>
    <w:rsid w:val="009512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12FE"/>
    <w:rPr>
      <w:rFonts w:ascii="Calibri" w:eastAsia="Calibri" w:hAnsi="Calibri" w:cs="Times New Roman"/>
      <w:lang w:val="en-GB"/>
    </w:rPr>
  </w:style>
  <w:style w:type="character" w:customStyle="1" w:styleId="Heading3Char">
    <w:name w:val="Heading 3 Char"/>
    <w:basedOn w:val="DefaultParagraphFont"/>
    <w:link w:val="Heading3"/>
    <w:uiPriority w:val="99"/>
    <w:rsid w:val="00F9696F"/>
    <w:rPr>
      <w:rFonts w:ascii="Cambria" w:eastAsia="Times New Roman" w:hAnsi="Cambria" w:cs="Times New Roman"/>
      <w:b/>
      <w:bCs/>
      <w:color w:val="4F81BD"/>
      <w:lang w:val="en-GB"/>
    </w:rPr>
  </w:style>
  <w:style w:type="paragraph" w:customStyle="1" w:styleId="ListNumberLevel3">
    <w:name w:val="List Number (Level 3)"/>
    <w:basedOn w:val="Normal"/>
    <w:rsid w:val="00FD6C6C"/>
    <w:pPr>
      <w:numPr>
        <w:ilvl w:val="2"/>
        <w:numId w:val="11"/>
      </w:numPr>
      <w:spacing w:before="120" w:after="120" w:line="240" w:lineRule="auto"/>
      <w:jc w:val="both"/>
    </w:pPr>
    <w:rPr>
      <w:rFonts w:ascii="Times New Roman" w:eastAsia="Times New Roman" w:hAnsi="Times New Roman"/>
      <w:sz w:val="24"/>
      <w:szCs w:val="24"/>
      <w:lang w:eastAsia="en-GB"/>
    </w:rPr>
  </w:style>
  <w:style w:type="paragraph" w:customStyle="1" w:styleId="ListNumberLevel4">
    <w:name w:val="List Number (Level 4)"/>
    <w:basedOn w:val="Normal"/>
    <w:rsid w:val="00FD6C6C"/>
    <w:pPr>
      <w:numPr>
        <w:ilvl w:val="3"/>
        <w:numId w:val="11"/>
      </w:numPr>
      <w:spacing w:before="120" w:after="120" w:line="240" w:lineRule="auto"/>
      <w:jc w:val="both"/>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DC0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AB0"/>
    <w:rPr>
      <w:rFonts w:ascii="Tahoma" w:eastAsia="Calibri" w:hAnsi="Tahoma" w:cs="Tahoma"/>
      <w:sz w:val="16"/>
      <w:szCs w:val="16"/>
      <w:lang w:val="en-GB"/>
    </w:rPr>
  </w:style>
  <w:style w:type="paragraph" w:styleId="ListBullet2">
    <w:name w:val="List Bullet 2"/>
    <w:basedOn w:val="Normal"/>
    <w:rsid w:val="001A2E8E"/>
    <w:pPr>
      <w:numPr>
        <w:numId w:val="14"/>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rsid w:val="001A2E8E"/>
    <w:pPr>
      <w:numPr>
        <w:numId w:val="15"/>
      </w:numPr>
      <w:spacing w:after="240" w:line="240" w:lineRule="auto"/>
      <w:jc w:val="both"/>
    </w:pPr>
    <w:rPr>
      <w:rFonts w:ascii="Times New Roman" w:eastAsia="Times New Roman" w:hAnsi="Times New Roman"/>
      <w:sz w:val="24"/>
      <w:szCs w:val="20"/>
    </w:rPr>
  </w:style>
  <w:style w:type="character" w:styleId="CommentReference">
    <w:name w:val="annotation reference"/>
    <w:basedOn w:val="DefaultParagraphFont"/>
    <w:uiPriority w:val="99"/>
    <w:semiHidden/>
    <w:unhideWhenUsed/>
    <w:rsid w:val="000C65F9"/>
    <w:rPr>
      <w:sz w:val="16"/>
      <w:szCs w:val="16"/>
    </w:rPr>
  </w:style>
  <w:style w:type="paragraph" w:styleId="CommentText">
    <w:name w:val="annotation text"/>
    <w:basedOn w:val="Normal"/>
    <w:link w:val="CommentTextChar"/>
    <w:uiPriority w:val="99"/>
    <w:semiHidden/>
    <w:unhideWhenUsed/>
    <w:rsid w:val="000C65F9"/>
    <w:pPr>
      <w:spacing w:line="240" w:lineRule="auto"/>
    </w:pPr>
    <w:rPr>
      <w:sz w:val="20"/>
      <w:szCs w:val="20"/>
    </w:rPr>
  </w:style>
  <w:style w:type="character" w:customStyle="1" w:styleId="CommentTextChar">
    <w:name w:val="Comment Text Char"/>
    <w:basedOn w:val="DefaultParagraphFont"/>
    <w:link w:val="CommentText"/>
    <w:uiPriority w:val="99"/>
    <w:semiHidden/>
    <w:rsid w:val="000C65F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C65F9"/>
    <w:rPr>
      <w:b/>
      <w:bCs/>
    </w:rPr>
  </w:style>
  <w:style w:type="character" w:customStyle="1" w:styleId="CommentSubjectChar">
    <w:name w:val="Comment Subject Char"/>
    <w:basedOn w:val="CommentTextChar"/>
    <w:link w:val="CommentSubject"/>
    <w:uiPriority w:val="99"/>
    <w:semiHidden/>
    <w:rsid w:val="000C65F9"/>
    <w:rPr>
      <w:rFonts w:ascii="Calibri" w:eastAsia="Calibri" w:hAnsi="Calibri" w:cs="Times New Roman"/>
      <w:b/>
      <w:bCs/>
      <w:sz w:val="20"/>
      <w:szCs w:val="20"/>
      <w:lang w:val="en-GB"/>
    </w:rPr>
  </w:style>
  <w:style w:type="character" w:customStyle="1" w:styleId="hps">
    <w:name w:val="hps"/>
    <w:basedOn w:val="DefaultParagraphFont"/>
    <w:rsid w:val="006C51A4"/>
  </w:style>
  <w:style w:type="paragraph" w:customStyle="1" w:styleId="Copies">
    <w:name w:val="Copies"/>
    <w:basedOn w:val="Normal"/>
    <w:uiPriority w:val="99"/>
    <w:rsid w:val="00241F37"/>
    <w:pPr>
      <w:suppressAutoHyphens/>
      <w:spacing w:after="120" w:line="240" w:lineRule="auto"/>
      <w:jc w:val="both"/>
    </w:pPr>
    <w:rPr>
      <w:kern w:val="24"/>
      <w:sz w:val="24"/>
      <w:szCs w:val="20"/>
      <w:lang w:eastAsia="ar-SA"/>
    </w:rPr>
  </w:style>
  <w:style w:type="character" w:customStyle="1" w:styleId="Heading1Char">
    <w:name w:val="Heading 1 Char"/>
    <w:basedOn w:val="DefaultParagraphFont"/>
    <w:link w:val="Heading1"/>
    <w:uiPriority w:val="9"/>
    <w:rsid w:val="00C31FCA"/>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C31FCA"/>
    <w:rPr>
      <w:rFonts w:asciiTheme="majorHAnsi" w:eastAsiaTheme="majorEastAsia" w:hAnsiTheme="majorHAnsi" w:cstheme="majorBidi"/>
      <w:b/>
      <w:bCs/>
      <w:color w:val="4F81BD" w:themeColor="accent1"/>
      <w:sz w:val="26"/>
      <w:szCs w:val="26"/>
      <w:lang w:val="en-GB"/>
    </w:rPr>
  </w:style>
  <w:style w:type="character" w:customStyle="1" w:styleId="Heading4Char">
    <w:name w:val="Heading 4 Char"/>
    <w:basedOn w:val="DefaultParagraphFont"/>
    <w:link w:val="Heading4"/>
    <w:uiPriority w:val="9"/>
    <w:rsid w:val="00C31FCA"/>
    <w:rPr>
      <w:rFonts w:asciiTheme="majorHAnsi" w:eastAsiaTheme="majorEastAsia" w:hAnsiTheme="majorHAnsi" w:cstheme="majorBidi"/>
      <w:b/>
      <w:bCs/>
      <w:i/>
      <w:iCs/>
      <w:color w:val="4F81BD" w:themeColor="accent1"/>
      <w:lang w:val="en-GB"/>
    </w:rPr>
  </w:style>
  <w:style w:type="paragraph" w:styleId="TOCHeading">
    <w:name w:val="TOC Heading"/>
    <w:basedOn w:val="Heading1"/>
    <w:next w:val="Normal"/>
    <w:uiPriority w:val="39"/>
    <w:semiHidden/>
    <w:unhideWhenUsed/>
    <w:qFormat/>
    <w:rsid w:val="00C31FCA"/>
    <w:pPr>
      <w:outlineLvl w:val="9"/>
    </w:pPr>
    <w:rPr>
      <w:lang w:val="en-US" w:eastAsia="ja-JP"/>
    </w:rPr>
  </w:style>
  <w:style w:type="paragraph" w:styleId="TOC1">
    <w:name w:val="toc 1"/>
    <w:basedOn w:val="Normal"/>
    <w:next w:val="Normal"/>
    <w:autoRedefine/>
    <w:uiPriority w:val="39"/>
    <w:unhideWhenUsed/>
    <w:rsid w:val="00475EBF"/>
    <w:pPr>
      <w:tabs>
        <w:tab w:val="left" w:pos="284"/>
        <w:tab w:val="right" w:leader="dot" w:pos="9062"/>
      </w:tabs>
      <w:spacing w:after="100"/>
    </w:pPr>
  </w:style>
  <w:style w:type="paragraph" w:styleId="TOC2">
    <w:name w:val="toc 2"/>
    <w:basedOn w:val="Normal"/>
    <w:next w:val="Normal"/>
    <w:autoRedefine/>
    <w:uiPriority w:val="39"/>
    <w:unhideWhenUsed/>
    <w:rsid w:val="00F1285C"/>
    <w:pPr>
      <w:tabs>
        <w:tab w:val="left" w:pos="567"/>
        <w:tab w:val="right" w:leader="dot" w:pos="9062"/>
      </w:tabs>
      <w:spacing w:after="100"/>
      <w:ind w:left="220"/>
    </w:pPr>
  </w:style>
  <w:style w:type="character" w:styleId="Hyperlink">
    <w:name w:val="Hyperlink"/>
    <w:basedOn w:val="DefaultParagraphFont"/>
    <w:uiPriority w:val="99"/>
    <w:unhideWhenUsed/>
    <w:rsid w:val="00C31FCA"/>
    <w:rPr>
      <w:color w:val="0000FF" w:themeColor="hyperlink"/>
      <w:u w:val="single"/>
    </w:rPr>
  </w:style>
  <w:style w:type="character" w:customStyle="1" w:styleId="Heading5Char">
    <w:name w:val="Heading 5 Char"/>
    <w:basedOn w:val="DefaultParagraphFont"/>
    <w:link w:val="Heading5"/>
    <w:uiPriority w:val="9"/>
    <w:rsid w:val="00697663"/>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rsid w:val="00697663"/>
    <w:rPr>
      <w:rFonts w:asciiTheme="majorHAnsi" w:eastAsiaTheme="majorEastAsia" w:hAnsiTheme="majorHAnsi" w:cstheme="majorBidi"/>
      <w:i/>
      <w:iCs/>
      <w:color w:val="243F60"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9052">
      <w:bodyDiv w:val="1"/>
      <w:marLeft w:val="0"/>
      <w:marRight w:val="0"/>
      <w:marTop w:val="0"/>
      <w:marBottom w:val="0"/>
      <w:divBdr>
        <w:top w:val="none" w:sz="0" w:space="0" w:color="auto"/>
        <w:left w:val="none" w:sz="0" w:space="0" w:color="auto"/>
        <w:bottom w:val="none" w:sz="0" w:space="0" w:color="auto"/>
        <w:right w:val="none" w:sz="0" w:space="0" w:color="auto"/>
      </w:divBdr>
    </w:div>
    <w:div w:id="297495159">
      <w:bodyDiv w:val="1"/>
      <w:marLeft w:val="0"/>
      <w:marRight w:val="0"/>
      <w:marTop w:val="0"/>
      <w:marBottom w:val="0"/>
      <w:divBdr>
        <w:top w:val="none" w:sz="0" w:space="0" w:color="auto"/>
        <w:left w:val="none" w:sz="0" w:space="0" w:color="auto"/>
        <w:bottom w:val="none" w:sz="0" w:space="0" w:color="auto"/>
        <w:right w:val="none" w:sz="0" w:space="0" w:color="auto"/>
      </w:divBdr>
    </w:div>
    <w:div w:id="465010635">
      <w:bodyDiv w:val="1"/>
      <w:marLeft w:val="0"/>
      <w:marRight w:val="0"/>
      <w:marTop w:val="0"/>
      <w:marBottom w:val="0"/>
      <w:divBdr>
        <w:top w:val="none" w:sz="0" w:space="0" w:color="auto"/>
        <w:left w:val="none" w:sz="0" w:space="0" w:color="auto"/>
        <w:bottom w:val="none" w:sz="0" w:space="0" w:color="auto"/>
        <w:right w:val="none" w:sz="0" w:space="0" w:color="auto"/>
      </w:divBdr>
    </w:div>
    <w:div w:id="789978053">
      <w:bodyDiv w:val="1"/>
      <w:marLeft w:val="0"/>
      <w:marRight w:val="0"/>
      <w:marTop w:val="0"/>
      <w:marBottom w:val="0"/>
      <w:divBdr>
        <w:top w:val="none" w:sz="0" w:space="0" w:color="auto"/>
        <w:left w:val="none" w:sz="0" w:space="0" w:color="auto"/>
        <w:bottom w:val="none" w:sz="0" w:space="0" w:color="auto"/>
        <w:right w:val="none" w:sz="0" w:space="0" w:color="auto"/>
      </w:divBdr>
    </w:div>
    <w:div w:id="820465692">
      <w:bodyDiv w:val="1"/>
      <w:marLeft w:val="0"/>
      <w:marRight w:val="0"/>
      <w:marTop w:val="0"/>
      <w:marBottom w:val="0"/>
      <w:divBdr>
        <w:top w:val="none" w:sz="0" w:space="0" w:color="auto"/>
        <w:left w:val="none" w:sz="0" w:space="0" w:color="auto"/>
        <w:bottom w:val="none" w:sz="0" w:space="0" w:color="auto"/>
        <w:right w:val="none" w:sz="0" w:space="0" w:color="auto"/>
      </w:divBdr>
    </w:div>
    <w:div w:id="1010762342">
      <w:bodyDiv w:val="1"/>
      <w:marLeft w:val="0"/>
      <w:marRight w:val="0"/>
      <w:marTop w:val="0"/>
      <w:marBottom w:val="0"/>
      <w:divBdr>
        <w:top w:val="none" w:sz="0" w:space="0" w:color="auto"/>
        <w:left w:val="none" w:sz="0" w:space="0" w:color="auto"/>
        <w:bottom w:val="none" w:sz="0" w:space="0" w:color="auto"/>
        <w:right w:val="none" w:sz="0" w:space="0" w:color="auto"/>
      </w:divBdr>
    </w:div>
    <w:div w:id="1083601555">
      <w:bodyDiv w:val="1"/>
      <w:marLeft w:val="0"/>
      <w:marRight w:val="0"/>
      <w:marTop w:val="0"/>
      <w:marBottom w:val="0"/>
      <w:divBdr>
        <w:top w:val="none" w:sz="0" w:space="0" w:color="auto"/>
        <w:left w:val="none" w:sz="0" w:space="0" w:color="auto"/>
        <w:bottom w:val="none" w:sz="0" w:space="0" w:color="auto"/>
        <w:right w:val="none" w:sz="0" w:space="0" w:color="auto"/>
      </w:divBdr>
    </w:div>
    <w:div w:id="1363283007">
      <w:bodyDiv w:val="1"/>
      <w:marLeft w:val="0"/>
      <w:marRight w:val="0"/>
      <w:marTop w:val="0"/>
      <w:marBottom w:val="0"/>
      <w:divBdr>
        <w:top w:val="none" w:sz="0" w:space="0" w:color="auto"/>
        <w:left w:val="none" w:sz="0" w:space="0" w:color="auto"/>
        <w:bottom w:val="none" w:sz="0" w:space="0" w:color="auto"/>
        <w:right w:val="none" w:sz="0" w:space="0" w:color="auto"/>
      </w:divBdr>
    </w:div>
    <w:div w:id="1414467638">
      <w:bodyDiv w:val="1"/>
      <w:marLeft w:val="0"/>
      <w:marRight w:val="0"/>
      <w:marTop w:val="0"/>
      <w:marBottom w:val="0"/>
      <w:divBdr>
        <w:top w:val="none" w:sz="0" w:space="0" w:color="auto"/>
        <w:left w:val="none" w:sz="0" w:space="0" w:color="auto"/>
        <w:bottom w:val="none" w:sz="0" w:space="0" w:color="auto"/>
        <w:right w:val="none" w:sz="0" w:space="0" w:color="auto"/>
      </w:divBdr>
    </w:div>
    <w:div w:id="1494876636">
      <w:bodyDiv w:val="1"/>
      <w:marLeft w:val="0"/>
      <w:marRight w:val="0"/>
      <w:marTop w:val="0"/>
      <w:marBottom w:val="0"/>
      <w:divBdr>
        <w:top w:val="none" w:sz="0" w:space="0" w:color="auto"/>
        <w:left w:val="none" w:sz="0" w:space="0" w:color="auto"/>
        <w:bottom w:val="none" w:sz="0" w:space="0" w:color="auto"/>
        <w:right w:val="none" w:sz="0" w:space="0" w:color="auto"/>
      </w:divBdr>
    </w:div>
    <w:div w:id="1982036276">
      <w:bodyDiv w:val="1"/>
      <w:marLeft w:val="0"/>
      <w:marRight w:val="0"/>
      <w:marTop w:val="0"/>
      <w:marBottom w:val="0"/>
      <w:divBdr>
        <w:top w:val="none" w:sz="0" w:space="0" w:color="auto"/>
        <w:left w:val="none" w:sz="0" w:space="0" w:color="auto"/>
        <w:bottom w:val="none" w:sz="0" w:space="0" w:color="auto"/>
        <w:right w:val="none" w:sz="0" w:space="0" w:color="auto"/>
      </w:divBdr>
    </w:div>
    <w:div w:id="208583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06E4C-F5B8-4D8D-8456-9D8B3595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12724</Words>
  <Characters>72533</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GEN</cp:lastModifiedBy>
  <cp:revision>2</cp:revision>
  <cp:lastPrinted>2015-04-06T08:47:00Z</cp:lastPrinted>
  <dcterms:created xsi:type="dcterms:W3CDTF">2015-05-27T10:04:00Z</dcterms:created>
  <dcterms:modified xsi:type="dcterms:W3CDTF">2015-05-27T10:04:00Z</dcterms:modified>
</cp:coreProperties>
</file>