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03" w:rsidRPr="00B76110" w:rsidRDefault="00C25270" w:rsidP="0071178E">
      <w:pPr>
        <w:pStyle w:val="Pagedecouverture"/>
      </w:pPr>
      <w:bookmarkStart w:id="0" w:name="_GoBack"/>
      <w:bookmarkEnd w:id="0"/>
      <w:r>
        <w:t xml:space="preserve">  </w:t>
      </w:r>
    </w:p>
    <w:p w:rsidR="00901CB6" w:rsidRDefault="00901CB6" w:rsidP="00901CB6">
      <w:pPr>
        <w:jc w:val="center"/>
        <w:rPr>
          <w:b/>
          <w:bCs/>
          <w:color w:val="000000"/>
          <w:szCs w:val="24"/>
          <w:lang w:val="en-US"/>
        </w:rPr>
      </w:pPr>
    </w:p>
    <w:p w:rsidR="00901CB6" w:rsidRDefault="00901CB6" w:rsidP="00901CB6">
      <w:pPr>
        <w:jc w:val="center"/>
        <w:rPr>
          <w:b/>
          <w:bCs/>
          <w:color w:val="000000"/>
          <w:szCs w:val="24"/>
          <w:lang w:val="en-US"/>
        </w:rPr>
      </w:pPr>
    </w:p>
    <w:p w:rsidR="00901CB6" w:rsidRDefault="00901CB6" w:rsidP="00901CB6">
      <w:pPr>
        <w:jc w:val="center"/>
        <w:rPr>
          <w:b/>
          <w:bCs/>
          <w:color w:val="000000"/>
          <w:szCs w:val="24"/>
          <w:lang w:val="en-US"/>
        </w:rPr>
      </w:pPr>
    </w:p>
    <w:p w:rsidR="00901CB6" w:rsidRDefault="00901CB6" w:rsidP="00901CB6">
      <w:pPr>
        <w:jc w:val="center"/>
        <w:rPr>
          <w:b/>
          <w:bCs/>
          <w:color w:val="000000"/>
          <w:szCs w:val="24"/>
          <w:lang w:val="en-US"/>
        </w:rPr>
      </w:pPr>
    </w:p>
    <w:p w:rsidR="00901CB6" w:rsidRDefault="00901CB6" w:rsidP="00901CB6">
      <w:pPr>
        <w:jc w:val="center"/>
        <w:rPr>
          <w:b/>
          <w:bCs/>
          <w:color w:val="000000"/>
          <w:szCs w:val="24"/>
          <w:lang w:val="en-US"/>
        </w:rPr>
      </w:pPr>
    </w:p>
    <w:p w:rsidR="00901CB6" w:rsidRDefault="00901CB6" w:rsidP="00901CB6">
      <w:pPr>
        <w:jc w:val="center"/>
        <w:rPr>
          <w:b/>
          <w:bCs/>
          <w:color w:val="000000"/>
          <w:szCs w:val="24"/>
          <w:lang w:val="en-US"/>
        </w:rPr>
      </w:pPr>
    </w:p>
    <w:p w:rsidR="00901CB6" w:rsidRDefault="00901CB6" w:rsidP="00863218">
      <w:pPr>
        <w:rPr>
          <w:b/>
          <w:bCs/>
          <w:color w:val="000000"/>
          <w:szCs w:val="24"/>
          <w:lang w:val="en-US"/>
        </w:rPr>
      </w:pPr>
    </w:p>
    <w:p w:rsidR="00901CB6" w:rsidRDefault="00901CB6" w:rsidP="00901CB6">
      <w:pPr>
        <w:jc w:val="center"/>
        <w:rPr>
          <w:b/>
          <w:bCs/>
          <w:color w:val="000000"/>
          <w:szCs w:val="24"/>
          <w:lang w:val="en-US"/>
        </w:rPr>
      </w:pPr>
    </w:p>
    <w:p w:rsidR="00901CB6" w:rsidRDefault="00901CB6" w:rsidP="00901CB6">
      <w:pPr>
        <w:jc w:val="center"/>
        <w:rPr>
          <w:b/>
          <w:bCs/>
          <w:color w:val="000000"/>
          <w:szCs w:val="24"/>
          <w:lang w:val="en-US"/>
        </w:rPr>
      </w:pPr>
    </w:p>
    <w:p w:rsidR="009A2F15" w:rsidRDefault="009A2F15" w:rsidP="00901CB6">
      <w:pPr>
        <w:jc w:val="center"/>
        <w:rPr>
          <w:b/>
          <w:bCs/>
          <w:color w:val="000000"/>
          <w:szCs w:val="24"/>
          <w:lang w:val="en-US"/>
        </w:rPr>
      </w:pPr>
      <w:r w:rsidRPr="009A2F15">
        <w:rPr>
          <w:b/>
          <w:bCs/>
          <w:color w:val="000000"/>
          <w:szCs w:val="24"/>
          <w:lang w:val="en-US"/>
        </w:rPr>
        <w:t>IPA Cross-border Cooperation Programme Croatia-Bosnia and Herzegovina-Montenegro 2014-2020</w:t>
      </w:r>
    </w:p>
    <w:p w:rsidR="00901CB6" w:rsidRDefault="00901CB6" w:rsidP="00901CB6">
      <w:pPr>
        <w:jc w:val="center"/>
        <w:rPr>
          <w:b/>
          <w:bCs/>
          <w:color w:val="000000"/>
          <w:szCs w:val="24"/>
          <w:lang w:val="en-US"/>
        </w:rPr>
      </w:pPr>
      <w:r>
        <w:rPr>
          <w:b/>
          <w:bCs/>
          <w:color w:val="000000"/>
          <w:szCs w:val="24"/>
          <w:lang w:val="en-US"/>
        </w:rPr>
        <w:t>f</w:t>
      </w:r>
      <w:r w:rsidRPr="00C25270">
        <w:rPr>
          <w:b/>
          <w:bCs/>
          <w:color w:val="000000"/>
          <w:szCs w:val="24"/>
          <w:lang w:val="en-US"/>
        </w:rPr>
        <w:t>ollowing the</w:t>
      </w:r>
    </w:p>
    <w:p w:rsidR="00901CB6" w:rsidRDefault="00901CB6" w:rsidP="00901CB6">
      <w:pPr>
        <w:jc w:val="center"/>
        <w:rPr>
          <w:b/>
          <w:bCs/>
          <w:color w:val="000000"/>
          <w:szCs w:val="24"/>
          <w:lang w:val="en-US"/>
        </w:rPr>
      </w:pPr>
    </w:p>
    <w:p w:rsidR="00FF03EF" w:rsidRPr="00FF03EF" w:rsidRDefault="00FF03EF" w:rsidP="00FF03EF">
      <w:pPr>
        <w:jc w:val="center"/>
        <w:rPr>
          <w:b/>
          <w:bCs/>
          <w:color w:val="000000"/>
          <w:szCs w:val="24"/>
          <w:lang w:val="en-US"/>
        </w:rPr>
      </w:pPr>
      <w:r w:rsidRPr="00FF03EF">
        <w:rPr>
          <w:b/>
          <w:bCs/>
          <w:color w:val="000000"/>
          <w:szCs w:val="24"/>
          <w:lang w:val="en-US"/>
        </w:rPr>
        <w:t>COMMISSION IMPLEMENTING REGULATION (EU) No. 447/ 2014 of 2 May 2014</w:t>
      </w:r>
    </w:p>
    <w:p w:rsidR="00901CB6" w:rsidRDefault="00FF03EF" w:rsidP="00FF03EF">
      <w:pPr>
        <w:jc w:val="center"/>
        <w:rPr>
          <w:b/>
          <w:bCs/>
          <w:color w:val="000000"/>
          <w:szCs w:val="24"/>
          <w:lang w:val="en-US"/>
        </w:rPr>
      </w:pPr>
      <w:r w:rsidRPr="00FF03EF">
        <w:rPr>
          <w:b/>
          <w:bCs/>
          <w:color w:val="000000"/>
          <w:szCs w:val="24"/>
          <w:lang w:val="en-US"/>
        </w:rPr>
        <w:t>on the specific rules for implementing Re</w:t>
      </w:r>
      <w:r w:rsidR="00221EAA">
        <w:rPr>
          <w:b/>
          <w:bCs/>
          <w:color w:val="000000"/>
          <w:szCs w:val="24"/>
          <w:lang w:val="en-US"/>
        </w:rPr>
        <w:t xml:space="preserve">gulation (EU) 231/2014 of 11 March </w:t>
      </w:r>
      <w:r w:rsidRPr="00FF03EF">
        <w:rPr>
          <w:b/>
          <w:bCs/>
          <w:color w:val="000000"/>
          <w:szCs w:val="24"/>
          <w:lang w:val="en-US"/>
        </w:rPr>
        <w:t>2014 of the European Parliament and the Council establishing an Instrument for Pre-accession assistance (IPA II)</w:t>
      </w:r>
    </w:p>
    <w:p w:rsidR="000F53EE" w:rsidRDefault="000F53EE" w:rsidP="00FF03EF">
      <w:pPr>
        <w:jc w:val="center"/>
        <w:rPr>
          <w:b/>
        </w:rPr>
      </w:pPr>
    </w:p>
    <w:p w:rsidR="00EC109F" w:rsidRDefault="00EC109F" w:rsidP="00EC109F">
      <w:pPr>
        <w:pStyle w:val="Sous-titreobjet"/>
      </w:pPr>
    </w:p>
    <w:p w:rsidR="00901CB6" w:rsidRDefault="00901CB6" w:rsidP="00A30480">
      <w:pPr>
        <w:pStyle w:val="Titreobjet"/>
        <w:jc w:val="both"/>
      </w:pPr>
    </w:p>
    <w:p w:rsidR="00EC109F" w:rsidRPr="00EC109F" w:rsidRDefault="00EC109F" w:rsidP="00EC109F">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Default="00863218" w:rsidP="00863218">
      <w:pPr>
        <w:pStyle w:val="Sous-titreobjet"/>
      </w:pPr>
    </w:p>
    <w:p w:rsidR="00863218" w:rsidRPr="00863218" w:rsidRDefault="00863218" w:rsidP="00863218">
      <w:pPr>
        <w:pStyle w:val="Sous-titreobjet"/>
      </w:pPr>
    </w:p>
    <w:p w:rsidR="00D50011" w:rsidRDefault="00D50011" w:rsidP="0071178E">
      <w:pPr>
        <w:pStyle w:val="Titreobjet"/>
      </w:pPr>
    </w:p>
    <w:p w:rsidR="00D50011" w:rsidRDefault="00D50011" w:rsidP="0071178E">
      <w:pPr>
        <w:pStyle w:val="Titreobjet"/>
      </w:pPr>
    </w:p>
    <w:p w:rsidR="00B256A4" w:rsidRDefault="00B256A4" w:rsidP="0071178E">
      <w:pPr>
        <w:pStyle w:val="Titreobjet"/>
      </w:pPr>
    </w:p>
    <w:p w:rsidR="009A2F15" w:rsidRDefault="009A2F15" w:rsidP="0071178E">
      <w:pPr>
        <w:pStyle w:val="Titreobjet"/>
      </w:pPr>
      <w:r w:rsidRPr="009A2F15">
        <w:lastRenderedPageBreak/>
        <w:t>Cross-border Cooperation Programme Croatia-Bosnia and Herzegovina-Montenegro 2014-2020</w:t>
      </w:r>
    </w:p>
    <w:p w:rsidR="00796970" w:rsidRPr="00B76110" w:rsidRDefault="0071178E" w:rsidP="009A2F15">
      <w:pPr>
        <w:pStyle w:val="Titreobjet"/>
      </w:pPr>
      <w:r w:rsidRPr="0071178E">
        <w:t xml:space="preserve">under the </w:t>
      </w:r>
      <w:r w:rsidR="008D16A3">
        <w:t>IPA instrument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103"/>
      </w:tblGrid>
      <w:tr w:rsidR="00FB701A" w:rsidRPr="00B76110" w:rsidTr="00B256A4">
        <w:trPr>
          <w:trHeight w:val="222"/>
          <w:jc w:val="center"/>
        </w:trPr>
        <w:tc>
          <w:tcPr>
            <w:tcW w:w="3429" w:type="dxa"/>
            <w:shd w:val="clear" w:color="auto" w:fill="auto"/>
          </w:tcPr>
          <w:p w:rsidR="00FB701A" w:rsidRPr="00B76110" w:rsidRDefault="00FB701A" w:rsidP="00D17A3D">
            <w:pPr>
              <w:spacing w:after="0"/>
              <w:rPr>
                <w:rFonts w:eastAsia="Times New Roman"/>
              </w:rPr>
            </w:pPr>
            <w:r w:rsidRPr="00B76110">
              <w:rPr>
                <w:rFonts w:eastAsia="Times New Roman"/>
              </w:rPr>
              <w:t>CCI</w:t>
            </w:r>
          </w:p>
        </w:tc>
        <w:tc>
          <w:tcPr>
            <w:tcW w:w="5103" w:type="dxa"/>
            <w:shd w:val="clear" w:color="auto" w:fill="auto"/>
          </w:tcPr>
          <w:p w:rsidR="00FB701A" w:rsidRPr="00B76110" w:rsidRDefault="00FB701A" w:rsidP="00B76110">
            <w:pPr>
              <w:spacing w:after="0"/>
              <w:rPr>
                <w:rFonts w:eastAsia="Times New Roman"/>
                <w:i/>
                <w:color w:val="8DB3E2"/>
                <w:sz w:val="18"/>
                <w:szCs w:val="18"/>
              </w:rPr>
            </w:pPr>
          </w:p>
        </w:tc>
      </w:tr>
      <w:tr w:rsidR="00FB701A" w:rsidRPr="00B76110" w:rsidTr="00B256A4">
        <w:trPr>
          <w:trHeight w:val="269"/>
          <w:jc w:val="center"/>
        </w:trPr>
        <w:tc>
          <w:tcPr>
            <w:tcW w:w="3429" w:type="dxa"/>
            <w:shd w:val="clear" w:color="auto" w:fill="auto"/>
          </w:tcPr>
          <w:p w:rsidR="00FB701A" w:rsidRPr="00B76110" w:rsidRDefault="00FB701A" w:rsidP="00D17A3D">
            <w:pPr>
              <w:spacing w:after="0"/>
              <w:rPr>
                <w:rFonts w:eastAsia="Times New Roman"/>
              </w:rPr>
            </w:pPr>
            <w:r w:rsidRPr="00B76110">
              <w:rPr>
                <w:rFonts w:eastAsia="Times New Roman"/>
              </w:rPr>
              <w:t>Title</w:t>
            </w:r>
          </w:p>
        </w:tc>
        <w:tc>
          <w:tcPr>
            <w:tcW w:w="5103" w:type="dxa"/>
            <w:shd w:val="clear" w:color="auto" w:fill="auto"/>
          </w:tcPr>
          <w:p w:rsidR="009A2F15" w:rsidRPr="009A2F15" w:rsidRDefault="009A2F15" w:rsidP="009A2F15">
            <w:pPr>
              <w:spacing w:after="0"/>
              <w:rPr>
                <w:rFonts w:eastAsia="Times New Roman"/>
                <w:color w:val="8DB3E2"/>
                <w:szCs w:val="24"/>
              </w:rPr>
            </w:pPr>
            <w:r>
              <w:rPr>
                <w:rFonts w:eastAsia="Times New Roman"/>
                <w:szCs w:val="24"/>
              </w:rPr>
              <w:t xml:space="preserve">IPA </w:t>
            </w:r>
            <w:r w:rsidRPr="009A2F15">
              <w:rPr>
                <w:rFonts w:eastAsia="Times New Roman"/>
                <w:szCs w:val="24"/>
              </w:rPr>
              <w:t>Cross-border Cooperation Programme Croatia-Bosnia and Herzegovina-Montenegro 2014-2020</w:t>
            </w:r>
          </w:p>
        </w:tc>
      </w:tr>
      <w:tr w:rsidR="00FB701A" w:rsidRPr="00567F19" w:rsidTr="00B256A4">
        <w:trPr>
          <w:trHeight w:val="138"/>
          <w:jc w:val="center"/>
        </w:trPr>
        <w:tc>
          <w:tcPr>
            <w:tcW w:w="3429" w:type="dxa"/>
            <w:shd w:val="clear" w:color="auto" w:fill="auto"/>
          </w:tcPr>
          <w:p w:rsidR="00FB701A" w:rsidRPr="00B76110" w:rsidRDefault="00FB701A" w:rsidP="00D17A3D">
            <w:pPr>
              <w:spacing w:after="0"/>
              <w:rPr>
                <w:rFonts w:eastAsia="Times New Roman"/>
              </w:rPr>
            </w:pPr>
            <w:r w:rsidRPr="00B76110">
              <w:rPr>
                <w:rFonts w:eastAsia="Times New Roman"/>
              </w:rPr>
              <w:t>Version</w:t>
            </w:r>
          </w:p>
        </w:tc>
        <w:tc>
          <w:tcPr>
            <w:tcW w:w="5103" w:type="dxa"/>
            <w:shd w:val="clear" w:color="auto" w:fill="auto"/>
          </w:tcPr>
          <w:p w:rsidR="00CF204A" w:rsidRPr="00CF204A" w:rsidRDefault="00CF204A" w:rsidP="00415C35">
            <w:pPr>
              <w:spacing w:after="0"/>
              <w:rPr>
                <w:rFonts w:eastAsia="Times New Roman"/>
                <w:szCs w:val="24"/>
                <w:lang w:val="nb-NO"/>
              </w:rPr>
            </w:pPr>
            <w:r w:rsidRPr="00881416">
              <w:rPr>
                <w:rFonts w:eastAsia="Times New Roman"/>
                <w:szCs w:val="24"/>
                <w:lang w:val="nb-NO"/>
              </w:rPr>
              <w:t xml:space="preserve">Version </w:t>
            </w:r>
            <w:r w:rsidR="00FA6D24">
              <w:rPr>
                <w:rFonts w:eastAsia="Times New Roman"/>
                <w:szCs w:val="24"/>
                <w:lang w:val="nb-NO"/>
              </w:rPr>
              <w:t>1</w:t>
            </w:r>
            <w:r w:rsidRPr="00881416">
              <w:rPr>
                <w:rFonts w:eastAsia="Times New Roman"/>
                <w:szCs w:val="24"/>
                <w:lang w:val="nb-NO"/>
              </w:rPr>
              <w:t xml:space="preserve"> </w:t>
            </w:r>
            <w:r w:rsidR="00415C35" w:rsidRPr="00881416">
              <w:rPr>
                <w:rFonts w:eastAsia="Times New Roman"/>
                <w:szCs w:val="24"/>
                <w:lang w:val="nb-NO"/>
              </w:rPr>
              <w:t xml:space="preserve">- </w:t>
            </w:r>
            <w:r w:rsidR="00FA6D24">
              <w:rPr>
                <w:rFonts w:eastAsia="Times New Roman"/>
                <w:szCs w:val="24"/>
                <w:lang w:val="nb-NO"/>
              </w:rPr>
              <w:t>18</w:t>
            </w:r>
            <w:r w:rsidR="00415C35" w:rsidRPr="00881416">
              <w:rPr>
                <w:rFonts w:eastAsia="Times New Roman"/>
                <w:szCs w:val="24"/>
                <w:lang w:val="nb-NO"/>
              </w:rPr>
              <w:t xml:space="preserve"> </w:t>
            </w:r>
            <w:r w:rsidR="008516CF" w:rsidRPr="00881416">
              <w:rPr>
                <w:rFonts w:eastAsia="Times New Roman"/>
                <w:szCs w:val="24"/>
                <w:lang w:val="nb-NO"/>
              </w:rPr>
              <w:t>November</w:t>
            </w:r>
            <w:r w:rsidRPr="00881416">
              <w:rPr>
                <w:rFonts w:eastAsia="Times New Roman"/>
                <w:szCs w:val="24"/>
                <w:lang w:val="nb-NO"/>
              </w:rPr>
              <w:t xml:space="preserve"> 2014</w:t>
            </w:r>
          </w:p>
        </w:tc>
      </w:tr>
      <w:tr w:rsidR="00FB701A" w:rsidRPr="00B76110" w:rsidTr="00B256A4">
        <w:trPr>
          <w:jc w:val="center"/>
        </w:trPr>
        <w:tc>
          <w:tcPr>
            <w:tcW w:w="3429" w:type="dxa"/>
            <w:shd w:val="clear" w:color="auto" w:fill="auto"/>
          </w:tcPr>
          <w:p w:rsidR="00FB701A" w:rsidRPr="00B76110" w:rsidRDefault="00FB701A" w:rsidP="00D17A3D">
            <w:pPr>
              <w:spacing w:after="0"/>
              <w:rPr>
                <w:rFonts w:eastAsia="Times New Roman"/>
              </w:rPr>
            </w:pPr>
            <w:r w:rsidRPr="00B76110">
              <w:rPr>
                <w:rFonts w:eastAsia="Times New Roman"/>
              </w:rPr>
              <w:t xml:space="preserve">First </w:t>
            </w:r>
            <w:r w:rsidR="006D701A">
              <w:rPr>
                <w:rFonts w:eastAsia="Times New Roman"/>
              </w:rPr>
              <w:t>y</w:t>
            </w:r>
            <w:r w:rsidRPr="00B76110">
              <w:rPr>
                <w:rFonts w:eastAsia="Times New Roman"/>
              </w:rPr>
              <w:t>ear</w:t>
            </w:r>
          </w:p>
        </w:tc>
        <w:tc>
          <w:tcPr>
            <w:tcW w:w="5103" w:type="dxa"/>
            <w:shd w:val="clear" w:color="auto" w:fill="auto"/>
          </w:tcPr>
          <w:p w:rsidR="009A2F15" w:rsidRPr="009A2F15" w:rsidRDefault="009A2F15" w:rsidP="00B76110">
            <w:pPr>
              <w:spacing w:after="0"/>
              <w:rPr>
                <w:rFonts w:eastAsia="Times New Roman"/>
                <w:szCs w:val="24"/>
              </w:rPr>
            </w:pPr>
            <w:r>
              <w:rPr>
                <w:rFonts w:eastAsia="Times New Roman"/>
                <w:szCs w:val="24"/>
              </w:rPr>
              <w:t>2014</w:t>
            </w:r>
          </w:p>
        </w:tc>
      </w:tr>
      <w:tr w:rsidR="00FB701A" w:rsidRPr="00B76110" w:rsidTr="00B256A4">
        <w:trPr>
          <w:jc w:val="center"/>
        </w:trPr>
        <w:tc>
          <w:tcPr>
            <w:tcW w:w="3429" w:type="dxa"/>
            <w:shd w:val="clear" w:color="auto" w:fill="auto"/>
          </w:tcPr>
          <w:p w:rsidR="00FB701A" w:rsidRPr="00B76110" w:rsidRDefault="00FB701A" w:rsidP="00D17A3D">
            <w:pPr>
              <w:spacing w:after="0"/>
              <w:rPr>
                <w:rFonts w:eastAsia="Times New Roman"/>
              </w:rPr>
            </w:pPr>
            <w:r w:rsidRPr="00B76110">
              <w:rPr>
                <w:rFonts w:eastAsia="Times New Roman"/>
              </w:rPr>
              <w:t xml:space="preserve">Last </w:t>
            </w:r>
            <w:r w:rsidR="006D701A">
              <w:rPr>
                <w:rFonts w:eastAsia="Times New Roman"/>
              </w:rPr>
              <w:t>y</w:t>
            </w:r>
            <w:r w:rsidRPr="00B76110">
              <w:rPr>
                <w:rFonts w:eastAsia="Times New Roman"/>
              </w:rPr>
              <w:t>ear</w:t>
            </w:r>
          </w:p>
        </w:tc>
        <w:tc>
          <w:tcPr>
            <w:tcW w:w="5103" w:type="dxa"/>
            <w:shd w:val="clear" w:color="auto" w:fill="auto"/>
          </w:tcPr>
          <w:p w:rsidR="009A2F15" w:rsidRPr="009A2F15" w:rsidRDefault="009A2F15" w:rsidP="00B76110">
            <w:pPr>
              <w:spacing w:after="0"/>
              <w:rPr>
                <w:rFonts w:eastAsia="Times New Roman"/>
                <w:szCs w:val="24"/>
              </w:rPr>
            </w:pPr>
            <w:r w:rsidRPr="009C778F">
              <w:rPr>
                <w:rFonts w:eastAsia="Times New Roman"/>
                <w:szCs w:val="24"/>
              </w:rPr>
              <w:t>2023</w:t>
            </w:r>
          </w:p>
        </w:tc>
      </w:tr>
      <w:tr w:rsidR="00FB701A" w:rsidRPr="00B76110" w:rsidTr="00B256A4">
        <w:trPr>
          <w:jc w:val="center"/>
        </w:trPr>
        <w:tc>
          <w:tcPr>
            <w:tcW w:w="3429" w:type="dxa"/>
            <w:shd w:val="clear" w:color="auto" w:fill="auto"/>
          </w:tcPr>
          <w:p w:rsidR="00FB701A" w:rsidRPr="00B76110" w:rsidRDefault="00FB701A" w:rsidP="00D17A3D">
            <w:pPr>
              <w:spacing w:after="0"/>
              <w:rPr>
                <w:rFonts w:eastAsia="Times New Roman"/>
              </w:rPr>
            </w:pPr>
            <w:r w:rsidRPr="00B76110">
              <w:rPr>
                <w:rFonts w:eastAsia="Times New Roman"/>
              </w:rPr>
              <w:t xml:space="preserve">Eligible </w:t>
            </w:r>
            <w:r w:rsidR="006D701A">
              <w:rPr>
                <w:rFonts w:eastAsia="Times New Roman"/>
              </w:rPr>
              <w:t>f</w:t>
            </w:r>
            <w:r w:rsidRPr="00B76110">
              <w:rPr>
                <w:rFonts w:eastAsia="Times New Roman"/>
              </w:rPr>
              <w:t>rom</w:t>
            </w:r>
          </w:p>
        </w:tc>
        <w:tc>
          <w:tcPr>
            <w:tcW w:w="5103" w:type="dxa"/>
            <w:shd w:val="clear" w:color="auto" w:fill="auto"/>
          </w:tcPr>
          <w:p w:rsidR="00FB701A" w:rsidRPr="00B76110" w:rsidRDefault="00FB701A" w:rsidP="00B76110">
            <w:pPr>
              <w:spacing w:after="0"/>
              <w:rPr>
                <w:rFonts w:eastAsia="Times New Roman"/>
                <w:i/>
                <w:color w:val="8DB3E2"/>
                <w:sz w:val="18"/>
                <w:szCs w:val="18"/>
              </w:rPr>
            </w:pPr>
          </w:p>
        </w:tc>
      </w:tr>
      <w:tr w:rsidR="00FB701A" w:rsidRPr="00B76110" w:rsidTr="00B256A4">
        <w:trPr>
          <w:jc w:val="center"/>
        </w:trPr>
        <w:tc>
          <w:tcPr>
            <w:tcW w:w="3429" w:type="dxa"/>
            <w:shd w:val="clear" w:color="auto" w:fill="auto"/>
          </w:tcPr>
          <w:p w:rsidR="00FB701A" w:rsidRPr="00B76110" w:rsidRDefault="00FB701A" w:rsidP="00971D62">
            <w:pPr>
              <w:spacing w:after="0"/>
              <w:rPr>
                <w:rFonts w:eastAsia="Times New Roman"/>
              </w:rPr>
            </w:pPr>
            <w:r w:rsidRPr="00B76110">
              <w:rPr>
                <w:rFonts w:eastAsia="Times New Roman"/>
              </w:rPr>
              <w:t xml:space="preserve">Eligible </w:t>
            </w:r>
            <w:r w:rsidR="00971D62">
              <w:rPr>
                <w:rFonts w:eastAsia="Times New Roman"/>
              </w:rPr>
              <w:t>until</w:t>
            </w:r>
          </w:p>
        </w:tc>
        <w:tc>
          <w:tcPr>
            <w:tcW w:w="5103" w:type="dxa"/>
            <w:shd w:val="clear" w:color="auto" w:fill="auto"/>
          </w:tcPr>
          <w:p w:rsidR="00FB701A" w:rsidRPr="00B76110" w:rsidRDefault="00FB701A" w:rsidP="00B76110">
            <w:pPr>
              <w:spacing w:after="0"/>
              <w:rPr>
                <w:rFonts w:eastAsia="Times New Roman"/>
                <w:i/>
                <w:color w:val="8DB3E2"/>
                <w:sz w:val="18"/>
                <w:szCs w:val="18"/>
              </w:rPr>
            </w:pPr>
          </w:p>
        </w:tc>
      </w:tr>
      <w:tr w:rsidR="00FB701A" w:rsidRPr="00B76110" w:rsidTr="00B256A4">
        <w:trPr>
          <w:jc w:val="center"/>
        </w:trPr>
        <w:tc>
          <w:tcPr>
            <w:tcW w:w="3429" w:type="dxa"/>
            <w:shd w:val="clear" w:color="auto" w:fill="auto"/>
          </w:tcPr>
          <w:p w:rsidR="00FB701A" w:rsidRPr="00B76110" w:rsidRDefault="00FB701A" w:rsidP="00D17A3D">
            <w:pPr>
              <w:spacing w:after="0"/>
              <w:rPr>
                <w:rFonts w:eastAsia="Times New Roman"/>
              </w:rPr>
            </w:pPr>
            <w:r w:rsidRPr="00B76110">
              <w:rPr>
                <w:rFonts w:eastAsia="Times New Roman"/>
              </w:rPr>
              <w:t xml:space="preserve">EC </w:t>
            </w:r>
            <w:r w:rsidR="006D701A">
              <w:rPr>
                <w:rFonts w:eastAsia="Times New Roman"/>
              </w:rPr>
              <w:t>d</w:t>
            </w:r>
            <w:r w:rsidRPr="00B76110">
              <w:rPr>
                <w:rFonts w:eastAsia="Times New Roman"/>
              </w:rPr>
              <w:t xml:space="preserve">ecision </w:t>
            </w:r>
            <w:r w:rsidR="006D701A">
              <w:rPr>
                <w:rFonts w:eastAsia="Times New Roman"/>
              </w:rPr>
              <w:t>n</w:t>
            </w:r>
            <w:r w:rsidRPr="00B76110">
              <w:rPr>
                <w:rFonts w:eastAsia="Times New Roman"/>
              </w:rPr>
              <w:t>umber</w:t>
            </w:r>
          </w:p>
        </w:tc>
        <w:tc>
          <w:tcPr>
            <w:tcW w:w="5103" w:type="dxa"/>
            <w:shd w:val="clear" w:color="auto" w:fill="auto"/>
          </w:tcPr>
          <w:p w:rsidR="00FB701A" w:rsidRPr="00B76110" w:rsidRDefault="00FB701A" w:rsidP="00B76110">
            <w:pPr>
              <w:spacing w:after="0"/>
              <w:rPr>
                <w:rFonts w:eastAsia="Times New Roman"/>
                <w:i/>
                <w:color w:val="8DB3E2"/>
                <w:sz w:val="18"/>
                <w:szCs w:val="18"/>
              </w:rPr>
            </w:pPr>
          </w:p>
        </w:tc>
      </w:tr>
      <w:tr w:rsidR="00FB701A" w:rsidRPr="00B76110" w:rsidTr="00B256A4">
        <w:trPr>
          <w:jc w:val="center"/>
        </w:trPr>
        <w:tc>
          <w:tcPr>
            <w:tcW w:w="3429" w:type="dxa"/>
            <w:shd w:val="clear" w:color="auto" w:fill="auto"/>
          </w:tcPr>
          <w:p w:rsidR="00FB701A" w:rsidRPr="00B76110" w:rsidRDefault="00FB701A" w:rsidP="00D17A3D">
            <w:pPr>
              <w:spacing w:after="0"/>
              <w:rPr>
                <w:rFonts w:eastAsia="Times New Roman"/>
              </w:rPr>
            </w:pPr>
            <w:r w:rsidRPr="00B76110">
              <w:rPr>
                <w:rFonts w:eastAsia="Times New Roman"/>
              </w:rPr>
              <w:t xml:space="preserve">EC </w:t>
            </w:r>
            <w:r w:rsidR="006D701A">
              <w:rPr>
                <w:rFonts w:eastAsia="Times New Roman"/>
              </w:rPr>
              <w:t>d</w:t>
            </w:r>
            <w:r w:rsidRPr="00B76110">
              <w:rPr>
                <w:rFonts w:eastAsia="Times New Roman"/>
              </w:rPr>
              <w:t xml:space="preserve">ecision </w:t>
            </w:r>
            <w:r w:rsidR="006D701A">
              <w:rPr>
                <w:rFonts w:eastAsia="Times New Roman"/>
              </w:rPr>
              <w:t>d</w:t>
            </w:r>
            <w:r w:rsidRPr="00B76110">
              <w:rPr>
                <w:rFonts w:eastAsia="Times New Roman"/>
              </w:rPr>
              <w:t>ate</w:t>
            </w:r>
          </w:p>
        </w:tc>
        <w:tc>
          <w:tcPr>
            <w:tcW w:w="5103" w:type="dxa"/>
            <w:shd w:val="clear" w:color="auto" w:fill="auto"/>
          </w:tcPr>
          <w:p w:rsidR="00FB701A" w:rsidRPr="00B76110" w:rsidRDefault="00FB701A" w:rsidP="00B76110">
            <w:pPr>
              <w:spacing w:after="0"/>
              <w:rPr>
                <w:rFonts w:eastAsia="Times New Roman"/>
                <w:i/>
                <w:color w:val="8DB3E2"/>
                <w:sz w:val="18"/>
                <w:szCs w:val="18"/>
              </w:rPr>
            </w:pPr>
          </w:p>
        </w:tc>
      </w:tr>
      <w:tr w:rsidR="00FB701A" w:rsidRPr="00B76110" w:rsidTr="00B256A4">
        <w:trPr>
          <w:jc w:val="center"/>
        </w:trPr>
        <w:tc>
          <w:tcPr>
            <w:tcW w:w="3429" w:type="dxa"/>
            <w:shd w:val="clear" w:color="auto" w:fill="auto"/>
          </w:tcPr>
          <w:p w:rsidR="00FB701A" w:rsidRPr="00B76110" w:rsidRDefault="006D701A" w:rsidP="00D17A3D">
            <w:pPr>
              <w:spacing w:after="0"/>
              <w:rPr>
                <w:rFonts w:eastAsia="Times New Roman"/>
              </w:rPr>
            </w:pPr>
            <w:r>
              <w:rPr>
                <w:rFonts w:eastAsia="Times New Roman"/>
              </w:rPr>
              <w:t xml:space="preserve">MS </w:t>
            </w:r>
            <w:r w:rsidR="00376CCA">
              <w:rPr>
                <w:rFonts w:eastAsia="Times New Roman"/>
              </w:rPr>
              <w:t xml:space="preserve">amending </w:t>
            </w:r>
            <w:r>
              <w:rPr>
                <w:rFonts w:eastAsia="Times New Roman"/>
              </w:rPr>
              <w:t>d</w:t>
            </w:r>
            <w:r w:rsidR="00FB701A" w:rsidRPr="00B76110">
              <w:rPr>
                <w:rFonts w:eastAsia="Times New Roman"/>
              </w:rPr>
              <w:t xml:space="preserve">ecision </w:t>
            </w:r>
            <w:r w:rsidR="00971D62">
              <w:rPr>
                <w:rFonts w:eastAsia="Times New Roman"/>
              </w:rPr>
              <w:t>n</w:t>
            </w:r>
            <w:r w:rsidR="00FB701A" w:rsidRPr="00B76110">
              <w:rPr>
                <w:rFonts w:eastAsia="Times New Roman"/>
              </w:rPr>
              <w:t>umber</w:t>
            </w:r>
          </w:p>
        </w:tc>
        <w:tc>
          <w:tcPr>
            <w:tcW w:w="5103" w:type="dxa"/>
            <w:shd w:val="clear" w:color="auto" w:fill="auto"/>
          </w:tcPr>
          <w:p w:rsidR="00FB701A" w:rsidRPr="00B76110" w:rsidRDefault="00FB701A" w:rsidP="00B76110">
            <w:pPr>
              <w:spacing w:after="0"/>
              <w:rPr>
                <w:rFonts w:eastAsia="Times New Roman"/>
                <w:i/>
                <w:color w:val="8DB3E2"/>
                <w:sz w:val="18"/>
                <w:szCs w:val="18"/>
              </w:rPr>
            </w:pPr>
          </w:p>
        </w:tc>
      </w:tr>
      <w:tr w:rsidR="00FB701A" w:rsidRPr="00B76110" w:rsidTr="00B256A4">
        <w:trPr>
          <w:jc w:val="center"/>
        </w:trPr>
        <w:tc>
          <w:tcPr>
            <w:tcW w:w="3429" w:type="dxa"/>
            <w:shd w:val="clear" w:color="auto" w:fill="auto"/>
          </w:tcPr>
          <w:p w:rsidR="00FB701A" w:rsidRPr="00B76110" w:rsidRDefault="00783A0C" w:rsidP="00092883">
            <w:pPr>
              <w:spacing w:after="0"/>
              <w:rPr>
                <w:rFonts w:eastAsia="Times New Roman"/>
              </w:rPr>
            </w:pPr>
            <w:r>
              <w:rPr>
                <w:rFonts w:eastAsia="Times New Roman"/>
              </w:rPr>
              <w:t xml:space="preserve">MS </w:t>
            </w:r>
            <w:r w:rsidR="00376CCA">
              <w:rPr>
                <w:rFonts w:eastAsia="Times New Roman"/>
              </w:rPr>
              <w:t xml:space="preserve">amending </w:t>
            </w:r>
            <w:r w:rsidR="006D701A">
              <w:rPr>
                <w:rFonts w:eastAsia="Times New Roman"/>
              </w:rPr>
              <w:t>d</w:t>
            </w:r>
            <w:r w:rsidR="00FB701A" w:rsidRPr="00B76110">
              <w:rPr>
                <w:rFonts w:eastAsia="Times New Roman"/>
              </w:rPr>
              <w:t xml:space="preserve">ecision </w:t>
            </w:r>
            <w:r w:rsidR="006D701A">
              <w:rPr>
                <w:rFonts w:eastAsia="Times New Roman"/>
              </w:rPr>
              <w:t>d</w:t>
            </w:r>
            <w:r w:rsidR="00FB701A" w:rsidRPr="00B76110">
              <w:rPr>
                <w:rFonts w:eastAsia="Times New Roman"/>
              </w:rPr>
              <w:t>ate</w:t>
            </w:r>
          </w:p>
        </w:tc>
        <w:tc>
          <w:tcPr>
            <w:tcW w:w="5103" w:type="dxa"/>
            <w:shd w:val="clear" w:color="auto" w:fill="auto"/>
          </w:tcPr>
          <w:p w:rsidR="00FB701A" w:rsidRPr="00B76110" w:rsidRDefault="00FB701A" w:rsidP="00B76110">
            <w:pPr>
              <w:spacing w:after="0"/>
              <w:rPr>
                <w:rFonts w:eastAsia="Times New Roman"/>
                <w:i/>
                <w:color w:val="8DB3E2"/>
                <w:sz w:val="18"/>
                <w:szCs w:val="18"/>
              </w:rPr>
            </w:pPr>
          </w:p>
        </w:tc>
      </w:tr>
      <w:tr w:rsidR="00FB701A" w:rsidRPr="00B76110" w:rsidTr="00B256A4">
        <w:trPr>
          <w:trHeight w:val="163"/>
          <w:jc w:val="center"/>
        </w:trPr>
        <w:tc>
          <w:tcPr>
            <w:tcW w:w="3429" w:type="dxa"/>
            <w:shd w:val="clear" w:color="auto" w:fill="auto"/>
          </w:tcPr>
          <w:p w:rsidR="00FB701A" w:rsidRPr="00567F19" w:rsidRDefault="00783A0C" w:rsidP="00D17A3D">
            <w:pPr>
              <w:spacing w:after="0"/>
              <w:rPr>
                <w:rFonts w:eastAsia="Times New Roman"/>
              </w:rPr>
            </w:pPr>
            <w:r w:rsidRPr="00567F19">
              <w:rPr>
                <w:rFonts w:eastAsia="Times New Roman"/>
              </w:rPr>
              <w:t xml:space="preserve">MS </w:t>
            </w:r>
            <w:r w:rsidR="00376CCA">
              <w:rPr>
                <w:rFonts w:eastAsia="Times New Roman"/>
              </w:rPr>
              <w:t xml:space="preserve">amending </w:t>
            </w:r>
            <w:r w:rsidRPr="00567F19">
              <w:rPr>
                <w:rFonts w:eastAsia="Times New Roman"/>
              </w:rPr>
              <w:t xml:space="preserve">decision </w:t>
            </w:r>
            <w:r w:rsidR="006D701A" w:rsidRPr="00567F19">
              <w:rPr>
                <w:rFonts w:eastAsia="Times New Roman"/>
              </w:rPr>
              <w:t>e</w:t>
            </w:r>
            <w:r w:rsidR="00FB701A" w:rsidRPr="00567F19">
              <w:rPr>
                <w:rFonts w:eastAsia="Times New Roman"/>
              </w:rPr>
              <w:t xml:space="preserve">ntry </w:t>
            </w:r>
            <w:r w:rsidR="006D701A" w:rsidRPr="00567F19">
              <w:rPr>
                <w:rFonts w:eastAsia="Times New Roman"/>
              </w:rPr>
              <w:t>i</w:t>
            </w:r>
            <w:r w:rsidR="00FB701A" w:rsidRPr="00567F19">
              <w:rPr>
                <w:rFonts w:eastAsia="Times New Roman"/>
              </w:rPr>
              <w:t xml:space="preserve">nto </w:t>
            </w:r>
            <w:r w:rsidR="006D701A" w:rsidRPr="00567F19">
              <w:rPr>
                <w:rFonts w:eastAsia="Times New Roman"/>
              </w:rPr>
              <w:t>f</w:t>
            </w:r>
            <w:r w:rsidR="00FB701A" w:rsidRPr="00567F19">
              <w:rPr>
                <w:rFonts w:eastAsia="Times New Roman"/>
              </w:rPr>
              <w:t xml:space="preserve">orce </w:t>
            </w:r>
            <w:r w:rsidR="006D701A" w:rsidRPr="00567F19">
              <w:rPr>
                <w:rFonts w:eastAsia="Times New Roman"/>
              </w:rPr>
              <w:t>d</w:t>
            </w:r>
            <w:r w:rsidR="00FB701A" w:rsidRPr="00567F19">
              <w:rPr>
                <w:rFonts w:eastAsia="Times New Roman"/>
              </w:rPr>
              <w:t>ate</w:t>
            </w:r>
          </w:p>
        </w:tc>
        <w:tc>
          <w:tcPr>
            <w:tcW w:w="5103" w:type="dxa"/>
            <w:shd w:val="clear" w:color="auto" w:fill="auto"/>
          </w:tcPr>
          <w:p w:rsidR="00FB701A" w:rsidRPr="00B76110" w:rsidRDefault="00FB701A" w:rsidP="00B76110">
            <w:pPr>
              <w:spacing w:after="0"/>
              <w:rPr>
                <w:rFonts w:eastAsia="Times New Roman"/>
                <w:i/>
                <w:color w:val="8DB3E2"/>
                <w:sz w:val="18"/>
                <w:szCs w:val="18"/>
              </w:rPr>
            </w:pPr>
          </w:p>
        </w:tc>
      </w:tr>
      <w:tr w:rsidR="00FB701A" w:rsidRPr="00B76110" w:rsidTr="00B256A4">
        <w:trPr>
          <w:trHeight w:val="163"/>
          <w:jc w:val="center"/>
        </w:trPr>
        <w:tc>
          <w:tcPr>
            <w:tcW w:w="3429" w:type="dxa"/>
            <w:shd w:val="clear" w:color="auto" w:fill="auto"/>
          </w:tcPr>
          <w:p w:rsidR="00FB701A" w:rsidRPr="00B76110" w:rsidRDefault="00FB701A" w:rsidP="00D17A3D">
            <w:pPr>
              <w:spacing w:after="0"/>
              <w:rPr>
                <w:rFonts w:eastAsia="Times New Roman"/>
              </w:rPr>
            </w:pPr>
            <w:r w:rsidRPr="00B76110">
              <w:rPr>
                <w:rFonts w:eastAsia="Times New Roman"/>
              </w:rPr>
              <w:t xml:space="preserve">NUTS </w:t>
            </w:r>
            <w:r w:rsidR="008D16A3">
              <w:rPr>
                <w:rFonts w:eastAsia="Times New Roman"/>
              </w:rPr>
              <w:t xml:space="preserve">level III </w:t>
            </w:r>
            <w:r w:rsidRPr="00B76110">
              <w:rPr>
                <w:rFonts w:eastAsia="Times New Roman"/>
              </w:rPr>
              <w:t>regions</w:t>
            </w:r>
            <w:r w:rsidR="008D16A3">
              <w:rPr>
                <w:rFonts w:eastAsia="Times New Roman"/>
              </w:rPr>
              <w:t xml:space="preserve"> (or equivalent regions in the non-MS)</w:t>
            </w:r>
            <w:r w:rsidRPr="00B76110">
              <w:rPr>
                <w:rFonts w:eastAsia="Times New Roman"/>
              </w:rPr>
              <w:t xml:space="preserve"> covered by the </w:t>
            </w:r>
            <w:r w:rsidR="008D16A3">
              <w:rPr>
                <w:rFonts w:eastAsia="Times New Roman"/>
              </w:rPr>
              <w:t xml:space="preserve">cross-border </w:t>
            </w:r>
            <w:r w:rsidRPr="00B76110">
              <w:rPr>
                <w:rFonts w:eastAsia="Times New Roman"/>
              </w:rPr>
              <w:t>cooperation programme</w:t>
            </w:r>
          </w:p>
        </w:tc>
        <w:tc>
          <w:tcPr>
            <w:tcW w:w="5103" w:type="dxa"/>
            <w:shd w:val="clear" w:color="auto" w:fill="auto"/>
          </w:tcPr>
          <w:p w:rsidR="00FC2D8F" w:rsidRPr="00FC2D8F" w:rsidRDefault="00FC2D8F" w:rsidP="00231313">
            <w:pPr>
              <w:spacing w:after="0"/>
              <w:rPr>
                <w:rFonts w:eastAsia="Times New Roman"/>
                <w:szCs w:val="24"/>
              </w:rPr>
            </w:pPr>
            <w:r w:rsidRPr="00FC2D8F">
              <w:rPr>
                <w:rFonts w:eastAsia="Times New Roman"/>
                <w:szCs w:val="24"/>
              </w:rPr>
              <w:t>Croatia</w:t>
            </w:r>
            <w:r w:rsidR="009A7987">
              <w:rPr>
                <w:rFonts w:eastAsia="Times New Roman"/>
                <w:szCs w:val="24"/>
              </w:rPr>
              <w:t>:</w:t>
            </w:r>
          </w:p>
          <w:p w:rsidR="00FC2D8F" w:rsidRPr="00FC2D8F" w:rsidRDefault="00FC2D8F" w:rsidP="00231313">
            <w:pPr>
              <w:spacing w:after="0"/>
              <w:rPr>
                <w:rFonts w:eastAsia="Times New Roman"/>
                <w:szCs w:val="24"/>
              </w:rPr>
            </w:pPr>
            <w:r>
              <w:rPr>
                <w:rFonts w:eastAsia="Times New Roman"/>
                <w:szCs w:val="24"/>
              </w:rPr>
              <w:t xml:space="preserve">1. </w:t>
            </w:r>
            <w:r w:rsidRPr="00FC2D8F">
              <w:rPr>
                <w:rFonts w:eastAsia="Times New Roman"/>
                <w:szCs w:val="24"/>
              </w:rPr>
              <w:t>HR04A Brodsko-Posavska županija</w:t>
            </w:r>
          </w:p>
          <w:p w:rsidR="00FC2D8F" w:rsidRPr="00FC2D8F" w:rsidRDefault="00FC2D8F" w:rsidP="00231313">
            <w:pPr>
              <w:spacing w:after="0"/>
              <w:rPr>
                <w:rFonts w:eastAsia="Times New Roman"/>
                <w:szCs w:val="24"/>
              </w:rPr>
            </w:pPr>
            <w:r>
              <w:rPr>
                <w:rFonts w:eastAsia="Times New Roman"/>
                <w:szCs w:val="24"/>
              </w:rPr>
              <w:t xml:space="preserve">2. </w:t>
            </w:r>
            <w:r w:rsidRPr="00FC2D8F">
              <w:rPr>
                <w:rFonts w:eastAsia="Times New Roman"/>
                <w:szCs w:val="24"/>
              </w:rPr>
              <w:t>HR04C Vukovarsko-srijemska županija</w:t>
            </w:r>
          </w:p>
          <w:p w:rsidR="00FC2D8F" w:rsidRPr="00FC2D8F" w:rsidRDefault="00FC2D8F" w:rsidP="00231313">
            <w:pPr>
              <w:spacing w:after="0"/>
              <w:rPr>
                <w:rFonts w:eastAsia="Times New Roman"/>
                <w:szCs w:val="24"/>
              </w:rPr>
            </w:pPr>
            <w:r>
              <w:rPr>
                <w:rFonts w:eastAsia="Times New Roman"/>
                <w:szCs w:val="24"/>
              </w:rPr>
              <w:t xml:space="preserve">3. </w:t>
            </w:r>
            <w:r w:rsidRPr="00FC2D8F">
              <w:rPr>
                <w:rFonts w:eastAsia="Times New Roman"/>
                <w:szCs w:val="24"/>
              </w:rPr>
              <w:t>HR04D Karlovačka županija</w:t>
            </w:r>
          </w:p>
          <w:p w:rsidR="00FC2D8F" w:rsidRPr="00FC2D8F" w:rsidRDefault="00FC2D8F" w:rsidP="00231313">
            <w:pPr>
              <w:spacing w:after="0"/>
              <w:rPr>
                <w:rFonts w:eastAsia="Times New Roman"/>
                <w:szCs w:val="24"/>
              </w:rPr>
            </w:pPr>
            <w:r>
              <w:rPr>
                <w:rFonts w:eastAsia="Times New Roman"/>
                <w:szCs w:val="24"/>
              </w:rPr>
              <w:t xml:space="preserve">4. </w:t>
            </w:r>
            <w:r w:rsidRPr="00FC2D8F">
              <w:rPr>
                <w:rFonts w:eastAsia="Times New Roman"/>
                <w:szCs w:val="24"/>
              </w:rPr>
              <w:t>HR04E Sisačko-Moslavačka županija</w:t>
            </w:r>
          </w:p>
          <w:p w:rsidR="00FC2D8F" w:rsidRPr="00FC2D8F" w:rsidRDefault="00FC2D8F" w:rsidP="00231313">
            <w:pPr>
              <w:spacing w:after="0"/>
              <w:rPr>
                <w:rFonts w:eastAsia="Times New Roman"/>
                <w:szCs w:val="24"/>
              </w:rPr>
            </w:pPr>
            <w:r>
              <w:rPr>
                <w:rFonts w:eastAsia="Times New Roman"/>
                <w:szCs w:val="24"/>
              </w:rPr>
              <w:t xml:space="preserve">5. </w:t>
            </w:r>
            <w:r w:rsidRPr="00FC2D8F">
              <w:rPr>
                <w:rFonts w:eastAsia="Times New Roman"/>
                <w:szCs w:val="24"/>
              </w:rPr>
              <w:t>HR032 Ličko-Senjska županija</w:t>
            </w:r>
          </w:p>
          <w:p w:rsidR="00FC2D8F" w:rsidRPr="00FC2D8F" w:rsidRDefault="00FC2D8F" w:rsidP="00231313">
            <w:pPr>
              <w:spacing w:after="0"/>
              <w:rPr>
                <w:rFonts w:eastAsia="Times New Roman"/>
                <w:szCs w:val="24"/>
              </w:rPr>
            </w:pPr>
            <w:r>
              <w:rPr>
                <w:rFonts w:eastAsia="Times New Roman"/>
                <w:szCs w:val="24"/>
              </w:rPr>
              <w:t xml:space="preserve">6. </w:t>
            </w:r>
            <w:r w:rsidRPr="00FC2D8F">
              <w:rPr>
                <w:rFonts w:eastAsia="Times New Roman"/>
                <w:szCs w:val="24"/>
              </w:rPr>
              <w:t>HR033 Zadarska županija</w:t>
            </w:r>
          </w:p>
          <w:p w:rsidR="00FC2D8F" w:rsidRPr="00FC2D8F" w:rsidRDefault="00FC2D8F" w:rsidP="00231313">
            <w:pPr>
              <w:spacing w:after="0"/>
              <w:rPr>
                <w:rFonts w:eastAsia="Times New Roman"/>
                <w:szCs w:val="24"/>
              </w:rPr>
            </w:pPr>
            <w:r>
              <w:rPr>
                <w:rFonts w:eastAsia="Times New Roman"/>
                <w:szCs w:val="24"/>
              </w:rPr>
              <w:t xml:space="preserve">7. </w:t>
            </w:r>
            <w:r w:rsidRPr="00FC2D8F">
              <w:rPr>
                <w:rFonts w:eastAsia="Times New Roman"/>
                <w:szCs w:val="24"/>
              </w:rPr>
              <w:t>HR034 Šibensko-Kninska županija</w:t>
            </w:r>
          </w:p>
          <w:p w:rsidR="00FC2D8F" w:rsidRPr="00FC2D8F" w:rsidRDefault="00FC2D8F" w:rsidP="00231313">
            <w:pPr>
              <w:spacing w:after="0"/>
              <w:rPr>
                <w:rFonts w:eastAsia="Times New Roman"/>
                <w:szCs w:val="24"/>
              </w:rPr>
            </w:pPr>
            <w:r>
              <w:rPr>
                <w:rFonts w:eastAsia="Times New Roman"/>
                <w:szCs w:val="24"/>
              </w:rPr>
              <w:t xml:space="preserve">8. </w:t>
            </w:r>
            <w:r w:rsidRPr="00FC2D8F">
              <w:rPr>
                <w:rFonts w:eastAsia="Times New Roman"/>
                <w:szCs w:val="24"/>
              </w:rPr>
              <w:t>HR035 Splitsko-Dalmatinska županija</w:t>
            </w:r>
          </w:p>
          <w:p w:rsidR="00FC2D8F" w:rsidRDefault="00FC2D8F" w:rsidP="00231313">
            <w:pPr>
              <w:spacing w:after="0"/>
              <w:rPr>
                <w:rFonts w:eastAsia="Times New Roman"/>
                <w:szCs w:val="24"/>
              </w:rPr>
            </w:pPr>
            <w:r>
              <w:rPr>
                <w:rFonts w:eastAsia="Times New Roman"/>
                <w:szCs w:val="24"/>
              </w:rPr>
              <w:t xml:space="preserve">9. </w:t>
            </w:r>
            <w:r w:rsidRPr="00FC2D8F">
              <w:rPr>
                <w:rFonts w:eastAsia="Times New Roman"/>
                <w:szCs w:val="24"/>
              </w:rPr>
              <w:t>HR037 Dubrovačko-Neretvanska županija</w:t>
            </w:r>
          </w:p>
          <w:p w:rsidR="00FC2D8F" w:rsidRDefault="00FC2D8F" w:rsidP="00231313">
            <w:pPr>
              <w:spacing w:after="0"/>
              <w:rPr>
                <w:rFonts w:eastAsia="Times New Roman"/>
                <w:szCs w:val="24"/>
              </w:rPr>
            </w:pPr>
            <w:r>
              <w:rPr>
                <w:rFonts w:eastAsia="Times New Roman"/>
                <w:szCs w:val="24"/>
              </w:rPr>
              <w:t xml:space="preserve">10. </w:t>
            </w:r>
            <w:r w:rsidRPr="00FC2D8F">
              <w:rPr>
                <w:rFonts w:eastAsia="Times New Roman"/>
                <w:szCs w:val="24"/>
              </w:rPr>
              <w:t>HR047</w:t>
            </w:r>
            <w:r>
              <w:rPr>
                <w:rFonts w:eastAsia="Times New Roman"/>
                <w:szCs w:val="24"/>
              </w:rPr>
              <w:t xml:space="preserve"> </w:t>
            </w:r>
            <w:r w:rsidRPr="00FC2D8F">
              <w:rPr>
                <w:rFonts w:eastAsia="Times New Roman"/>
                <w:szCs w:val="24"/>
              </w:rPr>
              <w:t>Bjelovarsko-bilogorska županija</w:t>
            </w:r>
          </w:p>
          <w:p w:rsidR="00FC2D8F" w:rsidRDefault="00FC2D8F" w:rsidP="00231313">
            <w:pPr>
              <w:spacing w:after="0"/>
              <w:rPr>
                <w:rFonts w:eastAsia="Times New Roman"/>
                <w:szCs w:val="24"/>
              </w:rPr>
            </w:pPr>
            <w:r>
              <w:rPr>
                <w:rFonts w:eastAsia="Times New Roman"/>
                <w:szCs w:val="24"/>
              </w:rPr>
              <w:t xml:space="preserve">11. </w:t>
            </w:r>
            <w:r w:rsidRPr="00FC2D8F">
              <w:rPr>
                <w:rFonts w:eastAsia="Times New Roman"/>
                <w:szCs w:val="24"/>
              </w:rPr>
              <w:t>HR049</w:t>
            </w:r>
            <w:r>
              <w:rPr>
                <w:rFonts w:eastAsia="Times New Roman"/>
                <w:szCs w:val="24"/>
              </w:rPr>
              <w:t xml:space="preserve"> </w:t>
            </w:r>
            <w:r w:rsidRPr="00FC2D8F">
              <w:rPr>
                <w:rFonts w:eastAsia="Times New Roman"/>
                <w:szCs w:val="24"/>
              </w:rPr>
              <w:t>Požeško-slavonska županija</w:t>
            </w:r>
          </w:p>
          <w:p w:rsidR="00FC2D8F" w:rsidRPr="00FC2D8F" w:rsidRDefault="00FC2D8F" w:rsidP="00231313">
            <w:pPr>
              <w:spacing w:after="0"/>
              <w:rPr>
                <w:rFonts w:eastAsia="Times New Roman"/>
                <w:szCs w:val="24"/>
              </w:rPr>
            </w:pPr>
            <w:r>
              <w:rPr>
                <w:rFonts w:eastAsia="Times New Roman"/>
                <w:szCs w:val="24"/>
              </w:rPr>
              <w:t xml:space="preserve">12. </w:t>
            </w:r>
            <w:r w:rsidRPr="00FC2D8F">
              <w:rPr>
                <w:rFonts w:eastAsia="Times New Roman"/>
                <w:szCs w:val="24"/>
              </w:rPr>
              <w:t>HR042</w:t>
            </w:r>
            <w:r>
              <w:rPr>
                <w:rFonts w:eastAsia="Times New Roman"/>
                <w:szCs w:val="24"/>
              </w:rPr>
              <w:t xml:space="preserve"> </w:t>
            </w:r>
            <w:r w:rsidRPr="00FC2D8F">
              <w:rPr>
                <w:rFonts w:eastAsia="Times New Roman"/>
                <w:szCs w:val="24"/>
              </w:rPr>
              <w:t>Zagrebačka županija</w:t>
            </w:r>
          </w:p>
          <w:p w:rsidR="00FC2D8F" w:rsidRDefault="00FC2D8F" w:rsidP="00231313">
            <w:pPr>
              <w:spacing w:after="0"/>
              <w:rPr>
                <w:rFonts w:eastAsia="Times New Roman"/>
                <w:szCs w:val="24"/>
              </w:rPr>
            </w:pPr>
            <w:r w:rsidRPr="00FC2D8F">
              <w:rPr>
                <w:rFonts w:eastAsia="Times New Roman"/>
                <w:szCs w:val="24"/>
              </w:rPr>
              <w:t>Bosnia and Herzegovina</w:t>
            </w:r>
            <w:r w:rsidR="009A7987">
              <w:rPr>
                <w:rFonts w:eastAsia="Times New Roman"/>
                <w:szCs w:val="24"/>
              </w:rPr>
              <w:t>:</w:t>
            </w:r>
          </w:p>
          <w:p w:rsidR="00195588" w:rsidRPr="009B543C" w:rsidRDefault="00195588" w:rsidP="00231313">
            <w:pPr>
              <w:spacing w:after="0"/>
              <w:rPr>
                <w:szCs w:val="24"/>
                <w:lang w:eastAsia="fr-BE"/>
              </w:rPr>
            </w:pPr>
            <w:r w:rsidRPr="00FC6A3B">
              <w:rPr>
                <w:szCs w:val="24"/>
                <w:lang w:eastAsia="fr-BE"/>
              </w:rPr>
              <w:t xml:space="preserve">Brčko District </w:t>
            </w:r>
            <w:r w:rsidR="009A7987">
              <w:rPr>
                <w:szCs w:val="24"/>
                <w:lang w:eastAsia="fr-BE"/>
              </w:rPr>
              <w:t xml:space="preserve">of Bosnia and Herzegovina </w:t>
            </w:r>
            <w:r w:rsidRPr="00FC6A3B">
              <w:rPr>
                <w:szCs w:val="24"/>
                <w:lang w:eastAsia="fr-BE"/>
              </w:rPr>
              <w:t xml:space="preserve">and </w:t>
            </w:r>
            <w:r w:rsidR="00D354BF">
              <w:rPr>
                <w:szCs w:val="24"/>
                <w:lang w:eastAsia="fr-BE"/>
              </w:rPr>
              <w:t>109</w:t>
            </w:r>
            <w:r w:rsidR="00D354BF" w:rsidRPr="00FC6A3B">
              <w:rPr>
                <w:szCs w:val="24"/>
                <w:lang w:eastAsia="fr-BE"/>
              </w:rPr>
              <w:t xml:space="preserve"> </w:t>
            </w:r>
            <w:r w:rsidRPr="00FC6A3B">
              <w:rPr>
                <w:szCs w:val="24"/>
                <w:lang w:eastAsia="fr-BE"/>
              </w:rPr>
              <w:t xml:space="preserve">municipalities: Bijeljina, Teočak, Ugljevik, Lopare, Tuzla, Lukavac, Čelić, Srebrenik, Petrovo, Gračanica, Doboj Istok, Gradačac, Pelagićevo, Donji Žabar, Orašje, Domaljevac-Šamac, Šamac, Modriča, Vukosavlje, Odžak, Brod, Srebrenica, Bratunac, Milići, Han-Pijesak, </w:t>
            </w:r>
            <w:r w:rsidRPr="00FC6A3B">
              <w:rPr>
                <w:szCs w:val="24"/>
                <w:lang w:eastAsia="fr-BE"/>
              </w:rPr>
              <w:lastRenderedPageBreak/>
              <w:t>Vlasenica, Kladanj, Šekovići, Kalesija, Osmaci, Zvornik, Banovići, Živinice, Sapna, Prnjavor, Srbac, Laktaši, Čelinac, Kotor Varoš, Kneževo, Dobretići, Šipovo, Jajce, Jezero, Mrkonjić Grad, Banja Luka, Gradiška, Kozarska Dubica, Prijedor, Oštra Luka, Sanski Most, Ključ, Ribnik, Glamoč, Bosansko Grahovo, Drvar, Istočni Drvar, Petrovac, Bosanski Petrovac, Bosanska Krupa, Krupa na Uni, Novi Grad, Kostajnica, Bužim, Velika Kladuša, Cazin, Bihać, Doboj, Derventa, Prozor/Rama, Konjic, Nevesinje, Gacko, Bileća, Trebinje, Ravno, Ljubinje, Berkovići, Mostar, Jablanica, Kupres, Kupres (RS), Tomislavgrad, Posušje, Široki Brijeg, Čitluk, Stolac, Neum, Čapljina, Ljubuški, Grude, Livno, Istočni Mostar, Doboj Jug, Kakanj, Maglaj, Tešanj, Usora, Zavidovići, Zenica, Žepče, Bugojno, Busovača, Donji Vakuf, Gornji Vakuf-Uskoplje, Novi T</w:t>
            </w:r>
            <w:r w:rsidR="009B543C">
              <w:rPr>
                <w:szCs w:val="24"/>
                <w:lang w:eastAsia="fr-BE"/>
              </w:rPr>
              <w:t xml:space="preserve">ravnik, Travnik, Vitez, </w:t>
            </w:r>
            <w:r w:rsidR="00E1530F">
              <w:rPr>
                <w:szCs w:val="24"/>
                <w:lang w:eastAsia="fr-BE"/>
              </w:rPr>
              <w:t>Teslić</w:t>
            </w:r>
          </w:p>
          <w:p w:rsidR="00FC2D8F" w:rsidRPr="00FC2D8F" w:rsidRDefault="00FC2D8F" w:rsidP="00231313">
            <w:pPr>
              <w:spacing w:after="0"/>
              <w:rPr>
                <w:rFonts w:eastAsia="Times New Roman"/>
                <w:szCs w:val="24"/>
              </w:rPr>
            </w:pPr>
            <w:r w:rsidRPr="00FC2D8F">
              <w:rPr>
                <w:rFonts w:eastAsia="Times New Roman"/>
                <w:szCs w:val="24"/>
              </w:rPr>
              <w:t>Montenegro</w:t>
            </w:r>
            <w:r w:rsidR="009A7987">
              <w:rPr>
                <w:rFonts w:eastAsia="Times New Roman"/>
                <w:szCs w:val="24"/>
              </w:rPr>
              <w:t>:</w:t>
            </w:r>
          </w:p>
          <w:p w:rsidR="00FC2D8F" w:rsidRPr="00FC2D8F" w:rsidRDefault="009C2FDD" w:rsidP="00231313">
            <w:pPr>
              <w:spacing w:after="0"/>
              <w:rPr>
                <w:rFonts w:eastAsia="Times New Roman"/>
                <w:szCs w:val="24"/>
              </w:rPr>
            </w:pPr>
            <w:r>
              <w:rPr>
                <w:rFonts w:eastAsia="Times New Roman"/>
                <w:szCs w:val="24"/>
              </w:rPr>
              <w:t xml:space="preserve">1. </w:t>
            </w:r>
            <w:r w:rsidR="00FC2D8F" w:rsidRPr="00FC2D8F">
              <w:rPr>
                <w:rFonts w:eastAsia="Times New Roman"/>
                <w:szCs w:val="24"/>
              </w:rPr>
              <w:t>Herceg Novi</w:t>
            </w:r>
          </w:p>
          <w:p w:rsidR="00FC2D8F" w:rsidRPr="00FC2D8F" w:rsidRDefault="009C2FDD" w:rsidP="00231313">
            <w:pPr>
              <w:spacing w:after="0"/>
              <w:rPr>
                <w:rFonts w:eastAsia="Times New Roman"/>
                <w:szCs w:val="24"/>
              </w:rPr>
            </w:pPr>
            <w:r>
              <w:rPr>
                <w:rFonts w:eastAsia="Times New Roman"/>
                <w:szCs w:val="24"/>
              </w:rPr>
              <w:t xml:space="preserve">2. </w:t>
            </w:r>
            <w:r w:rsidR="00FC2D8F" w:rsidRPr="00FC2D8F">
              <w:rPr>
                <w:rFonts w:eastAsia="Times New Roman"/>
                <w:szCs w:val="24"/>
              </w:rPr>
              <w:t>Kotor</w:t>
            </w:r>
          </w:p>
          <w:p w:rsidR="00FC2D8F" w:rsidRPr="00FC2D8F" w:rsidRDefault="009C2FDD" w:rsidP="00231313">
            <w:pPr>
              <w:spacing w:after="0"/>
              <w:rPr>
                <w:rFonts w:eastAsia="Times New Roman"/>
                <w:szCs w:val="24"/>
              </w:rPr>
            </w:pPr>
            <w:r>
              <w:rPr>
                <w:rFonts w:eastAsia="Times New Roman"/>
                <w:szCs w:val="24"/>
              </w:rPr>
              <w:t xml:space="preserve">3. </w:t>
            </w:r>
            <w:r w:rsidR="00FC2D8F" w:rsidRPr="00FC2D8F">
              <w:rPr>
                <w:rFonts w:eastAsia="Times New Roman"/>
                <w:szCs w:val="24"/>
              </w:rPr>
              <w:t>Tivat</w:t>
            </w:r>
          </w:p>
          <w:p w:rsidR="00FC2D8F" w:rsidRPr="00FC2D8F" w:rsidRDefault="009C2FDD" w:rsidP="00231313">
            <w:pPr>
              <w:spacing w:after="0"/>
              <w:rPr>
                <w:rFonts w:eastAsia="Times New Roman"/>
                <w:szCs w:val="24"/>
              </w:rPr>
            </w:pPr>
            <w:r>
              <w:rPr>
                <w:rFonts w:eastAsia="Times New Roman"/>
                <w:szCs w:val="24"/>
              </w:rPr>
              <w:t xml:space="preserve">4. </w:t>
            </w:r>
            <w:r w:rsidR="00FC2D8F" w:rsidRPr="00FC2D8F">
              <w:rPr>
                <w:rFonts w:eastAsia="Times New Roman"/>
                <w:szCs w:val="24"/>
              </w:rPr>
              <w:t>Budva</w:t>
            </w:r>
          </w:p>
          <w:p w:rsidR="00FC2D8F" w:rsidRPr="00FC2D8F" w:rsidRDefault="009C2FDD" w:rsidP="00231313">
            <w:pPr>
              <w:spacing w:after="0"/>
              <w:rPr>
                <w:rFonts w:eastAsia="Times New Roman"/>
                <w:szCs w:val="24"/>
              </w:rPr>
            </w:pPr>
            <w:r>
              <w:rPr>
                <w:rFonts w:eastAsia="Times New Roman"/>
                <w:szCs w:val="24"/>
              </w:rPr>
              <w:t xml:space="preserve">5. </w:t>
            </w:r>
            <w:r w:rsidR="00FC2D8F" w:rsidRPr="00FC2D8F">
              <w:rPr>
                <w:rFonts w:eastAsia="Times New Roman"/>
                <w:szCs w:val="24"/>
              </w:rPr>
              <w:t>Bar</w:t>
            </w:r>
          </w:p>
          <w:p w:rsidR="00FC2D8F" w:rsidRPr="00FC2D8F" w:rsidRDefault="009C2FDD" w:rsidP="00231313">
            <w:pPr>
              <w:spacing w:after="0"/>
              <w:rPr>
                <w:rFonts w:eastAsia="Times New Roman"/>
                <w:szCs w:val="24"/>
              </w:rPr>
            </w:pPr>
            <w:r>
              <w:rPr>
                <w:rFonts w:eastAsia="Times New Roman"/>
                <w:szCs w:val="24"/>
              </w:rPr>
              <w:t xml:space="preserve">6. </w:t>
            </w:r>
            <w:r w:rsidR="00FC2D8F" w:rsidRPr="00FC2D8F">
              <w:rPr>
                <w:rFonts w:eastAsia="Times New Roman"/>
                <w:szCs w:val="24"/>
              </w:rPr>
              <w:t>Ulcinj</w:t>
            </w:r>
          </w:p>
          <w:p w:rsidR="00FC2D8F" w:rsidRPr="00FC2D8F" w:rsidRDefault="009C2FDD" w:rsidP="00231313">
            <w:pPr>
              <w:spacing w:after="0"/>
              <w:rPr>
                <w:rFonts w:eastAsia="Times New Roman"/>
                <w:szCs w:val="24"/>
              </w:rPr>
            </w:pPr>
            <w:r>
              <w:rPr>
                <w:rFonts w:eastAsia="Times New Roman"/>
                <w:szCs w:val="24"/>
              </w:rPr>
              <w:t xml:space="preserve">7. </w:t>
            </w:r>
            <w:r w:rsidR="00FC2D8F" w:rsidRPr="00FC2D8F">
              <w:rPr>
                <w:rFonts w:eastAsia="Times New Roman"/>
                <w:szCs w:val="24"/>
              </w:rPr>
              <w:t>Cetinje</w:t>
            </w:r>
          </w:p>
          <w:p w:rsidR="00FC2D8F" w:rsidRPr="00FC2D8F" w:rsidRDefault="009C2FDD" w:rsidP="00231313">
            <w:pPr>
              <w:spacing w:after="0"/>
              <w:rPr>
                <w:rFonts w:eastAsia="Times New Roman"/>
                <w:szCs w:val="24"/>
              </w:rPr>
            </w:pPr>
            <w:r>
              <w:rPr>
                <w:rFonts w:eastAsia="Times New Roman"/>
                <w:szCs w:val="24"/>
              </w:rPr>
              <w:t xml:space="preserve">8. </w:t>
            </w:r>
            <w:r w:rsidR="00FC2D8F" w:rsidRPr="00FC2D8F">
              <w:rPr>
                <w:rFonts w:eastAsia="Times New Roman"/>
                <w:szCs w:val="24"/>
              </w:rPr>
              <w:t>Danilovgrad</w:t>
            </w:r>
          </w:p>
          <w:p w:rsidR="00FC2D8F" w:rsidRPr="00FC2D8F" w:rsidRDefault="009C2FDD" w:rsidP="00231313">
            <w:pPr>
              <w:spacing w:after="0"/>
              <w:rPr>
                <w:rFonts w:eastAsia="Times New Roman"/>
                <w:szCs w:val="24"/>
              </w:rPr>
            </w:pPr>
            <w:r>
              <w:rPr>
                <w:rFonts w:eastAsia="Times New Roman"/>
                <w:szCs w:val="24"/>
              </w:rPr>
              <w:t xml:space="preserve">9. </w:t>
            </w:r>
            <w:r w:rsidR="00FC2D8F" w:rsidRPr="00FC2D8F">
              <w:rPr>
                <w:rFonts w:eastAsia="Times New Roman"/>
                <w:szCs w:val="24"/>
              </w:rPr>
              <w:t>Nikšić</w:t>
            </w:r>
          </w:p>
          <w:p w:rsidR="00473E0B" w:rsidRPr="00FC2D8F" w:rsidRDefault="009C2FDD" w:rsidP="00231313">
            <w:pPr>
              <w:spacing w:after="0"/>
              <w:rPr>
                <w:rFonts w:eastAsia="Times New Roman"/>
                <w:szCs w:val="24"/>
              </w:rPr>
            </w:pPr>
            <w:r>
              <w:rPr>
                <w:rFonts w:eastAsia="Times New Roman"/>
                <w:szCs w:val="24"/>
              </w:rPr>
              <w:t xml:space="preserve">10. </w:t>
            </w:r>
            <w:r w:rsidR="00FC2D8F" w:rsidRPr="00FC2D8F">
              <w:rPr>
                <w:rFonts w:eastAsia="Times New Roman"/>
                <w:szCs w:val="24"/>
              </w:rPr>
              <w:t>Podgorica</w:t>
            </w:r>
          </w:p>
          <w:p w:rsidR="00BA5B87" w:rsidRPr="00FC2D8F" w:rsidRDefault="00B256A4" w:rsidP="00231313">
            <w:pPr>
              <w:spacing w:after="0"/>
              <w:rPr>
                <w:rFonts w:eastAsia="Times New Roman"/>
                <w:szCs w:val="24"/>
              </w:rPr>
            </w:pPr>
            <w:r>
              <w:rPr>
                <w:rFonts w:eastAsia="Times New Roman"/>
                <w:szCs w:val="24"/>
              </w:rPr>
              <w:t>M</w:t>
            </w:r>
            <w:r w:rsidR="00FC2D8F" w:rsidRPr="00FC2D8F">
              <w:rPr>
                <w:rFonts w:eastAsia="Times New Roman"/>
                <w:szCs w:val="24"/>
              </w:rPr>
              <w:t xml:space="preserve">ap of the programme area </w:t>
            </w:r>
            <w:r>
              <w:rPr>
                <w:rFonts w:eastAsia="Times New Roman"/>
                <w:szCs w:val="24"/>
              </w:rPr>
              <w:t>is Annex 3 to Cooperation Programme.</w:t>
            </w:r>
          </w:p>
        </w:tc>
      </w:tr>
    </w:tbl>
    <w:p w:rsidR="00FB701A" w:rsidRPr="00B76110" w:rsidRDefault="00FB701A" w:rsidP="00D17A3D">
      <w:pPr>
        <w:spacing w:after="240"/>
        <w:rPr>
          <w:rFonts w:eastAsia="Times New Roman"/>
        </w:rPr>
      </w:pPr>
    </w:p>
    <w:p w:rsidR="009C06B4" w:rsidRDefault="00FB701A" w:rsidP="007E4342">
      <w:pPr>
        <w:pStyle w:val="ManualHeading1"/>
        <w:tabs>
          <w:tab w:val="clear" w:pos="850"/>
          <w:tab w:val="left" w:pos="1418"/>
        </w:tabs>
        <w:ind w:left="1418" w:hanging="1418"/>
      </w:pPr>
      <w:r w:rsidRPr="00B76110">
        <w:br w:type="page"/>
      </w:r>
    </w:p>
    <w:p w:rsidR="00972AEF" w:rsidRDefault="00FB701A" w:rsidP="00746418">
      <w:pPr>
        <w:pStyle w:val="ManualHeading1"/>
        <w:tabs>
          <w:tab w:val="clear" w:pos="850"/>
          <w:tab w:val="left" w:pos="1418"/>
        </w:tabs>
        <w:ind w:left="0" w:firstLine="0"/>
      </w:pPr>
      <w:r w:rsidRPr="00B76110">
        <w:lastRenderedPageBreak/>
        <w:t>SECTION 1</w:t>
      </w:r>
      <w:r w:rsidRPr="00B76110">
        <w:tab/>
        <w:t>Strategy for the cooperation programme</w:t>
      </w:r>
      <w:r w:rsidR="00B76110">
        <w:t>’</w:t>
      </w:r>
      <w:r w:rsidRPr="00B76110">
        <w:t xml:space="preserve">s contribution to </w:t>
      </w:r>
      <w:r w:rsidR="003E10BA">
        <w:t xml:space="preserve">the selected thematic priorities and the relevant </w:t>
      </w:r>
      <w:r w:rsidR="007E4342">
        <w:t xml:space="preserve">Partnership Agreement </w:t>
      </w:r>
      <w:r w:rsidR="00CD6BE3">
        <w:t>and</w:t>
      </w:r>
      <w:r w:rsidR="007966EA">
        <w:t xml:space="preserve"> </w:t>
      </w:r>
      <w:r w:rsidR="00B104A7">
        <w:rPr>
          <w:lang w:eastAsia="fr-BE"/>
        </w:rPr>
        <w:t>INDICATIVE</w:t>
      </w:r>
      <w:r w:rsidR="007E4342">
        <w:rPr>
          <w:lang w:eastAsia="fr-BE"/>
        </w:rPr>
        <w:t xml:space="preserve"> Strateg</w:t>
      </w:r>
      <w:r w:rsidR="00B104A7">
        <w:rPr>
          <w:lang w:eastAsia="fr-BE"/>
        </w:rPr>
        <w:t>y</w:t>
      </w:r>
      <w:r w:rsidR="007E4342">
        <w:rPr>
          <w:lang w:eastAsia="fr-BE"/>
        </w:rPr>
        <w:t xml:space="preserve"> </w:t>
      </w:r>
      <w:r w:rsidR="0079345D">
        <w:rPr>
          <w:lang w:eastAsia="fr-BE"/>
        </w:rPr>
        <w:t>Paper</w:t>
      </w:r>
      <w:r w:rsidR="007E4342">
        <w:rPr>
          <w:lang w:eastAsia="fr-BE"/>
        </w:rPr>
        <w:t>(s)</w:t>
      </w:r>
    </w:p>
    <w:p w:rsidR="00FB701A" w:rsidRPr="00DB79CB" w:rsidRDefault="003E10BA" w:rsidP="00567F19">
      <w:pPr>
        <w:rPr>
          <w:sz w:val="22"/>
          <w:szCs w:val="22"/>
        </w:rPr>
      </w:pPr>
      <w:r w:rsidRPr="00DB79CB">
        <w:rPr>
          <w:sz w:val="22"/>
          <w:szCs w:val="22"/>
        </w:rPr>
        <w:t>[</w:t>
      </w:r>
      <w:r w:rsidR="0067454E" w:rsidRPr="00DB79CB">
        <w:rPr>
          <w:sz w:val="22"/>
          <w:szCs w:val="22"/>
        </w:rPr>
        <w:t>R</w:t>
      </w:r>
      <w:r w:rsidR="00972AEF" w:rsidRPr="00DB79CB">
        <w:rPr>
          <w:sz w:val="22"/>
          <w:szCs w:val="22"/>
        </w:rPr>
        <w:t xml:space="preserve">eference: </w:t>
      </w:r>
      <w:r w:rsidR="00DB79CB">
        <w:rPr>
          <w:sz w:val="22"/>
          <w:szCs w:val="22"/>
        </w:rPr>
        <w:t>Article 31</w:t>
      </w:r>
      <w:r w:rsidRPr="00DB79CB">
        <w:rPr>
          <w:sz w:val="22"/>
          <w:szCs w:val="22"/>
        </w:rPr>
        <w:t>, Commission Im</w:t>
      </w:r>
      <w:r w:rsidR="00DB79CB">
        <w:rPr>
          <w:sz w:val="22"/>
          <w:szCs w:val="22"/>
        </w:rPr>
        <w:t>plementing Regulation (EU) No. 447/2014 of 2 May 2014</w:t>
      </w:r>
      <w:r w:rsidRPr="00DB79CB">
        <w:rPr>
          <w:sz w:val="22"/>
          <w:szCs w:val="22"/>
        </w:rPr>
        <w:t xml:space="preserve"> on the specific rules for i</w:t>
      </w:r>
      <w:r w:rsidR="00DB79CB">
        <w:rPr>
          <w:sz w:val="22"/>
          <w:szCs w:val="22"/>
        </w:rPr>
        <w:t xml:space="preserve">mplementing Regulation (EU) 231/2014 of 11 March </w:t>
      </w:r>
      <w:r w:rsidRPr="00DB79CB">
        <w:rPr>
          <w:sz w:val="22"/>
          <w:szCs w:val="22"/>
        </w:rPr>
        <w:t>2013 of the European Parliament and of the Council establishing an Instrument for Pre-</w:t>
      </w:r>
      <w:r w:rsidR="007E4342" w:rsidRPr="00DB79CB">
        <w:rPr>
          <w:sz w:val="22"/>
          <w:szCs w:val="22"/>
        </w:rPr>
        <w:t>Accession</w:t>
      </w:r>
      <w:r w:rsidRPr="00DB79CB">
        <w:rPr>
          <w:sz w:val="22"/>
          <w:szCs w:val="22"/>
        </w:rPr>
        <w:t xml:space="preserve"> assistance (IPA II)]</w:t>
      </w:r>
    </w:p>
    <w:p w:rsidR="00FA7765" w:rsidRPr="00E802F9" w:rsidRDefault="00FA7765" w:rsidP="00567F19"/>
    <w:p w:rsidR="00EE503D" w:rsidRPr="00B76110" w:rsidRDefault="00FB701A" w:rsidP="006F2E3E">
      <w:pPr>
        <w:keepNext/>
        <w:spacing w:after="240"/>
        <w:ind w:left="851" w:hanging="851"/>
        <w:outlineLvl w:val="1"/>
        <w:rPr>
          <w:rFonts w:eastAsia="Times New Roman"/>
          <w:b/>
          <w:lang w:eastAsia="fr-BE"/>
        </w:rPr>
      </w:pPr>
      <w:r w:rsidRPr="00B76110">
        <w:rPr>
          <w:rFonts w:eastAsia="Times New Roman"/>
          <w:b/>
          <w:lang w:eastAsia="fr-BE"/>
        </w:rPr>
        <w:t>1.1</w:t>
      </w:r>
      <w:r w:rsidRPr="00B76110">
        <w:rPr>
          <w:rFonts w:eastAsia="Times New Roman"/>
          <w:b/>
          <w:lang w:eastAsia="fr-BE"/>
        </w:rPr>
        <w:tab/>
        <w:t>Strategy for the cooperation programme</w:t>
      </w:r>
      <w:r w:rsidR="00B76110">
        <w:rPr>
          <w:rFonts w:eastAsia="Times New Roman"/>
          <w:b/>
          <w:lang w:eastAsia="fr-BE"/>
        </w:rPr>
        <w:t>’</w:t>
      </w:r>
      <w:r w:rsidRPr="00B76110">
        <w:rPr>
          <w:rFonts w:eastAsia="Times New Roman"/>
          <w:b/>
          <w:lang w:eastAsia="fr-BE"/>
        </w:rPr>
        <w:t xml:space="preserve">s contribution to </w:t>
      </w:r>
      <w:r w:rsidR="004A1074">
        <w:rPr>
          <w:rFonts w:eastAsia="Times New Roman"/>
          <w:b/>
          <w:lang w:eastAsia="fr-BE"/>
        </w:rPr>
        <w:t>the selected thematic priorities and the relevant Partnership Agreement</w:t>
      </w:r>
      <w:r w:rsidR="00CD6BE3">
        <w:rPr>
          <w:rFonts w:eastAsia="Times New Roman"/>
          <w:b/>
          <w:lang w:eastAsia="fr-BE"/>
        </w:rPr>
        <w:t xml:space="preserve"> and</w:t>
      </w:r>
      <w:r w:rsidR="007966EA">
        <w:rPr>
          <w:rFonts w:eastAsia="Times New Roman"/>
          <w:b/>
          <w:lang w:eastAsia="fr-BE"/>
        </w:rPr>
        <w:t xml:space="preserve"> </w:t>
      </w:r>
      <w:r w:rsidR="00B104A7">
        <w:rPr>
          <w:rFonts w:eastAsia="Times New Roman"/>
          <w:b/>
          <w:lang w:eastAsia="fr-BE"/>
        </w:rPr>
        <w:t>Indicative</w:t>
      </w:r>
      <w:r w:rsidR="0079345D">
        <w:rPr>
          <w:rFonts w:eastAsia="Times New Roman"/>
          <w:b/>
          <w:lang w:eastAsia="fr-BE"/>
        </w:rPr>
        <w:t xml:space="preserve"> Strateg</w:t>
      </w:r>
      <w:r w:rsidR="00B104A7">
        <w:rPr>
          <w:rFonts w:eastAsia="Times New Roman"/>
          <w:b/>
          <w:lang w:eastAsia="fr-BE"/>
        </w:rPr>
        <w:t>y</w:t>
      </w:r>
      <w:r w:rsidR="0079345D">
        <w:rPr>
          <w:rFonts w:eastAsia="Times New Roman"/>
          <w:b/>
          <w:lang w:eastAsia="fr-BE"/>
        </w:rPr>
        <w:t xml:space="preserve"> Paper</w:t>
      </w:r>
      <w:r w:rsidR="001E1FD0">
        <w:rPr>
          <w:rFonts w:eastAsia="Times New Roman"/>
          <w:b/>
          <w:lang w:eastAsia="fr-BE"/>
        </w:rPr>
        <w:t>s</w:t>
      </w:r>
      <w:r w:rsidR="0079345D">
        <w:rPr>
          <w:rFonts w:eastAsia="Times New Roman"/>
          <w:b/>
          <w:lang w:eastAsia="fr-BE"/>
        </w:rPr>
        <w:t xml:space="preserve"> </w:t>
      </w:r>
    </w:p>
    <w:p w:rsidR="00FB701A" w:rsidRPr="006F2E3E" w:rsidRDefault="00FB701A" w:rsidP="00537212">
      <w:pPr>
        <w:pStyle w:val="NumPar3"/>
        <w:numPr>
          <w:ilvl w:val="2"/>
          <w:numId w:val="58"/>
        </w:numPr>
        <w:rPr>
          <w:lang w:eastAsia="fr-BE"/>
        </w:rPr>
      </w:pPr>
      <w:r w:rsidRPr="00B76110">
        <w:rPr>
          <w:lang w:eastAsia="fr-BE"/>
        </w:rPr>
        <w:t xml:space="preserve">Description of the cooperation programme’s strategy </w:t>
      </w:r>
      <w:r w:rsidR="001D3041">
        <w:rPr>
          <w:lang w:eastAsia="fr-BE"/>
        </w:rPr>
        <w:t>for contributing</w:t>
      </w:r>
      <w:r w:rsidRPr="00B76110">
        <w:rPr>
          <w:lang w:eastAsia="fr-BE"/>
        </w:rPr>
        <w:t xml:space="preserve"> </w:t>
      </w:r>
      <w:r w:rsidR="004A1074" w:rsidRPr="004A1074">
        <w:rPr>
          <w:lang w:eastAsia="fr-BE"/>
        </w:rPr>
        <w:t>to the selected thematic priorities and the relevant Partnership Agreement</w:t>
      </w:r>
      <w:r w:rsidR="00CD6BE3">
        <w:rPr>
          <w:lang w:eastAsia="fr-BE"/>
        </w:rPr>
        <w:t xml:space="preserve"> and</w:t>
      </w:r>
      <w:r w:rsidR="00283AB2" w:rsidRPr="00283AB2">
        <w:rPr>
          <w:rFonts w:eastAsia="Times New Roman"/>
          <w:b/>
          <w:lang w:eastAsia="fr-BE"/>
        </w:rPr>
        <w:t xml:space="preserve"> </w:t>
      </w:r>
      <w:r w:rsidR="00B104A7">
        <w:rPr>
          <w:rFonts w:eastAsia="Times New Roman"/>
          <w:lang w:eastAsia="fr-BE"/>
        </w:rPr>
        <w:t>Indicative</w:t>
      </w:r>
      <w:r w:rsidR="00283AB2" w:rsidRPr="00CA604B">
        <w:rPr>
          <w:rFonts w:eastAsia="Times New Roman"/>
          <w:lang w:eastAsia="fr-BE"/>
        </w:rPr>
        <w:t xml:space="preserve"> Strateg</w:t>
      </w:r>
      <w:r w:rsidR="00B104A7">
        <w:rPr>
          <w:rFonts w:eastAsia="Times New Roman"/>
          <w:lang w:eastAsia="fr-BE"/>
        </w:rPr>
        <w:t>y</w:t>
      </w:r>
      <w:r w:rsidR="00283AB2" w:rsidRPr="00CA604B">
        <w:rPr>
          <w:rFonts w:eastAsia="Times New Roman"/>
          <w:lang w:eastAsia="fr-BE"/>
        </w:rPr>
        <w:t xml:space="preserve"> Paper</w:t>
      </w:r>
      <w:r w:rsidR="001E1FD0">
        <w:rPr>
          <w:rFonts w:eastAsia="Times New Roman"/>
          <w:lang w:eastAsia="fr-BE"/>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701A" w:rsidRPr="00B76110" w:rsidTr="006C629A">
        <w:trPr>
          <w:trHeight w:val="1833"/>
        </w:trPr>
        <w:tc>
          <w:tcPr>
            <w:tcW w:w="9072" w:type="dxa"/>
            <w:shd w:val="clear" w:color="auto" w:fill="auto"/>
          </w:tcPr>
          <w:p w:rsidR="00191D55" w:rsidRDefault="00191D55" w:rsidP="00797F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color w:val="000000"/>
                <w:szCs w:val="24"/>
              </w:rPr>
            </w:pPr>
          </w:p>
          <w:p w:rsidR="00CD3F33" w:rsidRPr="00CD3F33" w:rsidRDefault="00CD3F33" w:rsidP="00537212">
            <w:pPr>
              <w:pStyle w:val="ListParagraph"/>
              <w:widowControl w:val="0"/>
              <w:numPr>
                <w:ilvl w:val="1"/>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color w:val="000000"/>
                <w:szCs w:val="24"/>
              </w:rPr>
            </w:pPr>
            <w:r w:rsidRPr="00CD3F33">
              <w:rPr>
                <w:b/>
                <w:color w:val="000000"/>
                <w:szCs w:val="24"/>
              </w:rPr>
              <w:t>General context of the programme</w:t>
            </w:r>
          </w:p>
          <w:p w:rsidR="000773E3" w:rsidRPr="00CD3F33" w:rsidRDefault="000F4C85" w:rsidP="00CD3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Pr>
                <w:color w:val="000000"/>
                <w:szCs w:val="24"/>
              </w:rPr>
              <w:t>IPA C</w:t>
            </w:r>
            <w:r w:rsidR="006C2BAB">
              <w:rPr>
                <w:color w:val="000000"/>
                <w:szCs w:val="24"/>
              </w:rPr>
              <w:t xml:space="preserve">ross-border </w:t>
            </w:r>
            <w:r>
              <w:rPr>
                <w:color w:val="000000"/>
                <w:szCs w:val="24"/>
              </w:rPr>
              <w:t>C</w:t>
            </w:r>
            <w:r w:rsidR="006C2BAB">
              <w:rPr>
                <w:color w:val="000000"/>
                <w:szCs w:val="24"/>
              </w:rPr>
              <w:t>ooperation</w:t>
            </w:r>
            <w:r>
              <w:rPr>
                <w:color w:val="000000"/>
                <w:szCs w:val="24"/>
              </w:rPr>
              <w:t xml:space="preserve"> p</w:t>
            </w:r>
            <w:r w:rsidR="000773E3" w:rsidRPr="00CD3F33">
              <w:rPr>
                <w:color w:val="000000"/>
                <w:szCs w:val="24"/>
              </w:rPr>
              <w:t xml:space="preserve">rogramme Croatia- Bosnia and Herzegovina-Montenegro 2014-2020 (the Programme) as IPA cross-border cooperation programme is perceived as the instrument for the implementation of, on one hand, EU cohesion policy as the main investment tool for delivering Europe 2020 goals: smart, sustainable and inclusive growth that is to be achieved by concentrating on more effective investments in education, research and innovation, move towards a low-carbon economy and on job creation and poverty reduction thus focusing on five ambitious goals in the areas of employment, innovation, education, poverty reduction and climate/energy. </w:t>
            </w:r>
          </w:p>
          <w:p w:rsidR="000773E3" w:rsidRPr="000773E3" w:rsidRDefault="000773E3" w:rsidP="009E7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0773E3">
              <w:rPr>
                <w:color w:val="000000"/>
                <w:szCs w:val="24"/>
              </w:rPr>
              <w:t xml:space="preserve">On the other hand, the Programme will be used as </w:t>
            </w:r>
            <w:r w:rsidR="006C2BAB">
              <w:rPr>
                <w:color w:val="000000"/>
                <w:szCs w:val="24"/>
              </w:rPr>
              <w:t xml:space="preserve">the </w:t>
            </w:r>
            <w:r w:rsidRPr="000773E3">
              <w:rPr>
                <w:color w:val="000000"/>
                <w:szCs w:val="24"/>
              </w:rPr>
              <w:t xml:space="preserve">instrument for contribution to South East Europe 2020 strategy goals interlinked within the development pillars concentrated on integrated, sustainable and inclusive growth as well as governance for growth thus focusing on improving living conditions and bringing competitiveness and development in the region by closely following the vision of the Europe 2020 strategy. </w:t>
            </w:r>
          </w:p>
          <w:p w:rsidR="000773E3" w:rsidRPr="000773E3" w:rsidRDefault="000773E3" w:rsidP="009E7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0773E3">
              <w:rPr>
                <w:color w:val="000000"/>
                <w:szCs w:val="24"/>
              </w:rPr>
              <w:t>Therefore, the Programme is seen as the tool for interlinking both strategies and contributing to the achievement of the related goals by addressing the common challenges of the programme area.</w:t>
            </w:r>
          </w:p>
          <w:p w:rsidR="000773E3" w:rsidRPr="000773E3" w:rsidRDefault="000773E3" w:rsidP="009E7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0773E3">
              <w:rPr>
                <w:color w:val="000000"/>
                <w:szCs w:val="24"/>
              </w:rPr>
              <w:t>The regulatory framework for the Programme is provided by the relevant regulations for Cohesion Policy and EU External Actions</w:t>
            </w:r>
            <w:r w:rsidR="006C2BAB">
              <w:rPr>
                <w:color w:val="000000"/>
                <w:szCs w:val="24"/>
              </w:rPr>
              <w:t xml:space="preserve"> for </w:t>
            </w:r>
            <w:r w:rsidR="006C2BAB" w:rsidRPr="000773E3">
              <w:rPr>
                <w:color w:val="000000"/>
                <w:szCs w:val="24"/>
              </w:rPr>
              <w:t>2014-2020</w:t>
            </w:r>
            <w:r w:rsidR="006C2BAB">
              <w:rPr>
                <w:color w:val="000000"/>
                <w:szCs w:val="24"/>
              </w:rPr>
              <w:t xml:space="preserve"> period</w:t>
            </w:r>
            <w:r w:rsidRPr="000773E3">
              <w:rPr>
                <w:color w:val="000000"/>
                <w:szCs w:val="24"/>
              </w:rPr>
              <w:t xml:space="preserve">. </w:t>
            </w:r>
          </w:p>
          <w:p w:rsidR="000773E3" w:rsidRPr="000773E3" w:rsidRDefault="000773E3" w:rsidP="009E7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0773E3">
              <w:rPr>
                <w:color w:val="000000"/>
                <w:szCs w:val="24"/>
              </w:rPr>
              <w:t xml:space="preserve">The </w:t>
            </w:r>
            <w:r w:rsidR="00A459C4">
              <w:rPr>
                <w:color w:val="000000"/>
                <w:szCs w:val="24"/>
              </w:rPr>
              <w:t xml:space="preserve">possible </w:t>
            </w:r>
            <w:r w:rsidRPr="000773E3">
              <w:rPr>
                <w:color w:val="000000"/>
                <w:szCs w:val="24"/>
              </w:rPr>
              <w:t xml:space="preserve">thematic scope of the Programme is provided </w:t>
            </w:r>
            <w:r w:rsidR="00A459C4">
              <w:rPr>
                <w:color w:val="000000"/>
                <w:szCs w:val="24"/>
              </w:rPr>
              <w:t>within</w:t>
            </w:r>
            <w:r w:rsidRPr="000773E3">
              <w:rPr>
                <w:color w:val="000000"/>
                <w:szCs w:val="24"/>
              </w:rPr>
              <w:t xml:space="preserve"> 8 thematic priorities as described in </w:t>
            </w:r>
            <w:r w:rsidR="00A459C4">
              <w:rPr>
                <w:color w:val="000000"/>
                <w:szCs w:val="24"/>
              </w:rPr>
              <w:t xml:space="preserve">Annex II to </w:t>
            </w:r>
            <w:r w:rsidRPr="000773E3">
              <w:rPr>
                <w:color w:val="000000"/>
                <w:szCs w:val="24"/>
              </w:rPr>
              <w:t xml:space="preserve">the </w:t>
            </w:r>
            <w:r w:rsidR="009C4C7C" w:rsidRPr="000E6E70">
              <w:rPr>
                <w:szCs w:val="24"/>
              </w:rPr>
              <w:t>Regulation (EU) No 231/2014 of the European Parliament an</w:t>
            </w:r>
            <w:r w:rsidR="009C4C7C">
              <w:rPr>
                <w:szCs w:val="24"/>
              </w:rPr>
              <w:t>d</w:t>
            </w:r>
            <w:r w:rsidR="009C4C7C" w:rsidRPr="000E6E70">
              <w:rPr>
                <w:szCs w:val="24"/>
              </w:rPr>
              <w:t xml:space="preserve"> of the Council of 11 March 2014 establishing an Instrument for Pre-accession Assistance (IPA II</w:t>
            </w:r>
            <w:r w:rsidR="009C4C7C" w:rsidRPr="006423F7">
              <w:rPr>
                <w:szCs w:val="24"/>
              </w:rPr>
              <w:t>).</w:t>
            </w:r>
            <w:r w:rsidRPr="000773E3">
              <w:rPr>
                <w:color w:val="000000"/>
                <w:szCs w:val="24"/>
              </w:rPr>
              <w:t xml:space="preserve"> The European Territorial Cooperation Regulation outlines that cross-border cooperation should aim to tackle common challenges identified jointly in the border regions, such as: poor accessibility, especially in relation to information and communication technologies (ICT)</w:t>
            </w:r>
            <w:r w:rsidR="00983FBA">
              <w:rPr>
                <w:color w:val="000000"/>
                <w:szCs w:val="24"/>
              </w:rPr>
              <w:t>,</w:t>
            </w:r>
            <w:r w:rsidRPr="000773E3">
              <w:rPr>
                <w:color w:val="000000"/>
                <w:szCs w:val="24"/>
              </w:rPr>
              <w:t xml:space="preserve"> connectivity and transport infrastructure, declining local industries, an inappropriate business environment, lack of networks among local and regional administrations, low levels of research and innovation and take-up of ICT, environmental pollution, risk prevention, negative attitudes towards neighbouring country citizens and aim to exploit the untapped growth potential in border areas (development of cross-border research and innovation facilities and clusters, cross-border labour market integration, cooperation among education providers, including universities or between health centres), while enhancing the cooperation process for the purpose of the overall </w:t>
            </w:r>
            <w:r w:rsidRPr="000773E3">
              <w:rPr>
                <w:color w:val="000000"/>
                <w:szCs w:val="24"/>
              </w:rPr>
              <w:lastRenderedPageBreak/>
              <w:t>harmonious development of the Union.</w:t>
            </w:r>
          </w:p>
          <w:p w:rsidR="000773E3" w:rsidRPr="000773E3" w:rsidRDefault="000773E3" w:rsidP="009E7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0773E3">
              <w:rPr>
                <w:color w:val="000000"/>
                <w:szCs w:val="24"/>
              </w:rPr>
              <w:t>Taking into consideration the goals of the abovementioned strategies and the challenges the programme a</w:t>
            </w:r>
            <w:r w:rsidR="00983FBA">
              <w:rPr>
                <w:color w:val="000000"/>
                <w:szCs w:val="24"/>
              </w:rPr>
              <w:t>rea is facing, the aim of this P</w:t>
            </w:r>
            <w:r w:rsidRPr="000773E3">
              <w:rPr>
                <w:color w:val="000000"/>
                <w:szCs w:val="24"/>
              </w:rPr>
              <w:t xml:space="preserve">rogramme is </w:t>
            </w:r>
            <w:r>
              <w:rPr>
                <w:color w:val="000000"/>
                <w:szCs w:val="24"/>
              </w:rPr>
              <w:t>to</w:t>
            </w:r>
            <w:r w:rsidRPr="000773E3">
              <w:rPr>
                <w:color w:val="000000"/>
                <w:szCs w:val="24"/>
              </w:rPr>
              <w:t xml:space="preserve"> increase socio-economic growth </w:t>
            </w:r>
            <w:r w:rsidR="00A459C4">
              <w:rPr>
                <w:color w:val="000000"/>
                <w:szCs w:val="24"/>
              </w:rPr>
              <w:t xml:space="preserve">of the programme area </w:t>
            </w:r>
            <w:r w:rsidRPr="000773E3">
              <w:rPr>
                <w:color w:val="000000"/>
                <w:szCs w:val="24"/>
              </w:rPr>
              <w:t xml:space="preserve">through interventions in the areas of </w:t>
            </w:r>
            <w:r w:rsidR="00BF4CD5">
              <w:rPr>
                <w:color w:val="000000"/>
                <w:szCs w:val="24"/>
              </w:rPr>
              <w:t xml:space="preserve">health and social care, </w:t>
            </w:r>
            <w:r w:rsidRPr="000773E3">
              <w:rPr>
                <w:color w:val="000000"/>
                <w:szCs w:val="24"/>
              </w:rPr>
              <w:t xml:space="preserve">environment </w:t>
            </w:r>
            <w:r w:rsidR="00146D4C">
              <w:rPr>
                <w:color w:val="000000"/>
                <w:szCs w:val="24"/>
              </w:rPr>
              <w:t xml:space="preserve">and nature </w:t>
            </w:r>
            <w:r w:rsidR="000A7373">
              <w:rPr>
                <w:color w:val="000000"/>
                <w:szCs w:val="24"/>
              </w:rPr>
              <w:t>protection</w:t>
            </w:r>
            <w:r w:rsidR="00A459C4">
              <w:rPr>
                <w:color w:val="000000"/>
                <w:szCs w:val="24"/>
              </w:rPr>
              <w:t>, risk prevention</w:t>
            </w:r>
            <w:r w:rsidR="000A7373">
              <w:rPr>
                <w:color w:val="000000"/>
                <w:szCs w:val="24"/>
              </w:rPr>
              <w:t xml:space="preserve"> and </w:t>
            </w:r>
            <w:r w:rsidRPr="000773E3">
              <w:rPr>
                <w:color w:val="000000"/>
                <w:szCs w:val="24"/>
              </w:rPr>
              <w:t>development of sustainable tour</w:t>
            </w:r>
            <w:r w:rsidR="00BF4CD5">
              <w:rPr>
                <w:color w:val="000000"/>
                <w:szCs w:val="24"/>
              </w:rPr>
              <w:t>ism and business environment</w:t>
            </w:r>
            <w:r w:rsidR="007C7206">
              <w:rPr>
                <w:color w:val="000000"/>
                <w:szCs w:val="24"/>
              </w:rPr>
              <w:t>.</w:t>
            </w:r>
            <w:r w:rsidRPr="000773E3">
              <w:rPr>
                <w:color w:val="000000"/>
                <w:szCs w:val="24"/>
              </w:rPr>
              <w:t xml:space="preserve"> </w:t>
            </w:r>
          </w:p>
          <w:p w:rsidR="009E711F" w:rsidRDefault="000773E3" w:rsidP="009E7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r w:rsidRPr="000773E3">
              <w:rPr>
                <w:color w:val="000000"/>
                <w:szCs w:val="24"/>
              </w:rPr>
              <w:t>In that respect, the Programme will</w:t>
            </w:r>
            <w:r w:rsidR="00002A11">
              <w:rPr>
                <w:color w:val="000000"/>
                <w:szCs w:val="24"/>
              </w:rPr>
              <w:t xml:space="preserve"> make use of the existing cross-</w:t>
            </w:r>
            <w:r w:rsidRPr="000773E3">
              <w:rPr>
                <w:color w:val="000000"/>
                <w:szCs w:val="24"/>
              </w:rPr>
              <w:t>border cooperation established within 2007-2013 programme</w:t>
            </w:r>
            <w:r w:rsidR="00FC5293">
              <w:rPr>
                <w:color w:val="000000"/>
                <w:szCs w:val="24"/>
              </w:rPr>
              <w:t>s</w:t>
            </w:r>
            <w:r w:rsidRPr="000773E3">
              <w:rPr>
                <w:color w:val="000000"/>
                <w:szCs w:val="24"/>
              </w:rPr>
              <w:t xml:space="preserve"> in order to further strengthen and extend </w:t>
            </w:r>
            <w:r w:rsidR="00954AE1">
              <w:rPr>
                <w:color w:val="000000"/>
                <w:szCs w:val="24"/>
              </w:rPr>
              <w:t xml:space="preserve">its </w:t>
            </w:r>
            <w:r w:rsidRPr="000773E3">
              <w:rPr>
                <w:color w:val="000000"/>
                <w:szCs w:val="24"/>
              </w:rPr>
              <w:t>scope of cooperation</w:t>
            </w:r>
            <w:r w:rsidR="00A459C4">
              <w:rPr>
                <w:color w:val="000000"/>
                <w:szCs w:val="24"/>
              </w:rPr>
              <w:t xml:space="preserve"> within this Programme</w:t>
            </w:r>
            <w:r w:rsidRPr="000773E3">
              <w:rPr>
                <w:color w:val="000000"/>
                <w:szCs w:val="24"/>
              </w:rPr>
              <w:t>.</w:t>
            </w:r>
          </w:p>
          <w:p w:rsidR="00E27547" w:rsidRDefault="00E27547" w:rsidP="009E7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p>
          <w:p w:rsidR="00A459C4" w:rsidRPr="00A459C4" w:rsidRDefault="00A459C4" w:rsidP="00537212">
            <w:pPr>
              <w:pStyle w:val="ListParagraph"/>
              <w:widowControl w:val="0"/>
              <w:numPr>
                <w:ilvl w:val="1"/>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color w:val="000000"/>
                <w:szCs w:val="24"/>
              </w:rPr>
            </w:pPr>
            <w:r w:rsidRPr="00A459C4">
              <w:rPr>
                <w:b/>
                <w:color w:val="000000"/>
                <w:szCs w:val="24"/>
              </w:rPr>
              <w:t xml:space="preserve"> General description of the programme area</w:t>
            </w:r>
          </w:p>
          <w:p w:rsidR="00E27547" w:rsidRPr="00FC6A3B" w:rsidRDefault="00E27547" w:rsidP="00E27547">
            <w:pPr>
              <w:spacing w:after="0"/>
              <w:rPr>
                <w:szCs w:val="24"/>
                <w:lang w:eastAsia="fr-BE"/>
              </w:rPr>
            </w:pPr>
            <w:r>
              <w:rPr>
                <w:szCs w:val="24"/>
                <w:lang w:eastAsia="fr-BE"/>
              </w:rPr>
              <w:t xml:space="preserve">The </w:t>
            </w:r>
            <w:r w:rsidRPr="00FC6A3B">
              <w:rPr>
                <w:szCs w:val="24"/>
                <w:lang w:eastAsia="fr-BE"/>
              </w:rPr>
              <w:t xml:space="preserve">programme area </w:t>
            </w:r>
            <w:r>
              <w:rPr>
                <w:szCs w:val="24"/>
                <w:lang w:eastAsia="fr-BE"/>
              </w:rPr>
              <w:t>includes</w:t>
            </w:r>
            <w:r w:rsidRPr="00FC6A3B">
              <w:rPr>
                <w:szCs w:val="24"/>
                <w:lang w:eastAsia="fr-BE"/>
              </w:rPr>
              <w:t xml:space="preserve"> 12 counties on the Croatian side, </w:t>
            </w:r>
            <w:r>
              <w:rPr>
                <w:szCs w:val="24"/>
                <w:lang w:eastAsia="fr-BE"/>
              </w:rPr>
              <w:t>Brčko</w:t>
            </w:r>
            <w:r w:rsidRPr="00FC6A3B">
              <w:rPr>
                <w:szCs w:val="24"/>
                <w:lang w:eastAsia="fr-BE"/>
              </w:rPr>
              <w:t xml:space="preserve"> </w:t>
            </w:r>
            <w:r>
              <w:rPr>
                <w:szCs w:val="24"/>
                <w:lang w:eastAsia="fr-BE"/>
              </w:rPr>
              <w:t xml:space="preserve">District and </w:t>
            </w:r>
            <w:r w:rsidRPr="00FC6A3B">
              <w:rPr>
                <w:szCs w:val="24"/>
                <w:lang w:eastAsia="fr-BE"/>
              </w:rPr>
              <w:t>1</w:t>
            </w:r>
            <w:r w:rsidR="00487D18">
              <w:rPr>
                <w:szCs w:val="24"/>
                <w:lang w:eastAsia="fr-BE"/>
              </w:rPr>
              <w:t>09</w:t>
            </w:r>
            <w:r w:rsidRPr="00FC6A3B">
              <w:rPr>
                <w:szCs w:val="24"/>
                <w:lang w:eastAsia="fr-BE"/>
              </w:rPr>
              <w:t xml:space="preserve"> municipalities on the side of Bosnia and Herzegovina and 10 municipalities on the Montenegrin side</w:t>
            </w:r>
            <w:r>
              <w:rPr>
                <w:szCs w:val="24"/>
                <w:lang w:eastAsia="fr-BE"/>
              </w:rPr>
              <w:t>. This amounts to total of 87.</w:t>
            </w:r>
            <w:r w:rsidRPr="00FC6A3B">
              <w:rPr>
                <w:szCs w:val="24"/>
                <w:lang w:eastAsia="fr-BE"/>
              </w:rPr>
              <w:t>453.95 km2 of</w:t>
            </w:r>
            <w:r>
              <w:rPr>
                <w:szCs w:val="24"/>
                <w:lang w:eastAsia="fr-BE"/>
              </w:rPr>
              <w:t xml:space="preserve"> the programme area with 5.587.</w:t>
            </w:r>
            <w:r w:rsidRPr="00FC6A3B">
              <w:rPr>
                <w:szCs w:val="24"/>
                <w:lang w:eastAsia="fr-BE"/>
              </w:rPr>
              <w:t xml:space="preserve">836.00 inhabitants. </w:t>
            </w:r>
          </w:p>
          <w:p w:rsidR="00E27547" w:rsidRPr="00FC6A3B" w:rsidRDefault="00E27547" w:rsidP="00E27547">
            <w:pPr>
              <w:spacing w:after="0"/>
              <w:rPr>
                <w:szCs w:val="24"/>
                <w:lang w:eastAsia="fr-BE"/>
              </w:rPr>
            </w:pPr>
            <w:r>
              <w:rPr>
                <w:szCs w:val="24"/>
                <w:lang w:eastAsia="fr-BE"/>
              </w:rPr>
              <w:t>T</w:t>
            </w:r>
            <w:r w:rsidRPr="00FC6A3B">
              <w:rPr>
                <w:szCs w:val="24"/>
                <w:lang w:eastAsia="fr-BE"/>
              </w:rPr>
              <w:t xml:space="preserve">he Croatian </w:t>
            </w:r>
            <w:r>
              <w:rPr>
                <w:szCs w:val="24"/>
                <w:lang w:eastAsia="fr-BE"/>
              </w:rPr>
              <w:t>part of</w:t>
            </w:r>
            <w:r w:rsidRPr="00FC6A3B">
              <w:rPr>
                <w:szCs w:val="24"/>
                <w:lang w:eastAsia="fr-BE"/>
              </w:rPr>
              <w:t xml:space="preserve"> th</w:t>
            </w:r>
            <w:r>
              <w:rPr>
                <w:szCs w:val="24"/>
                <w:lang w:eastAsia="fr-BE"/>
              </w:rPr>
              <w:t>e programme area covers 38.</w:t>
            </w:r>
            <w:r w:rsidRPr="00FC6A3B">
              <w:rPr>
                <w:szCs w:val="24"/>
                <w:lang w:eastAsia="fr-BE"/>
              </w:rPr>
              <w:t xml:space="preserve">405.00 km2 and includes </w:t>
            </w:r>
            <w:r>
              <w:rPr>
                <w:szCs w:val="24"/>
                <w:lang w:eastAsia="fr-BE"/>
              </w:rPr>
              <w:t xml:space="preserve">the </w:t>
            </w:r>
            <w:r w:rsidRPr="00FC6A3B">
              <w:rPr>
                <w:szCs w:val="24"/>
                <w:lang w:eastAsia="fr-BE"/>
              </w:rPr>
              <w:t>following counties: Zagrebačka county, Sisačko-moslavačka county, Karlovačka county, Bjelovarsko-bilogorska county, Ličko-senjska county, Požeško-slavonska county, Brodsko-posavska county, Zadarska county, Šibensko-kninska county, Vukovarsko-srijemska county, Splitsko-dalmatinska county</w:t>
            </w:r>
            <w:r>
              <w:rPr>
                <w:szCs w:val="24"/>
                <w:lang w:eastAsia="fr-BE"/>
              </w:rPr>
              <w:t xml:space="preserve"> and</w:t>
            </w:r>
            <w:r w:rsidRPr="00FC6A3B">
              <w:rPr>
                <w:szCs w:val="24"/>
                <w:lang w:eastAsia="fr-BE"/>
              </w:rPr>
              <w:t xml:space="preserve"> Dubrovačko-neretvanska county. </w:t>
            </w:r>
          </w:p>
          <w:p w:rsidR="00E27547" w:rsidRDefault="00E27547" w:rsidP="00E27547">
            <w:pPr>
              <w:spacing w:after="0"/>
              <w:rPr>
                <w:szCs w:val="24"/>
                <w:lang w:eastAsia="fr-BE"/>
              </w:rPr>
            </w:pPr>
            <w:r>
              <w:rPr>
                <w:szCs w:val="24"/>
                <w:lang w:eastAsia="fr-BE"/>
              </w:rPr>
              <w:t>T</w:t>
            </w:r>
            <w:r w:rsidRPr="00FC6A3B">
              <w:rPr>
                <w:szCs w:val="24"/>
                <w:lang w:eastAsia="fr-BE"/>
              </w:rPr>
              <w:t xml:space="preserve">he </w:t>
            </w:r>
            <w:r>
              <w:rPr>
                <w:szCs w:val="24"/>
                <w:lang w:eastAsia="fr-BE"/>
              </w:rPr>
              <w:t>programme area within</w:t>
            </w:r>
            <w:r w:rsidRPr="00FC6A3B">
              <w:rPr>
                <w:szCs w:val="24"/>
                <w:lang w:eastAsia="fr-BE"/>
              </w:rPr>
              <w:t xml:space="preserve"> Bosnia and Herzegovina c</w:t>
            </w:r>
            <w:r>
              <w:rPr>
                <w:szCs w:val="24"/>
                <w:lang w:eastAsia="fr-BE"/>
              </w:rPr>
              <w:t>overs 42.</w:t>
            </w:r>
            <w:r w:rsidRPr="00FC6A3B">
              <w:rPr>
                <w:szCs w:val="24"/>
                <w:lang w:eastAsia="fr-BE"/>
              </w:rPr>
              <w:t xml:space="preserve">540.95 km2 and includes Brčko District </w:t>
            </w:r>
            <w:r>
              <w:rPr>
                <w:szCs w:val="24"/>
                <w:lang w:eastAsia="fr-BE"/>
              </w:rPr>
              <w:t xml:space="preserve">of Bosnia and Herzegovina </w:t>
            </w:r>
            <w:r w:rsidRPr="00FC6A3B">
              <w:rPr>
                <w:szCs w:val="24"/>
                <w:lang w:eastAsia="fr-BE"/>
              </w:rPr>
              <w:t xml:space="preserve">and </w:t>
            </w:r>
            <w:r>
              <w:rPr>
                <w:szCs w:val="24"/>
                <w:lang w:eastAsia="fr-BE"/>
              </w:rPr>
              <w:t xml:space="preserve">the </w:t>
            </w:r>
            <w:r w:rsidRPr="00FC6A3B">
              <w:rPr>
                <w:szCs w:val="24"/>
                <w:lang w:eastAsia="fr-BE"/>
              </w:rPr>
              <w:t xml:space="preserve">following municipalities: Bijeljina, Teočak, Ugljevik, Lopare, Tuzla, Lukavac, Čelić, Srebrenik, Petrovo, Gračanica, Doboj Istok, Gradačac, Pelagićevo, Donji Žabar, Orašje, Domaljevac-Šamac, Šamac, Modriča, Vukosavlje, Odžak, </w:t>
            </w:r>
            <w:r w:rsidRPr="009A7987">
              <w:rPr>
                <w:szCs w:val="24"/>
                <w:lang w:eastAsia="fr-BE"/>
              </w:rPr>
              <w:t>Brod, Srebrenica, Bratunac, Milići, Han-Pijesak, Vlasenica, Kladanj, Šekovići, Kalesija, Osmaci, Zvornik, Banovići, Živinice, Sapna, Prnjavor, Srbac, Laktaši, Čelinac, Kotor Varoš, Kneževo, Dobretići, Šipovo, Jajce, Jezero, Mrkonjić Grad, Banja Luka, Gradiška, Kozarska Dubica, Prijedor, Oštra Luka, Sanski Most, Ključ, Ribnik, Glamoč, Bosansko Grahovo, Drvar, Istočni Drvar, Petrovac, Bosanski Petrovac, Bosanska Krupa, Krupa na Uni, Novi Grad, Kostajnica,</w:t>
            </w:r>
            <w:r w:rsidRPr="00FC6A3B">
              <w:rPr>
                <w:szCs w:val="24"/>
                <w:lang w:eastAsia="fr-BE"/>
              </w:rPr>
              <w:t xml:space="preserve"> Bužim, Velika Kladuša, Cazin, Bihać, Doboj, Derventa, Prozor/Rama, Konjic, Nevesinje, Gacko, Bileća, Trebinje, Ravno, Ljubinje, Berkovići, Mostar, Jablanica, Kupres, Kupres (RS), Tomislavgrad, Posušje, Široki Brijeg, Čitluk, Stolac, Neum, Čapljina, Ljubuški, Grude, Livno, Istočni Mostar, Doboj Jug, Kakanj, Maglaj, Tešanj, Usora, Zavidovići, Zenica, Žepče, Bugojno, Busovača, Donji Vakuf, Gornji Vakuf-Uskoplje, Novi Travnik, Travnik, Vitez</w:t>
            </w:r>
            <w:r>
              <w:rPr>
                <w:szCs w:val="24"/>
                <w:lang w:eastAsia="fr-BE"/>
              </w:rPr>
              <w:t xml:space="preserve"> and</w:t>
            </w:r>
            <w:r w:rsidRPr="00FC6A3B">
              <w:rPr>
                <w:szCs w:val="24"/>
                <w:lang w:eastAsia="fr-BE"/>
              </w:rPr>
              <w:t xml:space="preserve"> Teslić. </w:t>
            </w:r>
          </w:p>
          <w:p w:rsidR="00E27547" w:rsidRPr="00FC6A3B" w:rsidRDefault="00E27547" w:rsidP="00E27547">
            <w:pPr>
              <w:spacing w:after="0"/>
              <w:rPr>
                <w:szCs w:val="24"/>
                <w:lang w:eastAsia="fr-BE"/>
              </w:rPr>
            </w:pPr>
            <w:r>
              <w:rPr>
                <w:szCs w:val="24"/>
                <w:lang w:eastAsia="fr-BE"/>
              </w:rPr>
              <w:t>T</w:t>
            </w:r>
            <w:r w:rsidRPr="00FC6A3B">
              <w:rPr>
                <w:szCs w:val="24"/>
                <w:lang w:eastAsia="fr-BE"/>
              </w:rPr>
              <w:t xml:space="preserve">he Montenegrin </w:t>
            </w:r>
            <w:r>
              <w:rPr>
                <w:szCs w:val="24"/>
                <w:lang w:eastAsia="fr-BE"/>
              </w:rPr>
              <w:t>part of</w:t>
            </w:r>
            <w:r w:rsidRPr="00FC6A3B">
              <w:rPr>
                <w:szCs w:val="24"/>
                <w:lang w:eastAsia="fr-BE"/>
              </w:rPr>
              <w:t xml:space="preserve"> th</w:t>
            </w:r>
            <w:r>
              <w:rPr>
                <w:szCs w:val="24"/>
                <w:lang w:eastAsia="fr-BE"/>
              </w:rPr>
              <w:t>e programme area covers 13.</w:t>
            </w:r>
            <w:r w:rsidRPr="00FC6A3B">
              <w:rPr>
                <w:szCs w:val="24"/>
                <w:lang w:eastAsia="fr-BE"/>
              </w:rPr>
              <w:t xml:space="preserve">812.00 km2 and includes </w:t>
            </w:r>
            <w:r>
              <w:rPr>
                <w:szCs w:val="24"/>
                <w:lang w:eastAsia="fr-BE"/>
              </w:rPr>
              <w:t xml:space="preserve">the </w:t>
            </w:r>
            <w:r w:rsidRPr="00FC6A3B">
              <w:rPr>
                <w:szCs w:val="24"/>
                <w:lang w:eastAsia="fr-BE"/>
              </w:rPr>
              <w:t>municipalities as follows: Herceg Novi, Kotor, Tivat, Budva, Bar, Ulcinj, Cetinje, Nikšić, Podgorica</w:t>
            </w:r>
            <w:r>
              <w:rPr>
                <w:szCs w:val="24"/>
                <w:lang w:eastAsia="fr-BE"/>
              </w:rPr>
              <w:t xml:space="preserve"> and</w:t>
            </w:r>
            <w:r w:rsidRPr="00FC6A3B">
              <w:rPr>
                <w:szCs w:val="24"/>
                <w:lang w:eastAsia="fr-BE"/>
              </w:rPr>
              <w:t xml:space="preserve"> Danilovgrad.</w:t>
            </w:r>
          </w:p>
          <w:p w:rsidR="002E1E2E" w:rsidRPr="002E1E2E" w:rsidRDefault="002E1E2E" w:rsidP="009E7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Cs w:val="24"/>
              </w:rPr>
            </w:pPr>
          </w:p>
          <w:p w:rsidR="002E1E2E" w:rsidRPr="002E1E2E" w:rsidRDefault="002E1E2E" w:rsidP="009A7987">
            <w:pPr>
              <w:pStyle w:val="ListParagraph"/>
              <w:numPr>
                <w:ilvl w:val="1"/>
                <w:numId w:val="59"/>
              </w:numPr>
              <w:spacing w:after="0"/>
              <w:rPr>
                <w:b/>
                <w:szCs w:val="24"/>
              </w:rPr>
            </w:pPr>
            <w:r w:rsidRPr="002E1E2E">
              <w:rPr>
                <w:b/>
                <w:color w:val="000000"/>
                <w:szCs w:val="24"/>
              </w:rPr>
              <w:t xml:space="preserve">Situation Analysis of the programme area </w:t>
            </w:r>
          </w:p>
          <w:p w:rsidR="00B81DC1" w:rsidRPr="002E1E2E" w:rsidRDefault="00DB7047" w:rsidP="002E1E2E">
            <w:pPr>
              <w:spacing w:after="0"/>
              <w:rPr>
                <w:szCs w:val="24"/>
              </w:rPr>
            </w:pPr>
            <w:r w:rsidRPr="002E1E2E">
              <w:rPr>
                <w:szCs w:val="24"/>
              </w:rPr>
              <w:t xml:space="preserve">To carry out </w:t>
            </w:r>
            <w:r w:rsidR="004F65EE" w:rsidRPr="002E1E2E">
              <w:rPr>
                <w:szCs w:val="24"/>
              </w:rPr>
              <w:t xml:space="preserve">Situation Analysis </w:t>
            </w:r>
            <w:r w:rsidRPr="002E1E2E">
              <w:rPr>
                <w:szCs w:val="24"/>
              </w:rPr>
              <w:t xml:space="preserve">of the programme area </w:t>
            </w:r>
            <w:r w:rsidR="004F65EE" w:rsidRPr="002E1E2E">
              <w:rPr>
                <w:szCs w:val="24"/>
              </w:rPr>
              <w:t xml:space="preserve">was </w:t>
            </w:r>
            <w:r w:rsidRPr="002E1E2E">
              <w:rPr>
                <w:szCs w:val="24"/>
              </w:rPr>
              <w:t>a challenge</w:t>
            </w:r>
            <w:r w:rsidR="004F65EE" w:rsidRPr="002E1E2E">
              <w:rPr>
                <w:szCs w:val="24"/>
              </w:rPr>
              <w:t xml:space="preserve"> d</w:t>
            </w:r>
            <w:r w:rsidR="00B81DC1" w:rsidRPr="002E1E2E">
              <w:rPr>
                <w:szCs w:val="24"/>
              </w:rPr>
              <w:t xml:space="preserve">ue to the fact that the programme area </w:t>
            </w:r>
            <w:r w:rsidR="00F31AF4" w:rsidRPr="002E1E2E">
              <w:rPr>
                <w:szCs w:val="24"/>
              </w:rPr>
              <w:t xml:space="preserve">is </w:t>
            </w:r>
            <w:r w:rsidR="00CA70BC" w:rsidRPr="002E1E2E">
              <w:rPr>
                <w:szCs w:val="24"/>
              </w:rPr>
              <w:t xml:space="preserve">large and </w:t>
            </w:r>
            <w:r w:rsidR="00F31AF4" w:rsidRPr="002E1E2E">
              <w:rPr>
                <w:szCs w:val="24"/>
              </w:rPr>
              <w:t xml:space="preserve">heterogeneous in </w:t>
            </w:r>
            <w:r w:rsidR="00813B5E" w:rsidRPr="002E1E2E">
              <w:rPr>
                <w:szCs w:val="24"/>
              </w:rPr>
              <w:t xml:space="preserve">geographical </w:t>
            </w:r>
            <w:r w:rsidR="00F31AF4" w:rsidRPr="002E1E2E">
              <w:rPr>
                <w:szCs w:val="24"/>
              </w:rPr>
              <w:t xml:space="preserve">terms and </w:t>
            </w:r>
            <w:r w:rsidR="00B36E20" w:rsidRPr="002E1E2E">
              <w:rPr>
                <w:szCs w:val="24"/>
              </w:rPr>
              <w:t xml:space="preserve">characterised </w:t>
            </w:r>
            <w:r w:rsidR="00F31AF4" w:rsidRPr="002E1E2E">
              <w:rPr>
                <w:szCs w:val="24"/>
              </w:rPr>
              <w:t xml:space="preserve">by development imbalance </w:t>
            </w:r>
            <w:r w:rsidR="00B36E20" w:rsidRPr="002E1E2E">
              <w:rPr>
                <w:szCs w:val="24"/>
              </w:rPr>
              <w:t xml:space="preserve">due to various </w:t>
            </w:r>
            <w:r w:rsidR="00F31AF4" w:rsidRPr="002E1E2E">
              <w:rPr>
                <w:szCs w:val="24"/>
              </w:rPr>
              <w:t xml:space="preserve">factors such as location, geography, historical events including recent war damages, road and/or water </w:t>
            </w:r>
            <w:r w:rsidR="00B36E20" w:rsidRPr="002E1E2E">
              <w:rPr>
                <w:szCs w:val="24"/>
              </w:rPr>
              <w:t>inter</w:t>
            </w:r>
            <w:r w:rsidR="00F31AF4" w:rsidRPr="002E1E2E">
              <w:rPr>
                <w:szCs w:val="24"/>
              </w:rPr>
              <w:t>connections</w:t>
            </w:r>
            <w:r w:rsidR="00B36E20" w:rsidRPr="002E1E2E">
              <w:rPr>
                <w:szCs w:val="24"/>
              </w:rPr>
              <w:t xml:space="preserve">, </w:t>
            </w:r>
            <w:r w:rsidR="00F31AF4" w:rsidRPr="002E1E2E">
              <w:rPr>
                <w:szCs w:val="24"/>
              </w:rPr>
              <w:t>natural resources and different traditions.</w:t>
            </w:r>
            <w:r w:rsidR="00F05591" w:rsidRPr="002E1E2E">
              <w:rPr>
                <w:szCs w:val="24"/>
              </w:rPr>
              <w:t xml:space="preserve"> In addition, </w:t>
            </w:r>
            <w:r w:rsidR="00813B5E" w:rsidRPr="002E1E2E">
              <w:rPr>
                <w:szCs w:val="24"/>
              </w:rPr>
              <w:t xml:space="preserve">national and </w:t>
            </w:r>
            <w:r w:rsidR="00B7132D" w:rsidRPr="002E1E2E">
              <w:rPr>
                <w:szCs w:val="24"/>
              </w:rPr>
              <w:t>regional/</w:t>
            </w:r>
            <w:r w:rsidR="00F05591" w:rsidRPr="002E1E2E">
              <w:rPr>
                <w:szCs w:val="24"/>
              </w:rPr>
              <w:t>local units differ significantly in terms of the statistic indicators</w:t>
            </w:r>
            <w:r w:rsidR="00B36E20" w:rsidRPr="002E1E2E">
              <w:rPr>
                <w:szCs w:val="24"/>
              </w:rPr>
              <w:t xml:space="preserve"> and </w:t>
            </w:r>
            <w:r w:rsidR="005B768D" w:rsidRPr="002E1E2E">
              <w:rPr>
                <w:szCs w:val="24"/>
              </w:rPr>
              <w:t xml:space="preserve">methodology of their </w:t>
            </w:r>
            <w:r w:rsidR="00A459C4">
              <w:rPr>
                <w:szCs w:val="24"/>
              </w:rPr>
              <w:t xml:space="preserve">monitoring and </w:t>
            </w:r>
            <w:r w:rsidR="005B768D" w:rsidRPr="002E1E2E">
              <w:rPr>
                <w:szCs w:val="24"/>
              </w:rPr>
              <w:t xml:space="preserve">calculation </w:t>
            </w:r>
            <w:r w:rsidR="00B36E20" w:rsidRPr="002E1E2E">
              <w:rPr>
                <w:szCs w:val="24"/>
              </w:rPr>
              <w:t xml:space="preserve">representing a significant challenge for </w:t>
            </w:r>
            <w:r w:rsidR="00BC3516" w:rsidRPr="002E1E2E">
              <w:rPr>
                <w:szCs w:val="24"/>
              </w:rPr>
              <w:t>deriving the data on the level of the programme area.</w:t>
            </w:r>
            <w:r w:rsidR="00637B4C" w:rsidRPr="002E1E2E">
              <w:rPr>
                <w:szCs w:val="24"/>
              </w:rPr>
              <w:t xml:space="preserve"> </w:t>
            </w:r>
          </w:p>
          <w:p w:rsidR="00A344D1" w:rsidRPr="006423F7" w:rsidRDefault="00A344D1" w:rsidP="00797FE3">
            <w:pPr>
              <w:spacing w:after="0"/>
              <w:rPr>
                <w:szCs w:val="24"/>
              </w:rPr>
            </w:pPr>
            <w:r w:rsidRPr="00CD6631">
              <w:rPr>
                <w:szCs w:val="24"/>
              </w:rPr>
              <w:lastRenderedPageBreak/>
              <w:t>However</w:t>
            </w:r>
            <w:r w:rsidR="00365892" w:rsidRPr="00CD6631">
              <w:rPr>
                <w:szCs w:val="24"/>
              </w:rPr>
              <w:t xml:space="preserve">, </w:t>
            </w:r>
            <w:r w:rsidR="009C4C7C">
              <w:rPr>
                <w:szCs w:val="24"/>
              </w:rPr>
              <w:t xml:space="preserve">the situation </w:t>
            </w:r>
            <w:r w:rsidR="00627008" w:rsidRPr="00CD6631">
              <w:rPr>
                <w:szCs w:val="24"/>
              </w:rPr>
              <w:t xml:space="preserve">analysis of the programme area showed </w:t>
            </w:r>
            <w:r w:rsidR="00C9094F" w:rsidRPr="00CD6631">
              <w:rPr>
                <w:szCs w:val="24"/>
              </w:rPr>
              <w:t xml:space="preserve">a </w:t>
            </w:r>
            <w:r w:rsidR="00100255" w:rsidRPr="00CD6631">
              <w:rPr>
                <w:szCs w:val="24"/>
              </w:rPr>
              <w:t>significant</w:t>
            </w:r>
            <w:r w:rsidR="00C9094F" w:rsidRPr="00CD6631">
              <w:rPr>
                <w:szCs w:val="24"/>
              </w:rPr>
              <w:t xml:space="preserve"> number of </w:t>
            </w:r>
            <w:r w:rsidR="00627008" w:rsidRPr="00F061DD">
              <w:rPr>
                <w:szCs w:val="24"/>
              </w:rPr>
              <w:t xml:space="preserve">common </w:t>
            </w:r>
            <w:r w:rsidR="00C9094F" w:rsidRPr="00A414FA">
              <w:rPr>
                <w:szCs w:val="24"/>
              </w:rPr>
              <w:t xml:space="preserve">assets </w:t>
            </w:r>
            <w:r w:rsidR="00DE78C0" w:rsidRPr="00A414FA">
              <w:rPr>
                <w:szCs w:val="24"/>
              </w:rPr>
              <w:t>and</w:t>
            </w:r>
            <w:r w:rsidR="00C9094F" w:rsidRPr="00A414FA">
              <w:rPr>
                <w:szCs w:val="24"/>
              </w:rPr>
              <w:t xml:space="preserve"> </w:t>
            </w:r>
            <w:r w:rsidR="008E2BB8" w:rsidRPr="008E2BB8">
              <w:rPr>
                <w:szCs w:val="24"/>
              </w:rPr>
              <w:t>chall</w:t>
            </w:r>
            <w:r w:rsidR="008E2BB8">
              <w:rPr>
                <w:szCs w:val="24"/>
              </w:rPr>
              <w:t>e</w:t>
            </w:r>
            <w:r w:rsidR="008E2BB8" w:rsidRPr="008E2BB8">
              <w:rPr>
                <w:szCs w:val="24"/>
              </w:rPr>
              <w:t>nges</w:t>
            </w:r>
            <w:r w:rsidR="00C9094F" w:rsidRPr="008E2BB8">
              <w:rPr>
                <w:szCs w:val="24"/>
              </w:rPr>
              <w:t xml:space="preserve"> which are analysed according to eight </w:t>
            </w:r>
            <w:r w:rsidR="009C4C7C">
              <w:rPr>
                <w:szCs w:val="24"/>
              </w:rPr>
              <w:t>thematic area</w:t>
            </w:r>
            <w:r w:rsidR="00053E46">
              <w:rPr>
                <w:szCs w:val="24"/>
              </w:rPr>
              <w:t>s for IPA cross-border programmes</w:t>
            </w:r>
            <w:r w:rsidR="009C4C7C">
              <w:rPr>
                <w:szCs w:val="24"/>
              </w:rPr>
              <w:t xml:space="preserve"> </w:t>
            </w:r>
            <w:r w:rsidR="00C9094F" w:rsidRPr="007C5441">
              <w:rPr>
                <w:szCs w:val="24"/>
              </w:rPr>
              <w:t xml:space="preserve"> </w:t>
            </w:r>
            <w:r w:rsidR="009C4C7C">
              <w:rPr>
                <w:szCs w:val="24"/>
              </w:rPr>
              <w:t xml:space="preserve">as </w:t>
            </w:r>
            <w:r w:rsidR="00993FEB" w:rsidRPr="00A81EEA">
              <w:rPr>
                <w:szCs w:val="24"/>
              </w:rPr>
              <w:t>classified</w:t>
            </w:r>
            <w:r w:rsidR="009C4C7C">
              <w:rPr>
                <w:szCs w:val="24"/>
              </w:rPr>
              <w:t xml:space="preserve"> by eight </w:t>
            </w:r>
            <w:r w:rsidR="00BC3516" w:rsidRPr="00214EC4">
              <w:rPr>
                <w:szCs w:val="24"/>
              </w:rPr>
              <w:t xml:space="preserve">thematic priorities given in </w:t>
            </w:r>
            <w:r w:rsidR="009C4C7C">
              <w:rPr>
                <w:szCs w:val="24"/>
              </w:rPr>
              <w:t xml:space="preserve">Annex II to </w:t>
            </w:r>
            <w:r w:rsidR="00CD2537">
              <w:rPr>
                <w:szCs w:val="24"/>
              </w:rPr>
              <w:t xml:space="preserve">the </w:t>
            </w:r>
            <w:r w:rsidR="001E3BE0" w:rsidRPr="000E6E70">
              <w:rPr>
                <w:szCs w:val="24"/>
              </w:rPr>
              <w:t>Regulation (EU) No 231/2014 of the European Parliament an</w:t>
            </w:r>
            <w:r w:rsidR="00CD2537">
              <w:rPr>
                <w:szCs w:val="24"/>
              </w:rPr>
              <w:t>d</w:t>
            </w:r>
            <w:r w:rsidR="001E3BE0" w:rsidRPr="000E6E70">
              <w:rPr>
                <w:szCs w:val="24"/>
              </w:rPr>
              <w:t xml:space="preserve"> of the Council of 11 March 2014 establishing an Instrument for Pre-accession Assistance (IPA II</w:t>
            </w:r>
            <w:r w:rsidRPr="006423F7">
              <w:rPr>
                <w:szCs w:val="24"/>
              </w:rPr>
              <w:t>)</w:t>
            </w:r>
            <w:r w:rsidR="00C9094F" w:rsidRPr="006423F7">
              <w:rPr>
                <w:szCs w:val="24"/>
              </w:rPr>
              <w:t xml:space="preserve">. </w:t>
            </w:r>
          </w:p>
          <w:p w:rsidR="000E66FB" w:rsidRDefault="00C9094F" w:rsidP="007A7290">
            <w:pPr>
              <w:spacing w:after="0"/>
              <w:rPr>
                <w:szCs w:val="24"/>
              </w:rPr>
            </w:pPr>
            <w:r w:rsidRPr="00CD6631">
              <w:rPr>
                <w:szCs w:val="24"/>
              </w:rPr>
              <w:t xml:space="preserve">These </w:t>
            </w:r>
            <w:r w:rsidR="00BC3516" w:rsidRPr="00CD6631">
              <w:rPr>
                <w:szCs w:val="24"/>
              </w:rPr>
              <w:t>thematic priorities</w:t>
            </w:r>
            <w:r w:rsidRPr="00CD6631">
              <w:rPr>
                <w:szCs w:val="24"/>
              </w:rPr>
              <w:t xml:space="preserve"> are:</w:t>
            </w:r>
            <w:r w:rsidR="007A7290">
              <w:rPr>
                <w:szCs w:val="24"/>
              </w:rPr>
              <w:t xml:space="preserve">       </w:t>
            </w:r>
          </w:p>
          <w:p w:rsidR="00C9094F" w:rsidRPr="007A7290" w:rsidRDefault="000E66FB" w:rsidP="007A7290">
            <w:pPr>
              <w:spacing w:after="0"/>
              <w:rPr>
                <w:szCs w:val="24"/>
              </w:rPr>
            </w:pPr>
            <w:r>
              <w:rPr>
                <w:szCs w:val="24"/>
              </w:rPr>
              <w:t xml:space="preserve">      </w:t>
            </w:r>
            <w:r w:rsidR="007A7290">
              <w:rPr>
                <w:szCs w:val="24"/>
              </w:rPr>
              <w:t xml:space="preserve">-    </w:t>
            </w:r>
            <w:r w:rsidR="000E6383" w:rsidRPr="007A7290">
              <w:rPr>
                <w:szCs w:val="24"/>
              </w:rPr>
              <w:t xml:space="preserve">Employment, labour mobility, </w:t>
            </w:r>
            <w:r w:rsidR="00954AE1">
              <w:rPr>
                <w:szCs w:val="24"/>
              </w:rPr>
              <w:t xml:space="preserve">social inclusion, </w:t>
            </w:r>
            <w:r w:rsidR="000E6383" w:rsidRPr="007A7290">
              <w:rPr>
                <w:szCs w:val="24"/>
              </w:rPr>
              <w:t>health</w:t>
            </w:r>
            <w:r w:rsidR="00954AE1">
              <w:rPr>
                <w:szCs w:val="24"/>
              </w:rPr>
              <w:t xml:space="preserve"> and social care</w:t>
            </w:r>
          </w:p>
          <w:p w:rsidR="00512206" w:rsidRDefault="00512206" w:rsidP="00061508">
            <w:pPr>
              <w:pStyle w:val="ListParagraph"/>
              <w:numPr>
                <w:ilvl w:val="0"/>
                <w:numId w:val="50"/>
              </w:numPr>
              <w:spacing w:after="0"/>
              <w:rPr>
                <w:szCs w:val="24"/>
              </w:rPr>
            </w:pPr>
            <w:r w:rsidRPr="00512206">
              <w:rPr>
                <w:szCs w:val="24"/>
              </w:rPr>
              <w:t>Environment, biodiversity, risk prevention, sustainable energy and energy efficiency</w:t>
            </w:r>
          </w:p>
          <w:p w:rsidR="00C9094F" w:rsidRPr="00A414FA" w:rsidRDefault="00C9094F" w:rsidP="00061508">
            <w:pPr>
              <w:pStyle w:val="ListParagraph"/>
              <w:numPr>
                <w:ilvl w:val="0"/>
                <w:numId w:val="50"/>
              </w:numPr>
              <w:spacing w:after="0"/>
              <w:rPr>
                <w:szCs w:val="24"/>
              </w:rPr>
            </w:pPr>
            <w:r w:rsidRPr="00A414FA">
              <w:rPr>
                <w:szCs w:val="24"/>
              </w:rPr>
              <w:t xml:space="preserve">Sustainable transport and public infrastructures </w:t>
            </w:r>
          </w:p>
          <w:p w:rsidR="00C9094F" w:rsidRPr="00A414FA" w:rsidRDefault="00C9094F" w:rsidP="00061508">
            <w:pPr>
              <w:pStyle w:val="ListParagraph"/>
              <w:numPr>
                <w:ilvl w:val="0"/>
                <w:numId w:val="50"/>
              </w:numPr>
              <w:spacing w:after="0"/>
              <w:rPr>
                <w:szCs w:val="24"/>
              </w:rPr>
            </w:pPr>
            <w:r w:rsidRPr="00A414FA">
              <w:rPr>
                <w:szCs w:val="24"/>
              </w:rPr>
              <w:t xml:space="preserve">Tourism and cultural and natural heritage </w:t>
            </w:r>
          </w:p>
          <w:p w:rsidR="00C9094F" w:rsidRPr="002C4A46" w:rsidRDefault="00C9094F" w:rsidP="00061508">
            <w:pPr>
              <w:pStyle w:val="ListParagraph"/>
              <w:numPr>
                <w:ilvl w:val="0"/>
                <w:numId w:val="50"/>
              </w:numPr>
              <w:spacing w:after="0"/>
              <w:rPr>
                <w:szCs w:val="24"/>
              </w:rPr>
            </w:pPr>
            <w:r w:rsidRPr="002C4A46">
              <w:rPr>
                <w:szCs w:val="24"/>
              </w:rPr>
              <w:t xml:space="preserve">Youth and education </w:t>
            </w:r>
          </w:p>
          <w:p w:rsidR="00F0222F" w:rsidRPr="002C4A46" w:rsidRDefault="00C9094F" w:rsidP="00061508">
            <w:pPr>
              <w:pStyle w:val="ListParagraph"/>
              <w:numPr>
                <w:ilvl w:val="0"/>
                <w:numId w:val="50"/>
              </w:numPr>
              <w:spacing w:after="0"/>
              <w:rPr>
                <w:szCs w:val="24"/>
              </w:rPr>
            </w:pPr>
            <w:r w:rsidRPr="002C4A46">
              <w:rPr>
                <w:szCs w:val="24"/>
              </w:rPr>
              <w:t>Local and regional governance, planning and administrative capacity building</w:t>
            </w:r>
          </w:p>
          <w:p w:rsidR="00C9094F" w:rsidRPr="003A30CD" w:rsidRDefault="00C9094F" w:rsidP="00061508">
            <w:pPr>
              <w:pStyle w:val="ListParagraph"/>
              <w:numPr>
                <w:ilvl w:val="0"/>
                <w:numId w:val="50"/>
              </w:numPr>
              <w:spacing w:after="0"/>
              <w:rPr>
                <w:szCs w:val="24"/>
              </w:rPr>
            </w:pPr>
            <w:r w:rsidRPr="003A30CD">
              <w:rPr>
                <w:szCs w:val="24"/>
              </w:rPr>
              <w:t>Competitiveness</w:t>
            </w:r>
            <w:r w:rsidR="00FB3C98">
              <w:rPr>
                <w:szCs w:val="24"/>
              </w:rPr>
              <w:t xml:space="preserve"> and </w:t>
            </w:r>
            <w:r w:rsidRPr="003A30CD">
              <w:rPr>
                <w:szCs w:val="24"/>
              </w:rPr>
              <w:t>business</w:t>
            </w:r>
            <w:r w:rsidR="00FB3C98">
              <w:rPr>
                <w:szCs w:val="24"/>
              </w:rPr>
              <w:t xml:space="preserve"> environment development</w:t>
            </w:r>
          </w:p>
          <w:p w:rsidR="00BE59E1" w:rsidRPr="00623385" w:rsidRDefault="00C9094F" w:rsidP="00061508">
            <w:pPr>
              <w:pStyle w:val="ListParagraph"/>
              <w:numPr>
                <w:ilvl w:val="0"/>
                <w:numId w:val="50"/>
              </w:numPr>
              <w:spacing w:after="0"/>
              <w:rPr>
                <w:szCs w:val="24"/>
              </w:rPr>
            </w:pPr>
            <w:r w:rsidRPr="00623385">
              <w:rPr>
                <w:szCs w:val="24"/>
              </w:rPr>
              <w:t>Research, technological development, innovation and ICT</w:t>
            </w:r>
            <w:r w:rsidR="00FB6C93" w:rsidRPr="00623385">
              <w:rPr>
                <w:szCs w:val="24"/>
              </w:rPr>
              <w:t>.</w:t>
            </w:r>
          </w:p>
          <w:p w:rsidR="00053E46" w:rsidRDefault="008D52D7" w:rsidP="00CA096D">
            <w:pPr>
              <w:spacing w:after="0"/>
              <w:rPr>
                <w:rFonts w:eastAsia="Times New Roman"/>
                <w:szCs w:val="24"/>
                <w:lang w:eastAsia="de-DE"/>
              </w:rPr>
            </w:pPr>
            <w:r w:rsidRPr="00CA096D">
              <w:rPr>
                <w:rFonts w:eastAsia="Times New Roman"/>
                <w:szCs w:val="24"/>
                <w:lang w:eastAsia="de-DE"/>
              </w:rPr>
              <w:t xml:space="preserve">A detailed </w:t>
            </w:r>
            <w:r w:rsidR="00053E46">
              <w:rPr>
                <w:rFonts w:eastAsia="Times New Roman"/>
                <w:szCs w:val="24"/>
                <w:lang w:eastAsia="de-DE"/>
              </w:rPr>
              <w:t xml:space="preserve">situation </w:t>
            </w:r>
            <w:r w:rsidRPr="00CA096D">
              <w:rPr>
                <w:rFonts w:eastAsia="Times New Roman"/>
                <w:szCs w:val="24"/>
                <w:lang w:eastAsia="de-DE"/>
              </w:rPr>
              <w:t xml:space="preserve">analysis </w:t>
            </w:r>
            <w:r w:rsidR="00053E46">
              <w:rPr>
                <w:rFonts w:eastAsia="Times New Roman"/>
                <w:szCs w:val="24"/>
                <w:lang w:eastAsia="de-DE"/>
              </w:rPr>
              <w:t xml:space="preserve">of the programme area </w:t>
            </w:r>
            <w:r w:rsidRPr="00CA096D">
              <w:rPr>
                <w:rFonts w:eastAsia="Times New Roman"/>
                <w:szCs w:val="24"/>
                <w:lang w:eastAsia="de-DE"/>
              </w:rPr>
              <w:t xml:space="preserve">per each thematic priority can be found in </w:t>
            </w:r>
            <w:r w:rsidR="00053E46">
              <w:rPr>
                <w:rFonts w:eastAsia="Times New Roman"/>
                <w:szCs w:val="24"/>
                <w:lang w:eastAsia="de-DE"/>
              </w:rPr>
              <w:t>a</w:t>
            </w:r>
            <w:r w:rsidRPr="00CA096D">
              <w:rPr>
                <w:rFonts w:eastAsia="Times New Roman"/>
                <w:szCs w:val="24"/>
                <w:lang w:eastAsia="de-DE"/>
              </w:rPr>
              <w:t>nnex</w:t>
            </w:r>
            <w:r w:rsidR="00053E46">
              <w:rPr>
                <w:rFonts w:eastAsia="Times New Roman"/>
                <w:szCs w:val="24"/>
                <w:lang w:eastAsia="de-DE"/>
              </w:rPr>
              <w:t xml:space="preserve"> 6</w:t>
            </w:r>
            <w:r w:rsidRPr="00CA096D">
              <w:rPr>
                <w:rFonts w:eastAsia="Times New Roman"/>
                <w:szCs w:val="24"/>
                <w:lang w:eastAsia="de-DE"/>
              </w:rPr>
              <w:t>, wh</w:t>
            </w:r>
            <w:r w:rsidR="00053E46">
              <w:rPr>
                <w:rFonts w:eastAsia="Times New Roman"/>
                <w:szCs w:val="24"/>
                <w:lang w:eastAsia="de-DE"/>
              </w:rPr>
              <w:t>ereas the summarized</w:t>
            </w:r>
            <w:r w:rsidRPr="00CA096D">
              <w:rPr>
                <w:rFonts w:eastAsia="Times New Roman"/>
                <w:szCs w:val="24"/>
                <w:lang w:eastAsia="de-DE"/>
              </w:rPr>
              <w:t xml:space="preserve"> overview of four </w:t>
            </w:r>
            <w:r w:rsidR="00537212">
              <w:rPr>
                <w:rFonts w:eastAsia="Times New Roman"/>
                <w:szCs w:val="24"/>
                <w:lang w:eastAsia="de-DE"/>
              </w:rPr>
              <w:t xml:space="preserve">priority </w:t>
            </w:r>
            <w:r w:rsidRPr="00CA096D">
              <w:rPr>
                <w:rFonts w:eastAsia="Times New Roman"/>
                <w:szCs w:val="24"/>
                <w:lang w:eastAsia="de-DE"/>
              </w:rPr>
              <w:t xml:space="preserve">thematic priorities </w:t>
            </w:r>
            <w:r w:rsidR="00BF3CE1" w:rsidRPr="00CA096D">
              <w:rPr>
                <w:rFonts w:eastAsia="Times New Roman"/>
                <w:szCs w:val="24"/>
                <w:lang w:eastAsia="de-DE"/>
              </w:rPr>
              <w:t xml:space="preserve">chosen </w:t>
            </w:r>
            <w:r w:rsidR="003475A0" w:rsidRPr="00CA096D">
              <w:rPr>
                <w:rFonts w:eastAsia="Times New Roman"/>
                <w:szCs w:val="24"/>
                <w:lang w:eastAsia="de-DE"/>
              </w:rPr>
              <w:t>for</w:t>
            </w:r>
            <w:r w:rsidRPr="00CA096D">
              <w:rPr>
                <w:rFonts w:eastAsia="Times New Roman"/>
                <w:szCs w:val="24"/>
                <w:lang w:eastAsia="de-DE"/>
              </w:rPr>
              <w:t xml:space="preserve"> this Programme </w:t>
            </w:r>
            <w:r w:rsidR="00053E46">
              <w:rPr>
                <w:rFonts w:eastAsia="Times New Roman"/>
                <w:szCs w:val="24"/>
                <w:lang w:eastAsia="de-DE"/>
              </w:rPr>
              <w:t>is presented in the following section:</w:t>
            </w:r>
          </w:p>
          <w:p w:rsidR="00B875AC" w:rsidRPr="00623385" w:rsidRDefault="00AA2DF4" w:rsidP="00797FE3">
            <w:pPr>
              <w:widowControl w:val="0"/>
              <w:autoSpaceDE w:val="0"/>
              <w:autoSpaceDN w:val="0"/>
              <w:adjustRightInd w:val="0"/>
              <w:spacing w:after="0" w:line="276" w:lineRule="auto"/>
              <w:rPr>
                <w:i/>
                <w:color w:val="0070C0"/>
                <w:szCs w:val="24"/>
              </w:rPr>
            </w:pPr>
            <w:r>
              <w:rPr>
                <w:i/>
                <w:color w:val="0070C0"/>
                <w:szCs w:val="24"/>
              </w:rPr>
              <w:t>H</w:t>
            </w:r>
            <w:r w:rsidR="001E1A08" w:rsidRPr="00623385">
              <w:rPr>
                <w:i/>
                <w:color w:val="0070C0"/>
                <w:szCs w:val="24"/>
              </w:rPr>
              <w:t>ealth</w:t>
            </w:r>
            <w:r w:rsidR="00BF3CE1">
              <w:rPr>
                <w:i/>
                <w:color w:val="0070C0"/>
                <w:szCs w:val="24"/>
              </w:rPr>
              <w:t xml:space="preserve"> and social care</w:t>
            </w:r>
          </w:p>
          <w:p w:rsidR="002D47E5" w:rsidRPr="00623385" w:rsidRDefault="00923A3A" w:rsidP="00797FE3">
            <w:pPr>
              <w:spacing w:after="0"/>
              <w:rPr>
                <w:rFonts w:eastAsia="Times New Roman"/>
                <w:szCs w:val="24"/>
                <w:lang w:eastAsia="de-DE"/>
              </w:rPr>
            </w:pPr>
            <w:r>
              <w:rPr>
                <w:rFonts w:eastAsia="Times New Roman"/>
                <w:szCs w:val="24"/>
                <w:lang w:eastAsia="de-DE"/>
              </w:rPr>
              <w:t>In general, public h</w:t>
            </w:r>
            <w:r w:rsidR="002D47E5" w:rsidRPr="00623385">
              <w:rPr>
                <w:rFonts w:eastAsia="Times New Roman"/>
                <w:szCs w:val="24"/>
                <w:lang w:eastAsia="de-DE"/>
              </w:rPr>
              <w:t>ealth</w:t>
            </w:r>
            <w:r>
              <w:rPr>
                <w:rFonts w:eastAsia="Times New Roman"/>
                <w:szCs w:val="24"/>
                <w:lang w:eastAsia="de-DE"/>
              </w:rPr>
              <w:t xml:space="preserve"> </w:t>
            </w:r>
            <w:r w:rsidR="002D47E5" w:rsidRPr="00623385">
              <w:rPr>
                <w:rFonts w:eastAsia="Times New Roman"/>
                <w:szCs w:val="24"/>
                <w:lang w:eastAsia="de-DE"/>
              </w:rPr>
              <w:t xml:space="preserve">care system </w:t>
            </w:r>
            <w:r w:rsidR="00D94F7B" w:rsidRPr="00623385">
              <w:rPr>
                <w:rFonts w:eastAsia="Times New Roman"/>
                <w:szCs w:val="24"/>
                <w:lang w:eastAsia="de-DE"/>
              </w:rPr>
              <w:t xml:space="preserve">in the programme area </w:t>
            </w:r>
            <w:r w:rsidR="002D47E5" w:rsidRPr="00623385">
              <w:rPr>
                <w:rFonts w:eastAsia="Times New Roman"/>
                <w:szCs w:val="24"/>
                <w:lang w:eastAsia="de-DE"/>
              </w:rPr>
              <w:t>is c</w:t>
            </w:r>
            <w:r w:rsidR="00A17808" w:rsidRPr="00623385">
              <w:rPr>
                <w:rFonts w:eastAsia="Times New Roman"/>
                <w:szCs w:val="24"/>
                <w:lang w:eastAsia="de-DE"/>
              </w:rPr>
              <w:t xml:space="preserve">haracterized by inefficient </w:t>
            </w:r>
            <w:r w:rsidR="002D47E5" w:rsidRPr="00623385">
              <w:rPr>
                <w:rFonts w:eastAsia="Times New Roman"/>
                <w:szCs w:val="24"/>
                <w:lang w:eastAsia="de-DE"/>
              </w:rPr>
              <w:t>network of healthcare institutions, inappropriate distribution and mobilisation of capacities at different levels of care, in reduced access to services for the patients</w:t>
            </w:r>
            <w:r w:rsidR="009B578F">
              <w:rPr>
                <w:rFonts w:eastAsia="Times New Roman"/>
                <w:szCs w:val="24"/>
                <w:lang w:eastAsia="de-DE"/>
              </w:rPr>
              <w:t>,</w:t>
            </w:r>
            <w:r w:rsidR="002D47E5" w:rsidRPr="00623385">
              <w:rPr>
                <w:rFonts w:eastAsia="Times New Roman"/>
                <w:szCs w:val="24"/>
                <w:lang w:eastAsia="de-DE"/>
              </w:rPr>
              <w:t xml:space="preserve"> </w:t>
            </w:r>
            <w:r w:rsidR="00C828FB" w:rsidRPr="00C828FB">
              <w:rPr>
                <w:rFonts w:eastAsia="Times New Roman"/>
                <w:szCs w:val="24"/>
                <w:lang w:eastAsia="de-DE"/>
              </w:rPr>
              <w:t>underperforming system management including insuffici</w:t>
            </w:r>
            <w:r w:rsidR="000D2579">
              <w:rPr>
                <w:rFonts w:eastAsia="Times New Roman"/>
                <w:szCs w:val="24"/>
                <w:lang w:eastAsia="de-DE"/>
              </w:rPr>
              <w:t xml:space="preserve">ent focus on quality standards, </w:t>
            </w:r>
            <w:r w:rsidR="00C828FB" w:rsidRPr="00C828FB">
              <w:rPr>
                <w:rFonts w:eastAsia="Times New Roman"/>
                <w:szCs w:val="24"/>
                <w:lang w:eastAsia="de-DE"/>
              </w:rPr>
              <w:t xml:space="preserve">low level of ICT solutions in use, resulting in reduced financial sustainability of the system, inadequate communication and information connectivity between its different parts and finally in reduced access to services for the patients </w:t>
            </w:r>
            <w:r w:rsidR="009B578F">
              <w:rPr>
                <w:rFonts w:eastAsia="Times New Roman"/>
                <w:szCs w:val="24"/>
                <w:lang w:eastAsia="de-DE"/>
              </w:rPr>
              <w:t>as well as</w:t>
            </w:r>
            <w:r w:rsidR="002D47E5" w:rsidRPr="00623385">
              <w:rPr>
                <w:rFonts w:eastAsia="Times New Roman"/>
                <w:szCs w:val="24"/>
                <w:lang w:eastAsia="de-DE"/>
              </w:rPr>
              <w:t xml:space="preserve"> unsatisfactory </w:t>
            </w:r>
            <w:r w:rsidR="009B578F">
              <w:rPr>
                <w:rFonts w:eastAsia="Times New Roman"/>
                <w:szCs w:val="24"/>
                <w:lang w:eastAsia="de-DE"/>
              </w:rPr>
              <w:t xml:space="preserve">level of </w:t>
            </w:r>
            <w:r w:rsidR="002D47E5" w:rsidRPr="00623385">
              <w:rPr>
                <w:rFonts w:eastAsia="Times New Roman"/>
                <w:szCs w:val="24"/>
                <w:lang w:eastAsia="de-DE"/>
              </w:rPr>
              <w:t xml:space="preserve">quality of </w:t>
            </w:r>
            <w:r w:rsidR="009B578F">
              <w:rPr>
                <w:rFonts w:eastAsia="Times New Roman"/>
                <w:szCs w:val="24"/>
                <w:lang w:eastAsia="de-DE"/>
              </w:rPr>
              <w:t xml:space="preserve">the </w:t>
            </w:r>
            <w:r w:rsidR="002D47E5" w:rsidRPr="00623385">
              <w:rPr>
                <w:rFonts w:eastAsia="Times New Roman"/>
                <w:szCs w:val="24"/>
                <w:lang w:eastAsia="de-DE"/>
              </w:rPr>
              <w:t>healthcare provided.</w:t>
            </w:r>
            <w:r w:rsidR="002477AC" w:rsidRPr="0000039F">
              <w:rPr>
                <w:szCs w:val="24"/>
              </w:rPr>
              <w:t xml:space="preserve"> </w:t>
            </w:r>
            <w:r w:rsidR="009B578F">
              <w:rPr>
                <w:szCs w:val="24"/>
              </w:rPr>
              <w:t xml:space="preserve">The programme area is in a need for </w:t>
            </w:r>
            <w:r w:rsidR="009B578F">
              <w:rPr>
                <w:rFonts w:eastAsia="Times New Roman"/>
                <w:szCs w:val="24"/>
                <w:lang w:eastAsia="de-DE"/>
              </w:rPr>
              <w:t>m</w:t>
            </w:r>
            <w:r w:rsidR="002477AC" w:rsidRPr="00623385">
              <w:rPr>
                <w:rFonts w:eastAsia="Times New Roman"/>
                <w:szCs w:val="24"/>
                <w:lang w:eastAsia="de-DE"/>
              </w:rPr>
              <w:t xml:space="preserve">odernization of the system </w:t>
            </w:r>
            <w:r w:rsidR="00F70979" w:rsidRPr="00623385">
              <w:rPr>
                <w:rFonts w:eastAsia="Times New Roman"/>
                <w:szCs w:val="24"/>
                <w:lang w:eastAsia="de-DE"/>
              </w:rPr>
              <w:t xml:space="preserve">with </w:t>
            </w:r>
            <w:r w:rsidR="009B578F">
              <w:rPr>
                <w:rFonts w:eastAsia="Times New Roman"/>
                <w:szCs w:val="24"/>
                <w:lang w:eastAsia="de-DE"/>
              </w:rPr>
              <w:t xml:space="preserve">the </w:t>
            </w:r>
            <w:r w:rsidR="00F70979" w:rsidRPr="00623385">
              <w:rPr>
                <w:rFonts w:eastAsia="Times New Roman"/>
                <w:szCs w:val="24"/>
                <w:lang w:eastAsia="de-DE"/>
              </w:rPr>
              <w:t>aim to make</w:t>
            </w:r>
            <w:r w:rsidR="002477AC" w:rsidRPr="00623385">
              <w:rPr>
                <w:rFonts w:eastAsia="Times New Roman"/>
                <w:szCs w:val="24"/>
                <w:lang w:eastAsia="de-DE"/>
              </w:rPr>
              <w:t xml:space="preserve"> the healthcare more efficient and responsive to contemporary and future health care needs </w:t>
            </w:r>
            <w:r w:rsidR="009B578F">
              <w:rPr>
                <w:rFonts w:eastAsia="Times New Roman"/>
                <w:szCs w:val="24"/>
                <w:lang w:eastAsia="de-DE"/>
              </w:rPr>
              <w:t xml:space="preserve">which </w:t>
            </w:r>
            <w:r w:rsidR="00F70979" w:rsidRPr="00623385">
              <w:rPr>
                <w:rFonts w:eastAsia="Times New Roman"/>
                <w:szCs w:val="24"/>
                <w:lang w:eastAsia="de-DE"/>
              </w:rPr>
              <w:t>can be achieved by</w:t>
            </w:r>
            <w:r w:rsidR="002477AC" w:rsidRPr="00623385">
              <w:rPr>
                <w:rFonts w:eastAsia="Times New Roman"/>
                <w:szCs w:val="24"/>
                <w:lang w:eastAsia="de-DE"/>
              </w:rPr>
              <w:t xml:space="preserve"> focusing on the implementation of efficient investments into health care infrastructure </w:t>
            </w:r>
            <w:r w:rsidR="000D2579">
              <w:rPr>
                <w:rFonts w:eastAsia="Times New Roman"/>
                <w:szCs w:val="24"/>
                <w:lang w:eastAsia="de-DE"/>
              </w:rPr>
              <w:t xml:space="preserve">in terms of small scale infrastructure and equipment </w:t>
            </w:r>
            <w:r w:rsidR="002477AC" w:rsidRPr="00623385">
              <w:rPr>
                <w:rFonts w:eastAsia="Times New Roman"/>
                <w:szCs w:val="24"/>
                <w:lang w:eastAsia="de-DE"/>
              </w:rPr>
              <w:t>and development of human resources</w:t>
            </w:r>
            <w:r w:rsidR="009B578F">
              <w:rPr>
                <w:rFonts w:eastAsia="Times New Roman"/>
                <w:szCs w:val="24"/>
                <w:lang w:eastAsia="de-DE"/>
              </w:rPr>
              <w:t xml:space="preserve"> in order to improve the related facilities and services</w:t>
            </w:r>
            <w:r w:rsidR="002477AC" w:rsidRPr="00623385">
              <w:rPr>
                <w:rFonts w:eastAsia="Times New Roman"/>
                <w:szCs w:val="24"/>
                <w:lang w:eastAsia="de-DE"/>
              </w:rPr>
              <w:t>.</w:t>
            </w:r>
          </w:p>
          <w:p w:rsidR="000448CC" w:rsidRPr="00623385" w:rsidRDefault="00F174A6" w:rsidP="00797FE3">
            <w:pPr>
              <w:spacing w:after="0"/>
              <w:rPr>
                <w:rFonts w:eastAsia="Times New Roman"/>
                <w:i/>
                <w:color w:val="548DD4" w:themeColor="text2" w:themeTint="99"/>
                <w:szCs w:val="24"/>
                <w:lang w:eastAsia="de-DE"/>
              </w:rPr>
            </w:pPr>
            <w:r w:rsidRPr="00F174A6">
              <w:rPr>
                <w:szCs w:val="24"/>
              </w:rPr>
              <w:t>In Croatia, the share of population living at risk of poverty or social exclusion was 32.3% in 2012</w:t>
            </w:r>
            <w:r>
              <w:rPr>
                <w:szCs w:val="24"/>
              </w:rPr>
              <w:t xml:space="preserve">, </w:t>
            </w:r>
            <w:r w:rsidR="000D2579">
              <w:rPr>
                <w:szCs w:val="24"/>
              </w:rPr>
              <w:t xml:space="preserve">whereas </w:t>
            </w:r>
            <w:r w:rsidR="00956C7D" w:rsidRPr="00956C7D">
              <w:rPr>
                <w:szCs w:val="24"/>
              </w:rPr>
              <w:t xml:space="preserve">in Bosnia and Herzegovina </w:t>
            </w:r>
            <w:r w:rsidR="000D2579">
              <w:rPr>
                <w:szCs w:val="24"/>
              </w:rPr>
              <w:t xml:space="preserve">the </w:t>
            </w:r>
            <w:r w:rsidR="00956C7D" w:rsidRPr="00956C7D">
              <w:rPr>
                <w:szCs w:val="24"/>
              </w:rPr>
              <w:t>relative poverty rate was 17.9%</w:t>
            </w:r>
            <w:r w:rsidR="00956C7D" w:rsidRPr="00535974">
              <w:rPr>
                <w:szCs w:val="24"/>
              </w:rPr>
              <w:t xml:space="preserve"> </w:t>
            </w:r>
            <w:r w:rsidR="000D2579" w:rsidRPr="00956C7D">
              <w:rPr>
                <w:szCs w:val="24"/>
              </w:rPr>
              <w:t xml:space="preserve">in 2011 </w:t>
            </w:r>
            <w:r>
              <w:rPr>
                <w:szCs w:val="24"/>
              </w:rPr>
              <w:t xml:space="preserve">while in Montenegro </w:t>
            </w:r>
            <w:r w:rsidR="000D2579">
              <w:rPr>
                <w:szCs w:val="24"/>
              </w:rPr>
              <w:t>it was</w:t>
            </w:r>
            <w:r w:rsidRPr="00F174A6">
              <w:rPr>
                <w:szCs w:val="24"/>
              </w:rPr>
              <w:t xml:space="preserve"> 11.3%</w:t>
            </w:r>
            <w:r w:rsidR="000D2579">
              <w:rPr>
                <w:szCs w:val="24"/>
              </w:rPr>
              <w:t xml:space="preserve"> i</w:t>
            </w:r>
            <w:r w:rsidR="000D2579" w:rsidRPr="00F174A6">
              <w:rPr>
                <w:szCs w:val="24"/>
              </w:rPr>
              <w:t xml:space="preserve">n </w:t>
            </w:r>
            <w:r w:rsidR="000D2579" w:rsidRPr="000D2579">
              <w:rPr>
                <w:rFonts w:eastAsia="Times New Roman"/>
                <w:szCs w:val="24"/>
                <w:lang w:eastAsia="de-DE"/>
              </w:rPr>
              <w:t>2012</w:t>
            </w:r>
            <w:r w:rsidRPr="000D2579">
              <w:rPr>
                <w:rFonts w:eastAsia="Times New Roman"/>
                <w:szCs w:val="24"/>
                <w:lang w:eastAsia="de-DE"/>
              </w:rPr>
              <w:t xml:space="preserve">. </w:t>
            </w:r>
            <w:r w:rsidR="000D2579" w:rsidRPr="000D2579">
              <w:rPr>
                <w:rFonts w:eastAsia="Times New Roman"/>
                <w:szCs w:val="24"/>
                <w:lang w:eastAsia="de-DE"/>
              </w:rPr>
              <w:t>High unemployment and low labour market participation, coupled with raising costs of living, have increased the share of population living at risk of poverty or social exclusion.</w:t>
            </w:r>
            <w:r w:rsidR="000D2579" w:rsidRPr="00C95BC8">
              <w:rPr>
                <w:rFonts w:ascii="Arial" w:hAnsi="Arial" w:cs="Arial"/>
                <w:sz w:val="22"/>
                <w:szCs w:val="22"/>
                <w:lang w:eastAsia="en-US"/>
              </w:rPr>
              <w:t xml:space="preserve"> </w:t>
            </w:r>
            <w:r w:rsidR="00E54D8F">
              <w:rPr>
                <w:rFonts w:eastAsia="Times New Roman"/>
                <w:szCs w:val="24"/>
                <w:lang w:eastAsia="de-DE"/>
              </w:rPr>
              <w:t>However, s</w:t>
            </w:r>
            <w:r w:rsidR="0051646A" w:rsidRPr="00623385">
              <w:rPr>
                <w:rFonts w:eastAsia="Times New Roman"/>
                <w:szCs w:val="24"/>
                <w:lang w:eastAsia="de-DE"/>
              </w:rPr>
              <w:t xml:space="preserve">ocial </w:t>
            </w:r>
            <w:r w:rsidR="00506E2F">
              <w:rPr>
                <w:rFonts w:eastAsia="Times New Roman"/>
                <w:szCs w:val="24"/>
                <w:lang w:eastAsia="de-DE"/>
              </w:rPr>
              <w:t xml:space="preserve">care </w:t>
            </w:r>
            <w:r w:rsidR="00E86D4A" w:rsidRPr="00623385">
              <w:rPr>
                <w:rFonts w:eastAsia="Times New Roman"/>
                <w:szCs w:val="24"/>
                <w:lang w:eastAsia="de-DE"/>
              </w:rPr>
              <w:t>system</w:t>
            </w:r>
            <w:r w:rsidR="0051646A">
              <w:rPr>
                <w:rFonts w:eastAsia="Times New Roman"/>
                <w:szCs w:val="24"/>
                <w:lang w:eastAsia="de-DE"/>
              </w:rPr>
              <w:t>s</w:t>
            </w:r>
            <w:r w:rsidR="00E86D4A" w:rsidRPr="00623385">
              <w:rPr>
                <w:rFonts w:eastAsia="Times New Roman"/>
                <w:szCs w:val="24"/>
                <w:lang w:eastAsia="de-DE"/>
              </w:rPr>
              <w:t xml:space="preserve"> in the programme area </w:t>
            </w:r>
            <w:r w:rsidR="00FD260F" w:rsidRPr="00623385">
              <w:rPr>
                <w:rFonts w:eastAsia="Times New Roman"/>
                <w:szCs w:val="24"/>
                <w:lang w:eastAsia="de-DE"/>
              </w:rPr>
              <w:t xml:space="preserve">are not well adapted to </w:t>
            </w:r>
            <w:r w:rsidR="00E54D8F">
              <w:rPr>
                <w:rFonts w:eastAsia="Times New Roman"/>
                <w:szCs w:val="24"/>
                <w:lang w:eastAsia="de-DE"/>
              </w:rPr>
              <w:t xml:space="preserve">the </w:t>
            </w:r>
            <w:r w:rsidR="0051646A" w:rsidRPr="00623385">
              <w:rPr>
                <w:rFonts w:eastAsia="Times New Roman"/>
                <w:szCs w:val="24"/>
                <w:lang w:eastAsia="de-DE"/>
              </w:rPr>
              <w:t xml:space="preserve">users in vulnerable positions </w:t>
            </w:r>
            <w:r w:rsidR="0051646A">
              <w:rPr>
                <w:rFonts w:eastAsia="Times New Roman"/>
                <w:szCs w:val="24"/>
                <w:lang w:eastAsia="de-DE"/>
              </w:rPr>
              <w:t xml:space="preserve">and </w:t>
            </w:r>
            <w:r w:rsidR="00FD260F" w:rsidRPr="00623385">
              <w:rPr>
                <w:rFonts w:eastAsia="Times New Roman"/>
                <w:szCs w:val="24"/>
                <w:lang w:eastAsia="de-DE"/>
              </w:rPr>
              <w:t>their diversified needs and the changing environment, such as ageing of popula</w:t>
            </w:r>
            <w:r w:rsidR="00A17808" w:rsidRPr="00623385">
              <w:rPr>
                <w:rFonts w:eastAsia="Times New Roman"/>
                <w:szCs w:val="24"/>
                <w:lang w:eastAsia="de-DE"/>
              </w:rPr>
              <w:t>tion, increased number of users</w:t>
            </w:r>
            <w:r w:rsidR="00E54D8F">
              <w:rPr>
                <w:rFonts w:eastAsia="Times New Roman"/>
                <w:szCs w:val="24"/>
                <w:lang w:eastAsia="de-DE"/>
              </w:rPr>
              <w:t xml:space="preserve">, </w:t>
            </w:r>
            <w:r w:rsidR="00FD260F" w:rsidRPr="00623385">
              <w:rPr>
                <w:rFonts w:eastAsia="Times New Roman"/>
                <w:szCs w:val="24"/>
                <w:lang w:eastAsia="de-DE"/>
              </w:rPr>
              <w:t>different user profiles</w:t>
            </w:r>
            <w:r w:rsidR="00E54D8F">
              <w:rPr>
                <w:rFonts w:eastAsia="Times New Roman"/>
                <w:szCs w:val="24"/>
                <w:lang w:eastAsia="de-DE"/>
              </w:rPr>
              <w:t xml:space="preserve"> and lack of </w:t>
            </w:r>
            <w:r w:rsidR="00E54D8F" w:rsidRPr="00F455BE">
              <w:rPr>
                <w:szCs w:val="24"/>
              </w:rPr>
              <w:t>community based support for the active inclusi</w:t>
            </w:r>
            <w:r w:rsidR="00E54D8F" w:rsidRPr="00704895">
              <w:rPr>
                <w:szCs w:val="24"/>
              </w:rPr>
              <w:t>on of vulnerable groups</w:t>
            </w:r>
            <w:r w:rsidR="00FD260F" w:rsidRPr="00623385">
              <w:rPr>
                <w:rFonts w:eastAsia="Times New Roman"/>
                <w:szCs w:val="24"/>
                <w:lang w:eastAsia="de-DE"/>
              </w:rPr>
              <w:t xml:space="preserve">. </w:t>
            </w:r>
            <w:r w:rsidR="008B7FB7" w:rsidRPr="008B7FB7">
              <w:rPr>
                <w:rFonts w:eastAsia="Times New Roman"/>
                <w:szCs w:val="24"/>
                <w:lang w:eastAsia="de-DE"/>
              </w:rPr>
              <w:t xml:space="preserve">Quality, scope and delivery mechanism of social services </w:t>
            </w:r>
            <w:r w:rsidR="00367B3C">
              <w:rPr>
                <w:rFonts w:eastAsia="Times New Roman"/>
                <w:szCs w:val="24"/>
                <w:lang w:eastAsia="de-DE"/>
              </w:rPr>
              <w:t>are</w:t>
            </w:r>
            <w:r w:rsidR="00367B3C" w:rsidRPr="00623385">
              <w:rPr>
                <w:rFonts w:eastAsia="Times New Roman"/>
                <w:szCs w:val="24"/>
                <w:lang w:eastAsia="de-DE"/>
              </w:rPr>
              <w:t xml:space="preserve"> </w:t>
            </w:r>
            <w:r w:rsidR="00FD260F" w:rsidRPr="00623385">
              <w:rPr>
                <w:rFonts w:eastAsia="Times New Roman"/>
                <w:szCs w:val="24"/>
                <w:lang w:eastAsia="de-DE"/>
              </w:rPr>
              <w:t>unequally developed at different levels where the services are provided and across the regions, which leads to significant differences in access to services and reduces the effectiveness of service provision.</w:t>
            </w:r>
            <w:r w:rsidR="002477AC" w:rsidRPr="0000039F">
              <w:rPr>
                <w:szCs w:val="24"/>
              </w:rPr>
              <w:t xml:space="preserve"> </w:t>
            </w:r>
            <w:r w:rsidR="00D172EA" w:rsidRPr="00623385">
              <w:rPr>
                <w:rFonts w:eastAsia="Times New Roman"/>
                <w:szCs w:val="24"/>
                <w:lang w:eastAsia="de-DE"/>
              </w:rPr>
              <w:t xml:space="preserve">Responses to these challenges should be sought through the </w:t>
            </w:r>
            <w:r w:rsidR="0064074D" w:rsidRPr="0000039F">
              <w:rPr>
                <w:szCs w:val="24"/>
              </w:rPr>
              <w:t xml:space="preserve">modernization of the system, by aiming to increase its transparency and by </w:t>
            </w:r>
            <w:r w:rsidR="00D172EA" w:rsidRPr="001159C2">
              <w:rPr>
                <w:szCs w:val="24"/>
              </w:rPr>
              <w:t>improving the</w:t>
            </w:r>
            <w:r w:rsidR="0064074D" w:rsidRPr="001159C2">
              <w:rPr>
                <w:szCs w:val="24"/>
              </w:rPr>
              <w:t xml:space="preserve"> quality and </w:t>
            </w:r>
            <w:r w:rsidR="00D172EA" w:rsidRPr="00BB3B9C">
              <w:rPr>
                <w:szCs w:val="24"/>
              </w:rPr>
              <w:t>availability of social services</w:t>
            </w:r>
            <w:r w:rsidR="00E54D8F">
              <w:rPr>
                <w:szCs w:val="24"/>
              </w:rPr>
              <w:t xml:space="preserve"> in the programme area</w:t>
            </w:r>
            <w:r w:rsidR="00D172EA" w:rsidRPr="00704895">
              <w:rPr>
                <w:szCs w:val="24"/>
              </w:rPr>
              <w:t>.</w:t>
            </w:r>
            <w:r w:rsidR="0064074D" w:rsidRPr="00704895">
              <w:rPr>
                <w:szCs w:val="24"/>
              </w:rPr>
              <w:t xml:space="preserve"> </w:t>
            </w:r>
          </w:p>
          <w:p w:rsidR="00512206" w:rsidRDefault="00512206" w:rsidP="00797FE3">
            <w:pPr>
              <w:spacing w:after="0"/>
              <w:rPr>
                <w:rFonts w:eastAsia="Times New Roman"/>
                <w:i/>
                <w:color w:val="548DD4" w:themeColor="text2" w:themeTint="99"/>
                <w:szCs w:val="24"/>
                <w:lang w:eastAsia="de-DE"/>
              </w:rPr>
            </w:pPr>
            <w:r w:rsidRPr="00512206">
              <w:rPr>
                <w:rFonts w:eastAsia="Times New Roman"/>
                <w:i/>
                <w:color w:val="548DD4" w:themeColor="text2" w:themeTint="99"/>
                <w:szCs w:val="24"/>
                <w:lang w:eastAsia="de-DE"/>
              </w:rPr>
              <w:t>Environment, biodiversity, risk prevention, sustainable energy and energy efficiency</w:t>
            </w:r>
          </w:p>
          <w:p w:rsidR="00A17808" w:rsidRPr="00623385" w:rsidRDefault="009513C2" w:rsidP="00797FE3">
            <w:pPr>
              <w:spacing w:after="0"/>
              <w:rPr>
                <w:rFonts w:eastAsia="Times New Roman"/>
                <w:szCs w:val="24"/>
                <w:lang w:eastAsia="de-DE"/>
              </w:rPr>
            </w:pPr>
            <w:r w:rsidRPr="00623385">
              <w:rPr>
                <w:rFonts w:eastAsia="Times New Roman"/>
                <w:szCs w:val="24"/>
                <w:lang w:eastAsia="de-DE"/>
              </w:rPr>
              <w:t xml:space="preserve">The natural environment </w:t>
            </w:r>
            <w:r w:rsidR="00A17808" w:rsidRPr="00623385">
              <w:rPr>
                <w:rFonts w:eastAsia="Times New Roman"/>
                <w:szCs w:val="24"/>
                <w:lang w:eastAsia="de-DE"/>
              </w:rPr>
              <w:t>of the programme area</w:t>
            </w:r>
            <w:r w:rsidRPr="00623385">
              <w:rPr>
                <w:rFonts w:eastAsia="Times New Roman"/>
                <w:szCs w:val="24"/>
                <w:lang w:eastAsia="de-DE"/>
              </w:rPr>
              <w:t xml:space="preserve"> is considered to be one of the key </w:t>
            </w:r>
            <w:r w:rsidR="00F556B1">
              <w:rPr>
                <w:rFonts w:eastAsia="Times New Roman"/>
                <w:szCs w:val="24"/>
                <w:lang w:eastAsia="de-DE"/>
              </w:rPr>
              <w:t xml:space="preserve">driving </w:t>
            </w:r>
            <w:r w:rsidRPr="00623385">
              <w:rPr>
                <w:rFonts w:eastAsia="Times New Roman"/>
                <w:szCs w:val="24"/>
                <w:lang w:eastAsia="de-DE"/>
              </w:rPr>
              <w:t xml:space="preserve">elements </w:t>
            </w:r>
            <w:r w:rsidR="00F556B1">
              <w:rPr>
                <w:rFonts w:eastAsia="Times New Roman"/>
                <w:szCs w:val="24"/>
                <w:lang w:eastAsia="de-DE"/>
              </w:rPr>
              <w:t>when it comes to the</w:t>
            </w:r>
            <w:r w:rsidRPr="00623385">
              <w:rPr>
                <w:rFonts w:eastAsia="Times New Roman"/>
                <w:szCs w:val="24"/>
                <w:lang w:eastAsia="de-DE"/>
              </w:rPr>
              <w:t xml:space="preserve"> economic and social development</w:t>
            </w:r>
            <w:r w:rsidR="00F556B1">
              <w:rPr>
                <w:rFonts w:eastAsia="Times New Roman"/>
                <w:szCs w:val="24"/>
                <w:lang w:eastAsia="de-DE"/>
              </w:rPr>
              <w:t>, however</w:t>
            </w:r>
            <w:r w:rsidRPr="00623385">
              <w:rPr>
                <w:rFonts w:eastAsia="Times New Roman"/>
                <w:szCs w:val="24"/>
                <w:lang w:eastAsia="de-DE"/>
              </w:rPr>
              <w:t xml:space="preserve"> </w:t>
            </w:r>
            <w:r w:rsidR="00F853BD" w:rsidRPr="00623385">
              <w:rPr>
                <w:rFonts w:eastAsia="Times New Roman"/>
                <w:szCs w:val="24"/>
                <w:lang w:eastAsia="de-DE"/>
              </w:rPr>
              <w:t xml:space="preserve">the </w:t>
            </w:r>
            <w:r w:rsidR="00F556B1">
              <w:rPr>
                <w:rFonts w:eastAsia="Times New Roman"/>
                <w:szCs w:val="24"/>
                <w:lang w:eastAsia="de-DE"/>
              </w:rPr>
              <w:t xml:space="preserve">level </w:t>
            </w:r>
            <w:r w:rsidR="00F853BD" w:rsidRPr="00623385">
              <w:rPr>
                <w:rFonts w:eastAsia="Times New Roman"/>
                <w:szCs w:val="24"/>
                <w:lang w:eastAsia="de-DE"/>
              </w:rPr>
              <w:t xml:space="preserve">of </w:t>
            </w:r>
            <w:r w:rsidR="00F853BD" w:rsidRPr="00623385">
              <w:rPr>
                <w:rFonts w:eastAsia="Times New Roman"/>
                <w:szCs w:val="24"/>
                <w:lang w:eastAsia="de-DE"/>
              </w:rPr>
              <w:lastRenderedPageBreak/>
              <w:t xml:space="preserve">environmental </w:t>
            </w:r>
            <w:r w:rsidR="00F556B1">
              <w:rPr>
                <w:rFonts w:eastAsia="Times New Roman"/>
                <w:szCs w:val="24"/>
                <w:lang w:eastAsia="de-DE"/>
              </w:rPr>
              <w:t xml:space="preserve">and nature </w:t>
            </w:r>
            <w:r w:rsidR="00F853BD" w:rsidRPr="00623385">
              <w:rPr>
                <w:rFonts w:eastAsia="Times New Roman"/>
                <w:szCs w:val="24"/>
                <w:lang w:eastAsia="de-DE"/>
              </w:rPr>
              <w:t xml:space="preserve">protection </w:t>
            </w:r>
            <w:r w:rsidR="00A17808" w:rsidRPr="00623385">
              <w:rPr>
                <w:rFonts w:eastAsia="Times New Roman"/>
                <w:szCs w:val="24"/>
                <w:lang w:eastAsia="de-DE"/>
              </w:rPr>
              <w:t xml:space="preserve">in </w:t>
            </w:r>
            <w:r w:rsidR="00F556B1">
              <w:rPr>
                <w:rFonts w:eastAsia="Times New Roman"/>
                <w:szCs w:val="24"/>
                <w:lang w:eastAsia="de-DE"/>
              </w:rPr>
              <w:t xml:space="preserve">the participating </w:t>
            </w:r>
            <w:r w:rsidR="00A17808" w:rsidRPr="00623385">
              <w:rPr>
                <w:rFonts w:eastAsia="Times New Roman"/>
                <w:szCs w:val="24"/>
                <w:lang w:eastAsia="de-DE"/>
              </w:rPr>
              <w:t xml:space="preserve">countries </w:t>
            </w:r>
            <w:r w:rsidR="00F853BD" w:rsidRPr="00623385">
              <w:rPr>
                <w:rFonts w:eastAsia="Times New Roman"/>
                <w:szCs w:val="24"/>
                <w:lang w:eastAsia="de-DE"/>
              </w:rPr>
              <w:t>is still lower than in other developed EU countries.</w:t>
            </w:r>
            <w:r w:rsidR="003F56B4" w:rsidRPr="00623385">
              <w:rPr>
                <w:rFonts w:eastAsia="Times New Roman"/>
                <w:szCs w:val="24"/>
                <w:lang w:eastAsia="de-DE"/>
              </w:rPr>
              <w:t xml:space="preserve"> </w:t>
            </w:r>
          </w:p>
          <w:p w:rsidR="002F0A62" w:rsidRDefault="00C23C1A" w:rsidP="00797FE3">
            <w:pPr>
              <w:spacing w:after="0"/>
              <w:rPr>
                <w:rFonts w:eastAsia="Times New Roman"/>
                <w:szCs w:val="24"/>
                <w:lang w:eastAsia="de-DE"/>
              </w:rPr>
            </w:pPr>
            <w:r w:rsidRPr="00623385">
              <w:rPr>
                <w:rFonts w:eastAsia="Times New Roman"/>
                <w:szCs w:val="24"/>
                <w:lang w:eastAsia="de-DE"/>
              </w:rPr>
              <w:t>K</w:t>
            </w:r>
            <w:r w:rsidR="002F0A62" w:rsidRPr="00623385">
              <w:rPr>
                <w:rFonts w:eastAsia="Times New Roman"/>
                <w:szCs w:val="24"/>
                <w:lang w:eastAsia="de-DE"/>
              </w:rPr>
              <w:t xml:space="preserve">ey </w:t>
            </w:r>
            <w:r w:rsidR="00F556B1">
              <w:rPr>
                <w:rFonts w:eastAsia="Times New Roman"/>
                <w:szCs w:val="24"/>
                <w:lang w:eastAsia="de-DE"/>
              </w:rPr>
              <w:t xml:space="preserve">environmental </w:t>
            </w:r>
            <w:r w:rsidR="002F0A62" w:rsidRPr="00623385">
              <w:rPr>
                <w:rFonts w:eastAsia="Times New Roman"/>
                <w:szCs w:val="24"/>
                <w:lang w:eastAsia="de-DE"/>
              </w:rPr>
              <w:t xml:space="preserve">feature of the northern part of the programme area is the border </w:t>
            </w:r>
            <w:r w:rsidR="00F556B1">
              <w:rPr>
                <w:rFonts w:eastAsia="Times New Roman"/>
                <w:szCs w:val="24"/>
                <w:lang w:eastAsia="de-DE"/>
              </w:rPr>
              <w:t xml:space="preserve">area </w:t>
            </w:r>
            <w:r w:rsidR="002F0A62" w:rsidRPr="00623385">
              <w:rPr>
                <w:rFonts w:eastAsia="Times New Roman"/>
                <w:szCs w:val="24"/>
                <w:lang w:eastAsia="de-DE"/>
              </w:rPr>
              <w:t xml:space="preserve">between Croatia and Bosnia and Herzegovina </w:t>
            </w:r>
            <w:r w:rsidR="00B21A60">
              <w:rPr>
                <w:rFonts w:eastAsia="Times New Roman"/>
                <w:szCs w:val="24"/>
                <w:lang w:eastAsia="de-DE"/>
              </w:rPr>
              <w:t xml:space="preserve">which is mainly </w:t>
            </w:r>
            <w:r w:rsidR="002F0A62" w:rsidRPr="00623385">
              <w:rPr>
                <w:rFonts w:eastAsia="Times New Roman"/>
                <w:szCs w:val="24"/>
                <w:lang w:eastAsia="de-DE"/>
              </w:rPr>
              <w:t>constituted by the river Sava</w:t>
            </w:r>
            <w:r w:rsidR="0052117D">
              <w:rPr>
                <w:rFonts w:eastAsia="Times New Roman"/>
                <w:szCs w:val="24"/>
                <w:lang w:eastAsia="de-DE"/>
              </w:rPr>
              <w:t>, its defining and common feature. A</w:t>
            </w:r>
            <w:r w:rsidR="00C609C6">
              <w:rPr>
                <w:rFonts w:eastAsia="Times New Roman"/>
                <w:szCs w:val="24"/>
                <w:lang w:eastAsia="de-DE"/>
              </w:rPr>
              <w:t>ll</w:t>
            </w:r>
            <w:r w:rsidR="002F0A62" w:rsidRPr="00623385">
              <w:rPr>
                <w:rFonts w:eastAsia="Times New Roman"/>
                <w:szCs w:val="24"/>
                <w:lang w:eastAsia="de-DE"/>
              </w:rPr>
              <w:t xml:space="preserve"> environmental issues linked to Sava clearly require joint action</w:t>
            </w:r>
            <w:r w:rsidR="00CA27DB">
              <w:rPr>
                <w:rFonts w:eastAsia="Times New Roman"/>
                <w:szCs w:val="24"/>
                <w:lang w:eastAsia="de-DE"/>
              </w:rPr>
              <w:t xml:space="preserve"> to be taken by the relevant stakeholders</w:t>
            </w:r>
            <w:r w:rsidR="002F0A62" w:rsidRPr="00623385">
              <w:rPr>
                <w:rFonts w:eastAsia="Times New Roman"/>
                <w:szCs w:val="24"/>
                <w:lang w:eastAsia="de-DE"/>
              </w:rPr>
              <w:t xml:space="preserve">. </w:t>
            </w:r>
          </w:p>
          <w:p w:rsidR="00827326" w:rsidRDefault="00E4740B" w:rsidP="00797FE3">
            <w:pPr>
              <w:spacing w:after="0"/>
              <w:rPr>
                <w:rFonts w:eastAsia="Times New Roman"/>
                <w:szCs w:val="24"/>
                <w:lang w:eastAsia="de-DE"/>
              </w:rPr>
            </w:pPr>
            <w:r w:rsidRPr="00623385">
              <w:rPr>
                <w:rFonts w:eastAsia="Times New Roman"/>
                <w:szCs w:val="24"/>
                <w:lang w:eastAsia="de-DE"/>
              </w:rPr>
              <w:t xml:space="preserve">Key </w:t>
            </w:r>
            <w:r w:rsidR="00545578">
              <w:rPr>
                <w:rFonts w:eastAsia="Times New Roman"/>
                <w:szCs w:val="24"/>
                <w:lang w:eastAsia="de-DE"/>
              </w:rPr>
              <w:t xml:space="preserve">environmental </w:t>
            </w:r>
            <w:r w:rsidRPr="00623385">
              <w:rPr>
                <w:rFonts w:eastAsia="Times New Roman"/>
                <w:szCs w:val="24"/>
                <w:lang w:eastAsia="de-DE"/>
              </w:rPr>
              <w:t>feature of the southern part of the programme area is Adriatic Sea</w:t>
            </w:r>
            <w:r w:rsidR="00384B30" w:rsidRPr="00623385">
              <w:rPr>
                <w:rFonts w:eastAsia="Times New Roman"/>
                <w:szCs w:val="24"/>
                <w:lang w:eastAsia="de-DE"/>
              </w:rPr>
              <w:t xml:space="preserve"> with its highly sensitive marine ecosystem. </w:t>
            </w:r>
            <w:r w:rsidR="00CA27DB">
              <w:rPr>
                <w:rFonts w:eastAsia="Times New Roman"/>
                <w:szCs w:val="24"/>
                <w:lang w:eastAsia="de-DE"/>
              </w:rPr>
              <w:t>Furthermore, c</w:t>
            </w:r>
            <w:r w:rsidR="00384B30" w:rsidRPr="00623385">
              <w:rPr>
                <w:rFonts w:eastAsia="Times New Roman"/>
                <w:szCs w:val="24"/>
                <w:lang w:eastAsia="de-DE"/>
              </w:rPr>
              <w:t>oastal areas are characterized by a high degree of biodiversity, sensitive habitats and ecosystems. Both, Adriatic Sea and coastal areas play significant role in the development of economy, cultural and social life of the programme area. In this sense, Adriatic Sea should be given special attention in terms of its use and conservation.</w:t>
            </w:r>
            <w:r w:rsidR="00F853BD" w:rsidRPr="00623385">
              <w:rPr>
                <w:rFonts w:eastAsia="Times New Roman"/>
                <w:szCs w:val="24"/>
                <w:lang w:eastAsia="de-DE"/>
              </w:rPr>
              <w:t xml:space="preserve"> </w:t>
            </w:r>
            <w:r w:rsidR="0074641B" w:rsidRPr="00623385">
              <w:rPr>
                <w:rFonts w:eastAsia="Times New Roman"/>
                <w:szCs w:val="24"/>
                <w:lang w:eastAsia="de-DE"/>
              </w:rPr>
              <w:t>Significant challenges are related to the protection of biodiversity, nature and landscape of both the sea and the coastal zone.</w:t>
            </w:r>
          </w:p>
          <w:p w:rsidR="00F556B1" w:rsidRDefault="00F556B1" w:rsidP="00797FE3">
            <w:pPr>
              <w:spacing w:after="0"/>
              <w:rPr>
                <w:rFonts w:eastAsia="Times New Roman"/>
                <w:szCs w:val="24"/>
                <w:lang w:eastAsia="de-DE"/>
              </w:rPr>
            </w:pPr>
            <w:r w:rsidRPr="00623385">
              <w:rPr>
                <w:rFonts w:eastAsia="Times New Roman"/>
                <w:szCs w:val="24"/>
                <w:lang w:eastAsia="de-DE"/>
              </w:rPr>
              <w:t>Due to rich rainfall and relatively well-preserved water resources, the programme area has good quality and abundant underground and surface waters. Richness and quality of water resources represent one of the most important comparative advantages of the whole area. In general, responses to the environmental challenges should be sought through the protection of especially valuable habitats and through an integrate</w:t>
            </w:r>
            <w:r>
              <w:rPr>
                <w:rFonts w:eastAsia="Times New Roman"/>
                <w:szCs w:val="24"/>
                <w:lang w:eastAsia="de-DE"/>
              </w:rPr>
              <w:t>d management of the whole area.</w:t>
            </w:r>
          </w:p>
          <w:p w:rsidR="00275896" w:rsidRDefault="00275896" w:rsidP="00275896">
            <w:pPr>
              <w:rPr>
                <w:rFonts w:eastAsia="Times New Roman"/>
                <w:szCs w:val="24"/>
                <w:lang w:eastAsia="de-DE"/>
              </w:rPr>
            </w:pPr>
            <w:r w:rsidRPr="00CA27DB">
              <w:rPr>
                <w:rFonts w:eastAsia="Times New Roman"/>
                <w:szCs w:val="24"/>
                <w:lang w:eastAsia="de-DE"/>
              </w:rPr>
              <w:t xml:space="preserve">Environment pollution, spatial urbanization, global climate changes, pressures from the economic activities and unsustainable usage of natural resources represent a potential threat to environment and </w:t>
            </w:r>
            <w:r>
              <w:rPr>
                <w:rFonts w:eastAsia="Times New Roman"/>
                <w:szCs w:val="24"/>
                <w:lang w:eastAsia="de-DE"/>
              </w:rPr>
              <w:t xml:space="preserve">nature </w:t>
            </w:r>
            <w:r w:rsidRPr="00CA27DB">
              <w:rPr>
                <w:rFonts w:eastAsia="Times New Roman"/>
                <w:szCs w:val="24"/>
                <w:lang w:eastAsia="de-DE"/>
              </w:rPr>
              <w:t>protection. Therefore, this programme is seen as the opportunity to address this challenge and to strengthe</w:t>
            </w:r>
            <w:r>
              <w:rPr>
                <w:rFonts w:eastAsia="Times New Roman"/>
                <w:szCs w:val="24"/>
                <w:lang w:eastAsia="de-DE"/>
              </w:rPr>
              <w:t>n the management of environment and</w:t>
            </w:r>
            <w:r w:rsidRPr="00CA27DB">
              <w:rPr>
                <w:rFonts w:eastAsia="Times New Roman"/>
                <w:szCs w:val="24"/>
                <w:lang w:eastAsia="de-DE"/>
              </w:rPr>
              <w:t xml:space="preserve"> nature protection of the programme area.</w:t>
            </w:r>
          </w:p>
          <w:p w:rsidR="00F556B1" w:rsidRDefault="00DA298A" w:rsidP="00F556B1">
            <w:pPr>
              <w:spacing w:after="0"/>
              <w:rPr>
                <w:color w:val="000000"/>
                <w:szCs w:val="24"/>
              </w:rPr>
            </w:pPr>
            <w:r>
              <w:rPr>
                <w:rFonts w:eastAsia="Times New Roman"/>
                <w:szCs w:val="24"/>
                <w:lang w:eastAsia="de-DE"/>
              </w:rPr>
              <w:t>T</w:t>
            </w:r>
            <w:r w:rsidR="00F556B1" w:rsidRPr="00623385">
              <w:rPr>
                <w:rFonts w:eastAsia="Times New Roman"/>
                <w:szCs w:val="24"/>
                <w:lang w:eastAsia="de-DE"/>
              </w:rPr>
              <w:t xml:space="preserve">he programme area is in growing trend of natural disasters in recent years due to its climatic and seismic conditions. Most serious damages are related to floods, droughts and fires. North-east of Croatian and North of Bosnian and Herzegovinian part of the programme area as the south part of these two </w:t>
            </w:r>
            <w:r w:rsidR="00F556B1">
              <w:rPr>
                <w:rFonts w:eastAsia="Times New Roman"/>
                <w:szCs w:val="24"/>
                <w:lang w:eastAsia="de-DE"/>
              </w:rPr>
              <w:t xml:space="preserve">countries </w:t>
            </w:r>
            <w:r w:rsidR="00F556B1" w:rsidRPr="00623385">
              <w:rPr>
                <w:rFonts w:eastAsia="Times New Roman"/>
                <w:szCs w:val="24"/>
                <w:lang w:eastAsia="de-DE"/>
              </w:rPr>
              <w:t xml:space="preserve">are at risk of floods, while the functionality of the flood protection system </w:t>
            </w:r>
            <w:r>
              <w:rPr>
                <w:rFonts w:eastAsia="Times New Roman"/>
                <w:szCs w:val="24"/>
                <w:lang w:eastAsia="de-DE"/>
              </w:rPr>
              <w:t xml:space="preserve">requires significant improvements in order </w:t>
            </w:r>
            <w:r w:rsidR="00F556B1" w:rsidRPr="00623385">
              <w:rPr>
                <w:rFonts w:eastAsia="Times New Roman"/>
                <w:szCs w:val="24"/>
                <w:lang w:eastAsia="de-DE"/>
              </w:rPr>
              <w:t xml:space="preserve">to reach the highest level of quality. Coastal part of the programme area is under </w:t>
            </w:r>
            <w:r>
              <w:rPr>
                <w:rFonts w:eastAsia="Times New Roman"/>
                <w:szCs w:val="24"/>
                <w:lang w:eastAsia="de-DE"/>
              </w:rPr>
              <w:t xml:space="preserve">the </w:t>
            </w:r>
            <w:r w:rsidR="00F556B1" w:rsidRPr="00623385">
              <w:rPr>
                <w:rFonts w:eastAsia="Times New Roman"/>
                <w:szCs w:val="24"/>
                <w:lang w:eastAsia="de-DE"/>
              </w:rPr>
              <w:t>influence of climate change as much as other parts, however due to the high temperatures and long-lasting severe droughts</w:t>
            </w:r>
            <w:r w:rsidR="00F556B1">
              <w:rPr>
                <w:rFonts w:eastAsia="Times New Roman"/>
                <w:szCs w:val="24"/>
                <w:lang w:eastAsia="de-DE"/>
              </w:rPr>
              <w:t>,</w:t>
            </w:r>
            <w:r w:rsidR="00F556B1" w:rsidRPr="00623385">
              <w:rPr>
                <w:rFonts w:eastAsia="Times New Roman"/>
                <w:szCs w:val="24"/>
                <w:lang w:eastAsia="de-DE"/>
              </w:rPr>
              <w:t xml:space="preserve"> this area is more than ever susceptible to open air. </w:t>
            </w:r>
            <w:r w:rsidR="00F556B1" w:rsidRPr="0000039F">
              <w:rPr>
                <w:color w:val="000000"/>
                <w:szCs w:val="24"/>
              </w:rPr>
              <w:t xml:space="preserve">Fire-fighting systems in these parts of </w:t>
            </w:r>
            <w:r w:rsidR="00F556B1">
              <w:rPr>
                <w:color w:val="000000"/>
                <w:szCs w:val="24"/>
              </w:rPr>
              <w:t xml:space="preserve">the </w:t>
            </w:r>
            <w:r w:rsidR="00F556B1" w:rsidRPr="0000039F">
              <w:rPr>
                <w:color w:val="000000"/>
                <w:szCs w:val="24"/>
              </w:rPr>
              <w:t>programme area are not on the satisfactory level and need to be improved.</w:t>
            </w:r>
          </w:p>
          <w:p w:rsidR="00F556B1" w:rsidRPr="00623385" w:rsidRDefault="00DA298A" w:rsidP="00797FE3">
            <w:pPr>
              <w:spacing w:after="0"/>
              <w:rPr>
                <w:rFonts w:eastAsia="Times New Roman"/>
                <w:szCs w:val="24"/>
                <w:lang w:eastAsia="de-DE"/>
              </w:rPr>
            </w:pPr>
            <w:r>
              <w:rPr>
                <w:color w:val="000000"/>
                <w:szCs w:val="24"/>
              </w:rPr>
              <w:t>Furthermore</w:t>
            </w:r>
            <w:r w:rsidR="00F556B1">
              <w:rPr>
                <w:color w:val="000000"/>
                <w:szCs w:val="24"/>
              </w:rPr>
              <w:t>, t</w:t>
            </w:r>
            <w:r w:rsidR="00F556B1" w:rsidRPr="00282248">
              <w:rPr>
                <w:color w:val="000000"/>
                <w:szCs w:val="24"/>
              </w:rPr>
              <w:t xml:space="preserve">he programme area is a high risk area, mainly due to climate changes, snowmelt and rainfall. Signs that can be attributed to the climate change as seen in </w:t>
            </w:r>
            <w:r w:rsidR="00F556B1">
              <w:rPr>
                <w:color w:val="000000"/>
                <w:szCs w:val="24"/>
              </w:rPr>
              <w:t>all three</w:t>
            </w:r>
            <w:r w:rsidR="00F556B1" w:rsidRPr="00282248">
              <w:rPr>
                <w:color w:val="000000"/>
                <w:szCs w:val="24"/>
              </w:rPr>
              <w:t xml:space="preserve"> countries in steady increase of average air temperature within the last decade, steadily trend of reduction in annual precipitation level, trend of evaporation compared to the air temperature trend and increased occurrence rate of extreme weather events. All these effects require climate change adaptation and management measures addressing establishment or further improvement of risk prevention management systems.</w:t>
            </w:r>
            <w:r w:rsidR="00F556B1">
              <w:rPr>
                <w:rFonts w:eastAsia="Times New Roman"/>
                <w:szCs w:val="24"/>
                <w:lang w:eastAsia="de-DE"/>
              </w:rPr>
              <w:t xml:space="preserve"> </w:t>
            </w:r>
          </w:p>
          <w:p w:rsidR="0074641B" w:rsidRDefault="0074641B" w:rsidP="00797FE3">
            <w:pPr>
              <w:spacing w:before="0" w:after="0"/>
              <w:rPr>
                <w:szCs w:val="24"/>
              </w:rPr>
            </w:pPr>
          </w:p>
          <w:p w:rsidR="000D0F90" w:rsidRPr="0000039F" w:rsidRDefault="000D0F90" w:rsidP="00797FE3">
            <w:pPr>
              <w:spacing w:before="0" w:after="0"/>
              <w:rPr>
                <w:szCs w:val="24"/>
              </w:rPr>
            </w:pPr>
            <w:r w:rsidRPr="000D0F90">
              <w:rPr>
                <w:szCs w:val="24"/>
              </w:rPr>
              <w:t xml:space="preserve">The programme area has favourable conditions in terms of renewable energy resources. In terms of development of </w:t>
            </w:r>
            <w:r w:rsidR="00E87EA8">
              <w:rPr>
                <w:szCs w:val="24"/>
              </w:rPr>
              <w:t xml:space="preserve">sustainable </w:t>
            </w:r>
            <w:r w:rsidRPr="000D0F90">
              <w:rPr>
                <w:szCs w:val="24"/>
              </w:rPr>
              <w:t>energy</w:t>
            </w:r>
            <w:r w:rsidR="00E706A7">
              <w:rPr>
                <w:szCs w:val="24"/>
              </w:rPr>
              <w:t xml:space="preserve">, </w:t>
            </w:r>
            <w:r w:rsidR="00E87EA8">
              <w:rPr>
                <w:szCs w:val="24"/>
              </w:rPr>
              <w:t xml:space="preserve">there is a potential </w:t>
            </w:r>
            <w:r w:rsidR="00E706A7" w:rsidRPr="000D0F90">
              <w:rPr>
                <w:szCs w:val="24"/>
              </w:rPr>
              <w:t>in</w:t>
            </w:r>
            <w:r w:rsidR="00AF22A6">
              <w:rPr>
                <w:szCs w:val="24"/>
              </w:rPr>
              <w:t xml:space="preserve"> Croatia</w:t>
            </w:r>
            <w:r w:rsidR="00AF22A6" w:rsidRPr="00AF22A6">
              <w:rPr>
                <w:szCs w:val="24"/>
              </w:rPr>
              <w:t xml:space="preserve"> to increas</w:t>
            </w:r>
            <w:r w:rsidR="00E87EA8">
              <w:rPr>
                <w:szCs w:val="24"/>
              </w:rPr>
              <w:t xml:space="preserve">e the energy capacities deriving from </w:t>
            </w:r>
            <w:r w:rsidR="00AF22A6" w:rsidRPr="00AF22A6">
              <w:rPr>
                <w:szCs w:val="24"/>
              </w:rPr>
              <w:t>biomass and biogas, wind power, sun power, geo-thermal power and hydropower.</w:t>
            </w:r>
            <w:r w:rsidR="00AF22A6">
              <w:rPr>
                <w:szCs w:val="24"/>
              </w:rPr>
              <w:t xml:space="preserve"> </w:t>
            </w:r>
            <w:r w:rsidR="00AF22A6" w:rsidRPr="00AF22A6">
              <w:rPr>
                <w:szCs w:val="24"/>
              </w:rPr>
              <w:t>In Bosnian and Herzegovi</w:t>
            </w:r>
            <w:r w:rsidR="00AF22A6">
              <w:rPr>
                <w:szCs w:val="24"/>
              </w:rPr>
              <w:t>nian part of the programme area</w:t>
            </w:r>
            <w:r w:rsidR="00E87EA8">
              <w:rPr>
                <w:szCs w:val="24"/>
              </w:rPr>
              <w:t>,</w:t>
            </w:r>
            <w:r w:rsidR="00AF22A6" w:rsidRPr="00AF22A6">
              <w:rPr>
                <w:szCs w:val="24"/>
              </w:rPr>
              <w:t xml:space="preserve"> geothermal energy from natural resources is used for medical and recreational </w:t>
            </w:r>
            <w:r w:rsidR="00E87EA8">
              <w:rPr>
                <w:szCs w:val="24"/>
              </w:rPr>
              <w:t xml:space="preserve">and tourism </w:t>
            </w:r>
            <w:r w:rsidR="00AF22A6" w:rsidRPr="00AF22A6">
              <w:rPr>
                <w:szCs w:val="24"/>
              </w:rPr>
              <w:t xml:space="preserve">purposes </w:t>
            </w:r>
            <w:r w:rsidR="007D508D">
              <w:rPr>
                <w:szCs w:val="24"/>
              </w:rPr>
              <w:t xml:space="preserve">while </w:t>
            </w:r>
            <w:r w:rsidR="00AF22A6">
              <w:rPr>
                <w:szCs w:val="24"/>
              </w:rPr>
              <w:t>in Montenegro</w:t>
            </w:r>
            <w:r w:rsidR="00AF22A6" w:rsidRPr="00AF22A6">
              <w:rPr>
                <w:szCs w:val="24"/>
              </w:rPr>
              <w:t xml:space="preserve"> </w:t>
            </w:r>
            <w:r w:rsidR="00AF22A6">
              <w:rPr>
                <w:szCs w:val="24"/>
              </w:rPr>
              <w:t xml:space="preserve">there is </w:t>
            </w:r>
            <w:r w:rsidR="00AF22A6" w:rsidRPr="007D508D">
              <w:rPr>
                <w:szCs w:val="24"/>
              </w:rPr>
              <w:t xml:space="preserve">a </w:t>
            </w:r>
            <w:r w:rsidR="00E87EA8">
              <w:rPr>
                <w:szCs w:val="24"/>
              </w:rPr>
              <w:t xml:space="preserve">significant </w:t>
            </w:r>
            <w:r w:rsidR="00AF22A6" w:rsidRPr="007D508D">
              <w:rPr>
                <w:szCs w:val="24"/>
              </w:rPr>
              <w:t>hydro potential, which is considered among world’s top potentials</w:t>
            </w:r>
            <w:r w:rsidR="00AF22A6">
              <w:rPr>
                <w:szCs w:val="24"/>
              </w:rPr>
              <w:t xml:space="preserve"> </w:t>
            </w:r>
            <w:r w:rsidR="00E87EA8">
              <w:rPr>
                <w:szCs w:val="24"/>
              </w:rPr>
              <w:t xml:space="preserve">taking into account </w:t>
            </w:r>
            <w:r w:rsidR="00AF22A6" w:rsidRPr="007D508D">
              <w:rPr>
                <w:szCs w:val="24"/>
              </w:rPr>
              <w:t>its economy and suitability for ecological and social environment</w:t>
            </w:r>
            <w:r w:rsidR="00AF22A6">
              <w:rPr>
                <w:szCs w:val="24"/>
              </w:rPr>
              <w:t>. In Montenegro, there is</w:t>
            </w:r>
            <w:r w:rsidR="00AF22A6" w:rsidRPr="00AF22A6">
              <w:rPr>
                <w:szCs w:val="24"/>
              </w:rPr>
              <w:t xml:space="preserve"> </w:t>
            </w:r>
            <w:r w:rsidR="00AF22A6">
              <w:rPr>
                <w:szCs w:val="24"/>
              </w:rPr>
              <w:t>also</w:t>
            </w:r>
            <w:r w:rsidR="00AF22A6" w:rsidRPr="00AF22A6">
              <w:rPr>
                <w:szCs w:val="24"/>
              </w:rPr>
              <w:t xml:space="preserve"> </w:t>
            </w:r>
            <w:r w:rsidR="00AF22A6">
              <w:rPr>
                <w:szCs w:val="24"/>
              </w:rPr>
              <w:t xml:space="preserve">a </w:t>
            </w:r>
            <w:r w:rsidR="00AF22A6" w:rsidRPr="00AF22A6">
              <w:rPr>
                <w:szCs w:val="24"/>
              </w:rPr>
              <w:t>good potential for exploitation of wind energy on lo</w:t>
            </w:r>
            <w:r w:rsidR="00AF22A6">
              <w:rPr>
                <w:szCs w:val="24"/>
              </w:rPr>
              <w:t xml:space="preserve">cations along the Adriatic </w:t>
            </w:r>
            <w:r w:rsidR="00E87EA8">
              <w:rPr>
                <w:szCs w:val="24"/>
              </w:rPr>
              <w:t>S</w:t>
            </w:r>
            <w:r w:rsidR="00AF22A6">
              <w:rPr>
                <w:szCs w:val="24"/>
              </w:rPr>
              <w:t>ea</w:t>
            </w:r>
            <w:r w:rsidR="007D508D" w:rsidRPr="007D508D">
              <w:rPr>
                <w:szCs w:val="24"/>
              </w:rPr>
              <w:t>.</w:t>
            </w:r>
            <w:r w:rsidRPr="000D0F90">
              <w:rPr>
                <w:szCs w:val="24"/>
              </w:rPr>
              <w:t xml:space="preserve"> However, putting </w:t>
            </w:r>
            <w:r w:rsidR="00840120">
              <w:rPr>
                <w:szCs w:val="24"/>
              </w:rPr>
              <w:t>all these</w:t>
            </w:r>
            <w:r w:rsidRPr="000D0F90">
              <w:rPr>
                <w:szCs w:val="24"/>
              </w:rPr>
              <w:t xml:space="preserve"> potential</w:t>
            </w:r>
            <w:r w:rsidR="00840120">
              <w:rPr>
                <w:szCs w:val="24"/>
              </w:rPr>
              <w:t>s</w:t>
            </w:r>
            <w:r w:rsidRPr="000D0F90">
              <w:rPr>
                <w:szCs w:val="24"/>
              </w:rPr>
              <w:t xml:space="preserve"> into </w:t>
            </w:r>
            <w:r w:rsidRPr="000D0F90">
              <w:rPr>
                <w:szCs w:val="24"/>
              </w:rPr>
              <w:lastRenderedPageBreak/>
              <w:t xml:space="preserve">use requires large infrastructure investments and overcoming a </w:t>
            </w:r>
            <w:r w:rsidR="007D508D">
              <w:rPr>
                <w:szCs w:val="24"/>
              </w:rPr>
              <w:t>number of regulatory obstacles.</w:t>
            </w:r>
            <w:r w:rsidR="00575C0F">
              <w:rPr>
                <w:szCs w:val="24"/>
              </w:rPr>
              <w:t xml:space="preserve"> Taking into account that </w:t>
            </w:r>
            <w:r w:rsidRPr="000D0F90">
              <w:rPr>
                <w:szCs w:val="24"/>
              </w:rPr>
              <w:t>the upgrade of infrastructures in the energy sector is predominately dealt within national level policies, th</w:t>
            </w:r>
            <w:r w:rsidR="00575C0F">
              <w:rPr>
                <w:szCs w:val="24"/>
              </w:rPr>
              <w:t>is</w:t>
            </w:r>
            <w:r w:rsidRPr="000D0F90">
              <w:rPr>
                <w:szCs w:val="24"/>
              </w:rPr>
              <w:t xml:space="preserve"> Programme can intervene on the qualitative aspect by supporting the raising capacity for better management of energy, exchange of experience, practices and innovative projects contributing to decrease of CO2 emission and energy consumption, implementation of innovative technologies and solutions in the area of sustainable energy and energy efficiency. This can be done with the special emphasis on public infrastructures thus involving public infrastructure owners and managers but also end users to ensure coherence of capacity bui</w:t>
            </w:r>
            <w:r>
              <w:rPr>
                <w:szCs w:val="24"/>
              </w:rPr>
              <w:t>lding measures.</w:t>
            </w:r>
          </w:p>
          <w:p w:rsidR="00173E70" w:rsidRPr="00623385" w:rsidRDefault="00C558D2" w:rsidP="00797FE3">
            <w:pPr>
              <w:spacing w:after="0"/>
              <w:rPr>
                <w:rFonts w:eastAsia="Times New Roman"/>
                <w:i/>
                <w:color w:val="548DD4" w:themeColor="text2" w:themeTint="99"/>
                <w:szCs w:val="24"/>
                <w:lang w:eastAsia="de-DE"/>
              </w:rPr>
            </w:pPr>
            <w:r w:rsidRPr="00623385">
              <w:rPr>
                <w:rFonts w:eastAsia="Times New Roman"/>
                <w:i/>
                <w:color w:val="548DD4" w:themeColor="text2" w:themeTint="99"/>
                <w:szCs w:val="24"/>
                <w:lang w:eastAsia="de-DE"/>
              </w:rPr>
              <w:t>Tourism and cultural and natural heritage</w:t>
            </w:r>
          </w:p>
          <w:p w:rsidR="007C09EB" w:rsidRPr="00623385" w:rsidRDefault="00C558D2" w:rsidP="00797FE3">
            <w:pPr>
              <w:spacing w:after="0"/>
              <w:rPr>
                <w:rFonts w:eastAsia="Times New Roman"/>
                <w:szCs w:val="24"/>
                <w:lang w:eastAsia="de-DE"/>
              </w:rPr>
            </w:pPr>
            <w:r w:rsidRPr="00623385">
              <w:rPr>
                <w:rFonts w:eastAsia="Times New Roman"/>
                <w:szCs w:val="24"/>
                <w:lang w:eastAsia="de-DE"/>
              </w:rPr>
              <w:t xml:space="preserve">Due to extremely rich </w:t>
            </w:r>
            <w:r w:rsidR="00282248" w:rsidRPr="00623385">
              <w:rPr>
                <w:rFonts w:eastAsia="Times New Roman"/>
                <w:szCs w:val="24"/>
                <w:lang w:eastAsia="de-DE"/>
              </w:rPr>
              <w:t xml:space="preserve">cultural and </w:t>
            </w:r>
            <w:r w:rsidRPr="00623385">
              <w:rPr>
                <w:rFonts w:eastAsia="Times New Roman"/>
                <w:szCs w:val="24"/>
                <w:lang w:eastAsia="de-DE"/>
              </w:rPr>
              <w:t>natural heritage</w:t>
            </w:r>
            <w:r w:rsidR="00282248">
              <w:rPr>
                <w:rFonts w:eastAsia="Times New Roman"/>
                <w:szCs w:val="24"/>
                <w:lang w:eastAsia="de-DE"/>
              </w:rPr>
              <w:t>,</w:t>
            </w:r>
            <w:r w:rsidRPr="00623385">
              <w:rPr>
                <w:rFonts w:eastAsia="Times New Roman"/>
                <w:szCs w:val="24"/>
                <w:lang w:eastAsia="de-DE"/>
              </w:rPr>
              <w:t xml:space="preserve"> tourism is becoming increasingly important throughout </w:t>
            </w:r>
            <w:r w:rsidR="0029489C" w:rsidRPr="00623385">
              <w:rPr>
                <w:rFonts w:eastAsia="Times New Roman"/>
                <w:szCs w:val="24"/>
                <w:lang w:eastAsia="de-DE"/>
              </w:rPr>
              <w:t xml:space="preserve">whole </w:t>
            </w:r>
            <w:r w:rsidRPr="00623385">
              <w:rPr>
                <w:rFonts w:eastAsia="Times New Roman"/>
                <w:szCs w:val="24"/>
                <w:lang w:eastAsia="de-DE"/>
              </w:rPr>
              <w:t xml:space="preserve">programme area. </w:t>
            </w:r>
            <w:r w:rsidR="00952283">
              <w:rPr>
                <w:rFonts w:eastAsia="Times New Roman"/>
                <w:szCs w:val="24"/>
                <w:lang w:eastAsia="de-DE"/>
              </w:rPr>
              <w:t>In Croatia</w:t>
            </w:r>
            <w:r w:rsidR="002F2115">
              <w:rPr>
                <w:rFonts w:eastAsia="Times New Roman"/>
                <w:szCs w:val="24"/>
                <w:lang w:eastAsia="de-DE"/>
              </w:rPr>
              <w:t>,</w:t>
            </w:r>
            <w:r w:rsidR="00952283">
              <w:rPr>
                <w:rFonts w:eastAsia="Times New Roman"/>
                <w:szCs w:val="24"/>
                <w:lang w:eastAsia="de-DE"/>
              </w:rPr>
              <w:t xml:space="preserve"> share of tourism in GDP</w:t>
            </w:r>
            <w:r w:rsidR="00952283" w:rsidRPr="0006723B">
              <w:rPr>
                <w:rFonts w:eastAsia="Times New Roman"/>
                <w:szCs w:val="24"/>
                <w:lang w:eastAsia="de-DE"/>
              </w:rPr>
              <w:t xml:space="preserve"> in 2012</w:t>
            </w:r>
            <w:r w:rsidR="00952283">
              <w:rPr>
                <w:rFonts w:eastAsia="Times New Roman"/>
                <w:szCs w:val="24"/>
                <w:lang w:eastAsia="de-DE"/>
              </w:rPr>
              <w:t xml:space="preserve"> was 15,4%, in Bosnia and Herzegovina </w:t>
            </w:r>
            <w:r w:rsidR="002E491D">
              <w:rPr>
                <w:rFonts w:eastAsia="Times New Roman"/>
                <w:szCs w:val="24"/>
                <w:lang w:eastAsia="de-DE"/>
              </w:rPr>
              <w:t xml:space="preserve">it </w:t>
            </w:r>
            <w:r w:rsidR="00952283">
              <w:rPr>
                <w:rFonts w:eastAsia="Times New Roman"/>
                <w:szCs w:val="24"/>
                <w:lang w:eastAsia="de-DE"/>
              </w:rPr>
              <w:t xml:space="preserve">was 2,05% </w:t>
            </w:r>
            <w:r w:rsidR="005619AB">
              <w:rPr>
                <w:rFonts w:eastAsia="Times New Roman"/>
                <w:szCs w:val="24"/>
                <w:lang w:eastAsia="de-DE"/>
              </w:rPr>
              <w:t xml:space="preserve">whereas </w:t>
            </w:r>
            <w:r w:rsidR="00952283">
              <w:rPr>
                <w:rFonts w:eastAsia="Times New Roman"/>
                <w:szCs w:val="24"/>
                <w:lang w:eastAsia="de-DE"/>
              </w:rPr>
              <w:t xml:space="preserve">in Montenegro </w:t>
            </w:r>
            <w:r w:rsidR="002E491D">
              <w:rPr>
                <w:rFonts w:eastAsia="Times New Roman"/>
                <w:szCs w:val="24"/>
                <w:lang w:eastAsia="de-DE"/>
              </w:rPr>
              <w:t xml:space="preserve">it was </w:t>
            </w:r>
            <w:r w:rsidR="00952283">
              <w:rPr>
                <w:rFonts w:eastAsia="Times New Roman"/>
                <w:szCs w:val="24"/>
                <w:lang w:eastAsia="de-DE"/>
              </w:rPr>
              <w:t xml:space="preserve">9,9 %. The estimation is that the </w:t>
            </w:r>
            <w:r w:rsidR="00952283" w:rsidRPr="00110D54">
              <w:rPr>
                <w:rFonts w:eastAsia="Times New Roman"/>
                <w:szCs w:val="24"/>
                <w:lang w:eastAsia="de-DE"/>
              </w:rPr>
              <w:t>impact of tourism to the GDP</w:t>
            </w:r>
            <w:r w:rsidR="00952283">
              <w:rPr>
                <w:rFonts w:eastAsia="Times New Roman"/>
                <w:szCs w:val="24"/>
                <w:lang w:eastAsia="de-DE"/>
              </w:rPr>
              <w:t xml:space="preserve"> in all three countries should grow in the next decade on the annual basis. </w:t>
            </w:r>
            <w:r w:rsidRPr="00623385">
              <w:rPr>
                <w:rFonts w:eastAsia="Times New Roman"/>
                <w:szCs w:val="24"/>
                <w:lang w:eastAsia="de-DE"/>
              </w:rPr>
              <w:t xml:space="preserve">Tourism is one of the main economic </w:t>
            </w:r>
            <w:r w:rsidR="00F65FAB" w:rsidRPr="00623385">
              <w:rPr>
                <w:rFonts w:eastAsia="Times New Roman"/>
                <w:szCs w:val="24"/>
                <w:lang w:eastAsia="de-DE"/>
              </w:rPr>
              <w:t>activities</w:t>
            </w:r>
            <w:r w:rsidR="00114CDE" w:rsidRPr="00623385">
              <w:rPr>
                <w:rFonts w:eastAsia="Times New Roman"/>
                <w:szCs w:val="24"/>
                <w:lang w:eastAsia="de-DE"/>
              </w:rPr>
              <w:t xml:space="preserve"> in the southern part of </w:t>
            </w:r>
            <w:r w:rsidR="002F2115">
              <w:rPr>
                <w:rFonts w:eastAsia="Times New Roman"/>
                <w:szCs w:val="24"/>
                <w:lang w:eastAsia="de-DE"/>
              </w:rPr>
              <w:t xml:space="preserve">the </w:t>
            </w:r>
            <w:r w:rsidR="00114CDE" w:rsidRPr="00623385">
              <w:rPr>
                <w:rFonts w:eastAsia="Times New Roman"/>
                <w:szCs w:val="24"/>
                <w:lang w:eastAsia="de-DE"/>
              </w:rPr>
              <w:t>p</w:t>
            </w:r>
            <w:r w:rsidRPr="00623385">
              <w:rPr>
                <w:rFonts w:eastAsia="Times New Roman"/>
                <w:szCs w:val="24"/>
                <w:lang w:eastAsia="de-DE"/>
              </w:rPr>
              <w:t xml:space="preserve">rogramme area but </w:t>
            </w:r>
            <w:r w:rsidR="00114CDE" w:rsidRPr="00623385">
              <w:rPr>
                <w:rFonts w:eastAsia="Times New Roman"/>
                <w:szCs w:val="24"/>
                <w:lang w:eastAsia="de-DE"/>
              </w:rPr>
              <w:t>recently</w:t>
            </w:r>
            <w:r w:rsidRPr="00623385">
              <w:rPr>
                <w:rFonts w:eastAsia="Times New Roman"/>
                <w:szCs w:val="24"/>
                <w:lang w:eastAsia="de-DE"/>
              </w:rPr>
              <w:t xml:space="preserve"> the role of continental tourism has become </w:t>
            </w:r>
            <w:r w:rsidR="00AB7F3C">
              <w:rPr>
                <w:rFonts w:eastAsia="Times New Roman"/>
                <w:szCs w:val="24"/>
                <w:lang w:eastAsia="de-DE"/>
              </w:rPr>
              <w:t xml:space="preserve">more </w:t>
            </w:r>
            <w:r w:rsidRPr="00623385">
              <w:rPr>
                <w:rFonts w:eastAsia="Times New Roman"/>
                <w:szCs w:val="24"/>
                <w:lang w:eastAsia="de-DE"/>
              </w:rPr>
              <w:t>important for other pa</w:t>
            </w:r>
            <w:r w:rsidR="00114CDE" w:rsidRPr="00623385">
              <w:rPr>
                <w:rFonts w:eastAsia="Times New Roman"/>
                <w:szCs w:val="24"/>
                <w:lang w:eastAsia="de-DE"/>
              </w:rPr>
              <w:t xml:space="preserve">rts of the </w:t>
            </w:r>
            <w:r w:rsidR="00AB7F3C">
              <w:rPr>
                <w:rFonts w:eastAsia="Times New Roman"/>
                <w:szCs w:val="24"/>
                <w:lang w:eastAsia="de-DE"/>
              </w:rPr>
              <w:t xml:space="preserve">programme </w:t>
            </w:r>
            <w:r w:rsidR="00114CDE" w:rsidRPr="00623385">
              <w:rPr>
                <w:rFonts w:eastAsia="Times New Roman"/>
                <w:szCs w:val="24"/>
                <w:lang w:eastAsia="de-DE"/>
              </w:rPr>
              <w:t>area as well</w:t>
            </w:r>
            <w:r w:rsidRPr="00623385">
              <w:rPr>
                <w:rFonts w:eastAsia="Times New Roman"/>
                <w:szCs w:val="24"/>
                <w:lang w:eastAsia="de-DE"/>
              </w:rPr>
              <w:t>.</w:t>
            </w:r>
            <w:r w:rsidRPr="0000039F">
              <w:rPr>
                <w:szCs w:val="24"/>
              </w:rPr>
              <w:t xml:space="preserve"> </w:t>
            </w:r>
            <w:r w:rsidR="00952283">
              <w:rPr>
                <w:szCs w:val="24"/>
              </w:rPr>
              <w:t>Additionally, t</w:t>
            </w:r>
            <w:r w:rsidR="00952283" w:rsidRPr="00952283">
              <w:rPr>
                <w:szCs w:val="24"/>
              </w:rPr>
              <w:t>he number of employees in tourism sector in 201</w:t>
            </w:r>
            <w:r w:rsidR="00952283">
              <w:rPr>
                <w:szCs w:val="24"/>
              </w:rPr>
              <w:t>3 in Croatia was 6</w:t>
            </w:r>
            <w:r w:rsidR="003F7B79">
              <w:rPr>
                <w:szCs w:val="24"/>
              </w:rPr>
              <w:t>,</w:t>
            </w:r>
            <w:r w:rsidR="00952283">
              <w:rPr>
                <w:szCs w:val="24"/>
              </w:rPr>
              <w:t xml:space="preserve">3%, while in Montenegro </w:t>
            </w:r>
            <w:r w:rsidR="00AB7F3C">
              <w:rPr>
                <w:szCs w:val="24"/>
              </w:rPr>
              <w:t xml:space="preserve">it </w:t>
            </w:r>
            <w:r w:rsidR="00952283">
              <w:rPr>
                <w:szCs w:val="24"/>
              </w:rPr>
              <w:t xml:space="preserve">was 8,7% in 2012. </w:t>
            </w:r>
            <w:r w:rsidR="008A5D01">
              <w:rPr>
                <w:szCs w:val="24"/>
              </w:rPr>
              <w:t xml:space="preserve">Despite the fact that tourism already represents one of the most important </w:t>
            </w:r>
            <w:r w:rsidR="00AB7F3C">
              <w:rPr>
                <w:szCs w:val="24"/>
              </w:rPr>
              <w:t xml:space="preserve">economy </w:t>
            </w:r>
            <w:r w:rsidR="008A5D01">
              <w:rPr>
                <w:szCs w:val="24"/>
              </w:rPr>
              <w:t>driver</w:t>
            </w:r>
            <w:r w:rsidR="0037321B">
              <w:rPr>
                <w:szCs w:val="24"/>
              </w:rPr>
              <w:t>s</w:t>
            </w:r>
            <w:r w:rsidR="008A5D01">
              <w:rPr>
                <w:szCs w:val="24"/>
              </w:rPr>
              <w:t xml:space="preserve"> of the </w:t>
            </w:r>
            <w:r w:rsidR="0092437D">
              <w:rPr>
                <w:szCs w:val="24"/>
              </w:rPr>
              <w:t>programme area</w:t>
            </w:r>
            <w:r w:rsidR="008A5D01">
              <w:rPr>
                <w:szCs w:val="24"/>
              </w:rPr>
              <w:t xml:space="preserve">, </w:t>
            </w:r>
            <w:r w:rsidRPr="00623385">
              <w:rPr>
                <w:rFonts w:eastAsia="Times New Roman"/>
                <w:szCs w:val="24"/>
                <w:lang w:eastAsia="de-DE"/>
              </w:rPr>
              <w:t>it is necessary to put in place an adequate tourism infrastructure</w:t>
            </w:r>
            <w:r w:rsidR="00AB7F3C">
              <w:rPr>
                <w:rFonts w:eastAsia="Times New Roman"/>
                <w:szCs w:val="24"/>
                <w:lang w:eastAsia="de-DE"/>
              </w:rPr>
              <w:t xml:space="preserve"> in order t</w:t>
            </w:r>
            <w:r w:rsidR="00AB7F3C" w:rsidRPr="00623385">
              <w:rPr>
                <w:rFonts w:eastAsia="Times New Roman"/>
                <w:szCs w:val="24"/>
                <w:lang w:eastAsia="de-DE"/>
              </w:rPr>
              <w:t xml:space="preserve">o provide for a more dynamic development of tourism in </w:t>
            </w:r>
            <w:r w:rsidR="00AB7F3C">
              <w:rPr>
                <w:rFonts w:eastAsia="Times New Roman"/>
                <w:szCs w:val="24"/>
                <w:lang w:eastAsia="de-DE"/>
              </w:rPr>
              <w:t xml:space="preserve">coastal and </w:t>
            </w:r>
            <w:r w:rsidR="00AB7F3C" w:rsidRPr="00623385">
              <w:rPr>
                <w:rFonts w:eastAsia="Times New Roman"/>
                <w:szCs w:val="24"/>
                <w:lang w:eastAsia="de-DE"/>
              </w:rPr>
              <w:t>continental areas</w:t>
            </w:r>
            <w:r w:rsidRPr="00623385">
              <w:rPr>
                <w:rFonts w:eastAsia="Times New Roman"/>
                <w:szCs w:val="24"/>
                <w:lang w:eastAsia="de-DE"/>
              </w:rPr>
              <w:t>.</w:t>
            </w:r>
            <w:r w:rsidR="0006723B">
              <w:rPr>
                <w:rFonts w:eastAsia="Times New Roman"/>
                <w:szCs w:val="24"/>
                <w:lang w:eastAsia="de-DE"/>
              </w:rPr>
              <w:t xml:space="preserve"> </w:t>
            </w:r>
            <w:r w:rsidR="00AB7F3C">
              <w:rPr>
                <w:rFonts w:eastAsia="Times New Roman"/>
                <w:szCs w:val="24"/>
                <w:lang w:eastAsia="de-DE"/>
              </w:rPr>
              <w:t xml:space="preserve">The assets that present </w:t>
            </w:r>
            <w:r w:rsidR="00AB7F3C" w:rsidRPr="00623385">
              <w:rPr>
                <w:rFonts w:eastAsia="Times New Roman"/>
                <w:szCs w:val="24"/>
                <w:lang w:eastAsia="de-DE"/>
              </w:rPr>
              <w:t>attractiveness</w:t>
            </w:r>
            <w:r w:rsidR="00AB7F3C">
              <w:rPr>
                <w:rFonts w:eastAsia="Times New Roman"/>
                <w:szCs w:val="24"/>
                <w:lang w:eastAsia="de-DE"/>
              </w:rPr>
              <w:t xml:space="preserve"> </w:t>
            </w:r>
            <w:r w:rsidR="005619AB">
              <w:rPr>
                <w:rFonts w:eastAsia="Times New Roman"/>
                <w:szCs w:val="24"/>
                <w:lang w:eastAsia="de-DE"/>
              </w:rPr>
              <w:t>of</w:t>
            </w:r>
            <w:r w:rsidR="00AB7F3C">
              <w:rPr>
                <w:rFonts w:eastAsia="Times New Roman"/>
                <w:szCs w:val="24"/>
                <w:lang w:eastAsia="de-DE"/>
              </w:rPr>
              <w:t xml:space="preserve"> the programme area are n</w:t>
            </w:r>
            <w:r w:rsidRPr="00623385">
              <w:rPr>
                <w:rFonts w:eastAsia="Times New Roman"/>
                <w:szCs w:val="24"/>
                <w:lang w:eastAsia="de-DE"/>
              </w:rPr>
              <w:t xml:space="preserve">ational parks and other protected areas </w:t>
            </w:r>
            <w:r w:rsidR="00A226AA">
              <w:rPr>
                <w:rFonts w:eastAsia="Times New Roman"/>
                <w:szCs w:val="24"/>
                <w:lang w:eastAsia="de-DE"/>
              </w:rPr>
              <w:t xml:space="preserve">(40 sites in total) </w:t>
            </w:r>
            <w:r w:rsidR="00AB7F3C">
              <w:rPr>
                <w:rFonts w:eastAsia="Times New Roman"/>
                <w:szCs w:val="24"/>
                <w:lang w:eastAsia="de-DE"/>
              </w:rPr>
              <w:t xml:space="preserve">and as such have </w:t>
            </w:r>
            <w:r w:rsidR="005619AB">
              <w:rPr>
                <w:rFonts w:eastAsia="Times New Roman"/>
                <w:szCs w:val="24"/>
                <w:lang w:eastAsia="de-DE"/>
              </w:rPr>
              <w:t>important</w:t>
            </w:r>
            <w:r w:rsidRPr="00623385">
              <w:rPr>
                <w:rFonts w:eastAsia="Times New Roman"/>
                <w:szCs w:val="24"/>
                <w:lang w:eastAsia="de-DE"/>
              </w:rPr>
              <w:t xml:space="preserve"> potential for </w:t>
            </w:r>
            <w:r w:rsidR="004972CF" w:rsidRPr="00623385">
              <w:rPr>
                <w:rFonts w:eastAsia="Times New Roman"/>
                <w:szCs w:val="24"/>
                <w:lang w:eastAsia="de-DE"/>
              </w:rPr>
              <w:t>further development of joint regional tourist offer</w:t>
            </w:r>
            <w:r w:rsidRPr="00623385">
              <w:rPr>
                <w:rFonts w:eastAsia="Times New Roman"/>
                <w:szCs w:val="24"/>
                <w:lang w:eastAsia="de-DE"/>
              </w:rPr>
              <w:t xml:space="preserve">. </w:t>
            </w:r>
            <w:r w:rsidR="009B59DF" w:rsidRPr="00623385">
              <w:rPr>
                <w:rFonts w:eastAsia="Times New Roman"/>
                <w:szCs w:val="24"/>
                <w:lang w:eastAsia="de-DE"/>
              </w:rPr>
              <w:t>However</w:t>
            </w:r>
            <w:r w:rsidR="007C09EB" w:rsidRPr="00623385">
              <w:rPr>
                <w:rFonts w:eastAsia="Times New Roman"/>
                <w:szCs w:val="24"/>
                <w:lang w:eastAsia="de-DE"/>
              </w:rPr>
              <w:t>, t</w:t>
            </w:r>
            <w:r w:rsidRPr="00623385">
              <w:rPr>
                <w:rFonts w:eastAsia="Times New Roman"/>
                <w:szCs w:val="24"/>
                <w:lang w:eastAsia="de-DE"/>
              </w:rPr>
              <w:t xml:space="preserve">he significant obstacles to </w:t>
            </w:r>
            <w:r w:rsidR="005619AB">
              <w:rPr>
                <w:rFonts w:eastAsia="Times New Roman"/>
                <w:szCs w:val="24"/>
                <w:lang w:eastAsia="de-DE"/>
              </w:rPr>
              <w:t xml:space="preserve">such </w:t>
            </w:r>
            <w:r w:rsidRPr="00623385">
              <w:rPr>
                <w:rFonts w:eastAsia="Times New Roman"/>
                <w:szCs w:val="24"/>
                <w:lang w:eastAsia="de-DE"/>
              </w:rPr>
              <w:t xml:space="preserve">development lies in the fact that the areas which have a special natural value are not </w:t>
            </w:r>
            <w:r w:rsidR="005619AB">
              <w:rPr>
                <w:rFonts w:eastAsia="Times New Roman"/>
                <w:szCs w:val="24"/>
                <w:lang w:eastAsia="de-DE"/>
              </w:rPr>
              <w:t xml:space="preserve">all </w:t>
            </w:r>
            <w:r w:rsidRPr="00623385">
              <w:rPr>
                <w:rFonts w:eastAsia="Times New Roman"/>
                <w:szCs w:val="24"/>
                <w:lang w:eastAsia="de-DE"/>
              </w:rPr>
              <w:t xml:space="preserve">yet organized or equipped to accept and offer a quality stay to a large number of guests. </w:t>
            </w:r>
            <w:r w:rsidR="005619AB">
              <w:rPr>
                <w:rFonts w:eastAsia="Times New Roman"/>
                <w:szCs w:val="24"/>
                <w:lang w:eastAsia="de-DE"/>
              </w:rPr>
              <w:t xml:space="preserve">Therefore, it is important to address this issue and to enhance the tourism infrastructure, increase the quality of marketing of cultural and natural sites, information exchange, entrepreneurship initiative, strengthen the human and administrative capacities in order to focus on sustainable tourism. Meanwhile, </w:t>
            </w:r>
            <w:r w:rsidR="0029489C" w:rsidRPr="00623385">
              <w:rPr>
                <w:rFonts w:eastAsia="Times New Roman"/>
                <w:szCs w:val="24"/>
                <w:lang w:eastAsia="de-DE"/>
              </w:rPr>
              <w:t>i</w:t>
            </w:r>
            <w:r w:rsidR="007C09EB" w:rsidRPr="00623385">
              <w:rPr>
                <w:rFonts w:eastAsia="Times New Roman"/>
                <w:szCs w:val="24"/>
                <w:lang w:eastAsia="de-DE"/>
              </w:rPr>
              <w:t>t is imp</w:t>
            </w:r>
            <w:r w:rsidR="005619AB">
              <w:rPr>
                <w:rFonts w:eastAsia="Times New Roman"/>
                <w:szCs w:val="24"/>
                <w:lang w:eastAsia="de-DE"/>
              </w:rPr>
              <w:t>ortant</w:t>
            </w:r>
            <w:r w:rsidR="007C09EB" w:rsidRPr="00623385">
              <w:rPr>
                <w:rFonts w:eastAsia="Times New Roman"/>
                <w:szCs w:val="24"/>
                <w:lang w:eastAsia="de-DE"/>
              </w:rPr>
              <w:t xml:space="preserve"> to </w:t>
            </w:r>
            <w:r w:rsidR="005619AB">
              <w:rPr>
                <w:rFonts w:eastAsia="Times New Roman"/>
                <w:szCs w:val="24"/>
                <w:lang w:eastAsia="de-DE"/>
              </w:rPr>
              <w:t xml:space="preserve">take care of </w:t>
            </w:r>
            <w:r w:rsidR="007C09EB" w:rsidRPr="00623385">
              <w:rPr>
                <w:rFonts w:eastAsia="Times New Roman"/>
                <w:szCs w:val="24"/>
                <w:lang w:eastAsia="de-DE"/>
              </w:rPr>
              <w:t xml:space="preserve">the preservation of </w:t>
            </w:r>
            <w:r w:rsidR="005619AB">
              <w:rPr>
                <w:rFonts w:eastAsia="Times New Roman"/>
                <w:szCs w:val="24"/>
                <w:lang w:eastAsia="de-DE"/>
              </w:rPr>
              <w:t xml:space="preserve">the </w:t>
            </w:r>
            <w:r w:rsidR="007C09EB" w:rsidRPr="00623385">
              <w:rPr>
                <w:rFonts w:eastAsia="Times New Roman"/>
                <w:szCs w:val="24"/>
                <w:lang w:eastAsia="de-DE"/>
              </w:rPr>
              <w:t>nature, as well as the control of traffic through the protected areas.</w:t>
            </w:r>
          </w:p>
          <w:p w:rsidR="007C09EB" w:rsidRPr="00623385" w:rsidRDefault="007C09EB" w:rsidP="00797FE3">
            <w:pPr>
              <w:spacing w:after="0"/>
              <w:rPr>
                <w:rFonts w:eastAsia="Times New Roman"/>
                <w:szCs w:val="24"/>
                <w:lang w:eastAsia="de-DE"/>
              </w:rPr>
            </w:pPr>
            <w:r w:rsidRPr="00623385">
              <w:rPr>
                <w:rFonts w:eastAsia="Times New Roman"/>
                <w:szCs w:val="24"/>
                <w:lang w:eastAsia="de-DE"/>
              </w:rPr>
              <w:t>In general, the programme area has a huge potential for the diversification of tourist offer and development of interventions of combining agricultural and food production with tourism sector services especially those targeting geographical origin of the products.</w:t>
            </w:r>
          </w:p>
          <w:p w:rsidR="002F2115" w:rsidRPr="007D3B1C" w:rsidRDefault="00C558D2" w:rsidP="00537212">
            <w:pPr>
              <w:rPr>
                <w:rFonts w:ascii="Arial" w:hAnsi="Arial" w:cs="Arial"/>
                <w:sz w:val="22"/>
                <w:szCs w:val="22"/>
              </w:rPr>
            </w:pPr>
            <w:r w:rsidRPr="00623385">
              <w:rPr>
                <w:rFonts w:eastAsia="Times New Roman"/>
                <w:szCs w:val="24"/>
                <w:lang w:eastAsia="de-DE"/>
              </w:rPr>
              <w:t xml:space="preserve">Cultural tourism can be developed in some urban centres given the rich cultural heritage and the great variety of cultural events organized throughout the year. </w:t>
            </w:r>
            <w:r w:rsidR="00C13F62" w:rsidRPr="00623385">
              <w:rPr>
                <w:rFonts w:eastAsia="Times New Roman"/>
                <w:szCs w:val="24"/>
                <w:lang w:eastAsia="de-DE"/>
              </w:rPr>
              <w:t xml:space="preserve">Richness in cultural heritage </w:t>
            </w:r>
            <w:r w:rsidR="004D6578">
              <w:rPr>
                <w:rFonts w:eastAsia="Times New Roman"/>
                <w:szCs w:val="24"/>
                <w:lang w:eastAsia="de-DE"/>
              </w:rPr>
              <w:t>is characterised</w:t>
            </w:r>
            <w:r w:rsidR="00C13F62" w:rsidRPr="00623385">
              <w:rPr>
                <w:rFonts w:eastAsia="Times New Roman"/>
                <w:szCs w:val="24"/>
                <w:lang w:eastAsia="de-DE"/>
              </w:rPr>
              <w:t xml:space="preserve"> </w:t>
            </w:r>
            <w:r w:rsidR="001B3A9F">
              <w:rPr>
                <w:rFonts w:eastAsia="Times New Roman"/>
                <w:szCs w:val="24"/>
                <w:lang w:eastAsia="de-DE"/>
              </w:rPr>
              <w:t xml:space="preserve">by </w:t>
            </w:r>
            <w:r w:rsidR="00C13F62" w:rsidRPr="00623385">
              <w:rPr>
                <w:rFonts w:eastAsia="Times New Roman"/>
                <w:szCs w:val="24"/>
                <w:lang w:eastAsia="de-DE"/>
              </w:rPr>
              <w:t xml:space="preserve">numerous monuments many of which </w:t>
            </w:r>
            <w:r w:rsidR="00E27547">
              <w:rPr>
                <w:rFonts w:eastAsia="Times New Roman"/>
                <w:szCs w:val="24"/>
                <w:lang w:eastAsia="de-DE"/>
              </w:rPr>
              <w:t xml:space="preserve">are enlisted </w:t>
            </w:r>
            <w:r w:rsidR="00C13F62" w:rsidRPr="00623385">
              <w:rPr>
                <w:rFonts w:eastAsia="Times New Roman"/>
                <w:szCs w:val="24"/>
                <w:lang w:eastAsia="de-DE"/>
              </w:rPr>
              <w:t xml:space="preserve">on the UNESCO World Heritage List </w:t>
            </w:r>
            <w:r w:rsidR="004B1E7B">
              <w:rPr>
                <w:rFonts w:eastAsia="Times New Roman"/>
                <w:szCs w:val="24"/>
                <w:lang w:eastAsia="de-DE"/>
              </w:rPr>
              <w:t>(8 sites in total)</w:t>
            </w:r>
            <w:r w:rsidR="009B6212">
              <w:rPr>
                <w:rFonts w:eastAsia="Times New Roman"/>
                <w:szCs w:val="24"/>
                <w:lang w:eastAsia="de-DE"/>
              </w:rPr>
              <w:t>.</w:t>
            </w:r>
            <w:r w:rsidR="004B1E7B">
              <w:rPr>
                <w:rFonts w:eastAsia="Times New Roman"/>
                <w:szCs w:val="24"/>
                <w:lang w:eastAsia="de-DE"/>
              </w:rPr>
              <w:t xml:space="preserve"> </w:t>
            </w:r>
            <w:r w:rsidRPr="00623385">
              <w:rPr>
                <w:rFonts w:eastAsia="Times New Roman"/>
                <w:szCs w:val="24"/>
                <w:lang w:eastAsia="de-DE"/>
              </w:rPr>
              <w:t xml:space="preserve">However, the lack of resources for preserving this heritage for future generation remains a source of concern. </w:t>
            </w:r>
            <w:r w:rsidR="001B3A9F">
              <w:rPr>
                <w:rFonts w:eastAsia="Times New Roman"/>
                <w:szCs w:val="24"/>
                <w:lang w:eastAsia="de-DE"/>
              </w:rPr>
              <w:t xml:space="preserve">Therefore, this Programme can address this issue by focusing on sustainable management of cultural and natural assets. Furthermore, the cultural </w:t>
            </w:r>
            <w:r w:rsidR="002F2115" w:rsidRPr="002F2115">
              <w:rPr>
                <w:rFonts w:eastAsia="Times New Roman"/>
                <w:szCs w:val="24"/>
                <w:lang w:eastAsia="de-DE"/>
              </w:rPr>
              <w:t xml:space="preserve">heritage represents </w:t>
            </w:r>
            <w:r w:rsidR="001B3A9F">
              <w:rPr>
                <w:rFonts w:eastAsia="Times New Roman"/>
                <w:szCs w:val="24"/>
                <w:lang w:eastAsia="de-DE"/>
              </w:rPr>
              <w:t>the</w:t>
            </w:r>
            <w:r w:rsidR="002F2115" w:rsidRPr="002F2115">
              <w:rPr>
                <w:rFonts w:eastAsia="Times New Roman"/>
                <w:szCs w:val="24"/>
                <w:lang w:eastAsia="de-DE"/>
              </w:rPr>
              <w:t xml:space="preserve"> important asset </w:t>
            </w:r>
            <w:r w:rsidR="001B3A9F">
              <w:rPr>
                <w:rFonts w:eastAsia="Times New Roman"/>
                <w:szCs w:val="24"/>
                <w:lang w:eastAsia="de-DE"/>
              </w:rPr>
              <w:t xml:space="preserve">for </w:t>
            </w:r>
            <w:r w:rsidR="002F2115" w:rsidRPr="002F2115">
              <w:rPr>
                <w:rFonts w:eastAsia="Times New Roman"/>
                <w:szCs w:val="24"/>
                <w:lang w:eastAsia="de-DE"/>
              </w:rPr>
              <w:t xml:space="preserve">the development of tourism by including </w:t>
            </w:r>
            <w:r w:rsidR="001B3A9F">
              <w:rPr>
                <w:rFonts w:eastAsia="Times New Roman"/>
                <w:szCs w:val="24"/>
                <w:lang w:eastAsia="de-DE"/>
              </w:rPr>
              <w:t xml:space="preserve">the </w:t>
            </w:r>
            <w:r w:rsidR="002F2115" w:rsidRPr="002F2115">
              <w:rPr>
                <w:rFonts w:eastAsia="Times New Roman"/>
                <w:szCs w:val="24"/>
                <w:lang w:eastAsia="de-DE"/>
              </w:rPr>
              <w:t xml:space="preserve">cultural activities </w:t>
            </w:r>
            <w:r w:rsidR="001B3A9F">
              <w:rPr>
                <w:rFonts w:eastAsia="Times New Roman"/>
                <w:szCs w:val="24"/>
                <w:lang w:eastAsia="de-DE"/>
              </w:rPr>
              <w:t xml:space="preserve">and sites </w:t>
            </w:r>
            <w:r w:rsidR="002F2115" w:rsidRPr="002F2115">
              <w:rPr>
                <w:rFonts w:eastAsia="Times New Roman"/>
                <w:szCs w:val="24"/>
                <w:lang w:eastAsia="de-DE"/>
              </w:rPr>
              <w:t xml:space="preserve">in </w:t>
            </w:r>
            <w:r w:rsidR="001B3A9F">
              <w:rPr>
                <w:rFonts w:eastAsia="Times New Roman"/>
                <w:szCs w:val="24"/>
                <w:lang w:eastAsia="de-DE"/>
              </w:rPr>
              <w:t xml:space="preserve">the cross-border </w:t>
            </w:r>
            <w:r w:rsidR="002F2115" w:rsidRPr="002F2115">
              <w:rPr>
                <w:rFonts w:eastAsia="Times New Roman"/>
                <w:szCs w:val="24"/>
                <w:lang w:eastAsia="de-DE"/>
              </w:rPr>
              <w:t>tourism offer</w:t>
            </w:r>
            <w:r w:rsidR="002F2115">
              <w:rPr>
                <w:rFonts w:eastAsia="Times New Roman"/>
                <w:szCs w:val="24"/>
                <w:lang w:eastAsia="de-DE"/>
              </w:rPr>
              <w:t>.</w:t>
            </w:r>
            <w:r w:rsidR="002F2115" w:rsidRPr="002F2115">
              <w:rPr>
                <w:rFonts w:eastAsia="Times New Roman"/>
                <w:szCs w:val="24"/>
                <w:lang w:eastAsia="de-DE"/>
              </w:rPr>
              <w:t xml:space="preserve"> </w:t>
            </w:r>
            <w:r w:rsidR="007D3B1C">
              <w:rPr>
                <w:rFonts w:eastAsia="Times New Roman"/>
                <w:szCs w:val="24"/>
                <w:lang w:eastAsia="de-DE"/>
              </w:rPr>
              <w:t xml:space="preserve">In that respect, </w:t>
            </w:r>
            <w:r w:rsidR="007D3B1C" w:rsidRPr="007D3B1C">
              <w:rPr>
                <w:rFonts w:eastAsia="Times New Roman"/>
                <w:szCs w:val="24"/>
                <w:lang w:eastAsia="de-DE"/>
              </w:rPr>
              <w:t>there is an opportunity for this programme to address the programme area needs and challenges described above by providing financing opportunities for strengthening, diversifying and integrating the cross-border tourism offer as well as on focusing on sustainable management of existing cultural and natural assets thus contributing to the setting up the sustainable tourism sector as the important driver of the programme area economy development.</w:t>
            </w:r>
            <w:r w:rsidR="007D3B1C" w:rsidRPr="00C95BC8">
              <w:rPr>
                <w:rFonts w:ascii="Arial" w:hAnsi="Arial" w:cs="Arial"/>
                <w:sz w:val="22"/>
                <w:szCs w:val="22"/>
              </w:rPr>
              <w:t xml:space="preserve"> </w:t>
            </w:r>
          </w:p>
          <w:p w:rsidR="00B25858" w:rsidRPr="00C31776" w:rsidRDefault="00B25858" w:rsidP="00797FE3">
            <w:pPr>
              <w:spacing w:after="0"/>
              <w:rPr>
                <w:rFonts w:eastAsia="Times New Roman"/>
                <w:i/>
                <w:color w:val="548DD4" w:themeColor="text2" w:themeTint="99"/>
                <w:szCs w:val="24"/>
                <w:lang w:eastAsia="de-DE"/>
              </w:rPr>
            </w:pPr>
            <w:r w:rsidRPr="000E584D">
              <w:rPr>
                <w:rFonts w:eastAsia="Times New Roman"/>
                <w:i/>
                <w:color w:val="548DD4" w:themeColor="text2" w:themeTint="99"/>
                <w:szCs w:val="24"/>
                <w:lang w:eastAsia="de-DE"/>
              </w:rPr>
              <w:t>Competitiveness</w:t>
            </w:r>
            <w:r w:rsidR="0037732C">
              <w:rPr>
                <w:rFonts w:eastAsia="Times New Roman"/>
                <w:i/>
                <w:color w:val="548DD4" w:themeColor="text2" w:themeTint="99"/>
                <w:szCs w:val="24"/>
                <w:lang w:eastAsia="de-DE"/>
              </w:rPr>
              <w:t xml:space="preserve"> and</w:t>
            </w:r>
            <w:r w:rsidRPr="000E584D">
              <w:rPr>
                <w:rFonts w:eastAsia="Times New Roman"/>
                <w:i/>
                <w:color w:val="548DD4" w:themeColor="text2" w:themeTint="99"/>
                <w:szCs w:val="24"/>
                <w:lang w:eastAsia="de-DE"/>
              </w:rPr>
              <w:t xml:space="preserve"> business </w:t>
            </w:r>
            <w:r w:rsidR="00741A7B">
              <w:rPr>
                <w:rFonts w:eastAsia="Times New Roman"/>
                <w:i/>
                <w:color w:val="548DD4" w:themeColor="text2" w:themeTint="99"/>
                <w:szCs w:val="24"/>
                <w:lang w:eastAsia="de-DE"/>
              </w:rPr>
              <w:t>environment</w:t>
            </w:r>
            <w:r w:rsidR="0037732C">
              <w:rPr>
                <w:rFonts w:eastAsia="Times New Roman"/>
                <w:i/>
                <w:color w:val="548DD4" w:themeColor="text2" w:themeTint="99"/>
                <w:szCs w:val="24"/>
                <w:lang w:eastAsia="de-DE"/>
              </w:rPr>
              <w:t xml:space="preserve"> development</w:t>
            </w:r>
          </w:p>
          <w:p w:rsidR="003303E7" w:rsidRDefault="0088642F" w:rsidP="00797FE3">
            <w:pPr>
              <w:spacing w:after="0"/>
              <w:rPr>
                <w:rFonts w:eastAsia="Times New Roman"/>
                <w:szCs w:val="24"/>
                <w:lang w:eastAsia="de-DE"/>
              </w:rPr>
            </w:pPr>
            <w:r w:rsidRPr="00C31776">
              <w:rPr>
                <w:rFonts w:eastAsia="Times New Roman"/>
                <w:szCs w:val="24"/>
                <w:lang w:eastAsia="de-DE"/>
              </w:rPr>
              <w:t xml:space="preserve">The development of </w:t>
            </w:r>
            <w:r w:rsidR="00A42E02">
              <w:rPr>
                <w:rFonts w:eastAsia="Times New Roman"/>
                <w:szCs w:val="24"/>
                <w:lang w:eastAsia="de-DE"/>
              </w:rPr>
              <w:t xml:space="preserve">competitiveness and business environment </w:t>
            </w:r>
            <w:r w:rsidRPr="00C31776">
              <w:rPr>
                <w:rFonts w:eastAsia="Times New Roman"/>
                <w:szCs w:val="24"/>
                <w:lang w:eastAsia="de-DE"/>
              </w:rPr>
              <w:t xml:space="preserve">in </w:t>
            </w:r>
            <w:r w:rsidR="00A42E02">
              <w:rPr>
                <w:rFonts w:eastAsia="Times New Roman"/>
                <w:szCs w:val="24"/>
                <w:lang w:eastAsia="de-DE"/>
              </w:rPr>
              <w:t xml:space="preserve">the participating </w:t>
            </w:r>
            <w:r w:rsidRPr="00C31776">
              <w:rPr>
                <w:rFonts w:eastAsia="Times New Roman"/>
                <w:szCs w:val="24"/>
                <w:lang w:eastAsia="de-DE"/>
              </w:rPr>
              <w:lastRenderedPageBreak/>
              <w:t xml:space="preserve">countries and therefore in </w:t>
            </w:r>
            <w:r w:rsidR="00A42E02">
              <w:rPr>
                <w:rFonts w:eastAsia="Times New Roman"/>
                <w:szCs w:val="24"/>
                <w:lang w:eastAsia="de-DE"/>
              </w:rPr>
              <w:t xml:space="preserve">the </w:t>
            </w:r>
            <w:r w:rsidRPr="00C31776">
              <w:rPr>
                <w:rFonts w:eastAsia="Times New Roman"/>
                <w:szCs w:val="24"/>
                <w:lang w:eastAsia="de-DE"/>
              </w:rPr>
              <w:t xml:space="preserve">programme area </w:t>
            </w:r>
            <w:r w:rsidR="00A42E02">
              <w:rPr>
                <w:rFonts w:eastAsia="Times New Roman"/>
                <w:szCs w:val="24"/>
                <w:lang w:eastAsia="de-DE"/>
              </w:rPr>
              <w:t xml:space="preserve">is seen as significant </w:t>
            </w:r>
            <w:r w:rsidRPr="00C31776">
              <w:rPr>
                <w:rFonts w:eastAsia="Times New Roman"/>
                <w:szCs w:val="24"/>
                <w:lang w:eastAsia="de-DE"/>
              </w:rPr>
              <w:t>contribut</w:t>
            </w:r>
            <w:r w:rsidR="00A42E02">
              <w:rPr>
                <w:rFonts w:eastAsia="Times New Roman"/>
                <w:szCs w:val="24"/>
                <w:lang w:eastAsia="de-DE"/>
              </w:rPr>
              <w:t>or</w:t>
            </w:r>
            <w:r w:rsidRPr="00C31776">
              <w:rPr>
                <w:rFonts w:eastAsia="Times New Roman"/>
                <w:szCs w:val="24"/>
                <w:lang w:eastAsia="de-DE"/>
              </w:rPr>
              <w:t xml:space="preserve"> to the increase in the gross domestic product, creation of new jobs</w:t>
            </w:r>
            <w:r w:rsidR="003303E7">
              <w:rPr>
                <w:rFonts w:eastAsia="Times New Roman"/>
                <w:szCs w:val="24"/>
                <w:lang w:eastAsia="de-DE"/>
              </w:rPr>
              <w:t xml:space="preserve">, </w:t>
            </w:r>
            <w:r w:rsidRPr="00C31776">
              <w:rPr>
                <w:rFonts w:eastAsia="Times New Roman"/>
                <w:szCs w:val="24"/>
                <w:lang w:eastAsia="de-DE"/>
              </w:rPr>
              <w:t xml:space="preserve">reduction of the unemployment rate and </w:t>
            </w:r>
            <w:r w:rsidR="003303E7">
              <w:rPr>
                <w:rFonts w:eastAsia="Times New Roman"/>
                <w:szCs w:val="24"/>
                <w:lang w:eastAsia="de-DE"/>
              </w:rPr>
              <w:t xml:space="preserve">increase in </w:t>
            </w:r>
            <w:r w:rsidRPr="00C31776">
              <w:rPr>
                <w:rFonts w:eastAsia="Times New Roman"/>
                <w:szCs w:val="24"/>
                <w:lang w:eastAsia="de-DE"/>
              </w:rPr>
              <w:t xml:space="preserve">export </w:t>
            </w:r>
            <w:r w:rsidR="003303E7">
              <w:rPr>
                <w:rFonts w:eastAsia="Times New Roman"/>
                <w:szCs w:val="24"/>
                <w:lang w:eastAsia="de-DE"/>
              </w:rPr>
              <w:t xml:space="preserve">and </w:t>
            </w:r>
            <w:r w:rsidRPr="00C31776">
              <w:rPr>
                <w:rFonts w:eastAsia="Times New Roman"/>
                <w:szCs w:val="24"/>
                <w:lang w:eastAsia="de-DE"/>
              </w:rPr>
              <w:t xml:space="preserve">competitiveness of the </w:t>
            </w:r>
            <w:r w:rsidR="003303E7">
              <w:rPr>
                <w:rFonts w:eastAsia="Times New Roman"/>
                <w:szCs w:val="24"/>
                <w:lang w:eastAsia="de-DE"/>
              </w:rPr>
              <w:t xml:space="preserve">programme area </w:t>
            </w:r>
            <w:r w:rsidRPr="00C31776">
              <w:rPr>
                <w:rFonts w:eastAsia="Times New Roman"/>
                <w:szCs w:val="24"/>
                <w:lang w:eastAsia="de-DE"/>
              </w:rPr>
              <w:t xml:space="preserve">economy. </w:t>
            </w:r>
          </w:p>
          <w:p w:rsidR="0088642F" w:rsidRPr="00C31776" w:rsidRDefault="00487D18" w:rsidP="00797FE3">
            <w:pPr>
              <w:spacing w:after="0"/>
              <w:rPr>
                <w:rFonts w:eastAsia="Times New Roman"/>
                <w:szCs w:val="24"/>
                <w:lang w:eastAsia="de-DE"/>
              </w:rPr>
            </w:pPr>
            <w:r>
              <w:rPr>
                <w:rFonts w:eastAsia="Times New Roman"/>
                <w:szCs w:val="24"/>
                <w:lang w:eastAsia="de-DE"/>
              </w:rPr>
              <w:t>In total, t</w:t>
            </w:r>
            <w:r w:rsidR="0066337C" w:rsidRPr="00C31776">
              <w:rPr>
                <w:rFonts w:eastAsia="Times New Roman"/>
                <w:szCs w:val="24"/>
                <w:lang w:eastAsia="de-DE"/>
              </w:rPr>
              <w:t xml:space="preserve">here are </w:t>
            </w:r>
            <w:r w:rsidR="002C3CF3" w:rsidRPr="00C31776">
              <w:rPr>
                <w:rFonts w:eastAsia="Times New Roman"/>
                <w:szCs w:val="24"/>
                <w:lang w:eastAsia="de-DE"/>
              </w:rPr>
              <w:t>more than 150.000</w:t>
            </w:r>
            <w:r w:rsidR="0066337C" w:rsidRPr="00C31776">
              <w:rPr>
                <w:rFonts w:eastAsia="Times New Roman"/>
                <w:szCs w:val="24"/>
                <w:lang w:eastAsia="de-DE"/>
              </w:rPr>
              <w:t xml:space="preserve"> SME</w:t>
            </w:r>
            <w:r w:rsidR="002C3CF3" w:rsidRPr="00C31776">
              <w:rPr>
                <w:rFonts w:eastAsia="Times New Roman"/>
                <w:szCs w:val="24"/>
                <w:lang w:eastAsia="de-DE"/>
              </w:rPr>
              <w:t xml:space="preserve">s in the programme area. </w:t>
            </w:r>
            <w:r w:rsidR="00BB5AFD" w:rsidRPr="00C31776">
              <w:rPr>
                <w:rFonts w:eastAsia="Times New Roman"/>
                <w:szCs w:val="24"/>
                <w:lang w:eastAsia="de-DE"/>
              </w:rPr>
              <w:t xml:space="preserve">This </w:t>
            </w:r>
            <w:r w:rsidR="003303E7">
              <w:rPr>
                <w:rFonts w:eastAsia="Times New Roman"/>
                <w:szCs w:val="24"/>
                <w:lang w:eastAsia="de-DE"/>
              </w:rPr>
              <w:t xml:space="preserve">number represents </w:t>
            </w:r>
            <w:r w:rsidR="00BB5AFD" w:rsidRPr="00C31776">
              <w:rPr>
                <w:rFonts w:eastAsia="Times New Roman"/>
                <w:szCs w:val="24"/>
                <w:lang w:eastAsia="de-DE"/>
              </w:rPr>
              <w:t xml:space="preserve">the highest percentage </w:t>
            </w:r>
            <w:r w:rsidR="003303E7">
              <w:rPr>
                <w:rFonts w:eastAsia="Times New Roman"/>
                <w:szCs w:val="24"/>
                <w:lang w:eastAsia="de-DE"/>
              </w:rPr>
              <w:t xml:space="preserve">out </w:t>
            </w:r>
            <w:r w:rsidR="00BB5AFD" w:rsidRPr="00C31776">
              <w:rPr>
                <w:rFonts w:eastAsia="Times New Roman"/>
                <w:szCs w:val="24"/>
                <w:lang w:eastAsia="de-DE"/>
              </w:rPr>
              <w:t xml:space="preserve">of total </w:t>
            </w:r>
            <w:r w:rsidR="003303E7">
              <w:rPr>
                <w:rFonts w:eastAsia="Times New Roman"/>
                <w:szCs w:val="24"/>
                <w:lang w:eastAsia="de-DE"/>
              </w:rPr>
              <w:t xml:space="preserve">number of </w:t>
            </w:r>
            <w:r w:rsidR="00BB5AFD" w:rsidRPr="00C31776">
              <w:rPr>
                <w:rFonts w:eastAsia="Times New Roman"/>
                <w:szCs w:val="24"/>
                <w:lang w:eastAsia="de-DE"/>
              </w:rPr>
              <w:t xml:space="preserve">enterprises existing in all three countries. </w:t>
            </w:r>
            <w:r w:rsidR="003303E7">
              <w:rPr>
                <w:rFonts w:eastAsia="Times New Roman"/>
                <w:szCs w:val="24"/>
                <w:lang w:eastAsia="de-DE"/>
              </w:rPr>
              <w:t>Furthermore, o</w:t>
            </w:r>
            <w:r w:rsidR="0088642F" w:rsidRPr="00C31776">
              <w:rPr>
                <w:rFonts w:eastAsia="Times New Roman"/>
                <w:szCs w:val="24"/>
                <w:lang w:eastAsia="de-DE"/>
              </w:rPr>
              <w:t>ut of total labo</w:t>
            </w:r>
            <w:r w:rsidR="00CA7CAF" w:rsidRPr="00C31776">
              <w:rPr>
                <w:rFonts w:eastAsia="Times New Roman"/>
                <w:szCs w:val="24"/>
                <w:lang w:eastAsia="de-DE"/>
              </w:rPr>
              <w:t>u</w:t>
            </w:r>
            <w:r w:rsidR="0088642F" w:rsidRPr="00C31776">
              <w:rPr>
                <w:rFonts w:eastAsia="Times New Roman"/>
                <w:szCs w:val="24"/>
                <w:lang w:eastAsia="de-DE"/>
              </w:rPr>
              <w:t>r force</w:t>
            </w:r>
            <w:r w:rsidR="00FC1451" w:rsidRPr="00C31776">
              <w:rPr>
                <w:rFonts w:eastAsia="Times New Roman"/>
                <w:szCs w:val="24"/>
                <w:lang w:eastAsia="de-DE"/>
              </w:rPr>
              <w:t>,</w:t>
            </w:r>
            <w:r w:rsidR="0088642F" w:rsidRPr="00C31776">
              <w:rPr>
                <w:rFonts w:eastAsia="Times New Roman"/>
                <w:szCs w:val="24"/>
                <w:lang w:eastAsia="de-DE"/>
              </w:rPr>
              <w:t xml:space="preserve"> the highest percentage</w:t>
            </w:r>
            <w:r w:rsidR="0066622E">
              <w:rPr>
                <w:rFonts w:eastAsia="Times New Roman"/>
                <w:szCs w:val="24"/>
                <w:lang w:eastAsia="de-DE"/>
              </w:rPr>
              <w:t xml:space="preserve"> </w:t>
            </w:r>
            <w:r w:rsidR="0088642F" w:rsidRPr="00C31776">
              <w:rPr>
                <w:rFonts w:eastAsia="Times New Roman"/>
                <w:szCs w:val="24"/>
                <w:lang w:eastAsia="de-DE"/>
              </w:rPr>
              <w:t xml:space="preserve">of employees </w:t>
            </w:r>
            <w:r w:rsidR="0066622E">
              <w:rPr>
                <w:rFonts w:eastAsia="Times New Roman"/>
                <w:szCs w:val="24"/>
                <w:lang w:eastAsia="de-DE"/>
              </w:rPr>
              <w:t>in all three countries</w:t>
            </w:r>
            <w:r w:rsidR="0066622E" w:rsidRPr="00C31776">
              <w:rPr>
                <w:rFonts w:eastAsia="Times New Roman"/>
                <w:szCs w:val="24"/>
                <w:lang w:eastAsia="de-DE"/>
              </w:rPr>
              <w:t xml:space="preserve"> </w:t>
            </w:r>
            <w:r w:rsidR="0088642F" w:rsidRPr="00C31776">
              <w:rPr>
                <w:rFonts w:eastAsia="Times New Roman"/>
                <w:szCs w:val="24"/>
                <w:lang w:eastAsia="de-DE"/>
              </w:rPr>
              <w:t xml:space="preserve">is in </w:t>
            </w:r>
            <w:r w:rsidR="003C31AB">
              <w:rPr>
                <w:rFonts w:eastAsia="Times New Roman"/>
                <w:szCs w:val="24"/>
                <w:lang w:eastAsia="de-DE"/>
              </w:rPr>
              <w:t xml:space="preserve">the </w:t>
            </w:r>
            <w:r w:rsidR="0088642F" w:rsidRPr="00C31776">
              <w:rPr>
                <w:rFonts w:eastAsia="Times New Roman"/>
                <w:szCs w:val="24"/>
                <w:lang w:eastAsia="de-DE"/>
              </w:rPr>
              <w:t>SMEs</w:t>
            </w:r>
            <w:r w:rsidR="00BB5AFD" w:rsidRPr="00C31776">
              <w:rPr>
                <w:rFonts w:eastAsia="Times New Roman"/>
                <w:szCs w:val="24"/>
                <w:lang w:eastAsia="de-DE"/>
              </w:rPr>
              <w:t xml:space="preserve">. </w:t>
            </w:r>
            <w:r w:rsidR="004F2CA3">
              <w:rPr>
                <w:rFonts w:eastAsia="Times New Roman"/>
                <w:szCs w:val="24"/>
                <w:lang w:eastAsia="de-DE"/>
              </w:rPr>
              <w:t>In Croatia</w:t>
            </w:r>
            <w:r w:rsidR="003303E7">
              <w:rPr>
                <w:rFonts w:eastAsia="Times New Roman"/>
                <w:szCs w:val="24"/>
                <w:lang w:eastAsia="de-DE"/>
              </w:rPr>
              <w:t>,</w:t>
            </w:r>
            <w:r w:rsidR="004F2CA3">
              <w:rPr>
                <w:rFonts w:eastAsia="Times New Roman"/>
                <w:szCs w:val="24"/>
                <w:lang w:eastAsia="de-DE"/>
              </w:rPr>
              <w:t xml:space="preserve"> </w:t>
            </w:r>
            <w:r w:rsidR="004F2CA3" w:rsidRPr="004F2CA3">
              <w:rPr>
                <w:rFonts w:eastAsia="Times New Roman"/>
                <w:szCs w:val="24"/>
                <w:lang w:eastAsia="de-DE"/>
              </w:rPr>
              <w:t xml:space="preserve">SMEs employed 64,2% of total </w:t>
            </w:r>
            <w:r w:rsidR="003303E7" w:rsidRPr="004F2CA3">
              <w:rPr>
                <w:rFonts w:eastAsia="Times New Roman"/>
                <w:szCs w:val="24"/>
                <w:lang w:eastAsia="de-DE"/>
              </w:rPr>
              <w:t>labour</w:t>
            </w:r>
            <w:r w:rsidR="004F2CA3" w:rsidRPr="004F2CA3">
              <w:rPr>
                <w:rFonts w:eastAsia="Times New Roman"/>
                <w:szCs w:val="24"/>
                <w:lang w:eastAsia="de-DE"/>
              </w:rPr>
              <w:t xml:space="preserve"> force</w:t>
            </w:r>
            <w:r w:rsidR="003303E7">
              <w:rPr>
                <w:rFonts w:eastAsia="Times New Roman"/>
                <w:szCs w:val="24"/>
                <w:lang w:eastAsia="de-DE"/>
              </w:rPr>
              <w:t xml:space="preserve"> i</w:t>
            </w:r>
            <w:r w:rsidR="003303E7" w:rsidRPr="004F2CA3">
              <w:rPr>
                <w:rFonts w:eastAsia="Times New Roman"/>
                <w:szCs w:val="24"/>
                <w:lang w:eastAsia="de-DE"/>
              </w:rPr>
              <w:t>n 2013</w:t>
            </w:r>
            <w:r w:rsidR="004F2CA3">
              <w:rPr>
                <w:rFonts w:eastAsia="Times New Roman"/>
                <w:szCs w:val="24"/>
                <w:lang w:eastAsia="de-DE"/>
              </w:rPr>
              <w:t xml:space="preserve">, in Bosnia and Herzegovina </w:t>
            </w:r>
            <w:r w:rsidR="0066622E">
              <w:rPr>
                <w:rFonts w:eastAsia="Times New Roman"/>
                <w:szCs w:val="24"/>
                <w:lang w:eastAsia="de-DE"/>
              </w:rPr>
              <w:t xml:space="preserve">this rate was </w:t>
            </w:r>
            <w:r w:rsidR="004F2CA3" w:rsidRPr="004F2CA3">
              <w:rPr>
                <w:rFonts w:eastAsia="Times New Roman"/>
                <w:szCs w:val="24"/>
                <w:lang w:eastAsia="de-DE"/>
              </w:rPr>
              <w:t xml:space="preserve">75.83% </w:t>
            </w:r>
            <w:r w:rsidR="003303E7">
              <w:rPr>
                <w:rFonts w:eastAsia="Times New Roman"/>
                <w:szCs w:val="24"/>
                <w:lang w:eastAsia="de-DE"/>
              </w:rPr>
              <w:t xml:space="preserve">in 2012 </w:t>
            </w:r>
            <w:r w:rsidR="004F2CA3">
              <w:rPr>
                <w:rFonts w:eastAsia="Times New Roman"/>
                <w:szCs w:val="24"/>
                <w:lang w:eastAsia="de-DE"/>
              </w:rPr>
              <w:t xml:space="preserve">and in Montenegro </w:t>
            </w:r>
            <w:r w:rsidR="003303E7">
              <w:rPr>
                <w:rFonts w:eastAsia="Times New Roman"/>
                <w:szCs w:val="24"/>
                <w:lang w:eastAsia="de-DE"/>
              </w:rPr>
              <w:t xml:space="preserve">it was </w:t>
            </w:r>
            <w:r w:rsidR="004F2CA3" w:rsidRPr="004F2CA3">
              <w:rPr>
                <w:rFonts w:eastAsia="Times New Roman"/>
                <w:szCs w:val="24"/>
                <w:lang w:eastAsia="de-DE"/>
              </w:rPr>
              <w:t xml:space="preserve">67% </w:t>
            </w:r>
            <w:r w:rsidR="004F2CA3">
              <w:rPr>
                <w:rFonts w:eastAsia="Times New Roman"/>
                <w:szCs w:val="24"/>
                <w:lang w:eastAsia="de-DE"/>
              </w:rPr>
              <w:t>in 2012.</w:t>
            </w:r>
            <w:r w:rsidR="004F2CA3" w:rsidRPr="004F2CA3">
              <w:rPr>
                <w:rFonts w:eastAsia="Times New Roman"/>
                <w:szCs w:val="24"/>
                <w:lang w:eastAsia="de-DE"/>
              </w:rPr>
              <w:t xml:space="preserve"> </w:t>
            </w:r>
            <w:r w:rsidR="00BB5AFD" w:rsidRPr="00C31776">
              <w:rPr>
                <w:rFonts w:eastAsia="Times New Roman"/>
                <w:szCs w:val="24"/>
                <w:lang w:eastAsia="de-DE"/>
              </w:rPr>
              <w:t>SME</w:t>
            </w:r>
            <w:r w:rsidR="0066622E">
              <w:rPr>
                <w:rFonts w:eastAsia="Times New Roman"/>
                <w:szCs w:val="24"/>
                <w:lang w:eastAsia="de-DE"/>
              </w:rPr>
              <w:t>s</w:t>
            </w:r>
            <w:r w:rsidR="00BB5AFD" w:rsidRPr="00C31776">
              <w:rPr>
                <w:rFonts w:eastAsia="Times New Roman"/>
                <w:szCs w:val="24"/>
                <w:lang w:eastAsia="de-DE"/>
              </w:rPr>
              <w:t xml:space="preserve"> do employ significant number of population however </w:t>
            </w:r>
            <w:r w:rsidR="00FC1451" w:rsidRPr="00C31776">
              <w:rPr>
                <w:rFonts w:eastAsia="Times New Roman"/>
                <w:szCs w:val="24"/>
                <w:lang w:eastAsia="de-DE"/>
              </w:rPr>
              <w:t>there</w:t>
            </w:r>
            <w:r w:rsidR="00BB5AFD" w:rsidRPr="00C31776">
              <w:rPr>
                <w:rFonts w:eastAsia="Times New Roman"/>
                <w:szCs w:val="24"/>
                <w:lang w:eastAsia="de-DE"/>
              </w:rPr>
              <w:t xml:space="preserve"> is </w:t>
            </w:r>
            <w:r w:rsidR="003C31AB">
              <w:rPr>
                <w:rFonts w:eastAsia="Times New Roman"/>
                <w:szCs w:val="24"/>
                <w:lang w:eastAsia="de-DE"/>
              </w:rPr>
              <w:t xml:space="preserve">a need to </w:t>
            </w:r>
            <w:r w:rsidR="00BB5AFD" w:rsidRPr="00C31776">
              <w:rPr>
                <w:rFonts w:eastAsia="Times New Roman"/>
                <w:szCs w:val="24"/>
                <w:lang w:eastAsia="de-DE"/>
              </w:rPr>
              <w:t xml:space="preserve">provide SMEs with the </w:t>
            </w:r>
            <w:r w:rsidR="003C31AB">
              <w:rPr>
                <w:rFonts w:eastAsia="Times New Roman"/>
                <w:szCs w:val="24"/>
                <w:lang w:eastAsia="de-DE"/>
              </w:rPr>
              <w:t xml:space="preserve">stronger </w:t>
            </w:r>
            <w:r w:rsidR="00BB5AFD" w:rsidRPr="00C31776">
              <w:rPr>
                <w:rFonts w:eastAsia="Times New Roman"/>
                <w:szCs w:val="24"/>
                <w:lang w:eastAsia="de-DE"/>
              </w:rPr>
              <w:t xml:space="preserve">support in order to </w:t>
            </w:r>
            <w:r w:rsidR="003C31AB">
              <w:rPr>
                <w:rFonts w:eastAsia="Times New Roman"/>
                <w:szCs w:val="24"/>
                <w:lang w:eastAsia="de-DE"/>
              </w:rPr>
              <w:t>enhance their capacities in various business processes aspects e.g marketing, developing and or implementing new services/products, implementing innovative solutions in business organisation and processes, etc</w:t>
            </w:r>
            <w:r w:rsidR="00BB5AFD" w:rsidRPr="00C31776">
              <w:rPr>
                <w:rFonts w:eastAsia="Times New Roman"/>
                <w:szCs w:val="24"/>
                <w:lang w:eastAsia="de-DE"/>
              </w:rPr>
              <w:t>.</w:t>
            </w:r>
            <w:r w:rsidR="003C31AB">
              <w:rPr>
                <w:rFonts w:eastAsia="Times New Roman"/>
                <w:szCs w:val="24"/>
                <w:lang w:eastAsia="de-DE"/>
              </w:rPr>
              <w:t xml:space="preserve"> Furthermore</w:t>
            </w:r>
            <w:r w:rsidR="003303E7">
              <w:rPr>
                <w:rFonts w:eastAsia="Times New Roman"/>
                <w:szCs w:val="24"/>
                <w:lang w:eastAsia="de-DE"/>
              </w:rPr>
              <w:t xml:space="preserve">, </w:t>
            </w:r>
            <w:r w:rsidR="003C31AB">
              <w:rPr>
                <w:rFonts w:eastAsia="Times New Roman"/>
                <w:szCs w:val="24"/>
                <w:lang w:eastAsia="de-DE"/>
              </w:rPr>
              <w:t xml:space="preserve">collaboration between business support institutions, business sector and education and research institutions can create the </w:t>
            </w:r>
            <w:r w:rsidR="003303E7" w:rsidRPr="00C31776">
              <w:rPr>
                <w:rFonts w:eastAsia="Times New Roman"/>
                <w:szCs w:val="24"/>
                <w:lang w:eastAsia="de-DE"/>
              </w:rPr>
              <w:t xml:space="preserve">potential for </w:t>
            </w:r>
            <w:r w:rsidR="003C31AB">
              <w:rPr>
                <w:rFonts w:eastAsia="Times New Roman"/>
                <w:szCs w:val="24"/>
                <w:lang w:eastAsia="de-DE"/>
              </w:rPr>
              <w:t xml:space="preserve">applying </w:t>
            </w:r>
            <w:r w:rsidR="003303E7" w:rsidRPr="00C31776">
              <w:rPr>
                <w:rFonts w:eastAsia="Times New Roman"/>
                <w:szCs w:val="24"/>
                <w:lang w:eastAsia="de-DE"/>
              </w:rPr>
              <w:t xml:space="preserve">innovation </w:t>
            </w:r>
            <w:r w:rsidR="00756ACD">
              <w:rPr>
                <w:rFonts w:eastAsia="Times New Roman"/>
                <w:szCs w:val="24"/>
                <w:lang w:eastAsia="de-DE"/>
              </w:rPr>
              <w:t xml:space="preserve">in trade sector </w:t>
            </w:r>
            <w:r w:rsidR="003C31AB">
              <w:rPr>
                <w:rFonts w:eastAsia="Times New Roman"/>
                <w:szCs w:val="24"/>
                <w:lang w:eastAsia="de-DE"/>
              </w:rPr>
              <w:t xml:space="preserve">thus contributing to </w:t>
            </w:r>
            <w:r w:rsidR="003303E7">
              <w:rPr>
                <w:rFonts w:eastAsia="Times New Roman"/>
                <w:szCs w:val="24"/>
                <w:lang w:eastAsia="de-DE"/>
              </w:rPr>
              <w:t xml:space="preserve">regional </w:t>
            </w:r>
            <w:r w:rsidR="003C31AB">
              <w:rPr>
                <w:rFonts w:eastAsia="Times New Roman"/>
                <w:szCs w:val="24"/>
                <w:lang w:eastAsia="de-DE"/>
              </w:rPr>
              <w:t xml:space="preserve">economy </w:t>
            </w:r>
            <w:r w:rsidR="003303E7">
              <w:rPr>
                <w:rFonts w:eastAsia="Times New Roman"/>
                <w:szCs w:val="24"/>
                <w:lang w:eastAsia="de-DE"/>
              </w:rPr>
              <w:t>development.</w:t>
            </w:r>
          </w:p>
          <w:p w:rsidR="00BB5AFD" w:rsidRPr="00C31776" w:rsidRDefault="00BB5AFD" w:rsidP="00797FE3">
            <w:pPr>
              <w:spacing w:after="0"/>
              <w:rPr>
                <w:rFonts w:eastAsia="Times New Roman"/>
                <w:szCs w:val="24"/>
                <w:lang w:eastAsia="de-DE"/>
              </w:rPr>
            </w:pPr>
            <w:r w:rsidRPr="00C31776">
              <w:rPr>
                <w:rFonts w:eastAsia="Times New Roman"/>
                <w:szCs w:val="24"/>
                <w:lang w:eastAsia="de-DE"/>
              </w:rPr>
              <w:t xml:space="preserve">As regards to </w:t>
            </w:r>
            <w:r w:rsidR="001B022A">
              <w:rPr>
                <w:rFonts w:eastAsia="Times New Roman"/>
                <w:szCs w:val="24"/>
                <w:lang w:eastAsia="de-DE"/>
              </w:rPr>
              <w:t xml:space="preserve">business </w:t>
            </w:r>
            <w:r w:rsidRPr="00C31776">
              <w:rPr>
                <w:rFonts w:eastAsia="Times New Roman"/>
                <w:szCs w:val="24"/>
                <w:lang w:eastAsia="de-DE"/>
              </w:rPr>
              <w:t>support institutions</w:t>
            </w:r>
            <w:r w:rsidR="001B022A">
              <w:rPr>
                <w:rFonts w:eastAsia="Times New Roman"/>
                <w:szCs w:val="24"/>
                <w:lang w:eastAsia="de-DE"/>
              </w:rPr>
              <w:t>, there is a need for the</w:t>
            </w:r>
            <w:r w:rsidRPr="00C31776">
              <w:rPr>
                <w:rFonts w:eastAsia="Times New Roman"/>
                <w:szCs w:val="24"/>
                <w:lang w:eastAsia="de-DE"/>
              </w:rPr>
              <w:t xml:space="preserve"> improvement of their professional structure and services </w:t>
            </w:r>
            <w:r w:rsidR="001B022A">
              <w:rPr>
                <w:rFonts w:eastAsia="Times New Roman"/>
                <w:szCs w:val="24"/>
                <w:lang w:eastAsia="de-DE"/>
              </w:rPr>
              <w:t xml:space="preserve">in order for them to be able </w:t>
            </w:r>
            <w:r w:rsidRPr="00C31776">
              <w:rPr>
                <w:rFonts w:eastAsia="Times New Roman"/>
                <w:szCs w:val="24"/>
                <w:lang w:eastAsia="de-DE"/>
              </w:rPr>
              <w:t xml:space="preserve">to help </w:t>
            </w:r>
            <w:r w:rsidR="001B022A">
              <w:rPr>
                <w:rFonts w:eastAsia="Times New Roman"/>
                <w:szCs w:val="24"/>
                <w:lang w:eastAsia="de-DE"/>
              </w:rPr>
              <w:t xml:space="preserve">the </w:t>
            </w:r>
            <w:r w:rsidRPr="00C31776">
              <w:rPr>
                <w:rFonts w:eastAsia="Times New Roman"/>
                <w:szCs w:val="24"/>
                <w:lang w:eastAsia="de-DE"/>
              </w:rPr>
              <w:t xml:space="preserve">SMEs </w:t>
            </w:r>
            <w:r w:rsidR="001B022A">
              <w:rPr>
                <w:rFonts w:eastAsia="Times New Roman"/>
                <w:szCs w:val="24"/>
                <w:lang w:eastAsia="de-DE"/>
              </w:rPr>
              <w:t xml:space="preserve">in </w:t>
            </w:r>
            <w:r w:rsidRPr="00C31776">
              <w:rPr>
                <w:rFonts w:eastAsia="Times New Roman"/>
                <w:szCs w:val="24"/>
                <w:lang w:eastAsia="de-DE"/>
              </w:rPr>
              <w:t>build</w:t>
            </w:r>
            <w:r w:rsidR="001B022A">
              <w:rPr>
                <w:rFonts w:eastAsia="Times New Roman"/>
                <w:szCs w:val="24"/>
                <w:lang w:eastAsia="de-DE"/>
              </w:rPr>
              <w:t>ing</w:t>
            </w:r>
            <w:r w:rsidRPr="00C31776">
              <w:rPr>
                <w:rFonts w:eastAsia="Times New Roman"/>
                <w:szCs w:val="24"/>
                <w:lang w:eastAsia="de-DE"/>
              </w:rPr>
              <w:t xml:space="preserve"> up </w:t>
            </w:r>
            <w:r w:rsidR="001B022A">
              <w:rPr>
                <w:rFonts w:eastAsia="Times New Roman"/>
                <w:szCs w:val="24"/>
                <w:lang w:eastAsia="de-DE"/>
              </w:rPr>
              <w:t xml:space="preserve">the </w:t>
            </w:r>
            <w:r w:rsidRPr="00C31776">
              <w:rPr>
                <w:rFonts w:eastAsia="Times New Roman"/>
                <w:szCs w:val="24"/>
                <w:lang w:eastAsia="de-DE"/>
              </w:rPr>
              <w:t>performance and strength</w:t>
            </w:r>
            <w:r w:rsidR="001B022A">
              <w:rPr>
                <w:rFonts w:eastAsia="Times New Roman"/>
                <w:szCs w:val="24"/>
                <w:lang w:eastAsia="de-DE"/>
              </w:rPr>
              <w:t>ening</w:t>
            </w:r>
            <w:r w:rsidRPr="00C31776">
              <w:rPr>
                <w:rFonts w:eastAsia="Times New Roman"/>
                <w:szCs w:val="24"/>
                <w:lang w:eastAsia="de-DE"/>
              </w:rPr>
              <w:t xml:space="preserve"> the competitiveness.</w:t>
            </w:r>
          </w:p>
          <w:p w:rsidR="00AE00F9" w:rsidRDefault="00AE00F9" w:rsidP="00797FE3">
            <w:pPr>
              <w:spacing w:after="0"/>
              <w:rPr>
                <w:rFonts w:eastAsia="Times New Roman"/>
                <w:szCs w:val="24"/>
                <w:lang w:eastAsia="de-DE"/>
              </w:rPr>
            </w:pPr>
            <w:r w:rsidRPr="00C31776">
              <w:rPr>
                <w:rFonts w:eastAsia="Times New Roman"/>
                <w:szCs w:val="24"/>
                <w:lang w:eastAsia="de-DE"/>
              </w:rPr>
              <w:t xml:space="preserve">In general, the programme area should be supported </w:t>
            </w:r>
            <w:r w:rsidR="000316F7">
              <w:rPr>
                <w:rFonts w:eastAsia="Times New Roman"/>
                <w:szCs w:val="24"/>
                <w:lang w:eastAsia="de-DE"/>
              </w:rPr>
              <w:t>in terms of</w:t>
            </w:r>
            <w:r w:rsidRPr="00C31776">
              <w:rPr>
                <w:rFonts w:eastAsia="Times New Roman"/>
                <w:szCs w:val="24"/>
                <w:lang w:eastAsia="de-DE"/>
              </w:rPr>
              <w:t xml:space="preserve"> </w:t>
            </w:r>
            <w:r w:rsidR="000316F7">
              <w:rPr>
                <w:rFonts w:eastAsia="Times New Roman"/>
                <w:szCs w:val="24"/>
                <w:lang w:eastAsia="de-DE"/>
              </w:rPr>
              <w:t xml:space="preserve">enhancing competitiveness and developing business environment. It can be achieved by supporting business support institutions </w:t>
            </w:r>
            <w:r w:rsidR="000E16EA">
              <w:rPr>
                <w:rFonts w:eastAsia="Times New Roman"/>
                <w:szCs w:val="24"/>
                <w:lang w:eastAsia="de-DE"/>
              </w:rPr>
              <w:t xml:space="preserve">directly in order for the SMEs </w:t>
            </w:r>
            <w:r w:rsidR="000316F7">
              <w:rPr>
                <w:rFonts w:eastAsia="Times New Roman"/>
                <w:szCs w:val="24"/>
                <w:lang w:eastAsia="de-DE"/>
              </w:rPr>
              <w:t>to be supported indirectly</w:t>
            </w:r>
            <w:r w:rsidR="000E16EA">
              <w:rPr>
                <w:rFonts w:eastAsia="Times New Roman"/>
                <w:szCs w:val="24"/>
                <w:lang w:eastAsia="de-DE"/>
              </w:rPr>
              <w:t xml:space="preserve">. This effect will lead to </w:t>
            </w:r>
            <w:r w:rsidRPr="00C31776">
              <w:rPr>
                <w:rFonts w:eastAsia="Times New Roman"/>
                <w:szCs w:val="24"/>
                <w:lang w:eastAsia="de-DE"/>
              </w:rPr>
              <w:t>strengthen</w:t>
            </w:r>
            <w:r w:rsidR="000E16EA">
              <w:rPr>
                <w:rFonts w:eastAsia="Times New Roman"/>
                <w:szCs w:val="24"/>
                <w:lang w:eastAsia="de-DE"/>
              </w:rPr>
              <w:t xml:space="preserve">ing </w:t>
            </w:r>
            <w:r w:rsidRPr="00C31776">
              <w:rPr>
                <w:rFonts w:eastAsia="Times New Roman"/>
                <w:szCs w:val="24"/>
                <w:lang w:eastAsia="de-DE"/>
              </w:rPr>
              <w:t xml:space="preserve">their ability to compete in domestic and international markets, and have a more significant impact on the economy, particularly in generating the export revenues. Furthermore, by expanding their product ranges and quality, </w:t>
            </w:r>
            <w:r w:rsidR="000E16EA">
              <w:rPr>
                <w:rFonts w:eastAsia="Times New Roman"/>
                <w:szCs w:val="24"/>
                <w:lang w:eastAsia="de-DE"/>
              </w:rPr>
              <w:t xml:space="preserve">the </w:t>
            </w:r>
            <w:r w:rsidRPr="00C31776">
              <w:rPr>
                <w:rFonts w:eastAsia="Times New Roman"/>
                <w:szCs w:val="24"/>
                <w:lang w:eastAsia="de-DE"/>
              </w:rPr>
              <w:t xml:space="preserve">SMEs </w:t>
            </w:r>
            <w:r w:rsidR="000E16EA">
              <w:rPr>
                <w:rFonts w:eastAsia="Times New Roman"/>
                <w:szCs w:val="24"/>
                <w:lang w:eastAsia="de-DE"/>
              </w:rPr>
              <w:t xml:space="preserve">would </w:t>
            </w:r>
            <w:r w:rsidRPr="00C31776">
              <w:rPr>
                <w:rFonts w:eastAsia="Times New Roman"/>
                <w:szCs w:val="24"/>
                <w:lang w:eastAsia="de-DE"/>
              </w:rPr>
              <w:t>have better chance to increase turnover, internationalise their products and create more jobs.</w:t>
            </w:r>
            <w:r w:rsidRPr="0000039F">
              <w:rPr>
                <w:szCs w:val="24"/>
              </w:rPr>
              <w:t xml:space="preserve"> </w:t>
            </w:r>
            <w:r w:rsidRPr="0000039F">
              <w:rPr>
                <w:rFonts w:eastAsia="Times New Roman"/>
                <w:szCs w:val="24"/>
                <w:lang w:eastAsia="de-DE"/>
              </w:rPr>
              <w:t xml:space="preserve">Furthermore, the focus should be placed on strengthening the preconditions for </w:t>
            </w:r>
            <w:r w:rsidR="00903A26">
              <w:rPr>
                <w:rFonts w:eastAsia="Times New Roman"/>
                <w:szCs w:val="24"/>
                <w:lang w:eastAsia="de-DE"/>
              </w:rPr>
              <w:t xml:space="preserve">higher </w:t>
            </w:r>
            <w:r w:rsidRPr="0000039F">
              <w:rPr>
                <w:rFonts w:eastAsia="Times New Roman"/>
                <w:szCs w:val="24"/>
                <w:lang w:eastAsia="de-DE"/>
              </w:rPr>
              <w:t>number of innovative products, by increasing investment in research and development and bringing together the academic community and the business sector to be able to cooperate and increase the competitiveness of the economy of the programme area.</w:t>
            </w:r>
          </w:p>
          <w:p w:rsidR="00A652DC" w:rsidRDefault="00A652DC" w:rsidP="00797FE3">
            <w:pPr>
              <w:spacing w:after="0"/>
              <w:rPr>
                <w:rFonts w:eastAsia="Times New Roman"/>
                <w:szCs w:val="24"/>
                <w:lang w:eastAsia="de-DE"/>
              </w:rPr>
            </w:pPr>
            <w:r w:rsidRPr="00A652DC">
              <w:rPr>
                <w:rFonts w:eastAsia="Times New Roman"/>
                <w:szCs w:val="24"/>
                <w:lang w:eastAsia="de-DE"/>
              </w:rPr>
              <w:t>ICT development may be used also as a driver to achieve more inclusive growth. The potential of ICT should be used particularly in the rural and remote areas of the programme area (e.g. inhabited islands) to provide better education, healthcare, public and social services and facilitate business growth. This could also provide a good opportunity for the growth of the ICT industry, creating demand for content development and employment.</w:t>
            </w:r>
          </w:p>
          <w:p w:rsidR="000E16EA" w:rsidRPr="0000039F" w:rsidRDefault="000E16EA" w:rsidP="00797FE3">
            <w:pPr>
              <w:spacing w:after="0"/>
              <w:rPr>
                <w:rFonts w:eastAsia="Times New Roman"/>
                <w:szCs w:val="24"/>
                <w:lang w:eastAsia="de-DE"/>
              </w:rPr>
            </w:pPr>
            <w:r w:rsidRPr="000E16EA">
              <w:rPr>
                <w:rFonts w:eastAsia="Times New Roman"/>
                <w:szCs w:val="24"/>
                <w:lang w:eastAsia="de-DE"/>
              </w:rPr>
              <w:t>Taking into account the needs and challenges of the programme area, this Programme is seen as an opportunity to address them in order to increase the competitiveness of the programme area by providing support to business support institutions in order to enable business sector in terms of improving knowledge and skills as well as standardisation, marketing and branding, by fostering cooperation between business sector, public sector and research institutions, by implementing innovation and new technologies, by improving the quality of services, by exchange of good practice and implementation of pilot projects and other activities that can be important driver for stimulating programme area economy development.</w:t>
            </w:r>
          </w:p>
          <w:p w:rsidR="00937F74" w:rsidRPr="0000039F" w:rsidRDefault="00937F74" w:rsidP="00797FE3">
            <w:pPr>
              <w:spacing w:after="0"/>
              <w:rPr>
                <w:rFonts w:eastAsia="Times New Roman"/>
                <w:szCs w:val="24"/>
                <w:lang w:eastAsia="de-DE"/>
              </w:rPr>
            </w:pPr>
          </w:p>
          <w:p w:rsidR="00CC6A66" w:rsidRPr="00C66CB0" w:rsidRDefault="00F9365B" w:rsidP="005D4DD7">
            <w:pPr>
              <w:pStyle w:val="ListParagraph"/>
              <w:numPr>
                <w:ilvl w:val="1"/>
                <w:numId w:val="59"/>
              </w:numPr>
              <w:spacing w:after="0"/>
              <w:rPr>
                <w:b/>
                <w:szCs w:val="24"/>
                <w:lang w:eastAsia="de-DE"/>
              </w:rPr>
            </w:pPr>
            <w:r w:rsidRPr="00C66CB0">
              <w:rPr>
                <w:b/>
                <w:szCs w:val="24"/>
                <w:lang w:eastAsia="de-DE"/>
              </w:rPr>
              <w:t xml:space="preserve">Strengths, weaknesses, opportunities and threats of </w:t>
            </w:r>
            <w:r w:rsidR="001925BD" w:rsidRPr="00C66CB0">
              <w:rPr>
                <w:b/>
                <w:szCs w:val="24"/>
                <w:lang w:eastAsia="de-DE"/>
              </w:rPr>
              <w:t>the</w:t>
            </w:r>
            <w:r w:rsidR="00A87283" w:rsidRPr="00C66CB0">
              <w:rPr>
                <w:b/>
                <w:szCs w:val="24"/>
                <w:lang w:eastAsia="de-DE"/>
              </w:rPr>
              <w:t xml:space="preserve"> </w:t>
            </w:r>
            <w:r w:rsidRPr="00C66CB0">
              <w:rPr>
                <w:b/>
                <w:szCs w:val="24"/>
                <w:lang w:eastAsia="de-DE"/>
              </w:rPr>
              <w:t>programme area</w:t>
            </w:r>
          </w:p>
          <w:p w:rsidR="0037321B" w:rsidRDefault="00D536AF" w:rsidP="00797FE3">
            <w:pPr>
              <w:spacing w:after="0"/>
              <w:rPr>
                <w:rFonts w:eastAsia="Times New Roman"/>
                <w:szCs w:val="24"/>
                <w:lang w:eastAsia="de-DE"/>
              </w:rPr>
            </w:pPr>
            <w:r w:rsidRPr="0000039F">
              <w:rPr>
                <w:rFonts w:eastAsia="Times New Roman"/>
                <w:szCs w:val="24"/>
                <w:lang w:eastAsia="de-DE"/>
              </w:rPr>
              <w:t xml:space="preserve">The SWOT analysis presents internal strengths and weaknesses as well as external opportunities and threats of the </w:t>
            </w:r>
            <w:r w:rsidR="007D36DD" w:rsidRPr="0000039F">
              <w:rPr>
                <w:rFonts w:eastAsia="Times New Roman"/>
                <w:szCs w:val="24"/>
                <w:lang w:eastAsia="de-DE"/>
              </w:rPr>
              <w:t>Croatia-Bosnia and Herzegovina-Montenegro programme area</w:t>
            </w:r>
            <w:r w:rsidRPr="0000039F">
              <w:rPr>
                <w:rFonts w:eastAsia="Times New Roman"/>
                <w:szCs w:val="24"/>
                <w:lang w:eastAsia="de-DE"/>
              </w:rPr>
              <w:t xml:space="preserve">. It combines the situational analysis of the programme area with an analysis of </w:t>
            </w:r>
            <w:r w:rsidRPr="0000039F">
              <w:rPr>
                <w:rFonts w:eastAsia="Times New Roman"/>
                <w:szCs w:val="24"/>
                <w:lang w:eastAsia="de-DE"/>
              </w:rPr>
              <w:lastRenderedPageBreak/>
              <w:t>str</w:t>
            </w:r>
            <w:r w:rsidR="007D36DD" w:rsidRPr="0000039F">
              <w:rPr>
                <w:rFonts w:eastAsia="Times New Roman"/>
                <w:szCs w:val="24"/>
                <w:lang w:eastAsia="de-DE"/>
              </w:rPr>
              <w:t xml:space="preserve">ategic documents on national and sectorial level </w:t>
            </w:r>
            <w:r w:rsidRPr="0000039F">
              <w:rPr>
                <w:rFonts w:eastAsia="Times New Roman"/>
                <w:szCs w:val="24"/>
                <w:lang w:eastAsia="de-DE"/>
              </w:rPr>
              <w:t xml:space="preserve">(e.g. programming documents and policy papers). </w:t>
            </w:r>
            <w:r w:rsidR="0037321B" w:rsidRPr="0037321B">
              <w:rPr>
                <w:rFonts w:eastAsia="Times New Roman"/>
                <w:szCs w:val="24"/>
                <w:lang w:eastAsia="de-DE"/>
              </w:rPr>
              <w:t xml:space="preserve">Furthermore, programme SWOT analysis is the result of extensive consultations process conducted at Task Force meetings and workshops as well as of valuable feedback and inputs provided by the stakeholders during the two rounds of consultative workshops with stakeholders held in April </w:t>
            </w:r>
            <w:r w:rsidR="0037321B">
              <w:rPr>
                <w:rFonts w:eastAsia="Times New Roman"/>
                <w:szCs w:val="24"/>
                <w:lang w:eastAsia="de-DE"/>
              </w:rPr>
              <w:t>and August</w:t>
            </w:r>
            <w:r w:rsidR="0037321B" w:rsidRPr="0037321B">
              <w:rPr>
                <w:rFonts w:eastAsia="Times New Roman"/>
                <w:szCs w:val="24"/>
                <w:lang w:eastAsia="de-DE"/>
              </w:rPr>
              <w:t xml:space="preserve"> 2014 as well as during online consultations held from 1 August 2014 to 1 September 2014. The SWOT table per 8 thematic </w:t>
            </w:r>
            <w:r w:rsidR="0037321B">
              <w:rPr>
                <w:rFonts w:eastAsia="Times New Roman"/>
                <w:szCs w:val="24"/>
                <w:lang w:eastAsia="de-DE"/>
              </w:rPr>
              <w:t>priorities</w:t>
            </w:r>
            <w:r w:rsidR="0037321B" w:rsidRPr="0037321B">
              <w:rPr>
                <w:rFonts w:eastAsia="Times New Roman"/>
                <w:szCs w:val="24"/>
                <w:lang w:eastAsia="de-DE"/>
              </w:rPr>
              <w:t xml:space="preserve"> is Annex 7 to Cooperation Programme</w:t>
            </w:r>
            <w:r w:rsidR="0037321B">
              <w:rPr>
                <w:rFonts w:eastAsia="Times New Roman"/>
                <w:szCs w:val="24"/>
                <w:lang w:eastAsia="de-DE"/>
              </w:rPr>
              <w:t>.</w:t>
            </w:r>
          </w:p>
          <w:p w:rsidR="001F445C" w:rsidRDefault="001F445C" w:rsidP="001159C2">
            <w:pPr>
              <w:spacing w:before="0" w:after="0" w:line="280" w:lineRule="atLeast"/>
              <w:contextualSpacing/>
              <w:rPr>
                <w:rFonts w:eastAsia="MS Gothic"/>
                <w:b/>
                <w:bCs/>
                <w:szCs w:val="24"/>
              </w:rPr>
            </w:pPr>
          </w:p>
          <w:p w:rsidR="00790760" w:rsidRPr="00C66CB0" w:rsidRDefault="00790760" w:rsidP="005D4DD7">
            <w:pPr>
              <w:pStyle w:val="ListParagraph"/>
              <w:widowControl w:val="0"/>
              <w:numPr>
                <w:ilvl w:val="1"/>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b/>
                <w:color w:val="000000"/>
                <w:szCs w:val="24"/>
              </w:rPr>
            </w:pPr>
            <w:r w:rsidRPr="00C66CB0">
              <w:rPr>
                <w:b/>
                <w:color w:val="000000"/>
                <w:szCs w:val="24"/>
              </w:rPr>
              <w:t>Assessment of challenges, needs and potential of the programme area</w:t>
            </w:r>
          </w:p>
          <w:p w:rsidR="00EE43D6" w:rsidRDefault="00790760" w:rsidP="00790760">
            <w:pPr>
              <w:rPr>
                <w:szCs w:val="24"/>
                <w:lang w:eastAsia="fr-BE"/>
              </w:rPr>
            </w:pPr>
            <w:r>
              <w:rPr>
                <w:szCs w:val="24"/>
                <w:lang w:eastAsia="fr-BE"/>
              </w:rPr>
              <w:t xml:space="preserve">In the process of </w:t>
            </w:r>
            <w:r w:rsidRPr="00972BB2">
              <w:rPr>
                <w:szCs w:val="24"/>
                <w:lang w:eastAsia="fr-BE"/>
              </w:rPr>
              <w:t xml:space="preserve">defining the overall needs of the </w:t>
            </w:r>
            <w:r>
              <w:rPr>
                <w:szCs w:val="24"/>
                <w:lang w:eastAsia="fr-BE"/>
              </w:rPr>
              <w:t xml:space="preserve">programme area based on </w:t>
            </w:r>
            <w:r w:rsidR="00B15EAF">
              <w:rPr>
                <w:szCs w:val="24"/>
                <w:lang w:eastAsia="fr-BE"/>
              </w:rPr>
              <w:t xml:space="preserve">the </w:t>
            </w:r>
            <w:r>
              <w:rPr>
                <w:szCs w:val="24"/>
                <w:lang w:eastAsia="fr-BE"/>
              </w:rPr>
              <w:t xml:space="preserve">analysis of situation in different sectors, </w:t>
            </w:r>
            <w:r w:rsidRPr="00972BB2">
              <w:rPr>
                <w:szCs w:val="24"/>
                <w:lang w:eastAsia="fr-BE"/>
              </w:rPr>
              <w:t xml:space="preserve">the </w:t>
            </w:r>
            <w:r w:rsidR="00B15EAF">
              <w:rPr>
                <w:szCs w:val="24"/>
                <w:lang w:eastAsia="fr-BE"/>
              </w:rPr>
              <w:t>main objective was</w:t>
            </w:r>
            <w:r w:rsidRPr="00972BB2">
              <w:rPr>
                <w:szCs w:val="24"/>
                <w:lang w:eastAsia="fr-BE"/>
              </w:rPr>
              <w:t xml:space="preserve"> to identify the </w:t>
            </w:r>
            <w:r>
              <w:rPr>
                <w:szCs w:val="24"/>
                <w:lang w:eastAsia="fr-BE"/>
              </w:rPr>
              <w:t xml:space="preserve">challenges and </w:t>
            </w:r>
            <w:r w:rsidRPr="00972BB2">
              <w:rPr>
                <w:szCs w:val="24"/>
                <w:lang w:eastAsia="fr-BE"/>
              </w:rPr>
              <w:t xml:space="preserve">needs </w:t>
            </w:r>
            <w:r w:rsidR="00B15EAF">
              <w:rPr>
                <w:szCs w:val="24"/>
                <w:lang w:eastAsia="fr-BE"/>
              </w:rPr>
              <w:t xml:space="preserve">that </w:t>
            </w:r>
            <w:r>
              <w:rPr>
                <w:szCs w:val="24"/>
                <w:lang w:eastAsia="fr-BE"/>
              </w:rPr>
              <w:t xml:space="preserve">can be addressed </w:t>
            </w:r>
            <w:r w:rsidR="00B15EAF">
              <w:rPr>
                <w:szCs w:val="24"/>
                <w:lang w:eastAsia="fr-BE"/>
              </w:rPr>
              <w:t xml:space="preserve">specifically </w:t>
            </w:r>
            <w:r>
              <w:rPr>
                <w:szCs w:val="24"/>
                <w:lang w:eastAsia="fr-BE"/>
              </w:rPr>
              <w:t xml:space="preserve">by </w:t>
            </w:r>
            <w:r w:rsidRPr="00972BB2">
              <w:rPr>
                <w:szCs w:val="24"/>
                <w:lang w:eastAsia="fr-BE"/>
              </w:rPr>
              <w:t>the</w:t>
            </w:r>
            <w:r w:rsidR="00EB0821">
              <w:rPr>
                <w:szCs w:val="24"/>
                <w:lang w:eastAsia="fr-BE"/>
              </w:rPr>
              <w:t xml:space="preserve"> P</w:t>
            </w:r>
            <w:r w:rsidR="00B15EAF">
              <w:rPr>
                <w:szCs w:val="24"/>
                <w:lang w:eastAsia="fr-BE"/>
              </w:rPr>
              <w:t>rogramme in line with its cross border character</w:t>
            </w:r>
            <w:r w:rsidRPr="00972BB2">
              <w:rPr>
                <w:szCs w:val="24"/>
                <w:lang w:eastAsia="fr-BE"/>
              </w:rPr>
              <w:t>, its budget and i</w:t>
            </w:r>
            <w:r w:rsidR="00B15EAF">
              <w:rPr>
                <w:szCs w:val="24"/>
                <w:lang w:eastAsia="fr-BE"/>
              </w:rPr>
              <w:t>ts intervention capacities</w:t>
            </w:r>
            <w:r>
              <w:rPr>
                <w:szCs w:val="24"/>
                <w:lang w:eastAsia="fr-BE"/>
              </w:rPr>
              <w:t xml:space="preserve"> by </w:t>
            </w:r>
            <w:r w:rsidRPr="00A414FA">
              <w:rPr>
                <w:szCs w:val="24"/>
                <w:lang w:eastAsia="fr-BE"/>
              </w:rPr>
              <w:t>exploit</w:t>
            </w:r>
            <w:r w:rsidR="00B15EAF">
              <w:rPr>
                <w:szCs w:val="24"/>
                <w:lang w:eastAsia="fr-BE"/>
              </w:rPr>
              <w:t>ing</w:t>
            </w:r>
            <w:r w:rsidRPr="00A414FA">
              <w:rPr>
                <w:szCs w:val="24"/>
                <w:lang w:eastAsia="fr-BE"/>
              </w:rPr>
              <w:t xml:space="preserve"> </w:t>
            </w:r>
            <w:r w:rsidR="00B15EAF">
              <w:rPr>
                <w:szCs w:val="24"/>
                <w:lang w:eastAsia="fr-BE"/>
              </w:rPr>
              <w:t xml:space="preserve">joint </w:t>
            </w:r>
            <w:r w:rsidRPr="00A414FA">
              <w:rPr>
                <w:szCs w:val="24"/>
                <w:lang w:eastAsia="fr-BE"/>
              </w:rPr>
              <w:t>untapped potential</w:t>
            </w:r>
            <w:r w:rsidR="00B15EAF">
              <w:rPr>
                <w:szCs w:val="24"/>
                <w:lang w:eastAsia="fr-BE"/>
              </w:rPr>
              <w:t>s</w:t>
            </w:r>
            <w:r>
              <w:rPr>
                <w:szCs w:val="24"/>
                <w:lang w:eastAsia="fr-BE"/>
              </w:rPr>
              <w:t xml:space="preserve"> </w:t>
            </w:r>
            <w:r w:rsidR="00B15EAF">
              <w:rPr>
                <w:szCs w:val="24"/>
                <w:lang w:eastAsia="fr-BE"/>
              </w:rPr>
              <w:t xml:space="preserve">and further strengthening of the existing ones. </w:t>
            </w:r>
          </w:p>
          <w:p w:rsidR="00790760" w:rsidRPr="00523685" w:rsidRDefault="00790760" w:rsidP="00790760">
            <w:pPr>
              <w:rPr>
                <w:szCs w:val="24"/>
                <w:lang w:eastAsia="fr-BE"/>
              </w:rPr>
            </w:pPr>
            <w:r w:rsidRPr="00972BB2">
              <w:rPr>
                <w:szCs w:val="24"/>
                <w:lang w:eastAsia="fr-BE"/>
              </w:rPr>
              <w:t xml:space="preserve">It </w:t>
            </w:r>
            <w:r>
              <w:rPr>
                <w:szCs w:val="24"/>
                <w:lang w:eastAsia="fr-BE"/>
              </w:rPr>
              <w:t>is important to point out</w:t>
            </w:r>
            <w:r w:rsidRPr="00972BB2">
              <w:rPr>
                <w:szCs w:val="24"/>
                <w:lang w:eastAsia="fr-BE"/>
              </w:rPr>
              <w:t xml:space="preserve"> that </w:t>
            </w:r>
            <w:r>
              <w:rPr>
                <w:szCs w:val="24"/>
                <w:lang w:eastAsia="fr-BE"/>
              </w:rPr>
              <w:t>cross-border cooperation</w:t>
            </w:r>
            <w:r w:rsidRPr="00972BB2">
              <w:rPr>
                <w:szCs w:val="24"/>
                <w:lang w:eastAsia="fr-BE"/>
              </w:rPr>
              <w:t xml:space="preserve"> programme</w:t>
            </w:r>
            <w:r w:rsidR="00B15EAF">
              <w:rPr>
                <w:szCs w:val="24"/>
                <w:lang w:eastAsia="fr-BE"/>
              </w:rPr>
              <w:t>s are not aimed to suppo</w:t>
            </w:r>
            <w:r w:rsidR="00324F9F">
              <w:rPr>
                <w:szCs w:val="24"/>
                <w:lang w:eastAsia="fr-BE"/>
              </w:rPr>
              <w:t>rt large</w:t>
            </w:r>
            <w:r w:rsidRPr="00972BB2">
              <w:rPr>
                <w:szCs w:val="24"/>
                <w:lang w:eastAsia="fr-BE"/>
              </w:rPr>
              <w:t xml:space="preserve"> investments or infrastructures that </w:t>
            </w:r>
            <w:r w:rsidR="00B15EAF">
              <w:rPr>
                <w:szCs w:val="24"/>
                <w:lang w:eastAsia="fr-BE"/>
              </w:rPr>
              <w:t xml:space="preserve">can be </w:t>
            </w:r>
            <w:r w:rsidRPr="00972BB2">
              <w:rPr>
                <w:szCs w:val="24"/>
                <w:lang w:eastAsia="fr-BE"/>
              </w:rPr>
              <w:t xml:space="preserve">better taken in charge by </w:t>
            </w:r>
            <w:r>
              <w:rPr>
                <w:szCs w:val="24"/>
                <w:lang w:eastAsia="fr-BE"/>
              </w:rPr>
              <w:t xml:space="preserve">other relevant European or national </w:t>
            </w:r>
            <w:r w:rsidR="00B15EAF">
              <w:rPr>
                <w:szCs w:val="24"/>
                <w:lang w:eastAsia="fr-BE"/>
              </w:rPr>
              <w:t xml:space="preserve">programmes. </w:t>
            </w:r>
            <w:r w:rsidR="00A760F6">
              <w:rPr>
                <w:szCs w:val="24"/>
                <w:lang w:eastAsia="fr-BE"/>
              </w:rPr>
              <w:t>Therefore, IPA c</w:t>
            </w:r>
            <w:r w:rsidR="00B15EAF">
              <w:rPr>
                <w:szCs w:val="24"/>
                <w:lang w:eastAsia="fr-BE"/>
              </w:rPr>
              <w:t>ross border cooperation</w:t>
            </w:r>
            <w:r w:rsidRPr="00972BB2">
              <w:rPr>
                <w:szCs w:val="24"/>
                <w:lang w:eastAsia="fr-BE"/>
              </w:rPr>
              <w:t xml:space="preserve"> prog</w:t>
            </w:r>
            <w:r w:rsidR="00A760F6">
              <w:rPr>
                <w:szCs w:val="24"/>
                <w:lang w:eastAsia="fr-BE"/>
              </w:rPr>
              <w:t>ramme</w:t>
            </w:r>
            <w:r w:rsidR="00B15EAF">
              <w:rPr>
                <w:szCs w:val="24"/>
                <w:lang w:eastAsia="fr-BE"/>
              </w:rPr>
              <w:t xml:space="preserve"> </w:t>
            </w:r>
            <w:r w:rsidR="00A760F6">
              <w:rPr>
                <w:szCs w:val="24"/>
                <w:lang w:eastAsia="fr-BE"/>
              </w:rPr>
              <w:t>Croatia- Bosnia and Herzegovina – Montenegro 2014-2020 is</w:t>
            </w:r>
            <w:r w:rsidR="00B15EAF">
              <w:rPr>
                <w:szCs w:val="24"/>
                <w:lang w:eastAsia="fr-BE"/>
              </w:rPr>
              <w:t xml:space="preserve"> mainly</w:t>
            </w:r>
            <w:r w:rsidRPr="00972BB2">
              <w:rPr>
                <w:szCs w:val="24"/>
                <w:lang w:eastAsia="fr-BE"/>
              </w:rPr>
              <w:t xml:space="preserve"> dedicated to </w:t>
            </w:r>
            <w:r w:rsidR="00B15EAF">
              <w:rPr>
                <w:szCs w:val="24"/>
                <w:lang w:eastAsia="fr-BE"/>
              </w:rPr>
              <w:t xml:space="preserve">the </w:t>
            </w:r>
            <w:r w:rsidR="00324F9F">
              <w:rPr>
                <w:szCs w:val="24"/>
                <w:lang w:eastAsia="fr-BE"/>
              </w:rPr>
              <w:t>small-scale interventions in the areas of common interest, building the capacities and competitiveness of the programme area</w:t>
            </w:r>
            <w:r w:rsidR="007645DF">
              <w:rPr>
                <w:szCs w:val="24"/>
                <w:lang w:eastAsia="fr-BE"/>
              </w:rPr>
              <w:t xml:space="preserve">, </w:t>
            </w:r>
            <w:r w:rsidR="00324F9F">
              <w:rPr>
                <w:szCs w:val="24"/>
                <w:lang w:eastAsia="fr-BE"/>
              </w:rPr>
              <w:t>the joint i</w:t>
            </w:r>
            <w:r w:rsidR="00324F9F" w:rsidRPr="00972BB2">
              <w:rPr>
                <w:szCs w:val="24"/>
                <w:lang w:eastAsia="fr-BE"/>
              </w:rPr>
              <w:t>nstitutional</w:t>
            </w:r>
            <w:r w:rsidRPr="00972BB2">
              <w:rPr>
                <w:szCs w:val="24"/>
                <w:lang w:eastAsia="fr-BE"/>
              </w:rPr>
              <w:t xml:space="preserve"> cooperation, share of experience and practices, </w:t>
            </w:r>
            <w:r w:rsidR="00324F9F">
              <w:rPr>
                <w:szCs w:val="24"/>
                <w:lang w:eastAsia="fr-BE"/>
              </w:rPr>
              <w:t xml:space="preserve">implementing pilot actions, </w:t>
            </w:r>
            <w:r w:rsidRPr="00972BB2">
              <w:rPr>
                <w:szCs w:val="24"/>
                <w:lang w:eastAsia="fr-BE"/>
              </w:rPr>
              <w:t xml:space="preserve">improvement of </w:t>
            </w:r>
            <w:r w:rsidR="00B15EAF">
              <w:rPr>
                <w:szCs w:val="24"/>
                <w:lang w:eastAsia="fr-BE"/>
              </w:rPr>
              <w:t xml:space="preserve">policies and </w:t>
            </w:r>
            <w:r w:rsidRPr="00972BB2">
              <w:rPr>
                <w:szCs w:val="24"/>
                <w:lang w:eastAsia="fr-BE"/>
              </w:rPr>
              <w:t xml:space="preserve">governance with the objective to </w:t>
            </w:r>
            <w:r>
              <w:rPr>
                <w:szCs w:val="24"/>
                <w:lang w:eastAsia="fr-BE"/>
              </w:rPr>
              <w:t xml:space="preserve">ensure </w:t>
            </w:r>
            <w:r w:rsidR="00324F9F">
              <w:rPr>
                <w:szCs w:val="24"/>
                <w:lang w:eastAsia="fr-BE"/>
              </w:rPr>
              <w:t xml:space="preserve">territorial </w:t>
            </w:r>
            <w:r w:rsidR="0074724F">
              <w:rPr>
                <w:szCs w:val="24"/>
                <w:lang w:eastAsia="fr-BE"/>
              </w:rPr>
              <w:t>coherence of the cross-</w:t>
            </w:r>
            <w:r>
              <w:rPr>
                <w:szCs w:val="24"/>
                <w:lang w:eastAsia="fr-BE"/>
              </w:rPr>
              <w:t xml:space="preserve">border </w:t>
            </w:r>
            <w:r w:rsidR="00324F9F">
              <w:rPr>
                <w:szCs w:val="24"/>
                <w:lang w:eastAsia="fr-BE"/>
              </w:rPr>
              <w:t>area</w:t>
            </w:r>
            <w:r w:rsidRPr="00523685">
              <w:rPr>
                <w:szCs w:val="24"/>
                <w:lang w:eastAsia="fr-BE"/>
              </w:rPr>
              <w:t xml:space="preserve">. </w:t>
            </w:r>
          </w:p>
          <w:p w:rsidR="00BB2492" w:rsidRPr="00BB2492" w:rsidRDefault="00AA250C" w:rsidP="00BB2492">
            <w:pPr>
              <w:rPr>
                <w:szCs w:val="24"/>
                <w:lang w:eastAsia="fr-BE"/>
              </w:rPr>
            </w:pPr>
            <w:r>
              <w:rPr>
                <w:szCs w:val="24"/>
                <w:lang w:eastAsia="fr-BE"/>
              </w:rPr>
              <w:t>Therefore, the scope of the P</w:t>
            </w:r>
            <w:r w:rsidR="00790760" w:rsidRPr="00523685">
              <w:rPr>
                <w:szCs w:val="24"/>
                <w:lang w:eastAsia="fr-BE"/>
              </w:rPr>
              <w:t>rogramme is such that it will not create a large-scale financial impact.</w:t>
            </w:r>
            <w:r w:rsidR="00790760">
              <w:rPr>
                <w:szCs w:val="24"/>
                <w:lang w:eastAsia="fr-BE"/>
              </w:rPr>
              <w:t xml:space="preserve"> I</w:t>
            </w:r>
            <w:r w:rsidR="00790760" w:rsidRPr="006423F7">
              <w:rPr>
                <w:szCs w:val="24"/>
                <w:lang w:eastAsia="fr-BE"/>
              </w:rPr>
              <w:t xml:space="preserve">ts </w:t>
            </w:r>
            <w:r w:rsidR="00F564E2">
              <w:rPr>
                <w:szCs w:val="24"/>
                <w:lang w:eastAsia="fr-BE"/>
              </w:rPr>
              <w:t>main</w:t>
            </w:r>
            <w:r w:rsidR="00790760" w:rsidRPr="006423F7">
              <w:rPr>
                <w:szCs w:val="24"/>
                <w:lang w:eastAsia="fr-BE"/>
              </w:rPr>
              <w:t xml:space="preserve"> principle is to support </w:t>
            </w:r>
            <w:r>
              <w:rPr>
                <w:szCs w:val="24"/>
                <w:lang w:eastAsia="fr-BE"/>
              </w:rPr>
              <w:t>cross-</w:t>
            </w:r>
            <w:r w:rsidR="007645DF">
              <w:rPr>
                <w:szCs w:val="24"/>
                <w:lang w:eastAsia="fr-BE"/>
              </w:rPr>
              <w:t>border cooperation</w:t>
            </w:r>
            <w:r w:rsidR="00790760" w:rsidRPr="006423F7">
              <w:rPr>
                <w:szCs w:val="24"/>
                <w:lang w:eastAsia="fr-BE"/>
              </w:rPr>
              <w:t xml:space="preserve"> actions and pilot projects in</w:t>
            </w:r>
            <w:r w:rsidR="00790760">
              <w:rPr>
                <w:szCs w:val="24"/>
                <w:lang w:eastAsia="fr-BE"/>
              </w:rPr>
              <w:t xml:space="preserve"> </w:t>
            </w:r>
            <w:r w:rsidR="00790760" w:rsidRPr="006423F7">
              <w:rPr>
                <w:szCs w:val="24"/>
                <w:lang w:eastAsia="fr-BE"/>
              </w:rPr>
              <w:t xml:space="preserve">priority fields such as </w:t>
            </w:r>
            <w:r w:rsidR="009618C4">
              <w:rPr>
                <w:szCs w:val="24"/>
                <w:lang w:eastAsia="fr-BE"/>
              </w:rPr>
              <w:t xml:space="preserve">strengthening </w:t>
            </w:r>
            <w:r>
              <w:rPr>
                <w:szCs w:val="24"/>
                <w:lang w:eastAsia="fr-BE"/>
              </w:rPr>
              <w:t xml:space="preserve">public health and </w:t>
            </w:r>
            <w:r w:rsidR="009618C4">
              <w:rPr>
                <w:szCs w:val="24"/>
                <w:lang w:eastAsia="fr-BE"/>
              </w:rPr>
              <w:t>social care, protecting and preserving</w:t>
            </w:r>
            <w:r w:rsidR="00B06A2E">
              <w:rPr>
                <w:szCs w:val="24"/>
                <w:lang w:eastAsia="fr-BE"/>
              </w:rPr>
              <w:t xml:space="preserve"> environment and nature</w:t>
            </w:r>
            <w:r w:rsidR="007A14A9" w:rsidRPr="006423F7">
              <w:rPr>
                <w:szCs w:val="24"/>
                <w:lang w:eastAsia="fr-BE"/>
              </w:rPr>
              <w:t xml:space="preserve"> </w:t>
            </w:r>
            <w:r w:rsidR="00B06A2E">
              <w:rPr>
                <w:szCs w:val="24"/>
                <w:lang w:eastAsia="fr-BE"/>
              </w:rPr>
              <w:t xml:space="preserve">and </w:t>
            </w:r>
            <w:r w:rsidR="00B6239F">
              <w:rPr>
                <w:szCs w:val="24"/>
                <w:lang w:eastAsia="fr-BE"/>
              </w:rPr>
              <w:t xml:space="preserve">risk prevention and </w:t>
            </w:r>
            <w:r w:rsidR="00B06A2E">
              <w:rPr>
                <w:szCs w:val="24"/>
                <w:lang w:eastAsia="fr-BE"/>
              </w:rPr>
              <w:t>promoting the use of sustainable energy</w:t>
            </w:r>
            <w:r w:rsidR="00B6239F">
              <w:rPr>
                <w:szCs w:val="24"/>
                <w:lang w:eastAsia="fr-BE"/>
              </w:rPr>
              <w:t xml:space="preserve"> and energy efficiency</w:t>
            </w:r>
            <w:r w:rsidR="007A14A9">
              <w:rPr>
                <w:szCs w:val="24"/>
                <w:lang w:eastAsia="fr-BE"/>
              </w:rPr>
              <w:t>, strengthening</w:t>
            </w:r>
            <w:r w:rsidR="007645DF">
              <w:rPr>
                <w:szCs w:val="24"/>
                <w:lang w:eastAsia="fr-BE"/>
              </w:rPr>
              <w:t xml:space="preserve"> </w:t>
            </w:r>
            <w:r w:rsidR="007A14A9">
              <w:rPr>
                <w:szCs w:val="24"/>
                <w:lang w:eastAsia="fr-BE"/>
              </w:rPr>
              <w:t xml:space="preserve">and further </w:t>
            </w:r>
            <w:r>
              <w:rPr>
                <w:szCs w:val="24"/>
                <w:lang w:eastAsia="fr-BE"/>
              </w:rPr>
              <w:t xml:space="preserve">development </w:t>
            </w:r>
            <w:r w:rsidR="007A14A9">
              <w:rPr>
                <w:szCs w:val="24"/>
                <w:lang w:eastAsia="fr-BE"/>
              </w:rPr>
              <w:t xml:space="preserve">tourism </w:t>
            </w:r>
            <w:r w:rsidR="00B06A2E">
              <w:rPr>
                <w:szCs w:val="24"/>
                <w:lang w:eastAsia="fr-BE"/>
              </w:rPr>
              <w:t xml:space="preserve">and </w:t>
            </w:r>
            <w:r w:rsidR="00131681">
              <w:rPr>
                <w:szCs w:val="24"/>
                <w:lang w:eastAsia="fr-BE"/>
              </w:rPr>
              <w:t>preserving</w:t>
            </w:r>
            <w:r>
              <w:rPr>
                <w:szCs w:val="24"/>
                <w:lang w:eastAsia="fr-BE"/>
              </w:rPr>
              <w:t xml:space="preserve"> </w:t>
            </w:r>
            <w:r w:rsidR="00B06A2E">
              <w:rPr>
                <w:szCs w:val="24"/>
                <w:lang w:eastAsia="fr-BE"/>
              </w:rPr>
              <w:t>cultural and natural heritage and</w:t>
            </w:r>
            <w:r w:rsidR="007645DF">
              <w:rPr>
                <w:szCs w:val="24"/>
                <w:lang w:eastAsia="fr-BE"/>
              </w:rPr>
              <w:t xml:space="preserve"> </w:t>
            </w:r>
            <w:r w:rsidR="00B06A2E">
              <w:rPr>
                <w:szCs w:val="24"/>
                <w:lang w:eastAsia="fr-BE"/>
              </w:rPr>
              <w:t xml:space="preserve">increasing </w:t>
            </w:r>
            <w:r w:rsidR="00985AE6">
              <w:rPr>
                <w:szCs w:val="24"/>
                <w:lang w:eastAsia="fr-BE"/>
              </w:rPr>
              <w:t xml:space="preserve">the </w:t>
            </w:r>
            <w:r w:rsidR="00B06A2E">
              <w:rPr>
                <w:szCs w:val="24"/>
                <w:lang w:eastAsia="fr-BE"/>
              </w:rPr>
              <w:t xml:space="preserve">competitiveness </w:t>
            </w:r>
            <w:r w:rsidR="00985AE6">
              <w:rPr>
                <w:szCs w:val="24"/>
                <w:lang w:eastAsia="fr-BE"/>
              </w:rPr>
              <w:t>of the</w:t>
            </w:r>
            <w:r w:rsidR="00B06A2E">
              <w:rPr>
                <w:szCs w:val="24"/>
                <w:lang w:eastAsia="fr-BE"/>
              </w:rPr>
              <w:t xml:space="preserve"> programme area</w:t>
            </w:r>
            <w:r w:rsidR="007A14A9">
              <w:rPr>
                <w:szCs w:val="24"/>
                <w:lang w:eastAsia="fr-BE"/>
              </w:rPr>
              <w:t>.</w:t>
            </w:r>
            <w:r w:rsidR="00790760">
              <w:rPr>
                <w:szCs w:val="24"/>
                <w:lang w:eastAsia="fr-BE"/>
              </w:rPr>
              <w:t xml:space="preserve"> </w:t>
            </w:r>
          </w:p>
          <w:p w:rsidR="0000039F" w:rsidRPr="0000039F" w:rsidRDefault="0000039F" w:rsidP="0094765E">
            <w:pPr>
              <w:spacing w:before="0" w:after="0" w:line="280" w:lineRule="atLeast"/>
              <w:contextualSpacing/>
              <w:rPr>
                <w:rFonts w:eastAsia="MS Gothic"/>
                <w:bCs/>
                <w:szCs w:val="24"/>
              </w:rPr>
            </w:pPr>
          </w:p>
          <w:p w:rsidR="00E02E54" w:rsidRDefault="00FE0132" w:rsidP="0094765E">
            <w:pPr>
              <w:spacing w:before="0" w:after="0" w:line="280" w:lineRule="atLeast"/>
              <w:contextualSpacing/>
              <w:rPr>
                <w:rFonts w:eastAsia="Times New Roman"/>
                <w:lang w:eastAsia="en-US"/>
              </w:rPr>
            </w:pPr>
            <w:r w:rsidRPr="00FE0132">
              <w:rPr>
                <w:rFonts w:eastAsia="Times New Roman"/>
                <w:lang w:eastAsia="en-US"/>
              </w:rPr>
              <w:t xml:space="preserve">Taking into </w:t>
            </w:r>
            <w:r w:rsidR="000B7228">
              <w:rPr>
                <w:rFonts w:eastAsia="Times New Roman"/>
                <w:lang w:eastAsia="en-US"/>
              </w:rPr>
              <w:t xml:space="preserve">account the conclusions derived from situation and SWOT analyses and the fact </w:t>
            </w:r>
            <w:r w:rsidRPr="00FE0132">
              <w:rPr>
                <w:rFonts w:eastAsia="Times New Roman"/>
                <w:lang w:eastAsia="en-US"/>
              </w:rPr>
              <w:t xml:space="preserve">that the programme area </w:t>
            </w:r>
            <w:r w:rsidR="000C28AB">
              <w:rPr>
                <w:rFonts w:eastAsia="Times New Roman"/>
                <w:lang w:eastAsia="en-US"/>
              </w:rPr>
              <w:t xml:space="preserve">extends over </w:t>
            </w:r>
            <w:r w:rsidR="00C4678C">
              <w:rPr>
                <w:rFonts w:eastAsia="Times New Roman"/>
                <w:lang w:eastAsia="en-US"/>
              </w:rPr>
              <w:t>large</w:t>
            </w:r>
            <w:r w:rsidR="000C28AB">
              <w:rPr>
                <w:rFonts w:eastAsia="Times New Roman"/>
                <w:lang w:eastAsia="en-US"/>
              </w:rPr>
              <w:t xml:space="preserve"> heterogeneous territory</w:t>
            </w:r>
            <w:r w:rsidR="000C28AB">
              <w:t xml:space="preserve"> of three countries</w:t>
            </w:r>
            <w:r w:rsidR="00C4678C">
              <w:t>,</w:t>
            </w:r>
            <w:r w:rsidRPr="00FE0132">
              <w:rPr>
                <w:rFonts w:eastAsia="Times New Roman"/>
                <w:lang w:eastAsia="en-US"/>
              </w:rPr>
              <w:t xml:space="preserve"> </w:t>
            </w:r>
            <w:r>
              <w:rPr>
                <w:rFonts w:eastAsia="Times New Roman"/>
                <w:lang w:eastAsia="en-US"/>
              </w:rPr>
              <w:t>situation a</w:t>
            </w:r>
            <w:r w:rsidR="00F60D83" w:rsidRPr="00F60D83">
              <w:rPr>
                <w:rFonts w:eastAsia="Times New Roman"/>
                <w:lang w:eastAsia="en-US"/>
              </w:rPr>
              <w:t>nalysis has identified</w:t>
            </w:r>
            <w:r w:rsidR="00F60D83">
              <w:rPr>
                <w:rFonts w:eastAsia="Times New Roman"/>
                <w:lang w:eastAsia="en-US"/>
              </w:rPr>
              <w:t xml:space="preserve"> a number of </w:t>
            </w:r>
            <w:r w:rsidR="000C28AB">
              <w:rPr>
                <w:rFonts w:eastAsia="Times New Roman"/>
                <w:lang w:eastAsia="en-US"/>
              </w:rPr>
              <w:t xml:space="preserve">programme area needs, </w:t>
            </w:r>
            <w:r w:rsidR="00F60D83">
              <w:rPr>
                <w:rFonts w:eastAsia="Times New Roman"/>
                <w:lang w:eastAsia="en-US"/>
              </w:rPr>
              <w:t>poten</w:t>
            </w:r>
            <w:r w:rsidR="000C28AB">
              <w:rPr>
                <w:rFonts w:eastAsia="Times New Roman"/>
                <w:lang w:eastAsia="en-US"/>
              </w:rPr>
              <w:t>tials and challenges</w:t>
            </w:r>
            <w:r w:rsidR="000B7228">
              <w:rPr>
                <w:rFonts w:eastAsia="Times New Roman"/>
                <w:lang w:eastAsia="en-US"/>
              </w:rPr>
              <w:t xml:space="preserve"> presented below</w:t>
            </w:r>
            <w:r w:rsidR="005A5AB3">
              <w:rPr>
                <w:rFonts w:eastAsia="Times New Roman"/>
                <w:lang w:eastAsia="en-US"/>
              </w:rPr>
              <w:t>.</w:t>
            </w:r>
            <w:r w:rsidR="00F60D83">
              <w:rPr>
                <w:rFonts w:eastAsia="Times New Roman"/>
                <w:lang w:eastAsia="en-US"/>
              </w:rPr>
              <w:t xml:space="preserve"> </w:t>
            </w:r>
          </w:p>
          <w:p w:rsidR="00E02E54" w:rsidRDefault="00E02E54" w:rsidP="0094765E">
            <w:pPr>
              <w:spacing w:before="0" w:after="0" w:line="280" w:lineRule="atLeast"/>
              <w:contextualSpacing/>
              <w:rPr>
                <w:rFonts w:eastAsia="Times New Roman"/>
                <w:lang w:eastAsia="en-US"/>
              </w:rPr>
            </w:pPr>
          </w:p>
          <w:p w:rsidR="00EE6221" w:rsidRDefault="0043672E" w:rsidP="00C4678C">
            <w:pPr>
              <w:spacing w:before="0" w:after="0" w:line="280" w:lineRule="atLeast"/>
              <w:contextualSpacing/>
              <w:rPr>
                <w:rFonts w:eastAsia="Times New Roman"/>
                <w:lang w:eastAsia="en-US"/>
              </w:rPr>
            </w:pPr>
            <w:r>
              <w:rPr>
                <w:rFonts w:eastAsia="Times New Roman"/>
                <w:lang w:eastAsia="en-US"/>
              </w:rPr>
              <w:t>Public h</w:t>
            </w:r>
            <w:r w:rsidR="00BF583D" w:rsidRPr="00BF583D">
              <w:rPr>
                <w:rFonts w:eastAsia="Times New Roman"/>
                <w:lang w:eastAsia="en-US"/>
              </w:rPr>
              <w:t xml:space="preserve">ealth </w:t>
            </w:r>
            <w:r w:rsidRPr="00BF583D">
              <w:rPr>
                <w:rFonts w:eastAsia="Times New Roman"/>
                <w:lang w:eastAsia="en-US"/>
              </w:rPr>
              <w:t xml:space="preserve">and </w:t>
            </w:r>
            <w:r>
              <w:rPr>
                <w:rFonts w:eastAsia="Times New Roman"/>
                <w:lang w:eastAsia="en-US"/>
              </w:rPr>
              <w:t>s</w:t>
            </w:r>
            <w:r w:rsidRPr="00BF583D">
              <w:rPr>
                <w:rFonts w:eastAsia="Times New Roman"/>
                <w:lang w:eastAsia="en-US"/>
              </w:rPr>
              <w:t xml:space="preserve">ocial </w:t>
            </w:r>
            <w:r w:rsidR="00BF583D" w:rsidRPr="00BF583D">
              <w:rPr>
                <w:rFonts w:eastAsia="Times New Roman"/>
                <w:lang w:eastAsia="en-US"/>
              </w:rPr>
              <w:t xml:space="preserve">care systems </w:t>
            </w:r>
            <w:r w:rsidR="006F6E01">
              <w:rPr>
                <w:rFonts w:eastAsia="Times New Roman"/>
                <w:lang w:eastAsia="en-US"/>
              </w:rPr>
              <w:t xml:space="preserve">of all three programme countries </w:t>
            </w:r>
            <w:r w:rsidR="00BF583D" w:rsidRPr="00BF583D">
              <w:rPr>
                <w:rFonts w:eastAsia="Times New Roman"/>
                <w:lang w:eastAsia="en-US"/>
              </w:rPr>
              <w:t>are in a need for modernisation whereas the services in the sector</w:t>
            </w:r>
            <w:r w:rsidR="00BB2492">
              <w:rPr>
                <w:rFonts w:eastAsia="Times New Roman"/>
                <w:lang w:eastAsia="en-US"/>
              </w:rPr>
              <w:t>s</w:t>
            </w:r>
            <w:r w:rsidR="00BF583D" w:rsidRPr="00BF583D">
              <w:rPr>
                <w:rFonts w:eastAsia="Times New Roman"/>
                <w:lang w:eastAsia="en-US"/>
              </w:rPr>
              <w:t xml:space="preserve"> should become more accessible. Furthermore, the level of ICT solutions in use should be increased as well as skills of health and social care workers better adapted to the real needs of the beneficiaries, especially in the rural areas. Quality, scope and delivery mechanism of social services provided to users in vulnerable positions are not well adapted to their diversified needs and the changing environment, such as ageing of population, increased number of users, and different user profiles. The social care system is unequally developed at different levels where the services are provided and across the regions, which leads to significant differences in access to services and reduces the effectiveness of service provision.</w:t>
            </w:r>
          </w:p>
          <w:p w:rsidR="00BF583D" w:rsidRDefault="00BF583D" w:rsidP="00C4678C">
            <w:pPr>
              <w:spacing w:before="0" w:after="0" w:line="280" w:lineRule="atLeast"/>
              <w:contextualSpacing/>
              <w:rPr>
                <w:rFonts w:eastAsia="Times New Roman"/>
                <w:lang w:eastAsia="en-US"/>
              </w:rPr>
            </w:pPr>
          </w:p>
          <w:p w:rsidR="00EE6221" w:rsidRDefault="00EE6221" w:rsidP="00C4678C">
            <w:pPr>
              <w:spacing w:before="0" w:after="0" w:line="280" w:lineRule="atLeast"/>
              <w:contextualSpacing/>
              <w:rPr>
                <w:rFonts w:eastAsia="Times New Roman"/>
                <w:lang w:eastAsia="en-US"/>
              </w:rPr>
            </w:pPr>
            <w:r>
              <w:rPr>
                <w:rFonts w:eastAsia="Times New Roman"/>
                <w:lang w:eastAsia="en-US"/>
              </w:rPr>
              <w:t xml:space="preserve">In line with situation analysis of the programme area, there is a need to improve protection measures and management for sustaining the environment and nature of the programme area as well as for adapting to the climate changes </w:t>
            </w:r>
            <w:r w:rsidR="00F444EA">
              <w:rPr>
                <w:rFonts w:eastAsia="Times New Roman"/>
                <w:lang w:eastAsia="en-US"/>
              </w:rPr>
              <w:t>which have resulted</w:t>
            </w:r>
            <w:r>
              <w:rPr>
                <w:rFonts w:eastAsia="Times New Roman"/>
                <w:lang w:eastAsia="en-US"/>
              </w:rPr>
              <w:t xml:space="preserve"> in natural disasters as floods, fires and draughts</w:t>
            </w:r>
            <w:r w:rsidR="00F444EA">
              <w:rPr>
                <w:rFonts w:eastAsia="Times New Roman"/>
                <w:lang w:eastAsia="en-US"/>
              </w:rPr>
              <w:t xml:space="preserve"> recently</w:t>
            </w:r>
            <w:r>
              <w:rPr>
                <w:rFonts w:eastAsia="Times New Roman"/>
                <w:lang w:eastAsia="en-US"/>
              </w:rPr>
              <w:t>.</w:t>
            </w:r>
            <w:r w:rsidR="00F444EA">
              <w:rPr>
                <w:rFonts w:eastAsia="Times New Roman"/>
                <w:lang w:eastAsia="en-US"/>
              </w:rPr>
              <w:t xml:space="preserve"> Furthermore, taking into account existing potential in </w:t>
            </w:r>
            <w:r w:rsidR="00F444EA">
              <w:rPr>
                <w:rFonts w:eastAsia="Times New Roman"/>
                <w:lang w:eastAsia="en-US"/>
              </w:rPr>
              <w:lastRenderedPageBreak/>
              <w:t>renewable energy resources of the programme area</w:t>
            </w:r>
            <w:r w:rsidR="0023417E">
              <w:rPr>
                <w:rFonts w:eastAsia="Times New Roman"/>
                <w:lang w:eastAsia="en-US"/>
              </w:rPr>
              <w:t xml:space="preserve"> as well as </w:t>
            </w:r>
            <w:r w:rsidR="0023417E" w:rsidRPr="0023417E">
              <w:rPr>
                <w:rFonts w:eastAsia="Times New Roman"/>
                <w:lang w:eastAsia="en-US"/>
              </w:rPr>
              <w:t>the need for strengthening energy efficiency as it is one of the lowest-cost means of reducing carbon dioxide (CO2) emissions</w:t>
            </w:r>
            <w:r w:rsidR="00F444EA">
              <w:rPr>
                <w:rFonts w:eastAsia="Times New Roman"/>
                <w:lang w:eastAsia="en-US"/>
              </w:rPr>
              <w:t>, this programme seeks the opportunity in using this potential to contribute to the sustainable use of energy and strengthening energy efficiency</w:t>
            </w:r>
            <w:r w:rsidR="0023417E">
              <w:rPr>
                <w:rFonts w:eastAsia="Times New Roman"/>
                <w:lang w:eastAsia="en-US"/>
              </w:rPr>
              <w:t>, especially in the public infrastructures</w:t>
            </w:r>
            <w:r w:rsidR="00F444EA">
              <w:rPr>
                <w:rFonts w:eastAsia="Times New Roman"/>
                <w:lang w:eastAsia="en-US"/>
              </w:rPr>
              <w:t>.</w:t>
            </w:r>
          </w:p>
          <w:p w:rsidR="009503C5" w:rsidRDefault="009503C5" w:rsidP="00C4678C">
            <w:pPr>
              <w:spacing w:before="0" w:after="0" w:line="280" w:lineRule="atLeast"/>
              <w:contextualSpacing/>
              <w:rPr>
                <w:rFonts w:eastAsia="Times New Roman"/>
                <w:lang w:eastAsia="en-US"/>
              </w:rPr>
            </w:pPr>
          </w:p>
          <w:p w:rsidR="007807AF" w:rsidRPr="007807AF" w:rsidRDefault="0023417E" w:rsidP="00C4678C">
            <w:pPr>
              <w:spacing w:before="0" w:after="0" w:line="280" w:lineRule="atLeast"/>
              <w:contextualSpacing/>
            </w:pPr>
            <w:r>
              <w:rPr>
                <w:rFonts w:eastAsia="Times New Roman"/>
                <w:lang w:eastAsia="en-US"/>
              </w:rPr>
              <w:t xml:space="preserve">In line with the conclusions from situation analysis, </w:t>
            </w:r>
            <w:r w:rsidR="00281A6C" w:rsidRPr="00281A6C">
              <w:rPr>
                <w:rFonts w:eastAsia="Times New Roman"/>
                <w:lang w:eastAsia="en-US"/>
              </w:rPr>
              <w:t>there is a strong need for diversification of tourism offer, integrated destination management system, building capacities of the personnel working in the sector, improving tourism infrastructure and facilities, joint branding and marketing and better support to entrepreneurs in the sector</w:t>
            </w:r>
            <w:r w:rsidR="00281A6C">
              <w:rPr>
                <w:rFonts w:eastAsia="Times New Roman"/>
                <w:lang w:eastAsia="en-US"/>
              </w:rPr>
              <w:t xml:space="preserve">. </w:t>
            </w:r>
            <w:r w:rsidR="009503C5">
              <w:rPr>
                <w:rFonts w:eastAsia="Times New Roman"/>
                <w:lang w:eastAsia="en-US"/>
              </w:rPr>
              <w:t xml:space="preserve">Long historical and cultural tradition, rich </w:t>
            </w:r>
            <w:r w:rsidR="00C4678C" w:rsidRPr="00BB3B9C">
              <w:rPr>
                <w:rFonts w:eastAsia="Times New Roman"/>
                <w:lang w:eastAsia="en-US"/>
              </w:rPr>
              <w:t xml:space="preserve">cultural </w:t>
            </w:r>
            <w:r w:rsidR="009503C5">
              <w:rPr>
                <w:rFonts w:eastAsia="Times New Roman"/>
                <w:lang w:eastAsia="en-US"/>
              </w:rPr>
              <w:t xml:space="preserve">and </w:t>
            </w:r>
            <w:r w:rsidR="009503C5" w:rsidRPr="00BB3B9C">
              <w:rPr>
                <w:rFonts w:eastAsia="Times New Roman"/>
                <w:lang w:eastAsia="en-US"/>
              </w:rPr>
              <w:t xml:space="preserve">natural </w:t>
            </w:r>
            <w:r w:rsidR="00C4678C" w:rsidRPr="00BB3B9C">
              <w:rPr>
                <w:rFonts w:eastAsia="Times New Roman"/>
                <w:lang w:eastAsia="en-US"/>
              </w:rPr>
              <w:t>heritage</w:t>
            </w:r>
            <w:r w:rsidR="009503C5">
              <w:rPr>
                <w:rFonts w:eastAsia="Times New Roman"/>
                <w:lang w:eastAsia="en-US"/>
              </w:rPr>
              <w:t xml:space="preserve"> and large number of tourist attractions</w:t>
            </w:r>
            <w:r w:rsidR="00C4678C">
              <w:rPr>
                <w:rFonts w:eastAsia="Times New Roman"/>
                <w:lang w:eastAsia="en-US"/>
              </w:rPr>
              <w:t xml:space="preserve"> </w:t>
            </w:r>
            <w:r w:rsidR="009503C5">
              <w:rPr>
                <w:rFonts w:eastAsia="Times New Roman"/>
                <w:lang w:eastAsia="en-US"/>
              </w:rPr>
              <w:t>represent</w:t>
            </w:r>
            <w:r w:rsidR="00C4678C">
              <w:rPr>
                <w:rFonts w:eastAsia="Times New Roman"/>
                <w:lang w:eastAsia="en-US"/>
              </w:rPr>
              <w:t xml:space="preserve"> the most important potential </w:t>
            </w:r>
            <w:r w:rsidR="007807AF">
              <w:rPr>
                <w:rFonts w:eastAsia="Times New Roman"/>
                <w:lang w:eastAsia="en-US"/>
              </w:rPr>
              <w:t xml:space="preserve">of the programme area. This programme seeks the opportunity to use </w:t>
            </w:r>
            <w:r w:rsidR="007807AF">
              <w:t xml:space="preserve">this </w:t>
            </w:r>
            <w:r w:rsidR="00D06463">
              <w:t xml:space="preserve">rich potential in the tourism </w:t>
            </w:r>
            <w:r w:rsidR="007807AF">
              <w:t xml:space="preserve">sector in order to contribute to the </w:t>
            </w:r>
            <w:r w:rsidR="007807AF" w:rsidRPr="00972BB2">
              <w:t>economic and social development</w:t>
            </w:r>
            <w:r w:rsidR="007807AF">
              <w:rPr>
                <w:rFonts w:eastAsia="Times New Roman"/>
                <w:lang w:eastAsia="en-US"/>
              </w:rPr>
              <w:t xml:space="preserve"> of the programme area</w:t>
            </w:r>
            <w:r w:rsidR="007807AF">
              <w:t xml:space="preserve"> by further developing different tourism niches, integrating cultural and natural resources into tourism offer, developing joint products and brands and strengthening the capacities</w:t>
            </w:r>
            <w:r w:rsidR="006F6E01">
              <w:t xml:space="preserve"> in these sectors</w:t>
            </w:r>
            <w:r w:rsidR="007807AF">
              <w:t>.</w:t>
            </w:r>
          </w:p>
          <w:p w:rsidR="00FE0132" w:rsidRDefault="00FE0132" w:rsidP="0094765E">
            <w:pPr>
              <w:spacing w:before="0" w:after="0" w:line="280" w:lineRule="atLeast"/>
              <w:contextualSpacing/>
              <w:rPr>
                <w:rFonts w:eastAsia="Times New Roman"/>
                <w:lang w:eastAsia="en-US"/>
              </w:rPr>
            </w:pPr>
          </w:p>
          <w:p w:rsidR="00DF3214" w:rsidRDefault="00BC4F82" w:rsidP="00797FE3">
            <w:pPr>
              <w:spacing w:after="0" w:line="280" w:lineRule="atLeast"/>
              <w:contextualSpacing/>
              <w:rPr>
                <w:rFonts w:eastAsia="Times New Roman"/>
                <w:lang w:eastAsia="en-US"/>
              </w:rPr>
            </w:pPr>
            <w:r w:rsidRPr="00BC4F82">
              <w:rPr>
                <w:rFonts w:eastAsia="Times New Roman"/>
                <w:lang w:eastAsia="en-US"/>
              </w:rPr>
              <w:t>Situation analysis has identified that despite recovery from financial crisis worldwide, programme countries are still facing problems with revitalizing production and trade sectors but also economy in general reflected in poor economic performance, lack of entrepreneurial capacities</w:t>
            </w:r>
            <w:r>
              <w:rPr>
                <w:rFonts w:eastAsia="Times New Roman"/>
                <w:lang w:eastAsia="en-US"/>
              </w:rPr>
              <w:t xml:space="preserve"> and </w:t>
            </w:r>
            <w:r w:rsidRPr="00BC4F82">
              <w:rPr>
                <w:rFonts w:eastAsia="Times New Roman"/>
                <w:lang w:eastAsia="en-US"/>
              </w:rPr>
              <w:t>inadequate business support</w:t>
            </w:r>
            <w:r>
              <w:rPr>
                <w:rFonts w:eastAsia="Times New Roman"/>
                <w:lang w:eastAsia="en-US"/>
              </w:rPr>
              <w:t xml:space="preserve"> of the programme area. However, as the analysis has indicated that there is existing intuitional infrastructure</w:t>
            </w:r>
            <w:r w:rsidR="008D5307">
              <w:rPr>
                <w:rFonts w:eastAsia="Times New Roman"/>
                <w:lang w:eastAsia="en-US"/>
              </w:rPr>
              <w:t xml:space="preserve"> for business development</w:t>
            </w:r>
            <w:r>
              <w:rPr>
                <w:rFonts w:eastAsia="Times New Roman"/>
                <w:lang w:eastAsia="en-US"/>
              </w:rPr>
              <w:t xml:space="preserve">, this programme will focus on providing the opportunity to strengthen </w:t>
            </w:r>
            <w:r w:rsidR="00AE7831">
              <w:rPr>
                <w:rFonts w:eastAsia="Times New Roman"/>
                <w:lang w:eastAsia="en-US"/>
              </w:rPr>
              <w:t xml:space="preserve">business support sector in order to enhance </w:t>
            </w:r>
            <w:r w:rsidR="008D5307">
              <w:rPr>
                <w:rFonts w:eastAsia="Times New Roman"/>
                <w:lang w:eastAsia="en-US"/>
              </w:rPr>
              <w:t>common sectors/industries by supporting cooperation</w:t>
            </w:r>
            <w:r w:rsidR="00AE7831">
              <w:rPr>
                <w:rFonts w:eastAsia="Times New Roman"/>
                <w:lang w:eastAsia="en-US"/>
              </w:rPr>
              <w:t xml:space="preserve"> and further development, e.g. of </w:t>
            </w:r>
            <w:r w:rsidR="008D5307">
              <w:rPr>
                <w:rFonts w:eastAsia="Times New Roman"/>
                <w:lang w:eastAsia="en-US"/>
              </w:rPr>
              <w:t>new products/brands/services.</w:t>
            </w:r>
          </w:p>
          <w:p w:rsidR="00DF3214" w:rsidRDefault="00DF3214" w:rsidP="00797FE3">
            <w:pPr>
              <w:spacing w:after="0" w:line="280" w:lineRule="atLeast"/>
              <w:contextualSpacing/>
              <w:rPr>
                <w:rFonts w:eastAsia="Times New Roman"/>
                <w:lang w:eastAsia="en-US"/>
              </w:rPr>
            </w:pPr>
          </w:p>
          <w:p w:rsidR="004B6114" w:rsidRDefault="004B6114" w:rsidP="00797FE3">
            <w:pPr>
              <w:spacing w:after="0" w:line="280" w:lineRule="atLeast"/>
              <w:contextualSpacing/>
              <w:rPr>
                <w:rFonts w:eastAsia="Times New Roman"/>
                <w:lang w:eastAsia="en-US"/>
              </w:rPr>
            </w:pPr>
          </w:p>
          <w:p w:rsidR="00F21C23" w:rsidRPr="007B60A4" w:rsidRDefault="00F21C23" w:rsidP="005D4DD7">
            <w:pPr>
              <w:pStyle w:val="ListParagraph"/>
              <w:numPr>
                <w:ilvl w:val="1"/>
                <w:numId w:val="59"/>
              </w:numPr>
              <w:spacing w:after="0" w:line="280" w:lineRule="atLeast"/>
              <w:contextualSpacing/>
              <w:rPr>
                <w:b/>
                <w:szCs w:val="24"/>
              </w:rPr>
            </w:pPr>
            <w:r w:rsidRPr="00CA356F">
              <w:rPr>
                <w:b/>
                <w:szCs w:val="24"/>
              </w:rPr>
              <w:t>How the cooperation programme will address these needs and challenges</w:t>
            </w:r>
          </w:p>
          <w:p w:rsidR="00F97E5E" w:rsidRPr="007B60A4" w:rsidRDefault="002D4947" w:rsidP="007B60A4">
            <w:pPr>
              <w:spacing w:after="0" w:line="280" w:lineRule="atLeast"/>
              <w:contextualSpacing/>
              <w:rPr>
                <w:rFonts w:eastAsia="Times New Roman"/>
                <w:lang w:eastAsia="en-US"/>
              </w:rPr>
            </w:pPr>
            <w:r w:rsidRPr="002D4947">
              <w:rPr>
                <w:rFonts w:eastAsia="Times New Roman"/>
                <w:lang w:eastAsia="en-US"/>
              </w:rPr>
              <w:t xml:space="preserve">Besides taking into account identified needs and challenges of the programme area, the overall programme strategy is formulated </w:t>
            </w:r>
            <w:r w:rsidR="00F21C23" w:rsidRPr="007B60A4">
              <w:rPr>
                <w:rFonts w:eastAsia="Times New Roman"/>
                <w:lang w:eastAsia="en-US"/>
              </w:rPr>
              <w:t xml:space="preserve">is formulated in direct response to the </w:t>
            </w:r>
            <w:r>
              <w:rPr>
                <w:rFonts w:eastAsia="Times New Roman"/>
                <w:lang w:eastAsia="en-US"/>
              </w:rPr>
              <w:t xml:space="preserve">relevant Partnership </w:t>
            </w:r>
            <w:r w:rsidR="00F97E5E" w:rsidRPr="007B60A4">
              <w:rPr>
                <w:rFonts w:eastAsia="Times New Roman"/>
                <w:lang w:eastAsia="en-US"/>
              </w:rPr>
              <w:t xml:space="preserve">Agreement </w:t>
            </w:r>
            <w:r w:rsidR="0099523B" w:rsidRPr="003B70D5">
              <w:rPr>
                <w:lang w:eastAsia="fr-BE"/>
              </w:rPr>
              <w:t xml:space="preserve">for Croatia </w:t>
            </w:r>
            <w:r w:rsidR="00136F4C" w:rsidRPr="007B60A4">
              <w:rPr>
                <w:rFonts w:eastAsia="Times New Roman"/>
                <w:lang w:eastAsia="en-US"/>
              </w:rPr>
              <w:t xml:space="preserve">(HR) </w:t>
            </w:r>
            <w:r w:rsidR="00F97E5E" w:rsidRPr="007B60A4">
              <w:rPr>
                <w:rFonts w:eastAsia="Times New Roman"/>
                <w:lang w:eastAsia="en-US"/>
              </w:rPr>
              <w:t xml:space="preserve">and </w:t>
            </w:r>
            <w:r w:rsidR="0004271A" w:rsidRPr="007B60A4">
              <w:rPr>
                <w:rFonts w:eastAsia="Times New Roman"/>
                <w:lang w:eastAsia="en-US"/>
              </w:rPr>
              <w:t>Indicative</w:t>
            </w:r>
            <w:r w:rsidR="00F97E5E" w:rsidRPr="007B60A4">
              <w:rPr>
                <w:rFonts w:eastAsia="Times New Roman"/>
                <w:lang w:eastAsia="en-US"/>
              </w:rPr>
              <w:t xml:space="preserve"> Strateg</w:t>
            </w:r>
            <w:r w:rsidR="0004271A" w:rsidRPr="007B60A4">
              <w:rPr>
                <w:rFonts w:eastAsia="Times New Roman"/>
                <w:lang w:eastAsia="en-US"/>
              </w:rPr>
              <w:t>y</w:t>
            </w:r>
            <w:r w:rsidR="00F97E5E" w:rsidRPr="007B60A4">
              <w:rPr>
                <w:rFonts w:eastAsia="Times New Roman"/>
                <w:lang w:eastAsia="en-US"/>
              </w:rPr>
              <w:t xml:space="preserve"> Papers </w:t>
            </w:r>
            <w:r w:rsidR="00411A8C" w:rsidRPr="007B60A4">
              <w:rPr>
                <w:rFonts w:eastAsia="Times New Roman"/>
                <w:lang w:eastAsia="en-US"/>
              </w:rPr>
              <w:t>for</w:t>
            </w:r>
            <w:r w:rsidR="00F97E5E" w:rsidRPr="007B60A4">
              <w:rPr>
                <w:rFonts w:eastAsia="Times New Roman"/>
                <w:lang w:eastAsia="en-US"/>
              </w:rPr>
              <w:t xml:space="preserve"> </w:t>
            </w:r>
            <w:r w:rsidR="00136F4C" w:rsidRPr="007B60A4">
              <w:rPr>
                <w:rFonts w:eastAsia="Times New Roman"/>
                <w:lang w:eastAsia="en-US"/>
              </w:rPr>
              <w:t>B</w:t>
            </w:r>
            <w:r w:rsidR="008C04AB">
              <w:rPr>
                <w:rFonts w:eastAsia="Times New Roman"/>
                <w:lang w:eastAsia="en-US"/>
              </w:rPr>
              <w:t>osnia and Herzegovina (B</w:t>
            </w:r>
            <w:r w:rsidR="00136F4C" w:rsidRPr="007B60A4">
              <w:rPr>
                <w:rFonts w:eastAsia="Times New Roman"/>
                <w:lang w:eastAsia="en-US"/>
              </w:rPr>
              <w:t>A</w:t>
            </w:r>
            <w:r w:rsidR="008C04AB">
              <w:rPr>
                <w:rFonts w:eastAsia="Times New Roman"/>
                <w:lang w:eastAsia="en-US"/>
              </w:rPr>
              <w:t>)</w:t>
            </w:r>
            <w:r w:rsidR="00136F4C" w:rsidRPr="007B60A4">
              <w:rPr>
                <w:rFonts w:eastAsia="Times New Roman"/>
                <w:lang w:eastAsia="en-US"/>
              </w:rPr>
              <w:t xml:space="preserve"> </w:t>
            </w:r>
            <w:r w:rsidR="00F97E5E" w:rsidRPr="007B60A4">
              <w:rPr>
                <w:rFonts w:eastAsia="Times New Roman"/>
                <w:lang w:eastAsia="en-US"/>
              </w:rPr>
              <w:t xml:space="preserve">and </w:t>
            </w:r>
            <w:r w:rsidR="008C04AB">
              <w:rPr>
                <w:rFonts w:eastAsia="Times New Roman"/>
                <w:lang w:eastAsia="en-US"/>
              </w:rPr>
              <w:t>Montenegro (</w:t>
            </w:r>
            <w:r w:rsidR="00F97E5E" w:rsidRPr="007B60A4">
              <w:rPr>
                <w:rFonts w:eastAsia="Times New Roman"/>
                <w:lang w:eastAsia="en-US"/>
              </w:rPr>
              <w:t>ME</w:t>
            </w:r>
            <w:r w:rsidR="008C04AB">
              <w:rPr>
                <w:rFonts w:eastAsia="Times New Roman"/>
                <w:lang w:eastAsia="en-US"/>
              </w:rPr>
              <w:t>)</w:t>
            </w:r>
            <w:r w:rsidR="00F97E5E" w:rsidRPr="007B60A4">
              <w:rPr>
                <w:rFonts w:eastAsia="Times New Roman"/>
                <w:lang w:eastAsia="en-US"/>
              </w:rPr>
              <w:t>.</w:t>
            </w:r>
          </w:p>
          <w:p w:rsidR="007B60A4" w:rsidRPr="001159C2" w:rsidRDefault="00537E0A" w:rsidP="00E42C22">
            <w:pPr>
              <w:spacing w:after="0" w:line="280" w:lineRule="atLeast"/>
              <w:contextualSpacing/>
              <w:rPr>
                <w:szCs w:val="24"/>
                <w:highlight w:val="yellow"/>
              </w:rPr>
            </w:pPr>
            <w:r w:rsidRPr="007B60A4">
              <w:rPr>
                <w:rFonts w:eastAsia="Times New Roman"/>
                <w:lang w:eastAsia="en-US"/>
              </w:rPr>
              <w:t>Partnership Agreement (HR)</w:t>
            </w:r>
            <w:r w:rsidR="00954E1F" w:rsidRPr="007B60A4">
              <w:rPr>
                <w:rFonts w:eastAsia="Times New Roman"/>
                <w:lang w:eastAsia="en-US"/>
              </w:rPr>
              <w:t xml:space="preserve"> </w:t>
            </w:r>
            <w:r w:rsidR="002276D5" w:rsidRPr="007B60A4">
              <w:rPr>
                <w:rFonts w:eastAsia="Times New Roman"/>
                <w:lang w:eastAsia="en-US"/>
              </w:rPr>
              <w:t xml:space="preserve">identifies </w:t>
            </w:r>
            <w:r w:rsidR="00954E1F" w:rsidRPr="007B60A4">
              <w:rPr>
                <w:rFonts w:eastAsia="Times New Roman"/>
                <w:lang w:eastAsia="en-US"/>
              </w:rPr>
              <w:t>main funding priorities</w:t>
            </w:r>
            <w:r w:rsidR="002276D5" w:rsidRPr="007B60A4">
              <w:rPr>
                <w:rFonts w:eastAsia="Times New Roman"/>
                <w:lang w:eastAsia="en-US"/>
              </w:rPr>
              <w:t xml:space="preserve"> for the ESI fund</w:t>
            </w:r>
            <w:r w:rsidR="00954E1F" w:rsidRPr="007B60A4">
              <w:rPr>
                <w:rFonts w:eastAsia="Times New Roman"/>
                <w:lang w:eastAsia="en-US"/>
              </w:rPr>
              <w:t xml:space="preserve"> </w:t>
            </w:r>
            <w:r w:rsidR="002276D5" w:rsidRPr="007B60A4">
              <w:rPr>
                <w:rFonts w:eastAsia="Times New Roman"/>
                <w:lang w:eastAsia="en-US"/>
              </w:rPr>
              <w:t>for C</w:t>
            </w:r>
            <w:r w:rsidR="0019022B" w:rsidRPr="007B60A4">
              <w:rPr>
                <w:rFonts w:eastAsia="Times New Roman"/>
                <w:lang w:eastAsia="en-US"/>
              </w:rPr>
              <w:t>roatia for the period 2014-2010. These are:</w:t>
            </w:r>
          </w:p>
          <w:p w:rsidR="00CE3D54" w:rsidRPr="009C31ED" w:rsidRDefault="00184365" w:rsidP="007B60A4">
            <w:pPr>
              <w:spacing w:after="0"/>
              <w:contextualSpacing/>
              <w:rPr>
                <w:b/>
                <w:szCs w:val="24"/>
              </w:rPr>
            </w:pPr>
            <w:r>
              <w:rPr>
                <w:b/>
                <w:szCs w:val="24"/>
              </w:rPr>
              <w:t xml:space="preserve">     -    </w:t>
            </w:r>
            <w:r w:rsidR="00CE3D54" w:rsidRPr="009C31ED">
              <w:rPr>
                <w:b/>
                <w:szCs w:val="24"/>
              </w:rPr>
              <w:t>Innovative and competitive business and research environment</w:t>
            </w:r>
          </w:p>
          <w:p w:rsidR="00CE3D54" w:rsidRPr="009C31ED" w:rsidRDefault="00CE3D54" w:rsidP="00A430A9">
            <w:pPr>
              <w:pStyle w:val="ListParagraph"/>
              <w:numPr>
                <w:ilvl w:val="6"/>
                <w:numId w:val="50"/>
              </w:numPr>
              <w:spacing w:after="0"/>
              <w:contextualSpacing/>
              <w:rPr>
                <w:b/>
                <w:szCs w:val="24"/>
              </w:rPr>
            </w:pPr>
            <w:r w:rsidRPr="0000039F">
              <w:rPr>
                <w:b/>
                <w:szCs w:val="24"/>
              </w:rPr>
              <w:t>Promoting energy efficiency, renewable energies and protecting natural resources</w:t>
            </w:r>
          </w:p>
          <w:p w:rsidR="00CE3D54" w:rsidRPr="009C31ED" w:rsidRDefault="00CE3D54" w:rsidP="00A430A9">
            <w:pPr>
              <w:pStyle w:val="ListParagraph"/>
              <w:numPr>
                <w:ilvl w:val="6"/>
                <w:numId w:val="50"/>
              </w:numPr>
              <w:spacing w:after="0"/>
              <w:contextualSpacing/>
              <w:rPr>
                <w:szCs w:val="24"/>
              </w:rPr>
            </w:pPr>
            <w:r w:rsidRPr="0000039F">
              <w:rPr>
                <w:szCs w:val="24"/>
              </w:rPr>
              <w:t xml:space="preserve">Sustainable and </w:t>
            </w:r>
            <w:r w:rsidRPr="001159C2">
              <w:rPr>
                <w:szCs w:val="24"/>
              </w:rPr>
              <w:t>modern transport and network infrastructure</w:t>
            </w:r>
          </w:p>
          <w:p w:rsidR="00CE3D54" w:rsidRPr="009C31ED" w:rsidRDefault="00CE3D54" w:rsidP="00A430A9">
            <w:pPr>
              <w:pStyle w:val="ListParagraph"/>
              <w:numPr>
                <w:ilvl w:val="6"/>
                <w:numId w:val="50"/>
              </w:numPr>
              <w:spacing w:after="0"/>
              <w:contextualSpacing/>
              <w:rPr>
                <w:b/>
                <w:szCs w:val="24"/>
              </w:rPr>
            </w:pPr>
            <w:r w:rsidRPr="009C31ED">
              <w:rPr>
                <w:b/>
                <w:szCs w:val="24"/>
              </w:rPr>
              <w:t>Enhancing labour market participation and quality of the education system</w:t>
            </w:r>
          </w:p>
          <w:p w:rsidR="00CE3D54" w:rsidRPr="009C31ED" w:rsidRDefault="00CE3D54" w:rsidP="00A430A9">
            <w:pPr>
              <w:pStyle w:val="ListParagraph"/>
              <w:numPr>
                <w:ilvl w:val="6"/>
                <w:numId w:val="50"/>
              </w:numPr>
              <w:spacing w:after="0"/>
              <w:contextualSpacing/>
              <w:rPr>
                <w:szCs w:val="24"/>
              </w:rPr>
            </w:pPr>
            <w:r w:rsidRPr="009C31ED">
              <w:rPr>
                <w:b/>
                <w:szCs w:val="24"/>
              </w:rPr>
              <w:t>Active inclusion</w:t>
            </w:r>
            <w:r w:rsidRPr="009C31ED">
              <w:rPr>
                <w:szCs w:val="24"/>
              </w:rPr>
              <w:t xml:space="preserve"> and reduction of poverty</w:t>
            </w:r>
          </w:p>
          <w:p w:rsidR="00AB33D5" w:rsidRPr="00EB036B" w:rsidRDefault="00CE3D54" w:rsidP="00A430A9">
            <w:pPr>
              <w:pStyle w:val="ListParagraph"/>
              <w:numPr>
                <w:ilvl w:val="6"/>
                <w:numId w:val="50"/>
              </w:numPr>
              <w:spacing w:after="0"/>
              <w:contextualSpacing/>
              <w:rPr>
                <w:szCs w:val="24"/>
              </w:rPr>
            </w:pPr>
            <w:r w:rsidRPr="009C31ED">
              <w:rPr>
                <w:szCs w:val="24"/>
              </w:rPr>
              <w:t>Supporting the quality, effectiveness and efficiency of public administration and judiciary</w:t>
            </w:r>
            <w:r w:rsidR="00BB2492">
              <w:rPr>
                <w:szCs w:val="24"/>
              </w:rPr>
              <w:t>.</w:t>
            </w:r>
          </w:p>
          <w:p w:rsidR="00FB17E1" w:rsidRPr="009C31ED" w:rsidRDefault="00C72A68" w:rsidP="007B60A4">
            <w:pPr>
              <w:spacing w:after="0"/>
              <w:contextualSpacing/>
              <w:rPr>
                <w:szCs w:val="24"/>
              </w:rPr>
            </w:pPr>
            <w:r w:rsidRPr="009C31ED">
              <w:rPr>
                <w:szCs w:val="24"/>
              </w:rPr>
              <w:t xml:space="preserve">Indicative </w:t>
            </w:r>
            <w:r w:rsidR="00834EA5" w:rsidRPr="009C31ED">
              <w:rPr>
                <w:szCs w:val="24"/>
              </w:rPr>
              <w:t xml:space="preserve">Country </w:t>
            </w:r>
            <w:r w:rsidRPr="009C31ED">
              <w:rPr>
                <w:szCs w:val="24"/>
              </w:rPr>
              <w:t>Strategy Paper</w:t>
            </w:r>
            <w:r w:rsidR="00537E0A" w:rsidRPr="009C31ED">
              <w:rPr>
                <w:szCs w:val="24"/>
              </w:rPr>
              <w:t xml:space="preserve"> </w:t>
            </w:r>
            <w:r w:rsidR="00411A8C" w:rsidRPr="009C31ED">
              <w:rPr>
                <w:szCs w:val="24"/>
              </w:rPr>
              <w:t>for</w:t>
            </w:r>
            <w:r w:rsidR="00537E0A" w:rsidRPr="009C31ED">
              <w:rPr>
                <w:szCs w:val="24"/>
              </w:rPr>
              <w:t xml:space="preserve"> BA </w:t>
            </w:r>
            <w:r w:rsidR="00FB17E1" w:rsidRPr="009C31ED">
              <w:rPr>
                <w:szCs w:val="24"/>
              </w:rPr>
              <w:t>identifies main funding priorities in the following areas:</w:t>
            </w:r>
          </w:p>
          <w:p w:rsidR="00FB17E1" w:rsidRPr="009C31ED" w:rsidRDefault="00FB17E1" w:rsidP="007B60A4">
            <w:pPr>
              <w:spacing w:after="0"/>
              <w:contextualSpacing/>
              <w:rPr>
                <w:szCs w:val="24"/>
                <w:highlight w:val="yellow"/>
              </w:rPr>
            </w:pPr>
          </w:p>
          <w:p w:rsidR="00FA33DE" w:rsidRPr="009C31ED" w:rsidRDefault="00FA33DE" w:rsidP="00A430A9">
            <w:pPr>
              <w:pStyle w:val="ListParagraph"/>
              <w:numPr>
                <w:ilvl w:val="0"/>
                <w:numId w:val="50"/>
              </w:numPr>
              <w:spacing w:after="0"/>
              <w:contextualSpacing/>
              <w:rPr>
                <w:szCs w:val="24"/>
              </w:rPr>
            </w:pPr>
            <w:r w:rsidRPr="009C31ED">
              <w:rPr>
                <w:szCs w:val="24"/>
              </w:rPr>
              <w:t>Democracy and management</w:t>
            </w:r>
          </w:p>
          <w:p w:rsidR="00FA33DE" w:rsidRPr="009C31ED" w:rsidRDefault="00FA33DE" w:rsidP="00A430A9">
            <w:pPr>
              <w:pStyle w:val="ListParagraph"/>
              <w:numPr>
                <w:ilvl w:val="0"/>
                <w:numId w:val="50"/>
              </w:numPr>
              <w:spacing w:after="0"/>
              <w:contextualSpacing/>
              <w:rPr>
                <w:szCs w:val="24"/>
              </w:rPr>
            </w:pPr>
            <w:r w:rsidRPr="009C31ED">
              <w:rPr>
                <w:szCs w:val="24"/>
              </w:rPr>
              <w:t>Rule of law and basic rights</w:t>
            </w:r>
          </w:p>
          <w:p w:rsidR="00FA33DE" w:rsidRPr="009C31ED" w:rsidRDefault="00FA33DE" w:rsidP="00A430A9">
            <w:pPr>
              <w:pStyle w:val="ListParagraph"/>
              <w:numPr>
                <w:ilvl w:val="0"/>
                <w:numId w:val="50"/>
              </w:numPr>
              <w:spacing w:after="0"/>
              <w:contextualSpacing/>
              <w:rPr>
                <w:szCs w:val="24"/>
              </w:rPr>
            </w:pPr>
            <w:r w:rsidRPr="009C31ED">
              <w:rPr>
                <w:b/>
                <w:szCs w:val="24"/>
              </w:rPr>
              <w:t>Competitiveness and innovation</w:t>
            </w:r>
            <w:r w:rsidRPr="009C31ED">
              <w:rPr>
                <w:szCs w:val="24"/>
              </w:rPr>
              <w:t>, local development strategies</w:t>
            </w:r>
          </w:p>
          <w:p w:rsidR="00FB17E1" w:rsidRPr="009C31ED" w:rsidRDefault="00FA33DE" w:rsidP="00A430A9">
            <w:pPr>
              <w:pStyle w:val="ListParagraph"/>
              <w:numPr>
                <w:ilvl w:val="0"/>
                <w:numId w:val="50"/>
              </w:numPr>
              <w:spacing w:after="0"/>
              <w:contextualSpacing/>
              <w:rPr>
                <w:b/>
                <w:szCs w:val="24"/>
              </w:rPr>
            </w:pPr>
            <w:r w:rsidRPr="009C31ED">
              <w:rPr>
                <w:b/>
                <w:szCs w:val="24"/>
              </w:rPr>
              <w:t>Education, employment and social policies</w:t>
            </w:r>
            <w:r w:rsidR="00AA26C6">
              <w:rPr>
                <w:b/>
                <w:szCs w:val="24"/>
              </w:rPr>
              <w:t>.</w:t>
            </w:r>
          </w:p>
          <w:p w:rsidR="00FB17E1" w:rsidRPr="009C31ED" w:rsidRDefault="00FB17E1" w:rsidP="007B60A4">
            <w:pPr>
              <w:spacing w:after="0"/>
              <w:contextualSpacing/>
              <w:rPr>
                <w:szCs w:val="24"/>
              </w:rPr>
            </w:pPr>
          </w:p>
          <w:p w:rsidR="00F21C23" w:rsidRPr="009C31ED" w:rsidRDefault="00411A8C" w:rsidP="007B60A4">
            <w:pPr>
              <w:spacing w:after="0"/>
              <w:contextualSpacing/>
              <w:rPr>
                <w:szCs w:val="24"/>
              </w:rPr>
            </w:pPr>
            <w:r w:rsidRPr="009C31ED">
              <w:rPr>
                <w:szCs w:val="24"/>
              </w:rPr>
              <w:lastRenderedPageBreak/>
              <w:t xml:space="preserve">Indicative </w:t>
            </w:r>
            <w:r w:rsidR="00834EA5" w:rsidRPr="009C31ED">
              <w:rPr>
                <w:szCs w:val="24"/>
              </w:rPr>
              <w:t xml:space="preserve">Country </w:t>
            </w:r>
            <w:r w:rsidRPr="009C31ED">
              <w:rPr>
                <w:szCs w:val="24"/>
              </w:rPr>
              <w:t>Strategy Paper for</w:t>
            </w:r>
            <w:r w:rsidR="00FB17E1" w:rsidRPr="009C31ED">
              <w:rPr>
                <w:szCs w:val="24"/>
              </w:rPr>
              <w:t xml:space="preserve"> </w:t>
            </w:r>
            <w:r w:rsidR="00537E0A" w:rsidRPr="009C31ED">
              <w:rPr>
                <w:szCs w:val="24"/>
              </w:rPr>
              <w:t>ME</w:t>
            </w:r>
            <w:r w:rsidR="00F21C23" w:rsidRPr="009C31ED">
              <w:rPr>
                <w:szCs w:val="24"/>
              </w:rPr>
              <w:t xml:space="preserve"> </w:t>
            </w:r>
            <w:r w:rsidR="00FB17E1" w:rsidRPr="009C31ED">
              <w:rPr>
                <w:szCs w:val="24"/>
              </w:rPr>
              <w:t xml:space="preserve">identifies main funding priorities </w:t>
            </w:r>
            <w:r w:rsidR="00F21C23" w:rsidRPr="009C31ED">
              <w:rPr>
                <w:szCs w:val="24"/>
              </w:rPr>
              <w:t xml:space="preserve">in </w:t>
            </w:r>
            <w:r w:rsidR="00537E0A" w:rsidRPr="009C31ED">
              <w:rPr>
                <w:szCs w:val="24"/>
              </w:rPr>
              <w:t>the following</w:t>
            </w:r>
            <w:r w:rsidR="00F21C23" w:rsidRPr="009C31ED">
              <w:rPr>
                <w:szCs w:val="24"/>
              </w:rPr>
              <w:t xml:space="preserve"> areas:</w:t>
            </w:r>
          </w:p>
          <w:p w:rsidR="00EF2FCA" w:rsidRPr="009C31ED" w:rsidRDefault="00EF2FCA" w:rsidP="007B60A4">
            <w:pPr>
              <w:spacing w:after="0"/>
              <w:contextualSpacing/>
              <w:rPr>
                <w:szCs w:val="24"/>
              </w:rPr>
            </w:pPr>
          </w:p>
          <w:p w:rsidR="0021214B" w:rsidRPr="009C31ED" w:rsidRDefault="00EF2106" w:rsidP="00A430A9">
            <w:pPr>
              <w:pStyle w:val="ListParagraph"/>
              <w:numPr>
                <w:ilvl w:val="0"/>
                <w:numId w:val="50"/>
              </w:numPr>
              <w:spacing w:after="0"/>
              <w:contextualSpacing/>
              <w:rPr>
                <w:szCs w:val="24"/>
              </w:rPr>
            </w:pPr>
            <w:r w:rsidRPr="009C31ED">
              <w:rPr>
                <w:szCs w:val="24"/>
              </w:rPr>
              <w:t>Democracy and governance</w:t>
            </w:r>
          </w:p>
          <w:p w:rsidR="00EF2106" w:rsidRPr="009C31ED" w:rsidRDefault="00EF2106" w:rsidP="00A430A9">
            <w:pPr>
              <w:pStyle w:val="ListParagraph"/>
              <w:numPr>
                <w:ilvl w:val="0"/>
                <w:numId w:val="50"/>
              </w:numPr>
              <w:spacing w:after="0"/>
              <w:contextualSpacing/>
              <w:rPr>
                <w:szCs w:val="24"/>
              </w:rPr>
            </w:pPr>
            <w:r w:rsidRPr="009C31ED">
              <w:rPr>
                <w:szCs w:val="24"/>
              </w:rPr>
              <w:t>Rule of law and fundamental rights</w:t>
            </w:r>
          </w:p>
          <w:p w:rsidR="00EF2106" w:rsidRPr="009C31ED" w:rsidRDefault="00EF2106" w:rsidP="00A430A9">
            <w:pPr>
              <w:pStyle w:val="ListParagraph"/>
              <w:numPr>
                <w:ilvl w:val="0"/>
                <w:numId w:val="50"/>
              </w:numPr>
              <w:spacing w:after="0"/>
              <w:contextualSpacing/>
              <w:rPr>
                <w:b/>
                <w:szCs w:val="24"/>
              </w:rPr>
            </w:pPr>
            <w:r w:rsidRPr="009C31ED">
              <w:rPr>
                <w:b/>
                <w:szCs w:val="24"/>
              </w:rPr>
              <w:t>Environment and climate action</w:t>
            </w:r>
          </w:p>
          <w:p w:rsidR="00EF2106" w:rsidRPr="009C31ED" w:rsidRDefault="00EF2106" w:rsidP="00A430A9">
            <w:pPr>
              <w:pStyle w:val="ListParagraph"/>
              <w:numPr>
                <w:ilvl w:val="0"/>
                <w:numId w:val="50"/>
              </w:numPr>
              <w:spacing w:after="0"/>
              <w:contextualSpacing/>
              <w:rPr>
                <w:szCs w:val="24"/>
              </w:rPr>
            </w:pPr>
            <w:r w:rsidRPr="009C31ED">
              <w:rPr>
                <w:szCs w:val="24"/>
              </w:rPr>
              <w:t>Transport</w:t>
            </w:r>
          </w:p>
          <w:p w:rsidR="00EF2106" w:rsidRPr="009C31ED" w:rsidRDefault="00EF2106" w:rsidP="00A430A9">
            <w:pPr>
              <w:pStyle w:val="ListParagraph"/>
              <w:numPr>
                <w:ilvl w:val="0"/>
                <w:numId w:val="50"/>
              </w:numPr>
              <w:spacing w:after="0"/>
              <w:contextualSpacing/>
              <w:rPr>
                <w:b/>
                <w:szCs w:val="24"/>
              </w:rPr>
            </w:pPr>
            <w:r w:rsidRPr="009C31ED">
              <w:rPr>
                <w:b/>
                <w:szCs w:val="24"/>
              </w:rPr>
              <w:t>Competitiveness and innovation</w:t>
            </w:r>
          </w:p>
          <w:p w:rsidR="00EF2106" w:rsidRPr="009C31ED" w:rsidRDefault="00EF2106" w:rsidP="00A430A9">
            <w:pPr>
              <w:pStyle w:val="ListParagraph"/>
              <w:numPr>
                <w:ilvl w:val="0"/>
                <w:numId w:val="50"/>
              </w:numPr>
              <w:spacing w:after="0"/>
              <w:contextualSpacing/>
              <w:rPr>
                <w:b/>
                <w:szCs w:val="24"/>
              </w:rPr>
            </w:pPr>
            <w:r w:rsidRPr="009C31ED">
              <w:rPr>
                <w:b/>
                <w:szCs w:val="24"/>
              </w:rPr>
              <w:t>Education, employment and social policies</w:t>
            </w:r>
          </w:p>
          <w:p w:rsidR="00EF2106" w:rsidRPr="009C31ED" w:rsidRDefault="00EF2106" w:rsidP="00A430A9">
            <w:pPr>
              <w:pStyle w:val="ListParagraph"/>
              <w:numPr>
                <w:ilvl w:val="0"/>
                <w:numId w:val="50"/>
              </w:numPr>
              <w:spacing w:after="0"/>
              <w:contextualSpacing/>
              <w:rPr>
                <w:szCs w:val="24"/>
              </w:rPr>
            </w:pPr>
            <w:r w:rsidRPr="009C31ED">
              <w:rPr>
                <w:szCs w:val="24"/>
              </w:rPr>
              <w:t>Agriculture and rural development</w:t>
            </w:r>
          </w:p>
          <w:p w:rsidR="00AA36FA" w:rsidRPr="009C31ED" w:rsidRDefault="00AA36FA" w:rsidP="00A430A9">
            <w:pPr>
              <w:pStyle w:val="ListParagraph"/>
              <w:numPr>
                <w:ilvl w:val="0"/>
                <w:numId w:val="50"/>
              </w:numPr>
              <w:spacing w:after="0"/>
              <w:contextualSpacing/>
              <w:rPr>
                <w:b/>
                <w:szCs w:val="24"/>
              </w:rPr>
            </w:pPr>
            <w:r w:rsidRPr="009C31ED">
              <w:rPr>
                <w:b/>
                <w:szCs w:val="24"/>
              </w:rPr>
              <w:t xml:space="preserve">Regional </w:t>
            </w:r>
            <w:r w:rsidR="006A39AB" w:rsidRPr="006A39AB">
              <w:rPr>
                <w:b/>
                <w:szCs w:val="24"/>
              </w:rPr>
              <w:t xml:space="preserve">cooperation </w:t>
            </w:r>
            <w:r w:rsidRPr="009C31ED">
              <w:rPr>
                <w:b/>
                <w:szCs w:val="24"/>
              </w:rPr>
              <w:t>and territorial cooperation</w:t>
            </w:r>
            <w:r w:rsidR="00DF3214">
              <w:rPr>
                <w:b/>
                <w:szCs w:val="24"/>
              </w:rPr>
              <w:t>.</w:t>
            </w:r>
          </w:p>
          <w:p w:rsidR="0021214B" w:rsidRPr="009C31ED" w:rsidRDefault="0021214B" w:rsidP="007B60A4">
            <w:pPr>
              <w:spacing w:after="0"/>
              <w:contextualSpacing/>
              <w:rPr>
                <w:szCs w:val="24"/>
              </w:rPr>
            </w:pPr>
          </w:p>
          <w:p w:rsidR="008F279E" w:rsidRDefault="008F279E" w:rsidP="008F279E">
            <w:pPr>
              <w:spacing w:after="0" w:line="280" w:lineRule="atLeast"/>
              <w:contextualSpacing/>
            </w:pPr>
            <w:r w:rsidRPr="003A3B80">
              <w:rPr>
                <w:szCs w:val="24"/>
              </w:rPr>
              <w:t xml:space="preserve">Furthermore, </w:t>
            </w:r>
            <w:r>
              <w:t>the specific o</w:t>
            </w:r>
            <w:r w:rsidRPr="003A3B80">
              <w:t xml:space="preserve">bjectives </w:t>
            </w:r>
            <w:r>
              <w:t>of the Programme are</w:t>
            </w:r>
            <w:r w:rsidRPr="00972BB2">
              <w:t xml:space="preserve"> specific</w:t>
            </w:r>
            <w:r>
              <w:t>ally</w:t>
            </w:r>
            <w:r w:rsidRPr="00972BB2">
              <w:t xml:space="preserve"> </w:t>
            </w:r>
            <w:r>
              <w:t xml:space="preserve">directed </w:t>
            </w:r>
            <w:r w:rsidRPr="00972BB2">
              <w:t xml:space="preserve">to the </w:t>
            </w:r>
            <w:r>
              <w:t>coherence and</w:t>
            </w:r>
            <w:r w:rsidRPr="00972BB2">
              <w:t xml:space="preserve"> complementarity with </w:t>
            </w:r>
            <w:r>
              <w:t xml:space="preserve">pillars set out in the </w:t>
            </w:r>
            <w:r w:rsidRPr="003A3B80">
              <w:t>South East Europe 2</w:t>
            </w:r>
            <w:r>
              <w:t>020 Strategy and specific sectorial dimensions under each of its pillar. Consequently, the implementation of the Programme cross-border cooperation activities will contribute to the achievement of the headline targets set out for each pillar of the SEE</w:t>
            </w:r>
            <w:r w:rsidRPr="003A3B80">
              <w:t xml:space="preserve"> 2</w:t>
            </w:r>
            <w:r>
              <w:t>020 Strategy.</w:t>
            </w:r>
          </w:p>
          <w:p w:rsidR="008F279E" w:rsidRDefault="008F279E" w:rsidP="008F279E">
            <w:pPr>
              <w:spacing w:after="0" w:line="280" w:lineRule="atLeast"/>
              <w:contextualSpacing/>
            </w:pPr>
            <w:r>
              <w:t xml:space="preserve">The overview of interlinked specific objectives and pillars is given below under description of each priority axis. As indicated, </w:t>
            </w:r>
            <w:r w:rsidRPr="00721CD7">
              <w:t>it is obvious that the wide range of interconnection between SOs of the Programme and the SEE 2020 Strategy pillars exist since each SO undertakes several sectorial dimensions of different pillars.</w:t>
            </w:r>
          </w:p>
          <w:p w:rsidR="008F279E" w:rsidRDefault="008F279E" w:rsidP="008F279E">
            <w:pPr>
              <w:spacing w:after="0" w:line="280" w:lineRule="atLeast"/>
              <w:contextualSpacing/>
            </w:pPr>
          </w:p>
          <w:p w:rsidR="008F279E" w:rsidRDefault="008F279E" w:rsidP="008F279E">
            <w:pPr>
              <w:spacing w:after="0" w:line="280" w:lineRule="atLeast"/>
              <w:contextualSpacing/>
            </w:pPr>
            <w:r w:rsidRPr="008F279E">
              <w:t>The programme strategy of the IPA cross-border programme Croatia- Bosnia and Herzegovina-Montenegro 2014-2020 programme is based on the specific analysis and identified needs of the programme area, which have been discussed and agreed on through the extensive programming process that included meetings and workshops of the Task Force as well as public and online consultation among the programme stakeholders. Moreover, the programming process took into account the lessons learned from the previous programming period, the given financial framework, the existence of suitable implementation and administration structures and priorities identified in relevant strategic documents (Partnership Agreement, Country Indicative Strategic Paper, Europe 2020, SEE 2020, COSME and Horizon 2020).</w:t>
            </w:r>
          </w:p>
          <w:p w:rsidR="008F279E" w:rsidRPr="008F279E" w:rsidRDefault="008F279E" w:rsidP="008F279E">
            <w:pPr>
              <w:spacing w:after="0" w:line="280" w:lineRule="atLeast"/>
              <w:contextualSpacing/>
            </w:pPr>
          </w:p>
          <w:p w:rsidR="008F279E" w:rsidRDefault="008F279E" w:rsidP="008F279E">
            <w:pPr>
              <w:spacing w:after="0" w:line="280" w:lineRule="atLeast"/>
              <w:contextualSpacing/>
            </w:pPr>
            <w:r w:rsidRPr="008F279E">
              <w:t>To achieve the intended targets for the priority axes, the actions supported within the priority axes have to contribute to the specific objectives of the relevant priority axis. The results of the different actions will have to be measured with the given result indicators. Effectiveness in the ratio between the costs of the operation and its contribution to reach the target values is also an important factor as well as the compliance of these actions with the relevant cross-border strategies.</w:t>
            </w:r>
          </w:p>
          <w:p w:rsidR="008F279E" w:rsidRDefault="008F279E" w:rsidP="008F279E">
            <w:pPr>
              <w:spacing w:after="0" w:line="280" w:lineRule="atLeast"/>
              <w:contextualSpacing/>
            </w:pPr>
          </w:p>
          <w:p w:rsidR="00825E03" w:rsidRPr="009C31ED" w:rsidRDefault="00825E03" w:rsidP="007B60A4">
            <w:pPr>
              <w:spacing w:after="0"/>
              <w:contextualSpacing/>
              <w:rPr>
                <w:szCs w:val="24"/>
              </w:rPr>
            </w:pPr>
            <w:r w:rsidRPr="009C31ED">
              <w:rPr>
                <w:szCs w:val="24"/>
              </w:rPr>
              <w:t xml:space="preserve">The specific </w:t>
            </w:r>
            <w:r w:rsidR="005321EC" w:rsidRPr="009C31ED">
              <w:rPr>
                <w:szCs w:val="24"/>
              </w:rPr>
              <w:t>objectives</w:t>
            </w:r>
            <w:r w:rsidRPr="009C31ED">
              <w:rPr>
                <w:szCs w:val="24"/>
              </w:rPr>
              <w:t xml:space="preserve"> of IPA</w:t>
            </w:r>
            <w:r w:rsidR="00962831">
              <w:rPr>
                <w:szCs w:val="24"/>
              </w:rPr>
              <w:t xml:space="preserve"> CBC p</w:t>
            </w:r>
            <w:r w:rsidRPr="009C31ED">
              <w:rPr>
                <w:szCs w:val="24"/>
              </w:rPr>
              <w:t>rogramme Croatia-Bosnia and Herzegovina-Montenegro 2014-2020 tak</w:t>
            </w:r>
            <w:r w:rsidR="005321EC" w:rsidRPr="009C31ED">
              <w:rPr>
                <w:szCs w:val="24"/>
              </w:rPr>
              <w:t>e</w:t>
            </w:r>
            <w:r w:rsidRPr="009C31ED">
              <w:rPr>
                <w:szCs w:val="24"/>
              </w:rPr>
              <w:t xml:space="preserve"> into account common challenges and needs shared by the programme area and can thus contribute to social, economic and territorial cohesion than national endeavours alone.</w:t>
            </w:r>
            <w:r w:rsidR="008F279E">
              <w:rPr>
                <w:szCs w:val="24"/>
              </w:rPr>
              <w:t xml:space="preserve"> </w:t>
            </w:r>
            <w:r w:rsidR="008F279E" w:rsidRPr="008F279E">
              <w:rPr>
                <w:szCs w:val="24"/>
              </w:rPr>
              <w:t>The programme strategy seeks to reduce barriers of development by promoting sustainable and integrated territorial approaches. It aims to strengthen existing or to make use of yet untapped potentials to support territorial integration, which will ultimately result in creation of growth and jobs.</w:t>
            </w:r>
          </w:p>
          <w:p w:rsidR="008F279E" w:rsidRDefault="008F279E" w:rsidP="00797FE3">
            <w:pPr>
              <w:spacing w:after="0" w:line="280" w:lineRule="atLeast"/>
              <w:contextualSpacing/>
              <w:rPr>
                <w:szCs w:val="24"/>
              </w:rPr>
            </w:pPr>
          </w:p>
          <w:p w:rsidR="008F279E" w:rsidRPr="009C31ED" w:rsidRDefault="00825E03" w:rsidP="00797FE3">
            <w:pPr>
              <w:spacing w:after="0" w:line="280" w:lineRule="atLeast"/>
              <w:contextualSpacing/>
              <w:rPr>
                <w:szCs w:val="24"/>
              </w:rPr>
            </w:pPr>
            <w:r w:rsidRPr="009C31ED">
              <w:rPr>
                <w:szCs w:val="24"/>
              </w:rPr>
              <w:t xml:space="preserve">Consequently, by exploiting potentials of the area and striving to overcome barriers of development, the </w:t>
            </w:r>
            <w:r w:rsidR="005321EC" w:rsidRPr="009C31ED">
              <w:rPr>
                <w:szCs w:val="24"/>
              </w:rPr>
              <w:t>IPA</w:t>
            </w:r>
            <w:r w:rsidR="00962831">
              <w:rPr>
                <w:szCs w:val="24"/>
              </w:rPr>
              <w:t xml:space="preserve"> CBC p</w:t>
            </w:r>
            <w:r w:rsidR="005321EC" w:rsidRPr="009C31ED">
              <w:rPr>
                <w:szCs w:val="24"/>
              </w:rPr>
              <w:t xml:space="preserve">rogramme Croatia-Bosnia and Herzegovina-Montenegro 2014-2020 </w:t>
            </w:r>
            <w:r w:rsidRPr="009C31ED">
              <w:rPr>
                <w:szCs w:val="24"/>
              </w:rPr>
              <w:t xml:space="preserve">builds on the following </w:t>
            </w:r>
            <w:r w:rsidR="005321EC" w:rsidRPr="009C31ED">
              <w:rPr>
                <w:szCs w:val="24"/>
              </w:rPr>
              <w:t>TPs</w:t>
            </w:r>
            <w:r w:rsidRPr="009C31ED">
              <w:rPr>
                <w:szCs w:val="24"/>
              </w:rPr>
              <w:t xml:space="preserve"> </w:t>
            </w:r>
            <w:r w:rsidR="005321EC" w:rsidRPr="009C31ED">
              <w:rPr>
                <w:szCs w:val="24"/>
              </w:rPr>
              <w:t>which</w:t>
            </w:r>
            <w:r w:rsidRPr="009C31ED">
              <w:rPr>
                <w:szCs w:val="24"/>
              </w:rPr>
              <w:t xml:space="preserve"> are in line with issues identified </w:t>
            </w:r>
            <w:r w:rsidR="001751AC" w:rsidRPr="009C31ED">
              <w:rPr>
                <w:szCs w:val="24"/>
              </w:rPr>
              <w:t xml:space="preserve">as well as </w:t>
            </w:r>
            <w:r w:rsidR="001751AC" w:rsidRPr="009C31ED">
              <w:rPr>
                <w:szCs w:val="24"/>
              </w:rPr>
              <w:lastRenderedPageBreak/>
              <w:t xml:space="preserve">with development goals set out in </w:t>
            </w:r>
            <w:r w:rsidR="006F65AE" w:rsidRPr="009C31ED">
              <w:rPr>
                <w:szCs w:val="24"/>
              </w:rPr>
              <w:t xml:space="preserve">relevant </w:t>
            </w:r>
            <w:r w:rsidR="001751AC" w:rsidRPr="009C31ED">
              <w:rPr>
                <w:szCs w:val="24"/>
              </w:rPr>
              <w:t>national strateg</w:t>
            </w:r>
            <w:r w:rsidR="001A1A67" w:rsidRPr="009C31ED">
              <w:rPr>
                <w:szCs w:val="24"/>
              </w:rPr>
              <w:t>y</w:t>
            </w:r>
            <w:r w:rsidR="001751AC" w:rsidRPr="009C31ED">
              <w:rPr>
                <w:szCs w:val="24"/>
              </w:rPr>
              <w:t xml:space="preserve"> papers</w:t>
            </w:r>
            <w:r w:rsidRPr="009C31ED">
              <w:rPr>
                <w:szCs w:val="24"/>
              </w:rPr>
              <w:t>:</w:t>
            </w:r>
          </w:p>
          <w:p w:rsidR="00825E03" w:rsidRPr="009C31ED" w:rsidRDefault="008463E2" w:rsidP="00A430A9">
            <w:pPr>
              <w:pStyle w:val="ListParagraph"/>
              <w:numPr>
                <w:ilvl w:val="0"/>
                <w:numId w:val="50"/>
              </w:numPr>
              <w:spacing w:after="0" w:line="280" w:lineRule="atLeast"/>
              <w:contextualSpacing/>
              <w:rPr>
                <w:szCs w:val="24"/>
              </w:rPr>
            </w:pPr>
            <w:r>
              <w:rPr>
                <w:szCs w:val="24"/>
              </w:rPr>
              <w:t xml:space="preserve">Public </w:t>
            </w:r>
            <w:r w:rsidR="00AA26C6">
              <w:rPr>
                <w:szCs w:val="24"/>
              </w:rPr>
              <w:t>health and social care s</w:t>
            </w:r>
            <w:r w:rsidR="00CF63D8" w:rsidRPr="00CF63D8">
              <w:rPr>
                <w:szCs w:val="24"/>
              </w:rPr>
              <w:t xml:space="preserve">ector </w:t>
            </w:r>
            <w:r w:rsidR="00825E03" w:rsidRPr="009C31ED">
              <w:rPr>
                <w:szCs w:val="24"/>
              </w:rPr>
              <w:t>(T</w:t>
            </w:r>
            <w:r w:rsidR="005321EC" w:rsidRPr="009C31ED">
              <w:rPr>
                <w:szCs w:val="24"/>
              </w:rPr>
              <w:t>P</w:t>
            </w:r>
            <w:r w:rsidR="00825E03" w:rsidRPr="009C31ED">
              <w:rPr>
                <w:szCs w:val="24"/>
              </w:rPr>
              <w:t xml:space="preserve"> 1)</w:t>
            </w:r>
          </w:p>
          <w:p w:rsidR="00825E03" w:rsidRPr="009C31ED" w:rsidRDefault="00CF63D8" w:rsidP="00A430A9">
            <w:pPr>
              <w:pStyle w:val="ListParagraph"/>
              <w:numPr>
                <w:ilvl w:val="0"/>
                <w:numId w:val="50"/>
              </w:numPr>
              <w:spacing w:after="0" w:line="280" w:lineRule="atLeast"/>
              <w:contextualSpacing/>
              <w:rPr>
                <w:szCs w:val="24"/>
              </w:rPr>
            </w:pPr>
            <w:r w:rsidRPr="00CF63D8">
              <w:rPr>
                <w:szCs w:val="24"/>
              </w:rPr>
              <w:t xml:space="preserve">Environment, </w:t>
            </w:r>
            <w:r w:rsidR="00233769">
              <w:rPr>
                <w:szCs w:val="24"/>
              </w:rPr>
              <w:t>b</w:t>
            </w:r>
            <w:r w:rsidRPr="00CF63D8">
              <w:rPr>
                <w:szCs w:val="24"/>
              </w:rPr>
              <w:t xml:space="preserve">iodiversity, </w:t>
            </w:r>
            <w:r w:rsidR="00233769">
              <w:rPr>
                <w:szCs w:val="24"/>
              </w:rPr>
              <w:t>r</w:t>
            </w:r>
            <w:r w:rsidRPr="00CF63D8">
              <w:rPr>
                <w:szCs w:val="24"/>
              </w:rPr>
              <w:t xml:space="preserve">isk </w:t>
            </w:r>
            <w:r w:rsidR="00233769">
              <w:rPr>
                <w:szCs w:val="24"/>
              </w:rPr>
              <w:t>p</w:t>
            </w:r>
            <w:r w:rsidRPr="00CF63D8">
              <w:rPr>
                <w:szCs w:val="24"/>
              </w:rPr>
              <w:t xml:space="preserve">revention, </w:t>
            </w:r>
            <w:r w:rsidR="00233769">
              <w:rPr>
                <w:szCs w:val="24"/>
              </w:rPr>
              <w:t>s</w:t>
            </w:r>
            <w:r w:rsidRPr="00CF63D8">
              <w:rPr>
                <w:szCs w:val="24"/>
              </w:rPr>
              <w:t xml:space="preserve">ustainable </w:t>
            </w:r>
            <w:r w:rsidR="00233769">
              <w:rPr>
                <w:szCs w:val="24"/>
              </w:rPr>
              <w:t>e</w:t>
            </w:r>
            <w:r w:rsidRPr="00CF63D8">
              <w:rPr>
                <w:szCs w:val="24"/>
              </w:rPr>
              <w:t xml:space="preserve">nergy  and </w:t>
            </w:r>
            <w:r w:rsidR="00233769">
              <w:rPr>
                <w:szCs w:val="24"/>
              </w:rPr>
              <w:t>e</w:t>
            </w:r>
            <w:r w:rsidRPr="00CF63D8">
              <w:rPr>
                <w:szCs w:val="24"/>
              </w:rPr>
              <w:t xml:space="preserve">nergy </w:t>
            </w:r>
            <w:r w:rsidR="00233769">
              <w:rPr>
                <w:szCs w:val="24"/>
              </w:rPr>
              <w:t>e</w:t>
            </w:r>
            <w:r w:rsidRPr="00CF63D8">
              <w:rPr>
                <w:szCs w:val="24"/>
              </w:rPr>
              <w:t xml:space="preserve">fficiency </w:t>
            </w:r>
            <w:r w:rsidR="00825E03" w:rsidRPr="009C31ED">
              <w:rPr>
                <w:szCs w:val="24"/>
              </w:rPr>
              <w:t>(T</w:t>
            </w:r>
            <w:r w:rsidR="005321EC" w:rsidRPr="009C31ED">
              <w:rPr>
                <w:szCs w:val="24"/>
              </w:rPr>
              <w:t>P 2</w:t>
            </w:r>
            <w:r w:rsidR="00825E03" w:rsidRPr="009C31ED">
              <w:rPr>
                <w:szCs w:val="24"/>
              </w:rPr>
              <w:t>)</w:t>
            </w:r>
          </w:p>
          <w:p w:rsidR="00825E03" w:rsidRPr="009C31ED" w:rsidRDefault="00962831" w:rsidP="00A430A9">
            <w:pPr>
              <w:pStyle w:val="ListParagraph"/>
              <w:numPr>
                <w:ilvl w:val="0"/>
                <w:numId w:val="50"/>
              </w:numPr>
              <w:spacing w:after="0" w:line="280" w:lineRule="atLeast"/>
              <w:contextualSpacing/>
              <w:rPr>
                <w:szCs w:val="24"/>
              </w:rPr>
            </w:pPr>
            <w:r>
              <w:rPr>
                <w:szCs w:val="24"/>
              </w:rPr>
              <w:t xml:space="preserve">Tourism and </w:t>
            </w:r>
            <w:r w:rsidR="00233769">
              <w:rPr>
                <w:szCs w:val="24"/>
              </w:rPr>
              <w:t>c</w:t>
            </w:r>
            <w:r w:rsidR="00FC3586" w:rsidRPr="009C31ED">
              <w:rPr>
                <w:szCs w:val="24"/>
              </w:rPr>
              <w:t xml:space="preserve">ultural and </w:t>
            </w:r>
            <w:r w:rsidR="00233769">
              <w:rPr>
                <w:szCs w:val="24"/>
              </w:rPr>
              <w:t>n</w:t>
            </w:r>
            <w:r w:rsidR="00FC3586" w:rsidRPr="009C31ED">
              <w:rPr>
                <w:szCs w:val="24"/>
              </w:rPr>
              <w:t xml:space="preserve">atural </w:t>
            </w:r>
            <w:r w:rsidR="00233769">
              <w:rPr>
                <w:szCs w:val="24"/>
              </w:rPr>
              <w:t>h</w:t>
            </w:r>
            <w:r w:rsidR="004A29F3" w:rsidRPr="009C31ED">
              <w:rPr>
                <w:szCs w:val="24"/>
              </w:rPr>
              <w:t xml:space="preserve">eritage </w:t>
            </w:r>
            <w:r w:rsidR="00825E03" w:rsidRPr="009C31ED">
              <w:rPr>
                <w:szCs w:val="24"/>
              </w:rPr>
              <w:t>(T</w:t>
            </w:r>
            <w:r w:rsidR="005321EC" w:rsidRPr="009C31ED">
              <w:rPr>
                <w:szCs w:val="24"/>
              </w:rPr>
              <w:t>P</w:t>
            </w:r>
            <w:r w:rsidR="00825E03" w:rsidRPr="009C31ED">
              <w:rPr>
                <w:szCs w:val="24"/>
              </w:rPr>
              <w:t xml:space="preserve"> </w:t>
            </w:r>
            <w:r w:rsidR="005321EC" w:rsidRPr="009C31ED">
              <w:rPr>
                <w:szCs w:val="24"/>
              </w:rPr>
              <w:t>4</w:t>
            </w:r>
            <w:r w:rsidR="00825E03" w:rsidRPr="009C31ED">
              <w:rPr>
                <w:szCs w:val="24"/>
              </w:rPr>
              <w:t>)</w:t>
            </w:r>
          </w:p>
          <w:p w:rsidR="00825E03" w:rsidRPr="009C31ED" w:rsidRDefault="00CF63D8" w:rsidP="00A430A9">
            <w:pPr>
              <w:pStyle w:val="ListParagraph"/>
              <w:numPr>
                <w:ilvl w:val="0"/>
                <w:numId w:val="50"/>
              </w:numPr>
              <w:spacing w:after="0" w:line="280" w:lineRule="atLeast"/>
              <w:contextualSpacing/>
              <w:rPr>
                <w:szCs w:val="24"/>
              </w:rPr>
            </w:pPr>
            <w:r w:rsidRPr="00CF63D8">
              <w:rPr>
                <w:szCs w:val="24"/>
              </w:rPr>
              <w:t xml:space="preserve">Competitiveness and </w:t>
            </w:r>
            <w:r w:rsidR="00233769">
              <w:rPr>
                <w:szCs w:val="24"/>
              </w:rPr>
              <w:t>b</w:t>
            </w:r>
            <w:r w:rsidRPr="00CF63D8">
              <w:rPr>
                <w:szCs w:val="24"/>
              </w:rPr>
              <w:t xml:space="preserve">usiness </w:t>
            </w:r>
            <w:r w:rsidR="00233769">
              <w:rPr>
                <w:szCs w:val="24"/>
              </w:rPr>
              <w:t>e</w:t>
            </w:r>
            <w:r w:rsidRPr="00CF63D8">
              <w:rPr>
                <w:szCs w:val="24"/>
              </w:rPr>
              <w:t xml:space="preserve">nvironment </w:t>
            </w:r>
            <w:r w:rsidR="00233769">
              <w:rPr>
                <w:szCs w:val="24"/>
              </w:rPr>
              <w:t>d</w:t>
            </w:r>
            <w:r w:rsidRPr="00CF63D8">
              <w:rPr>
                <w:szCs w:val="24"/>
              </w:rPr>
              <w:t xml:space="preserve">evelopment </w:t>
            </w:r>
            <w:r w:rsidR="00825E03" w:rsidRPr="009C31ED">
              <w:rPr>
                <w:szCs w:val="24"/>
              </w:rPr>
              <w:t>(T</w:t>
            </w:r>
            <w:r w:rsidR="005321EC" w:rsidRPr="009C31ED">
              <w:rPr>
                <w:szCs w:val="24"/>
              </w:rPr>
              <w:t>P</w:t>
            </w:r>
            <w:r w:rsidR="00825E03" w:rsidRPr="009C31ED">
              <w:rPr>
                <w:szCs w:val="24"/>
              </w:rPr>
              <w:t xml:space="preserve"> 7) </w:t>
            </w:r>
          </w:p>
          <w:p w:rsidR="00825E03" w:rsidRPr="009C31ED" w:rsidRDefault="00825E03" w:rsidP="00797FE3">
            <w:pPr>
              <w:spacing w:after="0" w:line="280" w:lineRule="atLeast"/>
              <w:contextualSpacing/>
              <w:rPr>
                <w:szCs w:val="24"/>
              </w:rPr>
            </w:pPr>
            <w:r w:rsidRPr="009C31ED">
              <w:rPr>
                <w:szCs w:val="24"/>
              </w:rPr>
              <w:t>The selected T</w:t>
            </w:r>
            <w:r w:rsidR="005321EC" w:rsidRPr="009C31ED">
              <w:rPr>
                <w:szCs w:val="24"/>
              </w:rPr>
              <w:t>P</w:t>
            </w:r>
            <w:r w:rsidRPr="009C31ED">
              <w:rPr>
                <w:szCs w:val="24"/>
              </w:rPr>
              <w:t xml:space="preserve">s have been translated into four priority axes, which reflect the needs and challenges as identified in the situational analysis of the programme area. </w:t>
            </w:r>
          </w:p>
          <w:p w:rsidR="007E4F59" w:rsidRPr="00BC09FD" w:rsidRDefault="00825E03" w:rsidP="007E4F59">
            <w:pPr>
              <w:spacing w:after="0" w:line="280" w:lineRule="atLeast"/>
              <w:contextualSpacing/>
              <w:rPr>
                <w:szCs w:val="24"/>
              </w:rPr>
            </w:pPr>
            <w:r w:rsidRPr="009C31ED">
              <w:rPr>
                <w:szCs w:val="24"/>
              </w:rPr>
              <w:t xml:space="preserve">For each </w:t>
            </w:r>
            <w:r w:rsidR="005321EC" w:rsidRPr="009C31ED">
              <w:rPr>
                <w:szCs w:val="24"/>
              </w:rPr>
              <w:t>TP</w:t>
            </w:r>
            <w:r w:rsidRPr="009C31ED">
              <w:rPr>
                <w:szCs w:val="24"/>
              </w:rPr>
              <w:t xml:space="preserve"> </w:t>
            </w:r>
            <w:r w:rsidR="001A766B" w:rsidRPr="009C31ED">
              <w:rPr>
                <w:szCs w:val="24"/>
              </w:rPr>
              <w:t xml:space="preserve">one or </w:t>
            </w:r>
            <w:r w:rsidRPr="009C31ED">
              <w:rPr>
                <w:szCs w:val="24"/>
              </w:rPr>
              <w:t xml:space="preserve">two specific objectives (SO) were then defined. The </w:t>
            </w:r>
            <w:r w:rsidR="00F52176" w:rsidRPr="004F16AA">
              <w:rPr>
                <w:szCs w:val="24"/>
              </w:rPr>
              <w:t>six</w:t>
            </w:r>
            <w:r w:rsidRPr="009C31ED">
              <w:rPr>
                <w:szCs w:val="24"/>
              </w:rPr>
              <w:t xml:space="preserve"> SOs indicate specific changes that the </w:t>
            </w:r>
            <w:r w:rsidR="005321EC" w:rsidRPr="009C31ED">
              <w:rPr>
                <w:szCs w:val="24"/>
              </w:rPr>
              <w:t xml:space="preserve">IPA </w:t>
            </w:r>
            <w:r w:rsidR="00DC5430">
              <w:rPr>
                <w:szCs w:val="24"/>
              </w:rPr>
              <w:t>CBC p</w:t>
            </w:r>
            <w:r w:rsidR="005321EC" w:rsidRPr="009C31ED">
              <w:rPr>
                <w:szCs w:val="24"/>
              </w:rPr>
              <w:t xml:space="preserve">rogramme Croatia-Bosnia and Herzegovina-Montenegro 2014-2020 </w:t>
            </w:r>
            <w:r w:rsidRPr="009C31ED">
              <w:rPr>
                <w:szCs w:val="24"/>
              </w:rPr>
              <w:t xml:space="preserve">intends to reach. </w:t>
            </w:r>
          </w:p>
          <w:p w:rsidR="00A1279B" w:rsidRPr="006C629A" w:rsidRDefault="00BC09FD" w:rsidP="006C629A">
            <w:pPr>
              <w:rPr>
                <w:szCs w:val="24"/>
              </w:rPr>
            </w:pPr>
            <w:r w:rsidRPr="00BC09FD">
              <w:rPr>
                <w:szCs w:val="24"/>
              </w:rPr>
              <w:t xml:space="preserve">The programme area needs and challenges will be addressed through the following priority axes: </w:t>
            </w:r>
          </w:p>
          <w:p w:rsidR="00AF1540" w:rsidRPr="009C31ED" w:rsidRDefault="00AF1540" w:rsidP="00797FE3">
            <w:pPr>
              <w:spacing w:after="0" w:line="280" w:lineRule="atLeast"/>
              <w:contextualSpacing/>
              <w:rPr>
                <w:b/>
                <w:i/>
                <w:color w:val="548DD4" w:themeColor="text2" w:themeTint="99"/>
                <w:szCs w:val="24"/>
              </w:rPr>
            </w:pPr>
            <w:r w:rsidRPr="009C31ED">
              <w:rPr>
                <w:b/>
                <w:i/>
                <w:color w:val="548DD4" w:themeColor="text2" w:themeTint="99"/>
                <w:szCs w:val="24"/>
              </w:rPr>
              <w:t xml:space="preserve">Priority Axis 1 – </w:t>
            </w:r>
            <w:r w:rsidRPr="004F16AA">
              <w:rPr>
                <w:b/>
                <w:i/>
                <w:color w:val="548DD4" w:themeColor="text2" w:themeTint="99"/>
                <w:szCs w:val="24"/>
              </w:rPr>
              <w:t>“</w:t>
            </w:r>
            <w:r w:rsidR="000407D4" w:rsidRPr="000407D4">
              <w:rPr>
                <w:b/>
                <w:i/>
                <w:color w:val="548DD4" w:themeColor="text2" w:themeTint="99"/>
                <w:szCs w:val="24"/>
              </w:rPr>
              <w:t>Improving the quality of the services in public health and social care sector</w:t>
            </w:r>
            <w:r w:rsidRPr="004F16AA">
              <w:rPr>
                <w:b/>
                <w:i/>
                <w:color w:val="548DD4" w:themeColor="text2" w:themeTint="99"/>
                <w:szCs w:val="24"/>
              </w:rPr>
              <w:t>”</w:t>
            </w:r>
          </w:p>
          <w:p w:rsidR="005C5553" w:rsidRPr="009C31ED" w:rsidRDefault="005C5553" w:rsidP="00797FE3">
            <w:pPr>
              <w:spacing w:after="0" w:line="280" w:lineRule="atLeast"/>
              <w:contextualSpacing/>
              <w:rPr>
                <w:szCs w:val="24"/>
              </w:rPr>
            </w:pPr>
          </w:p>
          <w:p w:rsidR="00AF1540" w:rsidRPr="009C31ED" w:rsidRDefault="00AF1540" w:rsidP="00797FE3">
            <w:pPr>
              <w:spacing w:after="0" w:line="280" w:lineRule="atLeast"/>
              <w:contextualSpacing/>
              <w:rPr>
                <w:szCs w:val="24"/>
              </w:rPr>
            </w:pPr>
            <w:r w:rsidRPr="009C31ED">
              <w:rPr>
                <w:szCs w:val="24"/>
              </w:rPr>
              <w:t xml:space="preserve">Priority axis 1 </w:t>
            </w:r>
            <w:r w:rsidR="003276C3" w:rsidRPr="009C31ED">
              <w:rPr>
                <w:szCs w:val="24"/>
              </w:rPr>
              <w:t>aims to contribute to enhanc</w:t>
            </w:r>
            <w:r w:rsidR="008955BB">
              <w:rPr>
                <w:szCs w:val="24"/>
              </w:rPr>
              <w:t>ing</w:t>
            </w:r>
            <w:r w:rsidR="003276C3" w:rsidRPr="009C31ED">
              <w:rPr>
                <w:szCs w:val="24"/>
              </w:rPr>
              <w:t xml:space="preserve"> </w:t>
            </w:r>
            <w:r w:rsidR="00DC5430">
              <w:rPr>
                <w:szCs w:val="24"/>
              </w:rPr>
              <w:t>public</w:t>
            </w:r>
            <w:r w:rsidR="003276C3" w:rsidRPr="009C31ED">
              <w:rPr>
                <w:szCs w:val="24"/>
              </w:rPr>
              <w:t xml:space="preserve"> health</w:t>
            </w:r>
            <w:r w:rsidR="008955BB">
              <w:rPr>
                <w:szCs w:val="24"/>
              </w:rPr>
              <w:t xml:space="preserve"> and social </w:t>
            </w:r>
            <w:r w:rsidR="003276C3" w:rsidRPr="009C31ED">
              <w:rPr>
                <w:szCs w:val="24"/>
              </w:rPr>
              <w:t>care</w:t>
            </w:r>
            <w:r w:rsidRPr="009C31ED">
              <w:rPr>
                <w:szCs w:val="24"/>
              </w:rPr>
              <w:t xml:space="preserve"> especially through </w:t>
            </w:r>
            <w:r w:rsidR="00FC2A53" w:rsidRPr="009C31ED">
              <w:rPr>
                <w:szCs w:val="24"/>
              </w:rPr>
              <w:t xml:space="preserve">development of capacities and skills </w:t>
            </w:r>
            <w:r w:rsidR="003B08F4" w:rsidRPr="009C31ED">
              <w:rPr>
                <w:szCs w:val="24"/>
              </w:rPr>
              <w:t xml:space="preserve">of </w:t>
            </w:r>
            <w:r w:rsidR="002B3B01">
              <w:rPr>
                <w:szCs w:val="24"/>
              </w:rPr>
              <w:t xml:space="preserve">the related </w:t>
            </w:r>
            <w:r w:rsidR="003B08F4" w:rsidRPr="009C31ED">
              <w:rPr>
                <w:szCs w:val="24"/>
              </w:rPr>
              <w:t xml:space="preserve">labour force </w:t>
            </w:r>
            <w:r w:rsidR="00FC2A53" w:rsidRPr="009C31ED">
              <w:rPr>
                <w:szCs w:val="24"/>
              </w:rPr>
              <w:t xml:space="preserve">and </w:t>
            </w:r>
            <w:r w:rsidR="003B08F4" w:rsidRPr="009C31ED">
              <w:rPr>
                <w:szCs w:val="24"/>
              </w:rPr>
              <w:t xml:space="preserve">through </w:t>
            </w:r>
            <w:r w:rsidR="007D3D5A" w:rsidRPr="009C31ED">
              <w:rPr>
                <w:szCs w:val="24"/>
              </w:rPr>
              <w:t xml:space="preserve">improvement of </w:t>
            </w:r>
            <w:r w:rsidR="00FC2A53" w:rsidRPr="009C31ED">
              <w:rPr>
                <w:szCs w:val="24"/>
              </w:rPr>
              <w:t xml:space="preserve">services in </w:t>
            </w:r>
            <w:r w:rsidR="00646690">
              <w:rPr>
                <w:szCs w:val="24"/>
              </w:rPr>
              <w:t>both</w:t>
            </w:r>
            <w:r w:rsidR="00FC2A53" w:rsidRPr="009C31ED">
              <w:rPr>
                <w:szCs w:val="24"/>
              </w:rPr>
              <w:t xml:space="preserve"> sector</w:t>
            </w:r>
            <w:r w:rsidR="00646690">
              <w:rPr>
                <w:szCs w:val="24"/>
              </w:rPr>
              <w:t>s</w:t>
            </w:r>
            <w:r w:rsidRPr="009C31ED">
              <w:rPr>
                <w:szCs w:val="24"/>
              </w:rPr>
              <w:t>.</w:t>
            </w:r>
            <w:r w:rsidR="00B649FD" w:rsidRPr="009C31ED">
              <w:rPr>
                <w:szCs w:val="24"/>
              </w:rPr>
              <w:t xml:space="preserve"> </w:t>
            </w:r>
          </w:p>
          <w:p w:rsidR="000E21BD" w:rsidRPr="009C31ED" w:rsidRDefault="000E21BD" w:rsidP="00797FE3">
            <w:pPr>
              <w:spacing w:after="0" w:line="280" w:lineRule="atLeast"/>
              <w:contextualSpacing/>
              <w:rPr>
                <w:szCs w:val="24"/>
              </w:rPr>
            </w:pPr>
          </w:p>
          <w:p w:rsidR="00D756C1" w:rsidRPr="009C31ED" w:rsidRDefault="00D756C1" w:rsidP="00797FE3">
            <w:pPr>
              <w:spacing w:after="0" w:line="280" w:lineRule="atLeast"/>
              <w:contextualSpacing/>
              <w:rPr>
                <w:szCs w:val="24"/>
              </w:rPr>
            </w:pPr>
            <w:r w:rsidRPr="00D756C1">
              <w:rPr>
                <w:szCs w:val="24"/>
              </w:rPr>
              <w:t xml:space="preserve">More concretely, the programme will support actions with aim of enhancing accessibility to and effectiveness of the related health and social services, developing and implementing related lifelong learning programmes, developing and implementing programmes for increasing skills of health and social care workers to better adapt to the real needs of the beneficiaries, implementing actions for improving quality, scope and delivery mechanism of social services provided to users in vulnerable positions as well as support networking activities with aim of enhancing </w:t>
            </w:r>
            <w:r w:rsidR="00A029BF" w:rsidRPr="00D756C1">
              <w:rPr>
                <w:szCs w:val="24"/>
              </w:rPr>
              <w:t xml:space="preserve">health care and </w:t>
            </w:r>
            <w:r w:rsidRPr="00D756C1">
              <w:rPr>
                <w:szCs w:val="24"/>
              </w:rPr>
              <w:t>social services and facilities</w:t>
            </w:r>
            <w:r w:rsidR="00520301">
              <w:rPr>
                <w:szCs w:val="24"/>
              </w:rPr>
              <w:t xml:space="preserve">. </w:t>
            </w:r>
            <w:r w:rsidR="00520301" w:rsidRPr="00520301">
              <w:rPr>
                <w:szCs w:val="24"/>
              </w:rPr>
              <w:t>In addition, the actions that will be supported under this priority axis will be those with the aim of developing schemes and using ICT tools for establishing networking structures for the purpose of common disaster response across the borders.</w:t>
            </w:r>
            <w:r w:rsidR="00520301" w:rsidRPr="00A029BF">
              <w:rPr>
                <w:szCs w:val="24"/>
              </w:rPr>
              <w:t xml:space="preserve"> </w:t>
            </w:r>
            <w:r w:rsidR="009C2489">
              <w:rPr>
                <w:szCs w:val="24"/>
              </w:rPr>
              <w:t>Therefore</w:t>
            </w:r>
            <w:r w:rsidR="008F1380">
              <w:rPr>
                <w:szCs w:val="24"/>
              </w:rPr>
              <w:t xml:space="preserve">, </w:t>
            </w:r>
            <w:r w:rsidR="00F831BC">
              <w:rPr>
                <w:szCs w:val="24"/>
              </w:rPr>
              <w:t>this priority axis</w:t>
            </w:r>
            <w:r w:rsidR="00F831BC" w:rsidRPr="00D756C1">
              <w:rPr>
                <w:szCs w:val="24"/>
              </w:rPr>
              <w:t xml:space="preserve"> </w:t>
            </w:r>
            <w:r w:rsidR="008F1380" w:rsidRPr="008F1380">
              <w:rPr>
                <w:szCs w:val="24"/>
              </w:rPr>
              <w:t xml:space="preserve">is to address </w:t>
            </w:r>
            <w:r w:rsidR="008F1380">
              <w:rPr>
                <w:szCs w:val="24"/>
              </w:rPr>
              <w:t>common</w:t>
            </w:r>
            <w:r w:rsidR="008F1380" w:rsidRPr="008F1380">
              <w:rPr>
                <w:szCs w:val="24"/>
              </w:rPr>
              <w:t xml:space="preserve"> challenges through </w:t>
            </w:r>
            <w:r w:rsidR="008F1380">
              <w:rPr>
                <w:szCs w:val="24"/>
              </w:rPr>
              <w:t xml:space="preserve">cross-border </w:t>
            </w:r>
            <w:r w:rsidR="008F1380" w:rsidRPr="008F1380">
              <w:rPr>
                <w:szCs w:val="24"/>
              </w:rPr>
              <w:t xml:space="preserve">cooperation </w:t>
            </w:r>
            <w:r w:rsidR="008F1380">
              <w:rPr>
                <w:szCs w:val="24"/>
              </w:rPr>
              <w:t xml:space="preserve">in order to enhance the common opportunities and improve the potentials </w:t>
            </w:r>
            <w:r w:rsidR="00641C1F">
              <w:rPr>
                <w:szCs w:val="24"/>
              </w:rPr>
              <w:t xml:space="preserve">by searching common cross-border solutions. </w:t>
            </w:r>
          </w:p>
          <w:p w:rsidR="006242E7" w:rsidRPr="009C31ED" w:rsidRDefault="003F446F" w:rsidP="00797FE3">
            <w:pPr>
              <w:spacing w:after="0" w:line="280" w:lineRule="atLeast"/>
              <w:contextualSpacing/>
              <w:rPr>
                <w:szCs w:val="24"/>
              </w:rPr>
            </w:pPr>
            <w:r w:rsidRPr="009C31ED">
              <w:rPr>
                <w:szCs w:val="24"/>
              </w:rPr>
              <w:t xml:space="preserve">A clear contribution to the following main funding priorities </w:t>
            </w:r>
            <w:r w:rsidR="00AF4DFB" w:rsidRPr="009C31ED">
              <w:rPr>
                <w:szCs w:val="24"/>
              </w:rPr>
              <w:t>of relevant national strateg</w:t>
            </w:r>
            <w:r w:rsidR="00FA3BBA" w:rsidRPr="009C31ED">
              <w:rPr>
                <w:szCs w:val="24"/>
              </w:rPr>
              <w:t>y</w:t>
            </w:r>
            <w:r w:rsidR="00AF4DFB" w:rsidRPr="009C31ED">
              <w:rPr>
                <w:szCs w:val="24"/>
              </w:rPr>
              <w:t xml:space="preserve"> papers </w:t>
            </w:r>
            <w:r w:rsidRPr="009C31ED">
              <w:rPr>
                <w:szCs w:val="24"/>
              </w:rPr>
              <w:t>can be observed:</w:t>
            </w:r>
          </w:p>
          <w:p w:rsidR="00870F5D" w:rsidRPr="00710413" w:rsidRDefault="00870F5D" w:rsidP="00A430A9">
            <w:pPr>
              <w:pStyle w:val="ListParagraph"/>
              <w:numPr>
                <w:ilvl w:val="0"/>
                <w:numId w:val="50"/>
              </w:numPr>
              <w:spacing w:after="0"/>
              <w:rPr>
                <w:szCs w:val="24"/>
              </w:rPr>
            </w:pPr>
            <w:r w:rsidRPr="009C31ED">
              <w:rPr>
                <w:szCs w:val="24"/>
              </w:rPr>
              <w:t>Active inclusion and reduction of poverty</w:t>
            </w:r>
            <w:r w:rsidR="00DB672B">
              <w:rPr>
                <w:szCs w:val="24"/>
              </w:rPr>
              <w:t xml:space="preserve"> – PA 1 will enhance and improve </w:t>
            </w:r>
            <w:r w:rsidR="00DB672B" w:rsidRPr="00DB672B">
              <w:rPr>
                <w:szCs w:val="24"/>
              </w:rPr>
              <w:t>public health and social care</w:t>
            </w:r>
            <w:r w:rsidR="00DB672B" w:rsidRPr="00D756C1">
              <w:rPr>
                <w:szCs w:val="24"/>
              </w:rPr>
              <w:t xml:space="preserve"> services</w:t>
            </w:r>
            <w:r w:rsidR="00614C17">
              <w:rPr>
                <w:szCs w:val="24"/>
              </w:rPr>
              <w:t xml:space="preserve"> </w:t>
            </w:r>
            <w:r w:rsidR="00710413" w:rsidRPr="00710413">
              <w:rPr>
                <w:szCs w:val="24"/>
              </w:rPr>
              <w:t>with special attention on improving the quality and availability of social services through community based support for the active inclusion of vulnerable groups.</w:t>
            </w:r>
          </w:p>
          <w:p w:rsidR="002067B3" w:rsidRPr="009C31ED" w:rsidRDefault="00717D57" w:rsidP="00A430A9">
            <w:pPr>
              <w:pStyle w:val="ListParagraph"/>
              <w:numPr>
                <w:ilvl w:val="0"/>
                <w:numId w:val="50"/>
              </w:numPr>
              <w:spacing w:after="0"/>
              <w:rPr>
                <w:szCs w:val="24"/>
              </w:rPr>
            </w:pPr>
            <w:r w:rsidRPr="009C31ED">
              <w:rPr>
                <w:szCs w:val="24"/>
              </w:rPr>
              <w:t>Education, employment and social policies</w:t>
            </w:r>
            <w:r w:rsidR="00DB672B">
              <w:rPr>
                <w:szCs w:val="24"/>
              </w:rPr>
              <w:t xml:space="preserve"> – PA 1 will increase</w:t>
            </w:r>
            <w:r w:rsidR="00DB672B" w:rsidRPr="00D756C1">
              <w:rPr>
                <w:szCs w:val="24"/>
              </w:rPr>
              <w:t xml:space="preserve"> skills of health and social care workers to better adapt to the real needs of the beneficiaries</w:t>
            </w:r>
            <w:r w:rsidR="0094497B">
              <w:rPr>
                <w:szCs w:val="24"/>
              </w:rPr>
              <w:t>.</w:t>
            </w:r>
          </w:p>
          <w:p w:rsidR="002067B3" w:rsidRPr="009C31ED" w:rsidRDefault="007870EB" w:rsidP="00A430A9">
            <w:pPr>
              <w:pStyle w:val="ListParagraph"/>
              <w:numPr>
                <w:ilvl w:val="0"/>
                <w:numId w:val="50"/>
              </w:numPr>
              <w:rPr>
                <w:szCs w:val="24"/>
              </w:rPr>
            </w:pPr>
            <w:r w:rsidRPr="009C31ED">
              <w:rPr>
                <w:szCs w:val="24"/>
              </w:rPr>
              <w:t>Regional cooperation and territorial cooperation</w:t>
            </w:r>
            <w:r w:rsidR="00DB672B">
              <w:rPr>
                <w:szCs w:val="24"/>
              </w:rPr>
              <w:t xml:space="preserve"> – PA 1 will strengthen cross-border cooperation by </w:t>
            </w:r>
            <w:r w:rsidR="00DB672B" w:rsidRPr="009C31ED">
              <w:rPr>
                <w:szCs w:val="24"/>
              </w:rPr>
              <w:t>support</w:t>
            </w:r>
            <w:r w:rsidR="00DB672B">
              <w:rPr>
                <w:szCs w:val="24"/>
              </w:rPr>
              <w:t>ing</w:t>
            </w:r>
            <w:r w:rsidR="00DB672B" w:rsidRPr="009C31ED">
              <w:rPr>
                <w:szCs w:val="24"/>
              </w:rPr>
              <w:t xml:space="preserve"> territorial integration</w:t>
            </w:r>
            <w:r w:rsidR="001A4CEB" w:rsidRPr="009C31ED">
              <w:rPr>
                <w:szCs w:val="24"/>
              </w:rPr>
              <w:t>.</w:t>
            </w:r>
          </w:p>
          <w:p w:rsidR="00BD5AE8" w:rsidRPr="002B3B01" w:rsidRDefault="00721CD7" w:rsidP="002067B3">
            <w:pPr>
              <w:spacing w:after="0"/>
              <w:rPr>
                <w:szCs w:val="24"/>
              </w:rPr>
            </w:pPr>
            <w:r w:rsidRPr="00415C35">
              <w:rPr>
                <w:szCs w:val="24"/>
              </w:rPr>
              <w:t>In addition, a clear contribution to the South East Europe 2020 Strategy pillars can be observed through interconnection of PA 1 speci</w:t>
            </w:r>
            <w:r w:rsidR="002B3B01">
              <w:rPr>
                <w:szCs w:val="24"/>
              </w:rPr>
              <w:t>fic objective (SO 1.):</w:t>
            </w:r>
          </w:p>
          <w:p w:rsidR="00721CD7" w:rsidRDefault="00721CD7" w:rsidP="00A430A9">
            <w:pPr>
              <w:pStyle w:val="ListParagraph"/>
              <w:numPr>
                <w:ilvl w:val="0"/>
                <w:numId w:val="50"/>
              </w:numPr>
              <w:spacing w:after="0"/>
              <w:rPr>
                <w:szCs w:val="24"/>
              </w:rPr>
            </w:pPr>
            <w:r w:rsidRPr="00721CD7">
              <w:rPr>
                <w:szCs w:val="24"/>
              </w:rPr>
              <w:t>Regarding the smart growth, SO 1. is complementary with the dimension</w:t>
            </w:r>
            <w:r w:rsidR="002B3B01">
              <w:rPr>
                <w:szCs w:val="24"/>
              </w:rPr>
              <w:t>s related to</w:t>
            </w:r>
            <w:r w:rsidRPr="00721CD7">
              <w:rPr>
                <w:szCs w:val="24"/>
              </w:rPr>
              <w:t xml:space="preserve"> education and competences. </w:t>
            </w:r>
          </w:p>
          <w:p w:rsidR="00721CD7" w:rsidRDefault="00721CD7" w:rsidP="00A430A9">
            <w:pPr>
              <w:pStyle w:val="ListParagraph"/>
              <w:numPr>
                <w:ilvl w:val="0"/>
                <w:numId w:val="50"/>
              </w:numPr>
              <w:spacing w:after="0"/>
              <w:rPr>
                <w:szCs w:val="24"/>
              </w:rPr>
            </w:pPr>
            <w:r w:rsidRPr="00721CD7">
              <w:rPr>
                <w:szCs w:val="24"/>
              </w:rPr>
              <w:t xml:space="preserve">Regarding the inclusive growth it corresponds to the dimension </w:t>
            </w:r>
            <w:r w:rsidR="002B3B01">
              <w:rPr>
                <w:szCs w:val="24"/>
              </w:rPr>
              <w:t xml:space="preserve">related to </w:t>
            </w:r>
            <w:r w:rsidRPr="00721CD7">
              <w:rPr>
                <w:szCs w:val="24"/>
              </w:rPr>
              <w:t xml:space="preserve">health. </w:t>
            </w:r>
          </w:p>
          <w:p w:rsidR="00721CD7" w:rsidRPr="00721CD7" w:rsidRDefault="00721CD7" w:rsidP="00A430A9">
            <w:pPr>
              <w:pStyle w:val="ListParagraph"/>
              <w:numPr>
                <w:ilvl w:val="0"/>
                <w:numId w:val="50"/>
              </w:numPr>
              <w:spacing w:after="0"/>
              <w:rPr>
                <w:szCs w:val="24"/>
              </w:rPr>
            </w:pPr>
            <w:r w:rsidRPr="00721CD7">
              <w:rPr>
                <w:szCs w:val="24"/>
              </w:rPr>
              <w:t xml:space="preserve">Regarding the governance for growth is likely to have impact on the dimension </w:t>
            </w:r>
            <w:r w:rsidR="002B3B01">
              <w:rPr>
                <w:szCs w:val="24"/>
              </w:rPr>
              <w:lastRenderedPageBreak/>
              <w:t xml:space="preserve">related to the </w:t>
            </w:r>
            <w:r w:rsidRPr="00721CD7">
              <w:rPr>
                <w:szCs w:val="24"/>
              </w:rPr>
              <w:t>effective public services.</w:t>
            </w:r>
          </w:p>
          <w:p w:rsidR="00721CD7" w:rsidRPr="00721CD7" w:rsidRDefault="00721CD7" w:rsidP="00721CD7">
            <w:pPr>
              <w:pStyle w:val="ListParagraph"/>
              <w:spacing w:after="0"/>
              <w:rPr>
                <w:szCs w:val="24"/>
              </w:rPr>
            </w:pPr>
          </w:p>
          <w:p w:rsidR="00660DF5" w:rsidRPr="009C31ED" w:rsidRDefault="00660DF5" w:rsidP="002067B3">
            <w:pPr>
              <w:spacing w:after="0"/>
              <w:rPr>
                <w:szCs w:val="24"/>
              </w:rPr>
            </w:pPr>
            <w:r w:rsidRPr="009C31ED">
              <w:rPr>
                <w:b/>
                <w:i/>
                <w:color w:val="548DD4" w:themeColor="text2" w:themeTint="99"/>
                <w:szCs w:val="24"/>
              </w:rPr>
              <w:t>Priority Axis 2 – “</w:t>
            </w:r>
            <w:r w:rsidR="00662866" w:rsidRPr="009C31ED">
              <w:rPr>
                <w:b/>
                <w:i/>
                <w:color w:val="548DD4" w:themeColor="text2" w:themeTint="99"/>
                <w:szCs w:val="24"/>
              </w:rPr>
              <w:t xml:space="preserve">Protecting </w:t>
            </w:r>
            <w:r w:rsidR="006F31D2" w:rsidRPr="009C31ED">
              <w:rPr>
                <w:b/>
                <w:i/>
                <w:color w:val="548DD4" w:themeColor="text2" w:themeTint="99"/>
                <w:szCs w:val="24"/>
              </w:rPr>
              <w:t>the environment</w:t>
            </w:r>
            <w:r w:rsidR="000407D4">
              <w:rPr>
                <w:b/>
                <w:i/>
                <w:color w:val="548DD4" w:themeColor="text2" w:themeTint="99"/>
                <w:szCs w:val="24"/>
              </w:rPr>
              <w:t xml:space="preserve"> and nature</w:t>
            </w:r>
            <w:r w:rsidR="006F31D2" w:rsidRPr="009C31ED">
              <w:rPr>
                <w:b/>
                <w:i/>
                <w:color w:val="548DD4" w:themeColor="text2" w:themeTint="99"/>
                <w:szCs w:val="24"/>
              </w:rPr>
              <w:t>, improv</w:t>
            </w:r>
            <w:r w:rsidR="00D00E0E" w:rsidRPr="009C31ED">
              <w:rPr>
                <w:b/>
                <w:i/>
                <w:color w:val="548DD4" w:themeColor="text2" w:themeTint="99"/>
                <w:szCs w:val="24"/>
              </w:rPr>
              <w:t>ing</w:t>
            </w:r>
            <w:r w:rsidR="006F31D2" w:rsidRPr="009C31ED">
              <w:rPr>
                <w:b/>
                <w:i/>
                <w:color w:val="548DD4" w:themeColor="text2" w:themeTint="99"/>
                <w:szCs w:val="24"/>
              </w:rPr>
              <w:t xml:space="preserve"> risk prevention and </w:t>
            </w:r>
            <w:r w:rsidR="002D5851" w:rsidRPr="002D5851">
              <w:rPr>
                <w:b/>
                <w:i/>
                <w:color w:val="548DD4" w:themeColor="text2" w:themeTint="99"/>
                <w:szCs w:val="24"/>
              </w:rPr>
              <w:t>promoting sustainable energy and energy efficiency</w:t>
            </w:r>
            <w:r w:rsidR="00B4317E" w:rsidRPr="009C31ED">
              <w:rPr>
                <w:b/>
                <w:i/>
                <w:color w:val="548DD4" w:themeColor="text2" w:themeTint="99"/>
                <w:szCs w:val="24"/>
              </w:rPr>
              <w:t>”</w:t>
            </w:r>
          </w:p>
          <w:p w:rsidR="00660DF5" w:rsidRPr="009C31ED" w:rsidRDefault="00660DF5" w:rsidP="00797FE3">
            <w:pPr>
              <w:spacing w:after="0" w:line="280" w:lineRule="atLeast"/>
              <w:contextualSpacing/>
              <w:rPr>
                <w:szCs w:val="24"/>
              </w:rPr>
            </w:pPr>
          </w:p>
          <w:p w:rsidR="00660DF5" w:rsidRPr="009C31ED" w:rsidRDefault="00EB602E" w:rsidP="00797FE3">
            <w:pPr>
              <w:spacing w:after="0" w:line="280" w:lineRule="atLeast"/>
              <w:contextualSpacing/>
              <w:rPr>
                <w:szCs w:val="24"/>
              </w:rPr>
            </w:pPr>
            <w:r w:rsidRPr="009C31ED">
              <w:rPr>
                <w:szCs w:val="24"/>
              </w:rPr>
              <w:t>Priority axis 2</w:t>
            </w:r>
            <w:r w:rsidR="00A061AE" w:rsidRPr="009C31ED">
              <w:rPr>
                <w:szCs w:val="24"/>
              </w:rPr>
              <w:t xml:space="preserve"> directly responds to</w:t>
            </w:r>
            <w:r w:rsidR="001A5E5D" w:rsidRPr="009C31ED">
              <w:rPr>
                <w:szCs w:val="24"/>
              </w:rPr>
              <w:t xml:space="preserve"> </w:t>
            </w:r>
            <w:r w:rsidR="008E76CF" w:rsidRPr="009C31ED">
              <w:rPr>
                <w:szCs w:val="24"/>
              </w:rPr>
              <w:t xml:space="preserve">the environment </w:t>
            </w:r>
            <w:r w:rsidR="00521D11">
              <w:rPr>
                <w:szCs w:val="24"/>
              </w:rPr>
              <w:t xml:space="preserve">and nature </w:t>
            </w:r>
            <w:r w:rsidR="008E76CF" w:rsidRPr="009C31ED">
              <w:rPr>
                <w:szCs w:val="24"/>
              </w:rPr>
              <w:t xml:space="preserve">protection, risk prevention improvement and </w:t>
            </w:r>
            <w:r w:rsidR="000E123E" w:rsidRPr="000E123E">
              <w:rPr>
                <w:szCs w:val="24"/>
              </w:rPr>
              <w:t>aims at strengthening the usage of renewable energies thus improving energy efficiency</w:t>
            </w:r>
            <w:r w:rsidR="001A5E5D" w:rsidRPr="009C31ED">
              <w:rPr>
                <w:szCs w:val="24"/>
              </w:rPr>
              <w:t>.</w:t>
            </w:r>
          </w:p>
          <w:p w:rsidR="00660DF5" w:rsidRPr="009C31ED" w:rsidRDefault="00660DF5" w:rsidP="00797FE3">
            <w:pPr>
              <w:spacing w:after="0" w:line="280" w:lineRule="atLeast"/>
              <w:contextualSpacing/>
              <w:rPr>
                <w:szCs w:val="24"/>
              </w:rPr>
            </w:pPr>
          </w:p>
          <w:p w:rsidR="00660DF5" w:rsidRPr="003B6986" w:rsidRDefault="004408B8" w:rsidP="00797FE3">
            <w:pPr>
              <w:spacing w:after="0" w:line="280" w:lineRule="atLeast"/>
              <w:contextualSpacing/>
              <w:rPr>
                <w:szCs w:val="24"/>
              </w:rPr>
            </w:pPr>
            <w:r w:rsidRPr="009C31ED">
              <w:rPr>
                <w:szCs w:val="24"/>
              </w:rPr>
              <w:t>Developing and implementing joint environmental management initiatives, improving protection systems (from fire</w:t>
            </w:r>
            <w:r w:rsidR="006F77A9">
              <w:rPr>
                <w:szCs w:val="24"/>
              </w:rPr>
              <w:t>s</w:t>
            </w:r>
            <w:r w:rsidRPr="009C31ED">
              <w:rPr>
                <w:szCs w:val="24"/>
              </w:rPr>
              <w:t>, flood</w:t>
            </w:r>
            <w:r w:rsidR="006F77A9">
              <w:rPr>
                <w:szCs w:val="24"/>
              </w:rPr>
              <w:t>s</w:t>
            </w:r>
            <w:r w:rsidRPr="009C31ED">
              <w:rPr>
                <w:szCs w:val="24"/>
              </w:rPr>
              <w:t>, draught</w:t>
            </w:r>
            <w:r w:rsidR="006F77A9">
              <w:rPr>
                <w:szCs w:val="24"/>
              </w:rPr>
              <w:t>s</w:t>
            </w:r>
            <w:r w:rsidRPr="009C31ED">
              <w:rPr>
                <w:szCs w:val="24"/>
              </w:rPr>
              <w:t xml:space="preserve">), </w:t>
            </w:r>
            <w:r w:rsidR="00CB0F03" w:rsidRPr="009C31ED">
              <w:rPr>
                <w:szCs w:val="24"/>
              </w:rPr>
              <w:t xml:space="preserve">supporting </w:t>
            </w:r>
            <w:r w:rsidRPr="009C31ED">
              <w:rPr>
                <w:szCs w:val="24"/>
              </w:rPr>
              <w:t>measures and tools for reducing the risk of natural disasters</w:t>
            </w:r>
            <w:r w:rsidR="00CB0F03" w:rsidRPr="009C31ED">
              <w:rPr>
                <w:szCs w:val="24"/>
              </w:rPr>
              <w:t xml:space="preserve"> </w:t>
            </w:r>
            <w:r w:rsidRPr="009C31ED">
              <w:rPr>
                <w:szCs w:val="24"/>
              </w:rPr>
              <w:t>shall be supported in order to tackle the challenges that the programme area is facing in</w:t>
            </w:r>
            <w:r w:rsidR="00CB0F03" w:rsidRPr="009C31ED">
              <w:rPr>
                <w:szCs w:val="24"/>
              </w:rPr>
              <w:t xml:space="preserve"> the area of </w:t>
            </w:r>
            <w:r w:rsidR="00A014C7" w:rsidRPr="009C31ED">
              <w:rPr>
                <w:szCs w:val="24"/>
              </w:rPr>
              <w:t xml:space="preserve">environment, </w:t>
            </w:r>
            <w:r w:rsidR="00797F05" w:rsidRPr="009C31ED">
              <w:rPr>
                <w:szCs w:val="24"/>
              </w:rPr>
              <w:t xml:space="preserve">nature </w:t>
            </w:r>
            <w:r w:rsidR="00A014C7" w:rsidRPr="009C31ED">
              <w:rPr>
                <w:szCs w:val="24"/>
              </w:rPr>
              <w:t xml:space="preserve">an natural resources </w:t>
            </w:r>
            <w:r w:rsidR="00797F05" w:rsidRPr="009C31ED">
              <w:rPr>
                <w:szCs w:val="24"/>
              </w:rPr>
              <w:t>protection</w:t>
            </w:r>
            <w:r w:rsidR="00797F05" w:rsidRPr="0000039F">
              <w:rPr>
                <w:szCs w:val="24"/>
              </w:rPr>
              <w:t xml:space="preserve"> </w:t>
            </w:r>
            <w:r w:rsidR="00797F05" w:rsidRPr="003B6986">
              <w:rPr>
                <w:szCs w:val="24"/>
              </w:rPr>
              <w:t>and management systems for risk prevention.</w:t>
            </w:r>
            <w:r w:rsidR="004F2CD9">
              <w:rPr>
                <w:szCs w:val="24"/>
              </w:rPr>
              <w:t xml:space="preserve"> </w:t>
            </w:r>
            <w:r w:rsidR="00E31388" w:rsidRPr="00E31388">
              <w:rPr>
                <w:szCs w:val="24"/>
              </w:rPr>
              <w:t>In addition, actions that will be supported under this priority axis are those with the aim of developing and implementing joint pilot and demonstration projects on innovative technologies and solutions in the field of energy efficiency and renewable energy resources, and those with the aim of joint investing in public infrastructure on sustainable energy production and energy efficiency. The change that is to be sought is the increased capacities and improved infrastructure for utilisation of renewable energy resources and application of energy efficiency in the programme area.</w:t>
            </w:r>
            <w:r w:rsidR="00E31388">
              <w:rPr>
                <w:szCs w:val="24"/>
              </w:rPr>
              <w:t xml:space="preserve"> </w:t>
            </w:r>
            <w:r w:rsidR="009C2489">
              <w:rPr>
                <w:szCs w:val="24"/>
              </w:rPr>
              <w:t>Therefore</w:t>
            </w:r>
            <w:r w:rsidR="004F2CD9">
              <w:rPr>
                <w:szCs w:val="24"/>
              </w:rPr>
              <w:t xml:space="preserve">, </w:t>
            </w:r>
            <w:r w:rsidR="00F831BC">
              <w:rPr>
                <w:szCs w:val="24"/>
              </w:rPr>
              <w:t>this priority axis</w:t>
            </w:r>
            <w:r w:rsidR="00F831BC" w:rsidRPr="00D756C1">
              <w:rPr>
                <w:szCs w:val="24"/>
              </w:rPr>
              <w:t xml:space="preserve"> </w:t>
            </w:r>
            <w:r w:rsidR="004F2CD9" w:rsidRPr="008F1380">
              <w:rPr>
                <w:szCs w:val="24"/>
              </w:rPr>
              <w:t xml:space="preserve">is to address </w:t>
            </w:r>
            <w:r w:rsidR="004F2CD9">
              <w:rPr>
                <w:szCs w:val="24"/>
              </w:rPr>
              <w:t>common</w:t>
            </w:r>
            <w:r w:rsidR="004F2CD9" w:rsidRPr="008F1380">
              <w:rPr>
                <w:szCs w:val="24"/>
              </w:rPr>
              <w:t xml:space="preserve"> challenges through </w:t>
            </w:r>
            <w:r w:rsidR="004F2CD9">
              <w:rPr>
                <w:szCs w:val="24"/>
              </w:rPr>
              <w:t xml:space="preserve">cross-border </w:t>
            </w:r>
            <w:r w:rsidR="004F2CD9" w:rsidRPr="008F1380">
              <w:rPr>
                <w:szCs w:val="24"/>
              </w:rPr>
              <w:t xml:space="preserve">cooperation </w:t>
            </w:r>
            <w:r w:rsidR="004F2CD9">
              <w:rPr>
                <w:szCs w:val="24"/>
              </w:rPr>
              <w:t>in order to enhance the common opportunities and improve the potentials by searching common cross-border solutions.</w:t>
            </w:r>
          </w:p>
          <w:p w:rsidR="0047363A" w:rsidRPr="003B6986" w:rsidRDefault="0047363A" w:rsidP="00797FE3">
            <w:pPr>
              <w:spacing w:after="0" w:line="280" w:lineRule="atLeast"/>
              <w:contextualSpacing/>
              <w:rPr>
                <w:b/>
                <w:i/>
                <w:color w:val="548DD4" w:themeColor="text2" w:themeTint="99"/>
                <w:szCs w:val="24"/>
              </w:rPr>
            </w:pPr>
          </w:p>
          <w:p w:rsidR="006242E7" w:rsidRPr="003B6986" w:rsidRDefault="00CD7D64" w:rsidP="00797FE3">
            <w:pPr>
              <w:spacing w:after="0" w:line="280" w:lineRule="atLeast"/>
              <w:contextualSpacing/>
              <w:rPr>
                <w:szCs w:val="24"/>
              </w:rPr>
            </w:pPr>
            <w:r w:rsidRPr="003B6986">
              <w:rPr>
                <w:szCs w:val="24"/>
              </w:rPr>
              <w:t xml:space="preserve">This axis primarily contributes to the </w:t>
            </w:r>
            <w:r w:rsidR="00E147A8" w:rsidRPr="003B6986">
              <w:rPr>
                <w:szCs w:val="24"/>
              </w:rPr>
              <w:t>main funding priority</w:t>
            </w:r>
            <w:r w:rsidRPr="003B6986">
              <w:rPr>
                <w:szCs w:val="24"/>
              </w:rPr>
              <w:t xml:space="preserve"> </w:t>
            </w:r>
            <w:r w:rsidR="00AF4DFB" w:rsidRPr="003B6986">
              <w:rPr>
                <w:szCs w:val="24"/>
              </w:rPr>
              <w:t>of relevant national strateg</w:t>
            </w:r>
            <w:r w:rsidR="001A4CEB" w:rsidRPr="003B6986">
              <w:rPr>
                <w:szCs w:val="24"/>
              </w:rPr>
              <w:t>y</w:t>
            </w:r>
            <w:r w:rsidR="00AF4DFB" w:rsidRPr="003B6986">
              <w:rPr>
                <w:szCs w:val="24"/>
              </w:rPr>
              <w:t xml:space="preserve"> paper</w:t>
            </w:r>
            <w:r w:rsidR="007F2D0D" w:rsidRPr="003B6986">
              <w:rPr>
                <w:szCs w:val="24"/>
              </w:rPr>
              <w:t>s</w:t>
            </w:r>
            <w:r w:rsidR="00AF4DFB" w:rsidRPr="003B6986">
              <w:rPr>
                <w:szCs w:val="24"/>
              </w:rPr>
              <w:t xml:space="preserve"> </w:t>
            </w:r>
            <w:r w:rsidRPr="003B6986">
              <w:rPr>
                <w:szCs w:val="24"/>
              </w:rPr>
              <w:t>below:</w:t>
            </w:r>
          </w:p>
          <w:p w:rsidR="00661998" w:rsidRPr="003B6986" w:rsidRDefault="00717D57" w:rsidP="00A430A9">
            <w:pPr>
              <w:pStyle w:val="ListParagraph"/>
              <w:numPr>
                <w:ilvl w:val="0"/>
                <w:numId w:val="50"/>
              </w:numPr>
              <w:spacing w:after="0"/>
              <w:rPr>
                <w:szCs w:val="24"/>
              </w:rPr>
            </w:pPr>
            <w:r w:rsidRPr="003B6986">
              <w:rPr>
                <w:szCs w:val="24"/>
              </w:rPr>
              <w:t>Promoting energy efficiency, renewable energies and protecting natural resources</w:t>
            </w:r>
            <w:r w:rsidR="00DB672B">
              <w:rPr>
                <w:szCs w:val="24"/>
              </w:rPr>
              <w:t xml:space="preserve"> – PA 2 will </w:t>
            </w:r>
            <w:r w:rsidR="00A75B3F">
              <w:t xml:space="preserve">create conditions for further protection of </w:t>
            </w:r>
            <w:r w:rsidR="00DB672B">
              <w:rPr>
                <w:szCs w:val="24"/>
              </w:rPr>
              <w:t xml:space="preserve">the environment, </w:t>
            </w:r>
            <w:r w:rsidR="00A75B3F">
              <w:rPr>
                <w:szCs w:val="24"/>
              </w:rPr>
              <w:t xml:space="preserve">for </w:t>
            </w:r>
            <w:r w:rsidR="00DB672B">
              <w:rPr>
                <w:szCs w:val="24"/>
              </w:rPr>
              <w:t>improv</w:t>
            </w:r>
            <w:r w:rsidR="00A75B3F">
              <w:rPr>
                <w:szCs w:val="24"/>
              </w:rPr>
              <w:t>ing</w:t>
            </w:r>
            <w:r w:rsidR="00DB672B">
              <w:rPr>
                <w:szCs w:val="24"/>
              </w:rPr>
              <w:t xml:space="preserve"> risk prevention and </w:t>
            </w:r>
            <w:r w:rsidR="00A75B3F">
              <w:rPr>
                <w:szCs w:val="24"/>
              </w:rPr>
              <w:t>promoting</w:t>
            </w:r>
            <w:r w:rsidR="00DB672B">
              <w:rPr>
                <w:szCs w:val="24"/>
              </w:rPr>
              <w:t xml:space="preserve"> </w:t>
            </w:r>
            <w:r w:rsidR="00DB672B" w:rsidRPr="00DB672B">
              <w:rPr>
                <w:szCs w:val="24"/>
              </w:rPr>
              <w:t>sustainable energy and energy efficiency</w:t>
            </w:r>
            <w:r w:rsidR="001C7A6C">
              <w:rPr>
                <w:szCs w:val="24"/>
              </w:rPr>
              <w:t>.</w:t>
            </w:r>
          </w:p>
          <w:p w:rsidR="00EF2106" w:rsidRPr="003B6986" w:rsidRDefault="00EF2106" w:rsidP="00A430A9">
            <w:pPr>
              <w:pStyle w:val="ListParagraph"/>
              <w:numPr>
                <w:ilvl w:val="0"/>
                <w:numId w:val="50"/>
              </w:numPr>
              <w:spacing w:after="0"/>
              <w:rPr>
                <w:szCs w:val="24"/>
              </w:rPr>
            </w:pPr>
            <w:r w:rsidRPr="003B6986">
              <w:rPr>
                <w:szCs w:val="24"/>
              </w:rPr>
              <w:t>Environment and climate action</w:t>
            </w:r>
            <w:r w:rsidR="00DB672B">
              <w:rPr>
                <w:szCs w:val="24"/>
              </w:rPr>
              <w:t xml:space="preserve"> – PA 2 will support measures for</w:t>
            </w:r>
            <w:r w:rsidR="00DB672B" w:rsidRPr="009C31ED">
              <w:rPr>
                <w:szCs w:val="24"/>
              </w:rPr>
              <w:t xml:space="preserve"> reducing the risk of natural disasters</w:t>
            </w:r>
            <w:r w:rsidR="00DB672B">
              <w:rPr>
                <w:szCs w:val="24"/>
              </w:rPr>
              <w:t xml:space="preserve"> </w:t>
            </w:r>
            <w:r w:rsidR="00DB672B" w:rsidRPr="009C31ED">
              <w:rPr>
                <w:szCs w:val="24"/>
              </w:rPr>
              <w:t>in order to tackle the challenges that the programme area is facing in the area of environment</w:t>
            </w:r>
            <w:r w:rsidR="001C7A6C">
              <w:rPr>
                <w:szCs w:val="24"/>
              </w:rPr>
              <w:t>.</w:t>
            </w:r>
          </w:p>
          <w:p w:rsidR="006D2DEE" w:rsidRPr="003B6986" w:rsidRDefault="006D2DEE" w:rsidP="00A430A9">
            <w:pPr>
              <w:pStyle w:val="ListParagraph"/>
              <w:numPr>
                <w:ilvl w:val="0"/>
                <w:numId w:val="50"/>
              </w:numPr>
              <w:rPr>
                <w:szCs w:val="24"/>
              </w:rPr>
            </w:pPr>
            <w:r w:rsidRPr="003B6986">
              <w:rPr>
                <w:szCs w:val="24"/>
              </w:rPr>
              <w:t>Regional cooperation and territorial cooperation</w:t>
            </w:r>
            <w:r w:rsidR="00DB672B">
              <w:rPr>
                <w:szCs w:val="24"/>
              </w:rPr>
              <w:t xml:space="preserve"> – PA 2 will strengthen cross-border cooperation by </w:t>
            </w:r>
            <w:r w:rsidR="00DB672B" w:rsidRPr="009C31ED">
              <w:rPr>
                <w:szCs w:val="24"/>
              </w:rPr>
              <w:t>support</w:t>
            </w:r>
            <w:r w:rsidR="00DB672B">
              <w:rPr>
                <w:szCs w:val="24"/>
              </w:rPr>
              <w:t>ing</w:t>
            </w:r>
            <w:r w:rsidR="00DB672B" w:rsidRPr="009C31ED">
              <w:rPr>
                <w:szCs w:val="24"/>
              </w:rPr>
              <w:t xml:space="preserve"> territorial integration</w:t>
            </w:r>
            <w:r w:rsidRPr="003B6986">
              <w:rPr>
                <w:szCs w:val="24"/>
              </w:rPr>
              <w:t>.</w:t>
            </w:r>
          </w:p>
          <w:p w:rsidR="00BD5AE8" w:rsidRPr="00521D11" w:rsidRDefault="002A438B" w:rsidP="002A438B">
            <w:pPr>
              <w:spacing w:after="0"/>
              <w:rPr>
                <w:szCs w:val="24"/>
              </w:rPr>
            </w:pPr>
            <w:r w:rsidRPr="00415C35">
              <w:rPr>
                <w:szCs w:val="24"/>
              </w:rPr>
              <w:t>In addition, a clear contribution to the South East Europe 2020 Strategy pillars can be observed through interconnection of PA 2 specific ob</w:t>
            </w:r>
            <w:r w:rsidR="00521D11">
              <w:rPr>
                <w:szCs w:val="24"/>
              </w:rPr>
              <w:t>jectives (SO 2.1. and SO 2.2.):</w:t>
            </w:r>
          </w:p>
          <w:p w:rsidR="00B14786" w:rsidRPr="00B14786" w:rsidRDefault="00B14786" w:rsidP="00A430A9">
            <w:pPr>
              <w:pStyle w:val="ListParagraph"/>
              <w:numPr>
                <w:ilvl w:val="0"/>
                <w:numId w:val="50"/>
              </w:numPr>
              <w:spacing w:after="0"/>
              <w:rPr>
                <w:szCs w:val="24"/>
              </w:rPr>
            </w:pPr>
            <w:r w:rsidRPr="00B14786">
              <w:rPr>
                <w:szCs w:val="24"/>
              </w:rPr>
              <w:t xml:space="preserve">Regarding the sustainable growth, SO 2.1. is in line with the dimension </w:t>
            </w:r>
            <w:r w:rsidR="00521D11">
              <w:rPr>
                <w:szCs w:val="24"/>
              </w:rPr>
              <w:t xml:space="preserve">related to </w:t>
            </w:r>
            <w:r w:rsidRPr="00B14786">
              <w:rPr>
                <w:szCs w:val="24"/>
              </w:rPr>
              <w:t xml:space="preserve">environment and regarding the inclusive growth corresponds to the dimension </w:t>
            </w:r>
            <w:r w:rsidR="00521D11">
              <w:rPr>
                <w:szCs w:val="24"/>
              </w:rPr>
              <w:t xml:space="preserve">related to </w:t>
            </w:r>
            <w:r w:rsidRPr="00B14786">
              <w:rPr>
                <w:szCs w:val="24"/>
              </w:rPr>
              <w:t>health.</w:t>
            </w:r>
          </w:p>
          <w:p w:rsidR="002A438B" w:rsidRDefault="00B14786" w:rsidP="00A430A9">
            <w:pPr>
              <w:pStyle w:val="ListParagraph"/>
              <w:numPr>
                <w:ilvl w:val="0"/>
                <w:numId w:val="50"/>
              </w:numPr>
              <w:spacing w:after="0"/>
              <w:rPr>
                <w:szCs w:val="24"/>
              </w:rPr>
            </w:pPr>
            <w:r w:rsidRPr="00B14786">
              <w:rPr>
                <w:szCs w:val="24"/>
              </w:rPr>
              <w:t xml:space="preserve">Regarding sustainable growth, SO 2.2. is likely to have impact on the dimensions </w:t>
            </w:r>
            <w:r w:rsidR="00521D11">
              <w:rPr>
                <w:szCs w:val="24"/>
              </w:rPr>
              <w:t xml:space="preserve">related to </w:t>
            </w:r>
            <w:r w:rsidRPr="00B14786">
              <w:rPr>
                <w:szCs w:val="24"/>
              </w:rPr>
              <w:t xml:space="preserve">energy and environment. </w:t>
            </w:r>
          </w:p>
          <w:p w:rsidR="002B2812" w:rsidRPr="00B14786" w:rsidRDefault="002B2812" w:rsidP="002B2812">
            <w:pPr>
              <w:pStyle w:val="ListParagraph"/>
              <w:spacing w:after="0"/>
              <w:rPr>
                <w:szCs w:val="24"/>
              </w:rPr>
            </w:pPr>
          </w:p>
          <w:p w:rsidR="00660DF5" w:rsidRPr="003B6986" w:rsidRDefault="00660DF5" w:rsidP="00797FE3">
            <w:pPr>
              <w:spacing w:after="0" w:line="280" w:lineRule="atLeast"/>
              <w:contextualSpacing/>
              <w:rPr>
                <w:b/>
                <w:i/>
                <w:color w:val="548DD4" w:themeColor="text2" w:themeTint="99"/>
                <w:szCs w:val="24"/>
              </w:rPr>
            </w:pPr>
            <w:r w:rsidRPr="003B6986">
              <w:rPr>
                <w:b/>
                <w:i/>
                <w:color w:val="548DD4" w:themeColor="text2" w:themeTint="99"/>
                <w:szCs w:val="24"/>
              </w:rPr>
              <w:t>Priority Axis 3 – “</w:t>
            </w:r>
            <w:r w:rsidR="00552F55" w:rsidRPr="00552F55">
              <w:rPr>
                <w:b/>
                <w:i/>
                <w:color w:val="548DD4" w:themeColor="text2" w:themeTint="99"/>
                <w:szCs w:val="24"/>
              </w:rPr>
              <w:t xml:space="preserve">Contributing to the development of tourism </w:t>
            </w:r>
            <w:r w:rsidR="006F31D2" w:rsidRPr="003B6986">
              <w:rPr>
                <w:b/>
                <w:i/>
                <w:color w:val="548DD4" w:themeColor="text2" w:themeTint="99"/>
                <w:szCs w:val="24"/>
              </w:rPr>
              <w:t xml:space="preserve">and </w:t>
            </w:r>
            <w:r w:rsidR="00916CC0" w:rsidRPr="003B6986">
              <w:rPr>
                <w:b/>
                <w:i/>
                <w:color w:val="548DD4" w:themeColor="text2" w:themeTint="99"/>
                <w:szCs w:val="24"/>
              </w:rPr>
              <w:t>preserving</w:t>
            </w:r>
            <w:r w:rsidR="006F31D2" w:rsidRPr="003B6986">
              <w:rPr>
                <w:b/>
                <w:i/>
                <w:color w:val="548DD4" w:themeColor="text2" w:themeTint="99"/>
                <w:szCs w:val="24"/>
              </w:rPr>
              <w:t xml:space="preserve"> cultural and natural heritage</w:t>
            </w:r>
            <w:r w:rsidR="00B4317E" w:rsidRPr="003B6986">
              <w:rPr>
                <w:b/>
                <w:i/>
                <w:color w:val="548DD4" w:themeColor="text2" w:themeTint="99"/>
                <w:szCs w:val="24"/>
              </w:rPr>
              <w:t>”</w:t>
            </w:r>
          </w:p>
          <w:p w:rsidR="00660DF5" w:rsidRPr="003B6986" w:rsidRDefault="00660DF5" w:rsidP="00797FE3">
            <w:pPr>
              <w:spacing w:after="0" w:line="280" w:lineRule="atLeast"/>
              <w:contextualSpacing/>
              <w:rPr>
                <w:b/>
                <w:color w:val="548DD4" w:themeColor="text2" w:themeTint="99"/>
                <w:szCs w:val="24"/>
              </w:rPr>
            </w:pPr>
          </w:p>
          <w:p w:rsidR="00660DF5" w:rsidRPr="003B6986" w:rsidRDefault="00EB602E" w:rsidP="00797FE3">
            <w:pPr>
              <w:spacing w:after="0" w:line="280" w:lineRule="atLeast"/>
              <w:contextualSpacing/>
              <w:rPr>
                <w:b/>
                <w:color w:val="548DD4" w:themeColor="text2" w:themeTint="99"/>
                <w:szCs w:val="24"/>
              </w:rPr>
            </w:pPr>
            <w:r w:rsidRPr="003B6986">
              <w:rPr>
                <w:szCs w:val="24"/>
              </w:rPr>
              <w:t>Priority axis 3</w:t>
            </w:r>
            <w:r w:rsidR="00E455DE" w:rsidRPr="003B6986">
              <w:rPr>
                <w:szCs w:val="24"/>
              </w:rPr>
              <w:t xml:space="preserve"> </w:t>
            </w:r>
            <w:r w:rsidR="00A061AE" w:rsidRPr="003B6986">
              <w:rPr>
                <w:szCs w:val="24"/>
              </w:rPr>
              <w:t>aims at</w:t>
            </w:r>
            <w:r w:rsidR="00E455DE" w:rsidRPr="003B6986">
              <w:rPr>
                <w:szCs w:val="24"/>
              </w:rPr>
              <w:t xml:space="preserve"> </w:t>
            </w:r>
            <w:r w:rsidR="00A061AE" w:rsidRPr="003B6986">
              <w:rPr>
                <w:szCs w:val="24"/>
              </w:rPr>
              <w:t xml:space="preserve">further development </w:t>
            </w:r>
            <w:r w:rsidR="002F43B7" w:rsidRPr="003B6986">
              <w:rPr>
                <w:szCs w:val="24"/>
              </w:rPr>
              <w:t xml:space="preserve">and diversification </w:t>
            </w:r>
            <w:r w:rsidR="00A061AE" w:rsidRPr="003B6986">
              <w:rPr>
                <w:szCs w:val="24"/>
              </w:rPr>
              <w:t xml:space="preserve">of existing tourism potential </w:t>
            </w:r>
            <w:r w:rsidR="00CD07DC">
              <w:rPr>
                <w:szCs w:val="24"/>
              </w:rPr>
              <w:t xml:space="preserve">as well as </w:t>
            </w:r>
            <w:r w:rsidR="00A061AE" w:rsidRPr="003B6986">
              <w:rPr>
                <w:szCs w:val="24"/>
              </w:rPr>
              <w:t xml:space="preserve">and </w:t>
            </w:r>
            <w:r w:rsidR="00962AA6" w:rsidRPr="003B6986">
              <w:rPr>
                <w:szCs w:val="24"/>
              </w:rPr>
              <w:t xml:space="preserve">at </w:t>
            </w:r>
            <w:r w:rsidR="00E455DE" w:rsidRPr="003B6986">
              <w:rPr>
                <w:szCs w:val="24"/>
              </w:rPr>
              <w:t xml:space="preserve">protecting and using </w:t>
            </w:r>
            <w:r w:rsidR="00CD07DC">
              <w:rPr>
                <w:szCs w:val="24"/>
              </w:rPr>
              <w:t xml:space="preserve">the </w:t>
            </w:r>
            <w:r w:rsidR="00E455DE" w:rsidRPr="003B6986">
              <w:rPr>
                <w:szCs w:val="24"/>
              </w:rPr>
              <w:t>natural and cultural heritage</w:t>
            </w:r>
            <w:r w:rsidR="00CD07DC">
              <w:rPr>
                <w:szCs w:val="24"/>
              </w:rPr>
              <w:t xml:space="preserve"> in </w:t>
            </w:r>
            <w:r w:rsidR="0086661B">
              <w:rPr>
                <w:szCs w:val="24"/>
              </w:rPr>
              <w:t xml:space="preserve">a </w:t>
            </w:r>
            <w:r w:rsidR="00CD07DC">
              <w:rPr>
                <w:szCs w:val="24"/>
              </w:rPr>
              <w:t>sustainable way</w:t>
            </w:r>
            <w:r w:rsidR="00F5081D" w:rsidRPr="003B6986">
              <w:rPr>
                <w:szCs w:val="24"/>
              </w:rPr>
              <w:t>.</w:t>
            </w:r>
            <w:r w:rsidR="0005500E" w:rsidRPr="003B6986">
              <w:rPr>
                <w:szCs w:val="24"/>
              </w:rPr>
              <w:t xml:space="preserve"> </w:t>
            </w:r>
          </w:p>
          <w:p w:rsidR="00660DF5" w:rsidRPr="003B6986" w:rsidRDefault="00660DF5" w:rsidP="00797FE3">
            <w:pPr>
              <w:spacing w:after="0" w:line="280" w:lineRule="atLeast"/>
              <w:contextualSpacing/>
              <w:rPr>
                <w:b/>
                <w:color w:val="548DD4" w:themeColor="text2" w:themeTint="99"/>
                <w:szCs w:val="24"/>
              </w:rPr>
            </w:pPr>
          </w:p>
          <w:p w:rsidR="00D901B5" w:rsidRPr="008D7E5A" w:rsidRDefault="00CC21D3" w:rsidP="008D7E5A">
            <w:pPr>
              <w:spacing w:after="0" w:line="280" w:lineRule="atLeast"/>
              <w:contextualSpacing/>
              <w:rPr>
                <w:szCs w:val="24"/>
              </w:rPr>
            </w:pPr>
            <w:r w:rsidRPr="003B6986">
              <w:rPr>
                <w:szCs w:val="24"/>
              </w:rPr>
              <w:t>The priority targets the strengthening of existing potentials</w:t>
            </w:r>
            <w:r w:rsidR="00AC48D4" w:rsidRPr="003B6986">
              <w:rPr>
                <w:szCs w:val="24"/>
              </w:rPr>
              <w:t xml:space="preserve"> </w:t>
            </w:r>
            <w:r w:rsidR="0005500E" w:rsidRPr="003B6986">
              <w:rPr>
                <w:szCs w:val="24"/>
              </w:rPr>
              <w:t>by</w:t>
            </w:r>
            <w:r w:rsidR="00157A34" w:rsidRPr="003B6986">
              <w:rPr>
                <w:szCs w:val="24"/>
              </w:rPr>
              <w:t xml:space="preserve"> </w:t>
            </w:r>
            <w:r w:rsidR="0005500E" w:rsidRPr="003B6986">
              <w:rPr>
                <w:szCs w:val="24"/>
              </w:rPr>
              <w:t>including other sectors</w:t>
            </w:r>
            <w:r w:rsidR="0005500E" w:rsidRPr="0000039F">
              <w:rPr>
                <w:szCs w:val="24"/>
              </w:rPr>
              <w:t xml:space="preserve"> </w:t>
            </w:r>
            <w:r w:rsidR="0005500E" w:rsidRPr="001E6E29">
              <w:rPr>
                <w:szCs w:val="24"/>
              </w:rPr>
              <w:t>and complementary services in tourist offer</w:t>
            </w:r>
            <w:r w:rsidR="00CC1A4D" w:rsidRPr="001E6E29">
              <w:rPr>
                <w:szCs w:val="24"/>
              </w:rPr>
              <w:t xml:space="preserve">, by supporting </w:t>
            </w:r>
            <w:r w:rsidR="00E874FB" w:rsidRPr="001E6E29">
              <w:rPr>
                <w:szCs w:val="24"/>
              </w:rPr>
              <w:t>to</w:t>
            </w:r>
            <w:r w:rsidR="00CC1A4D" w:rsidRPr="001E6E29">
              <w:rPr>
                <w:szCs w:val="24"/>
              </w:rPr>
              <w:t xml:space="preserve"> introducing (international) </w:t>
            </w:r>
            <w:r w:rsidR="00CC1A4D" w:rsidRPr="001E6E29">
              <w:rPr>
                <w:szCs w:val="24"/>
              </w:rPr>
              <w:lastRenderedPageBreak/>
              <w:t>certifications and standards</w:t>
            </w:r>
            <w:r w:rsidR="00E874FB" w:rsidRPr="001E6E29">
              <w:rPr>
                <w:szCs w:val="24"/>
              </w:rPr>
              <w:t xml:space="preserve"> in the </w:t>
            </w:r>
            <w:r w:rsidR="00F902BB" w:rsidRPr="001E6E29">
              <w:rPr>
                <w:szCs w:val="24"/>
              </w:rPr>
              <w:t>tourist products</w:t>
            </w:r>
            <w:r w:rsidR="001E5979">
              <w:rPr>
                <w:szCs w:val="24"/>
              </w:rPr>
              <w:t xml:space="preserve">, </w:t>
            </w:r>
            <w:r w:rsidR="00675430" w:rsidRPr="001E6E29">
              <w:rPr>
                <w:szCs w:val="24"/>
              </w:rPr>
              <w:t>developing and improving small-scale tourism infrastructure</w:t>
            </w:r>
            <w:r w:rsidR="00F902BB" w:rsidRPr="001E6E29">
              <w:rPr>
                <w:szCs w:val="24"/>
              </w:rPr>
              <w:t xml:space="preserve"> and supporting capacity building in tourism sector. </w:t>
            </w:r>
            <w:r w:rsidR="00675430" w:rsidRPr="001E6E29">
              <w:rPr>
                <w:szCs w:val="24"/>
              </w:rPr>
              <w:t xml:space="preserve">Furthermore, this priority aims to valorising </w:t>
            </w:r>
            <w:r w:rsidR="00ED1451" w:rsidRPr="001E6E29">
              <w:rPr>
                <w:szCs w:val="24"/>
              </w:rPr>
              <w:t xml:space="preserve">cultural and </w:t>
            </w:r>
            <w:r w:rsidR="00675430" w:rsidRPr="001E6E29">
              <w:rPr>
                <w:szCs w:val="24"/>
              </w:rPr>
              <w:t xml:space="preserve">natural potentials of the programme area in order to integrate culture, nature and leisure activities into tourism offer. </w:t>
            </w:r>
            <w:r w:rsidR="008E6BCE" w:rsidRPr="001E6E29">
              <w:rPr>
                <w:szCs w:val="24"/>
              </w:rPr>
              <w:t>All t</w:t>
            </w:r>
            <w:r w:rsidR="0097467F" w:rsidRPr="001E6E29">
              <w:rPr>
                <w:szCs w:val="24"/>
              </w:rPr>
              <w:t>he</w:t>
            </w:r>
            <w:r w:rsidR="008D7E5A">
              <w:rPr>
                <w:szCs w:val="24"/>
              </w:rPr>
              <w:t xml:space="preserve"> mentioned</w:t>
            </w:r>
            <w:r w:rsidR="0097467F" w:rsidRPr="001E6E29">
              <w:rPr>
                <w:szCs w:val="24"/>
              </w:rPr>
              <w:t xml:space="preserve"> targets of this priority axis </w:t>
            </w:r>
            <w:r w:rsidR="00930034" w:rsidRPr="001E6E29">
              <w:rPr>
                <w:szCs w:val="24"/>
              </w:rPr>
              <w:t>will help to strengthen and diversify the tourist offer in whole programme area.</w:t>
            </w:r>
            <w:r w:rsidR="004F2CD9">
              <w:rPr>
                <w:szCs w:val="24"/>
              </w:rPr>
              <w:t xml:space="preserve"> </w:t>
            </w:r>
            <w:r w:rsidR="009405C5">
              <w:rPr>
                <w:szCs w:val="24"/>
              </w:rPr>
              <w:t>Therefore</w:t>
            </w:r>
            <w:r w:rsidR="004F2CD9">
              <w:rPr>
                <w:szCs w:val="24"/>
              </w:rPr>
              <w:t xml:space="preserve">, </w:t>
            </w:r>
            <w:r w:rsidR="00F831BC">
              <w:rPr>
                <w:szCs w:val="24"/>
              </w:rPr>
              <w:t>this priority axis</w:t>
            </w:r>
            <w:r w:rsidR="00F831BC" w:rsidRPr="00D756C1">
              <w:rPr>
                <w:szCs w:val="24"/>
              </w:rPr>
              <w:t xml:space="preserve"> </w:t>
            </w:r>
            <w:r w:rsidR="004F2CD9" w:rsidRPr="008F1380">
              <w:rPr>
                <w:szCs w:val="24"/>
              </w:rPr>
              <w:t xml:space="preserve">is to address </w:t>
            </w:r>
            <w:r w:rsidR="004F2CD9">
              <w:rPr>
                <w:szCs w:val="24"/>
              </w:rPr>
              <w:t>common</w:t>
            </w:r>
            <w:r w:rsidR="004F2CD9" w:rsidRPr="008F1380">
              <w:rPr>
                <w:szCs w:val="24"/>
              </w:rPr>
              <w:t xml:space="preserve"> challenges</w:t>
            </w:r>
            <w:r w:rsidR="008D7E5A">
              <w:rPr>
                <w:szCs w:val="24"/>
              </w:rPr>
              <w:t xml:space="preserve"> of the programme area</w:t>
            </w:r>
            <w:r w:rsidR="004F2CD9" w:rsidRPr="008F1380">
              <w:rPr>
                <w:szCs w:val="24"/>
              </w:rPr>
              <w:t xml:space="preserve"> through </w:t>
            </w:r>
            <w:r w:rsidR="004F2CD9">
              <w:rPr>
                <w:szCs w:val="24"/>
              </w:rPr>
              <w:t xml:space="preserve">cross-border </w:t>
            </w:r>
            <w:r w:rsidR="004F2CD9" w:rsidRPr="008F1380">
              <w:rPr>
                <w:szCs w:val="24"/>
              </w:rPr>
              <w:t xml:space="preserve">cooperation </w:t>
            </w:r>
            <w:r w:rsidR="004F2CD9">
              <w:rPr>
                <w:szCs w:val="24"/>
              </w:rPr>
              <w:t>in order to enhance the common opportunities and improve the potentials by searching common cross-border solutions.</w:t>
            </w:r>
          </w:p>
          <w:p w:rsidR="00415C35" w:rsidRPr="00415C35" w:rsidRDefault="00BD5AE8" w:rsidP="00BD5AE8">
            <w:pPr>
              <w:spacing w:after="0"/>
              <w:rPr>
                <w:szCs w:val="24"/>
              </w:rPr>
            </w:pPr>
            <w:r w:rsidRPr="00415C35">
              <w:rPr>
                <w:szCs w:val="24"/>
              </w:rPr>
              <w:t>A clear contribution to the South East Europe 2020 Strategy pillars can be observed through interconnection of PA 3 specific objectives (SO 3.1. and SO 3.2.):</w:t>
            </w:r>
          </w:p>
          <w:p w:rsidR="00EA1F39" w:rsidRPr="00EA1F39" w:rsidRDefault="00EA1F39" w:rsidP="00A430A9">
            <w:pPr>
              <w:pStyle w:val="ListParagraph"/>
              <w:numPr>
                <w:ilvl w:val="0"/>
                <w:numId w:val="50"/>
              </w:numPr>
              <w:spacing w:after="0"/>
              <w:rPr>
                <w:szCs w:val="24"/>
              </w:rPr>
            </w:pPr>
            <w:r w:rsidRPr="00EA1F39">
              <w:rPr>
                <w:szCs w:val="24"/>
              </w:rPr>
              <w:t xml:space="preserve">Regarding the smart growth, SO 3.1. and 3.2. are complementary with the dimensions </w:t>
            </w:r>
            <w:r w:rsidR="008D7E5A">
              <w:rPr>
                <w:szCs w:val="24"/>
              </w:rPr>
              <w:t xml:space="preserve">related to </w:t>
            </w:r>
            <w:r w:rsidRPr="00EA1F39">
              <w:rPr>
                <w:szCs w:val="24"/>
              </w:rPr>
              <w:t xml:space="preserve">culture and creative sectors, education and competences. </w:t>
            </w:r>
          </w:p>
          <w:p w:rsidR="00EA1F39" w:rsidRPr="00EA1F39" w:rsidRDefault="00EA1F39" w:rsidP="00A430A9">
            <w:pPr>
              <w:pStyle w:val="ListParagraph"/>
              <w:numPr>
                <w:ilvl w:val="0"/>
                <w:numId w:val="50"/>
              </w:numPr>
              <w:spacing w:after="0"/>
              <w:rPr>
                <w:szCs w:val="24"/>
              </w:rPr>
            </w:pPr>
            <w:r w:rsidRPr="00EA1F39">
              <w:rPr>
                <w:szCs w:val="24"/>
              </w:rPr>
              <w:t xml:space="preserve">Regarding the integrated growth, both SOs are likely to have impact on the dimensions </w:t>
            </w:r>
            <w:r w:rsidR="008D7E5A">
              <w:rPr>
                <w:szCs w:val="24"/>
              </w:rPr>
              <w:t xml:space="preserve">related to </w:t>
            </w:r>
            <w:r w:rsidRPr="00EA1F39">
              <w:rPr>
                <w:szCs w:val="24"/>
              </w:rPr>
              <w:t xml:space="preserve">competitive economic environment and integration into global economy. </w:t>
            </w:r>
          </w:p>
          <w:p w:rsidR="00EA1F39" w:rsidRPr="00EA1F39" w:rsidRDefault="00EA1F39" w:rsidP="00A430A9">
            <w:pPr>
              <w:pStyle w:val="ListParagraph"/>
              <w:numPr>
                <w:ilvl w:val="0"/>
                <w:numId w:val="50"/>
              </w:numPr>
              <w:spacing w:after="0"/>
              <w:rPr>
                <w:szCs w:val="24"/>
              </w:rPr>
            </w:pPr>
            <w:r w:rsidRPr="00EA1F39">
              <w:rPr>
                <w:szCs w:val="24"/>
              </w:rPr>
              <w:t xml:space="preserve">Regarding the sustainable growth, both SOs are complementary with the dimension </w:t>
            </w:r>
            <w:r w:rsidR="008D7E5A">
              <w:rPr>
                <w:szCs w:val="24"/>
              </w:rPr>
              <w:t xml:space="preserve">related to </w:t>
            </w:r>
            <w:r w:rsidRPr="00EA1F39">
              <w:rPr>
                <w:szCs w:val="24"/>
              </w:rPr>
              <w:t xml:space="preserve">competitiveness and regarding the inclusive growth SO 3.1. and 3.2. are in line with the dimension </w:t>
            </w:r>
            <w:r w:rsidR="008D7E5A">
              <w:rPr>
                <w:szCs w:val="24"/>
              </w:rPr>
              <w:t xml:space="preserve">related to </w:t>
            </w:r>
            <w:r w:rsidRPr="00EA1F39">
              <w:rPr>
                <w:szCs w:val="24"/>
              </w:rPr>
              <w:t>employment.</w:t>
            </w:r>
          </w:p>
          <w:p w:rsidR="00BD5AE8" w:rsidRPr="001E6E29" w:rsidRDefault="00BD5AE8" w:rsidP="00D901B5">
            <w:pPr>
              <w:spacing w:after="0"/>
              <w:rPr>
                <w:szCs w:val="24"/>
                <w:highlight w:val="yellow"/>
              </w:rPr>
            </w:pPr>
          </w:p>
          <w:p w:rsidR="00660DF5" w:rsidRPr="001E6E29" w:rsidRDefault="00660DF5" w:rsidP="00797FE3">
            <w:pPr>
              <w:spacing w:after="0" w:line="280" w:lineRule="atLeast"/>
              <w:contextualSpacing/>
              <w:rPr>
                <w:szCs w:val="24"/>
              </w:rPr>
            </w:pPr>
            <w:r w:rsidRPr="001E6E29">
              <w:rPr>
                <w:b/>
                <w:i/>
                <w:color w:val="548DD4" w:themeColor="text2" w:themeTint="99"/>
                <w:szCs w:val="24"/>
              </w:rPr>
              <w:t>Priority Axis 4 – “</w:t>
            </w:r>
            <w:r w:rsidR="006F31D2" w:rsidRPr="001E6E29">
              <w:rPr>
                <w:b/>
                <w:i/>
                <w:color w:val="548DD4" w:themeColor="text2" w:themeTint="99"/>
                <w:szCs w:val="24"/>
              </w:rPr>
              <w:t xml:space="preserve">Enhancing competitiveness and </w:t>
            </w:r>
            <w:r w:rsidR="006B5498" w:rsidRPr="001E6E29">
              <w:rPr>
                <w:b/>
                <w:i/>
                <w:color w:val="548DD4" w:themeColor="text2" w:themeTint="99"/>
                <w:szCs w:val="24"/>
              </w:rPr>
              <w:t>developing</w:t>
            </w:r>
            <w:r w:rsidR="006F31D2" w:rsidRPr="001E6E29">
              <w:rPr>
                <w:b/>
                <w:i/>
                <w:color w:val="548DD4" w:themeColor="text2" w:themeTint="99"/>
                <w:szCs w:val="24"/>
              </w:rPr>
              <w:t xml:space="preserve"> business environment in the programme area</w:t>
            </w:r>
            <w:r w:rsidR="00B4317E" w:rsidRPr="001E6E29">
              <w:rPr>
                <w:b/>
                <w:i/>
                <w:color w:val="548DD4" w:themeColor="text2" w:themeTint="99"/>
                <w:szCs w:val="24"/>
              </w:rPr>
              <w:t>”</w:t>
            </w:r>
          </w:p>
          <w:p w:rsidR="00660DF5" w:rsidRPr="001E6E29" w:rsidRDefault="00660DF5" w:rsidP="00797FE3">
            <w:pPr>
              <w:spacing w:after="0" w:line="280" w:lineRule="atLeast"/>
              <w:contextualSpacing/>
              <w:rPr>
                <w:szCs w:val="24"/>
              </w:rPr>
            </w:pPr>
          </w:p>
          <w:p w:rsidR="0047363A" w:rsidRPr="00030E3C" w:rsidRDefault="00EB602E" w:rsidP="00797FE3">
            <w:pPr>
              <w:spacing w:after="0" w:line="280" w:lineRule="atLeast"/>
              <w:contextualSpacing/>
              <w:rPr>
                <w:szCs w:val="24"/>
              </w:rPr>
            </w:pPr>
            <w:r w:rsidRPr="001E6E29">
              <w:rPr>
                <w:szCs w:val="24"/>
              </w:rPr>
              <w:t>Priority axis 4</w:t>
            </w:r>
            <w:r w:rsidR="00E455DE" w:rsidRPr="0000039F">
              <w:rPr>
                <w:szCs w:val="24"/>
              </w:rPr>
              <w:t xml:space="preserve"> </w:t>
            </w:r>
            <w:r w:rsidR="006B296F" w:rsidRPr="0000039F">
              <w:rPr>
                <w:szCs w:val="24"/>
              </w:rPr>
              <w:t>addresses the main challenges and needs related</w:t>
            </w:r>
            <w:r w:rsidR="00FF091A" w:rsidRPr="001159C2">
              <w:rPr>
                <w:szCs w:val="24"/>
              </w:rPr>
              <w:t xml:space="preserve"> to the</w:t>
            </w:r>
            <w:r w:rsidR="006B296F" w:rsidRPr="001159C2">
              <w:rPr>
                <w:szCs w:val="24"/>
              </w:rPr>
              <w:t xml:space="preserve"> enhancing competitiveness and development of business environment in the programme area</w:t>
            </w:r>
            <w:r w:rsidR="00B75105" w:rsidRPr="00DA2261">
              <w:rPr>
                <w:szCs w:val="24"/>
              </w:rPr>
              <w:t>.</w:t>
            </w:r>
          </w:p>
          <w:p w:rsidR="00BF6089" w:rsidRPr="00216A27" w:rsidRDefault="00BF6089" w:rsidP="00797FE3">
            <w:pPr>
              <w:spacing w:after="0" w:line="280" w:lineRule="atLeast"/>
              <w:contextualSpacing/>
              <w:rPr>
                <w:szCs w:val="24"/>
              </w:rPr>
            </w:pPr>
          </w:p>
          <w:p w:rsidR="0047363A" w:rsidRPr="00216A27" w:rsidRDefault="0058460B" w:rsidP="00797FE3">
            <w:pPr>
              <w:spacing w:after="0" w:line="280" w:lineRule="atLeast"/>
              <w:contextualSpacing/>
              <w:rPr>
                <w:szCs w:val="24"/>
              </w:rPr>
            </w:pPr>
            <w:r w:rsidRPr="00216A27">
              <w:rPr>
                <w:szCs w:val="24"/>
              </w:rPr>
              <w:t xml:space="preserve">Developing and </w:t>
            </w:r>
            <w:r w:rsidR="00342AB6" w:rsidRPr="00216A27">
              <w:rPr>
                <w:szCs w:val="24"/>
              </w:rPr>
              <w:t>supporting existing business support institutions, existing business clusters and networks of SMEs,</w:t>
            </w:r>
            <w:r w:rsidRPr="00216A27">
              <w:rPr>
                <w:szCs w:val="24"/>
              </w:rPr>
              <w:t xml:space="preserve"> </w:t>
            </w:r>
            <w:r w:rsidR="00342AB6" w:rsidRPr="00216A27">
              <w:rPr>
                <w:szCs w:val="24"/>
              </w:rPr>
              <w:t>improving capacities in the area of entrepreneurs</w:t>
            </w:r>
            <w:r w:rsidR="007B45E3" w:rsidRPr="00216A27">
              <w:rPr>
                <w:szCs w:val="24"/>
              </w:rPr>
              <w:t xml:space="preserve"> and supporting to development of innovative products and services</w:t>
            </w:r>
            <w:r w:rsidRPr="00216A27">
              <w:rPr>
                <w:szCs w:val="24"/>
              </w:rPr>
              <w:t xml:space="preserve"> shall be supported</w:t>
            </w:r>
            <w:r w:rsidR="00615C3A" w:rsidRPr="00216A27">
              <w:rPr>
                <w:szCs w:val="24"/>
              </w:rPr>
              <w:t xml:space="preserve"> in order </w:t>
            </w:r>
            <w:r w:rsidR="007B45E3" w:rsidRPr="00216A27">
              <w:rPr>
                <w:szCs w:val="24"/>
              </w:rPr>
              <w:t xml:space="preserve">for </w:t>
            </w:r>
            <w:r w:rsidR="007B45E3" w:rsidRPr="00216A27">
              <w:rPr>
                <w:rFonts w:eastAsia="Times New Roman"/>
                <w:szCs w:val="24"/>
                <w:lang w:eastAsia="de-DE"/>
              </w:rPr>
              <w:t>SMEs to have better chance to increase turnover, internationalise thei</w:t>
            </w:r>
            <w:r w:rsidR="006B1AA7">
              <w:rPr>
                <w:rFonts w:eastAsia="Times New Roman"/>
                <w:szCs w:val="24"/>
                <w:lang w:eastAsia="de-DE"/>
              </w:rPr>
              <w:t xml:space="preserve">r products and create more jobs. </w:t>
            </w:r>
            <w:r w:rsidR="007B45E3" w:rsidRPr="00216A27">
              <w:rPr>
                <w:szCs w:val="24"/>
              </w:rPr>
              <w:t xml:space="preserve">These targets of priority axis </w:t>
            </w:r>
            <w:r w:rsidR="00342AB6" w:rsidRPr="00216A27">
              <w:rPr>
                <w:szCs w:val="24"/>
              </w:rPr>
              <w:t xml:space="preserve">will help to accelerate </w:t>
            </w:r>
            <w:r w:rsidR="007B45E3" w:rsidRPr="00216A27">
              <w:rPr>
                <w:szCs w:val="24"/>
              </w:rPr>
              <w:t>development of business environment and</w:t>
            </w:r>
            <w:r w:rsidR="004A4BE9" w:rsidRPr="00216A27">
              <w:rPr>
                <w:szCs w:val="24"/>
              </w:rPr>
              <w:t xml:space="preserve"> overall,</w:t>
            </w:r>
            <w:r w:rsidR="007B45E3" w:rsidRPr="00216A27">
              <w:rPr>
                <w:szCs w:val="24"/>
              </w:rPr>
              <w:t xml:space="preserve"> </w:t>
            </w:r>
            <w:r w:rsidR="00342AB6" w:rsidRPr="00216A27">
              <w:rPr>
                <w:szCs w:val="24"/>
              </w:rPr>
              <w:t xml:space="preserve">the competitiveness </w:t>
            </w:r>
            <w:r w:rsidR="007B45E3" w:rsidRPr="00216A27">
              <w:rPr>
                <w:szCs w:val="24"/>
              </w:rPr>
              <w:t xml:space="preserve">of </w:t>
            </w:r>
            <w:r w:rsidR="00342AB6" w:rsidRPr="00216A27">
              <w:rPr>
                <w:szCs w:val="24"/>
              </w:rPr>
              <w:t>the programme area.</w:t>
            </w:r>
            <w:r w:rsidR="004F2CD9">
              <w:rPr>
                <w:szCs w:val="24"/>
              </w:rPr>
              <w:t xml:space="preserve"> </w:t>
            </w:r>
            <w:r w:rsidR="009405C5">
              <w:rPr>
                <w:szCs w:val="24"/>
              </w:rPr>
              <w:t>Therefore</w:t>
            </w:r>
            <w:r w:rsidR="004F2CD9">
              <w:rPr>
                <w:szCs w:val="24"/>
              </w:rPr>
              <w:t xml:space="preserve">, </w:t>
            </w:r>
            <w:r w:rsidR="00F831BC">
              <w:rPr>
                <w:szCs w:val="24"/>
              </w:rPr>
              <w:t>this priority axis</w:t>
            </w:r>
            <w:r w:rsidR="004F2CD9" w:rsidRPr="00D756C1">
              <w:rPr>
                <w:szCs w:val="24"/>
              </w:rPr>
              <w:t xml:space="preserve"> </w:t>
            </w:r>
            <w:r w:rsidR="004F2CD9" w:rsidRPr="008F1380">
              <w:rPr>
                <w:szCs w:val="24"/>
              </w:rPr>
              <w:t xml:space="preserve">is to address </w:t>
            </w:r>
            <w:r w:rsidR="004F2CD9">
              <w:rPr>
                <w:szCs w:val="24"/>
              </w:rPr>
              <w:t>common</w:t>
            </w:r>
            <w:r w:rsidR="004F2CD9" w:rsidRPr="008F1380">
              <w:rPr>
                <w:szCs w:val="24"/>
              </w:rPr>
              <w:t xml:space="preserve"> challenges through </w:t>
            </w:r>
            <w:r w:rsidR="004F2CD9">
              <w:rPr>
                <w:szCs w:val="24"/>
              </w:rPr>
              <w:t xml:space="preserve">cross-border </w:t>
            </w:r>
            <w:r w:rsidR="004F2CD9" w:rsidRPr="008F1380">
              <w:rPr>
                <w:szCs w:val="24"/>
              </w:rPr>
              <w:t xml:space="preserve">cooperation </w:t>
            </w:r>
            <w:r w:rsidR="004F2CD9">
              <w:rPr>
                <w:szCs w:val="24"/>
              </w:rPr>
              <w:t>in order to enhance the common opportunities and improve the potentials by searching common cross-border solutions.</w:t>
            </w:r>
          </w:p>
          <w:p w:rsidR="00643D70" w:rsidRPr="00216A27" w:rsidRDefault="00643D70" w:rsidP="00797FE3">
            <w:pPr>
              <w:spacing w:after="0" w:line="280" w:lineRule="atLeast"/>
              <w:contextualSpacing/>
              <w:rPr>
                <w:szCs w:val="24"/>
              </w:rPr>
            </w:pPr>
          </w:p>
          <w:p w:rsidR="0047363A" w:rsidRPr="00216A27" w:rsidRDefault="002C59DD" w:rsidP="00797FE3">
            <w:pPr>
              <w:spacing w:after="0" w:line="280" w:lineRule="atLeast"/>
              <w:contextualSpacing/>
              <w:rPr>
                <w:szCs w:val="24"/>
              </w:rPr>
            </w:pPr>
            <w:r w:rsidRPr="00216A27">
              <w:rPr>
                <w:szCs w:val="24"/>
              </w:rPr>
              <w:t xml:space="preserve">A clear contribution to the following main funding priorities </w:t>
            </w:r>
            <w:r w:rsidR="00695439" w:rsidRPr="00216A27">
              <w:rPr>
                <w:szCs w:val="24"/>
              </w:rPr>
              <w:t>of relevant national strateg</w:t>
            </w:r>
            <w:r w:rsidR="006D2DEE" w:rsidRPr="00216A27">
              <w:rPr>
                <w:szCs w:val="24"/>
              </w:rPr>
              <w:t xml:space="preserve">y </w:t>
            </w:r>
            <w:r w:rsidR="00695439" w:rsidRPr="00216A27">
              <w:rPr>
                <w:szCs w:val="24"/>
              </w:rPr>
              <w:t xml:space="preserve">papers </w:t>
            </w:r>
            <w:r w:rsidRPr="00216A27">
              <w:rPr>
                <w:szCs w:val="24"/>
              </w:rPr>
              <w:t>can be observed:</w:t>
            </w:r>
          </w:p>
          <w:p w:rsidR="00717D57" w:rsidRPr="00216A27" w:rsidRDefault="00717D57" w:rsidP="00A430A9">
            <w:pPr>
              <w:pStyle w:val="ListParagraph"/>
              <w:numPr>
                <w:ilvl w:val="0"/>
                <w:numId w:val="50"/>
              </w:numPr>
              <w:spacing w:after="0"/>
              <w:rPr>
                <w:szCs w:val="24"/>
              </w:rPr>
            </w:pPr>
            <w:r w:rsidRPr="00216A27">
              <w:rPr>
                <w:szCs w:val="24"/>
              </w:rPr>
              <w:t>Innovative and competitive business and research environment</w:t>
            </w:r>
            <w:r w:rsidR="00DB672B">
              <w:rPr>
                <w:szCs w:val="24"/>
              </w:rPr>
              <w:t xml:space="preserve"> – PA 4 </w:t>
            </w:r>
            <w:r w:rsidR="00DB672B" w:rsidRPr="00216A27">
              <w:rPr>
                <w:szCs w:val="24"/>
              </w:rPr>
              <w:t>will help to accelerate development of business environment and overall, the competitiveness of the programme area</w:t>
            </w:r>
            <w:r w:rsidR="001C7A6C">
              <w:rPr>
                <w:szCs w:val="24"/>
              </w:rPr>
              <w:t>.</w:t>
            </w:r>
            <w:r w:rsidR="00DB672B">
              <w:rPr>
                <w:szCs w:val="24"/>
              </w:rPr>
              <w:t xml:space="preserve">   </w:t>
            </w:r>
          </w:p>
          <w:p w:rsidR="00B808FB" w:rsidRPr="00216A27" w:rsidRDefault="00717D57" w:rsidP="00A430A9">
            <w:pPr>
              <w:pStyle w:val="ListParagraph"/>
              <w:numPr>
                <w:ilvl w:val="0"/>
                <w:numId w:val="50"/>
              </w:numPr>
              <w:spacing w:after="0"/>
              <w:rPr>
                <w:szCs w:val="24"/>
              </w:rPr>
            </w:pPr>
            <w:r w:rsidRPr="00216A27">
              <w:rPr>
                <w:szCs w:val="24"/>
              </w:rPr>
              <w:t>Competitiveness and innovation, local development strategies</w:t>
            </w:r>
            <w:r w:rsidR="00DB672B">
              <w:rPr>
                <w:szCs w:val="24"/>
              </w:rPr>
              <w:t xml:space="preserve"> – </w:t>
            </w:r>
            <w:r w:rsidR="0050358A">
              <w:rPr>
                <w:szCs w:val="24"/>
              </w:rPr>
              <w:t xml:space="preserve">PA 4 </w:t>
            </w:r>
            <w:r w:rsidR="00DB672B">
              <w:rPr>
                <w:szCs w:val="24"/>
              </w:rPr>
              <w:t xml:space="preserve">will help to enhance </w:t>
            </w:r>
            <w:r w:rsidR="00DB672B" w:rsidRPr="00DB672B">
              <w:rPr>
                <w:szCs w:val="24"/>
              </w:rPr>
              <w:t>competitiveness</w:t>
            </w:r>
            <w:r w:rsidR="00DB672B" w:rsidRPr="00216A27">
              <w:rPr>
                <w:szCs w:val="24"/>
              </w:rPr>
              <w:t xml:space="preserve"> of the programme area</w:t>
            </w:r>
            <w:r w:rsidR="001C7A6C">
              <w:rPr>
                <w:szCs w:val="24"/>
              </w:rPr>
              <w:t>.</w:t>
            </w:r>
          </w:p>
          <w:p w:rsidR="006D2DEE" w:rsidRDefault="006D2DEE" w:rsidP="00A430A9">
            <w:pPr>
              <w:pStyle w:val="ListParagraph"/>
              <w:numPr>
                <w:ilvl w:val="0"/>
                <w:numId w:val="50"/>
              </w:numPr>
              <w:rPr>
                <w:szCs w:val="24"/>
              </w:rPr>
            </w:pPr>
            <w:r w:rsidRPr="00216A27">
              <w:rPr>
                <w:szCs w:val="24"/>
              </w:rPr>
              <w:t>Regional cooperation and territorial cooperation</w:t>
            </w:r>
            <w:r w:rsidR="00DB672B">
              <w:rPr>
                <w:szCs w:val="24"/>
              </w:rPr>
              <w:t xml:space="preserve"> – PA 4 will strengthen cross-border cooperation by </w:t>
            </w:r>
            <w:r w:rsidR="00DB672B" w:rsidRPr="009C31ED">
              <w:rPr>
                <w:szCs w:val="24"/>
              </w:rPr>
              <w:t>support</w:t>
            </w:r>
            <w:r w:rsidR="00DB672B">
              <w:rPr>
                <w:szCs w:val="24"/>
              </w:rPr>
              <w:t>ing</w:t>
            </w:r>
            <w:r w:rsidR="00DB672B" w:rsidRPr="009C31ED">
              <w:rPr>
                <w:szCs w:val="24"/>
              </w:rPr>
              <w:t xml:space="preserve"> territorial integration</w:t>
            </w:r>
            <w:r w:rsidRPr="00216A27">
              <w:rPr>
                <w:szCs w:val="24"/>
              </w:rPr>
              <w:t>.</w:t>
            </w:r>
          </w:p>
          <w:p w:rsidR="001C7A6C" w:rsidRPr="00923C0F" w:rsidRDefault="00EA1F39" w:rsidP="00EA1F39">
            <w:pPr>
              <w:spacing w:after="0"/>
              <w:rPr>
                <w:szCs w:val="24"/>
              </w:rPr>
            </w:pPr>
            <w:r w:rsidRPr="00415C35">
              <w:rPr>
                <w:szCs w:val="24"/>
              </w:rPr>
              <w:t>In addition, a clear contribution to the South East Europe 2020 Strategy pillars can be observed through interconnection of PA 4 specific objective (SO 4.):</w:t>
            </w:r>
          </w:p>
          <w:p w:rsidR="004A057C" w:rsidRPr="004B6114" w:rsidRDefault="004A057C" w:rsidP="00A430A9">
            <w:pPr>
              <w:pStyle w:val="ListParagraph"/>
              <w:numPr>
                <w:ilvl w:val="0"/>
                <w:numId w:val="50"/>
              </w:numPr>
              <w:spacing w:after="0"/>
              <w:rPr>
                <w:szCs w:val="24"/>
              </w:rPr>
            </w:pPr>
            <w:r w:rsidRPr="004A057C">
              <w:rPr>
                <w:szCs w:val="24"/>
              </w:rPr>
              <w:t xml:space="preserve">Regarding the integrated growth SO 4. is likely to have impact on the dimensions </w:t>
            </w:r>
            <w:r w:rsidR="00923C0F">
              <w:rPr>
                <w:szCs w:val="24"/>
              </w:rPr>
              <w:t xml:space="preserve">related to </w:t>
            </w:r>
            <w:r w:rsidRPr="004A057C">
              <w:rPr>
                <w:szCs w:val="24"/>
              </w:rPr>
              <w:t>free trade</w:t>
            </w:r>
            <w:r>
              <w:rPr>
                <w:szCs w:val="24"/>
              </w:rPr>
              <w:t xml:space="preserve"> </w:t>
            </w:r>
            <w:r w:rsidRPr="004A057C">
              <w:rPr>
                <w:szCs w:val="24"/>
              </w:rPr>
              <w:t>area,</w:t>
            </w:r>
            <w:r w:rsidRPr="001C7A6C">
              <w:rPr>
                <w:szCs w:val="24"/>
              </w:rPr>
              <w:t xml:space="preserve"> competitive </w:t>
            </w:r>
            <w:r w:rsidRPr="00E31388">
              <w:rPr>
                <w:szCs w:val="24"/>
              </w:rPr>
              <w:t xml:space="preserve">economic environment and integration into global economy. </w:t>
            </w:r>
          </w:p>
          <w:p w:rsidR="004A057C" w:rsidRPr="004A057C" w:rsidRDefault="004A057C" w:rsidP="00A430A9">
            <w:pPr>
              <w:pStyle w:val="ListParagraph"/>
              <w:numPr>
                <w:ilvl w:val="0"/>
                <w:numId w:val="50"/>
              </w:numPr>
              <w:spacing w:after="0"/>
              <w:rPr>
                <w:szCs w:val="24"/>
              </w:rPr>
            </w:pPr>
            <w:r w:rsidRPr="004A057C">
              <w:rPr>
                <w:szCs w:val="24"/>
              </w:rPr>
              <w:t xml:space="preserve">Regarding the smart growth, SO 4. corresponds to the dimensions </w:t>
            </w:r>
            <w:r w:rsidR="00923C0F">
              <w:rPr>
                <w:szCs w:val="24"/>
              </w:rPr>
              <w:t xml:space="preserve">related to </w:t>
            </w:r>
            <w:r w:rsidRPr="004A057C">
              <w:rPr>
                <w:szCs w:val="24"/>
              </w:rPr>
              <w:t xml:space="preserve">R&amp;D </w:t>
            </w:r>
            <w:r w:rsidRPr="004A057C">
              <w:rPr>
                <w:szCs w:val="24"/>
              </w:rPr>
              <w:lastRenderedPageBreak/>
              <w:t xml:space="preserve">and innovation and digital society. </w:t>
            </w:r>
          </w:p>
          <w:p w:rsidR="004A057C" w:rsidRPr="004A057C" w:rsidRDefault="004A057C" w:rsidP="00A430A9">
            <w:pPr>
              <w:pStyle w:val="ListParagraph"/>
              <w:numPr>
                <w:ilvl w:val="0"/>
                <w:numId w:val="50"/>
              </w:numPr>
              <w:spacing w:after="0"/>
              <w:rPr>
                <w:szCs w:val="24"/>
              </w:rPr>
            </w:pPr>
            <w:r w:rsidRPr="004A057C">
              <w:rPr>
                <w:szCs w:val="24"/>
              </w:rPr>
              <w:t xml:space="preserve">Regarding the sustainable growth it is in line with the dimension </w:t>
            </w:r>
            <w:r w:rsidR="00923C0F">
              <w:rPr>
                <w:szCs w:val="24"/>
              </w:rPr>
              <w:t xml:space="preserve">related to </w:t>
            </w:r>
            <w:r w:rsidRPr="004A057C">
              <w:rPr>
                <w:szCs w:val="24"/>
              </w:rPr>
              <w:t>competitiveness.</w:t>
            </w:r>
          </w:p>
          <w:p w:rsidR="00EA1F39" w:rsidRPr="00EA1F39" w:rsidRDefault="00BC09FD" w:rsidP="00EA1F39">
            <w:pPr>
              <w:rPr>
                <w:szCs w:val="24"/>
              </w:rPr>
            </w:pPr>
            <w:r w:rsidRPr="00BC09FD">
              <w:rPr>
                <w:rFonts w:eastAsia="Times New Roman"/>
                <w:szCs w:val="24"/>
              </w:rPr>
              <w:t>Concise overview of the programme strategy and its structure is given in programme intervention logic - Annex 8 to Cooperation Programme.</w:t>
            </w:r>
          </w:p>
        </w:tc>
      </w:tr>
    </w:tbl>
    <w:p w:rsidR="00006FDC" w:rsidRPr="00B76110" w:rsidRDefault="00006FDC" w:rsidP="00D17A3D">
      <w:pPr>
        <w:spacing w:after="240"/>
        <w:rPr>
          <w:rFonts w:eastAsia="Times New Roman"/>
          <w:lang w:eastAsia="fr-BE"/>
        </w:rPr>
      </w:pPr>
    </w:p>
    <w:p w:rsidR="00FB701A" w:rsidRPr="00B76110" w:rsidRDefault="00FB701A" w:rsidP="005D4DD7">
      <w:pPr>
        <w:pStyle w:val="NumPar3"/>
        <w:numPr>
          <w:ilvl w:val="2"/>
          <w:numId w:val="58"/>
        </w:numPr>
        <w:rPr>
          <w:lang w:eastAsia="fr-BE"/>
        </w:rPr>
      </w:pPr>
      <w:r w:rsidRPr="00B76110">
        <w:rPr>
          <w:lang w:eastAsia="fr-BE"/>
        </w:rPr>
        <w:t xml:space="preserve">Justification for the choice of thematic </w:t>
      </w:r>
      <w:r w:rsidR="004A1074">
        <w:rPr>
          <w:lang w:eastAsia="fr-BE"/>
        </w:rPr>
        <w:t>priorities,</w:t>
      </w:r>
      <w:r w:rsidRPr="00B76110">
        <w:rPr>
          <w:lang w:eastAsia="fr-BE"/>
        </w:rPr>
        <w:t xml:space="preserve"> based on an analysis of </w:t>
      </w:r>
      <w:r w:rsidR="0091402F">
        <w:rPr>
          <w:lang w:eastAsia="fr-BE"/>
        </w:rPr>
        <w:t xml:space="preserve">the needs within </w:t>
      </w:r>
      <w:r w:rsidRPr="00B76110">
        <w:rPr>
          <w:lang w:eastAsia="fr-BE"/>
        </w:rPr>
        <w:t>the programme area as a whole and the strategy chosen in response</w:t>
      </w:r>
      <w:r w:rsidR="0091402F">
        <w:rPr>
          <w:lang w:eastAsia="fr-BE"/>
        </w:rPr>
        <w:t xml:space="preserve"> to such needs</w:t>
      </w:r>
      <w:r w:rsidRPr="00B76110">
        <w:rPr>
          <w:lang w:eastAsia="fr-BE"/>
        </w:rPr>
        <w:t xml:space="preserve">, addressing, where appropriate, missing links in cross-border infrastructure, taking into account the </w:t>
      </w:r>
      <w:r w:rsidR="0091402F">
        <w:rPr>
          <w:lang w:eastAsia="fr-BE"/>
        </w:rPr>
        <w:t xml:space="preserve">results of the </w:t>
      </w:r>
      <w:r w:rsidRPr="00B76110">
        <w:rPr>
          <w:lang w:eastAsia="fr-BE"/>
        </w:rPr>
        <w:t>ex-ante evaluation</w:t>
      </w:r>
    </w:p>
    <w:p w:rsidR="00634152" w:rsidRDefault="00634152" w:rsidP="00EE503D">
      <w:pPr>
        <w:rPr>
          <w:b/>
          <w:lang w:eastAsia="fr-BE"/>
        </w:rPr>
      </w:pPr>
    </w:p>
    <w:p w:rsidR="00FB701A" w:rsidRPr="00B76110" w:rsidRDefault="00FB701A" w:rsidP="00EE503D">
      <w:pPr>
        <w:rPr>
          <w:b/>
          <w:lang w:eastAsia="fr-BE"/>
        </w:rPr>
      </w:pPr>
      <w:r w:rsidRPr="00B76110">
        <w:rPr>
          <w:b/>
          <w:lang w:eastAsia="fr-BE"/>
        </w:rPr>
        <w:t xml:space="preserve">Table 1: </w:t>
      </w:r>
      <w:r w:rsidR="003656A0">
        <w:rPr>
          <w:b/>
          <w:lang w:eastAsia="fr-BE"/>
        </w:rPr>
        <w:t>J</w:t>
      </w:r>
      <w:r w:rsidRPr="00B76110">
        <w:rPr>
          <w:b/>
          <w:lang w:eastAsia="fr-BE"/>
        </w:rPr>
        <w:t>ustification for the selection of thematic priorities</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18"/>
      </w:tblGrid>
      <w:tr w:rsidR="003E4534" w:rsidRPr="00B76110" w:rsidTr="00A90053">
        <w:trPr>
          <w:trHeight w:val="482"/>
        </w:trPr>
        <w:tc>
          <w:tcPr>
            <w:tcW w:w="2235" w:type="dxa"/>
            <w:shd w:val="clear" w:color="auto" w:fill="auto"/>
          </w:tcPr>
          <w:p w:rsidR="003E4534" w:rsidRPr="00D81E22" w:rsidRDefault="003E4534" w:rsidP="00A90053">
            <w:pPr>
              <w:tabs>
                <w:tab w:val="left" w:pos="285"/>
              </w:tabs>
              <w:spacing w:before="0"/>
              <w:ind w:right="-108"/>
              <w:rPr>
                <w:rFonts w:eastAsia="Times New Roman"/>
                <w:b/>
                <w:szCs w:val="24"/>
                <w:lang w:eastAsia="fr-BE"/>
              </w:rPr>
            </w:pPr>
            <w:r w:rsidRPr="00BA61EF">
              <w:rPr>
                <w:rFonts w:eastAsia="Times New Roman"/>
                <w:b/>
                <w:szCs w:val="24"/>
                <w:lang w:eastAsia="fr-BE"/>
              </w:rPr>
              <w:t>Selected thematic priority</w:t>
            </w:r>
          </w:p>
        </w:tc>
        <w:tc>
          <w:tcPr>
            <w:tcW w:w="7218" w:type="dxa"/>
            <w:shd w:val="clear" w:color="auto" w:fill="auto"/>
          </w:tcPr>
          <w:p w:rsidR="003E4534" w:rsidRPr="00D81E22" w:rsidRDefault="003E4534" w:rsidP="00FE3D89">
            <w:pPr>
              <w:spacing w:before="0"/>
              <w:rPr>
                <w:rFonts w:eastAsia="Times New Roman"/>
                <w:b/>
                <w:szCs w:val="24"/>
                <w:lang w:eastAsia="fr-BE"/>
              </w:rPr>
            </w:pPr>
            <w:r w:rsidRPr="00D81E22">
              <w:rPr>
                <w:rFonts w:eastAsia="Times New Roman"/>
                <w:b/>
                <w:szCs w:val="24"/>
                <w:lang w:eastAsia="fr-BE"/>
              </w:rPr>
              <w:t xml:space="preserve">Justification for selection  </w:t>
            </w:r>
          </w:p>
        </w:tc>
      </w:tr>
      <w:tr w:rsidR="003E4534" w:rsidRPr="00B76110" w:rsidTr="00EE5B49">
        <w:trPr>
          <w:trHeight w:val="1125"/>
        </w:trPr>
        <w:tc>
          <w:tcPr>
            <w:tcW w:w="2235" w:type="dxa"/>
            <w:shd w:val="clear" w:color="auto" w:fill="auto"/>
          </w:tcPr>
          <w:p w:rsidR="006F5304" w:rsidRDefault="00634152" w:rsidP="00634152">
            <w:pPr>
              <w:pStyle w:val="ListParagraph"/>
              <w:tabs>
                <w:tab w:val="left" w:pos="285"/>
              </w:tabs>
              <w:spacing w:after="120"/>
              <w:ind w:left="0"/>
              <w:contextualSpacing/>
              <w:jc w:val="left"/>
              <w:rPr>
                <w:b/>
                <w:szCs w:val="24"/>
                <w:lang w:eastAsia="fr-BE"/>
              </w:rPr>
            </w:pPr>
            <w:r>
              <w:rPr>
                <w:b/>
                <w:szCs w:val="24"/>
                <w:lang w:eastAsia="fr-BE"/>
              </w:rPr>
              <w:t xml:space="preserve">TP 1 </w:t>
            </w:r>
          </w:p>
          <w:p w:rsidR="003E4534" w:rsidRPr="00D81E22" w:rsidRDefault="00822222" w:rsidP="001E0204">
            <w:pPr>
              <w:pStyle w:val="ListParagraph"/>
              <w:tabs>
                <w:tab w:val="left" w:pos="285"/>
              </w:tabs>
              <w:spacing w:after="120"/>
              <w:ind w:left="0"/>
              <w:contextualSpacing/>
              <w:jc w:val="left"/>
              <w:rPr>
                <w:b/>
                <w:szCs w:val="24"/>
                <w:lang w:eastAsia="fr-BE"/>
              </w:rPr>
            </w:pPr>
            <w:r w:rsidRPr="00822222">
              <w:rPr>
                <w:b/>
                <w:szCs w:val="24"/>
                <w:lang w:eastAsia="fr-BE"/>
              </w:rPr>
              <w:t>Public health and social care sector</w:t>
            </w:r>
          </w:p>
        </w:tc>
        <w:tc>
          <w:tcPr>
            <w:tcW w:w="7218" w:type="dxa"/>
            <w:shd w:val="clear" w:color="auto" w:fill="auto"/>
          </w:tcPr>
          <w:p w:rsidR="00DB55B9" w:rsidRPr="00D81E22" w:rsidRDefault="00DB55B9" w:rsidP="00DB55B9">
            <w:pPr>
              <w:spacing w:before="0"/>
              <w:rPr>
                <w:szCs w:val="24"/>
              </w:rPr>
            </w:pPr>
            <w:r w:rsidRPr="00D81E22">
              <w:rPr>
                <w:szCs w:val="24"/>
              </w:rPr>
              <w:t>Despite of sufficient number of hospitals there is an inefficient and ineffective network of healthcare institutions, inappropriate mobilisation of care capacities, underperforming system management including insufficient focus on quality standards</w:t>
            </w:r>
            <w:r>
              <w:rPr>
                <w:szCs w:val="24"/>
              </w:rPr>
              <w:t xml:space="preserve"> and</w:t>
            </w:r>
            <w:r w:rsidRPr="00D81E22">
              <w:rPr>
                <w:szCs w:val="24"/>
              </w:rPr>
              <w:t xml:space="preserve"> low level of ICT solutions in use.</w:t>
            </w:r>
          </w:p>
          <w:p w:rsidR="003E4534" w:rsidRDefault="003E4534" w:rsidP="00C201FA">
            <w:pPr>
              <w:spacing w:before="0"/>
              <w:rPr>
                <w:szCs w:val="24"/>
              </w:rPr>
            </w:pPr>
            <w:r w:rsidRPr="00D81E22">
              <w:rPr>
                <w:szCs w:val="24"/>
              </w:rPr>
              <w:t>The social care services differ across the regions</w:t>
            </w:r>
            <w:r w:rsidR="005556BA">
              <w:rPr>
                <w:szCs w:val="24"/>
              </w:rPr>
              <w:t xml:space="preserve"> </w:t>
            </w:r>
            <w:r w:rsidR="00C201FA">
              <w:rPr>
                <w:szCs w:val="24"/>
              </w:rPr>
              <w:t>but in general</w:t>
            </w:r>
            <w:r w:rsidR="005556BA">
              <w:rPr>
                <w:szCs w:val="24"/>
              </w:rPr>
              <w:t xml:space="preserve"> do</w:t>
            </w:r>
            <w:r w:rsidRPr="00D81E22">
              <w:rPr>
                <w:szCs w:val="24"/>
              </w:rPr>
              <w:t xml:space="preserve"> not have the capacity to provide personalized and integrated services and information especially for vulnerable groups (e.g. elderly, disabled</w:t>
            </w:r>
            <w:r w:rsidR="005202CB">
              <w:rPr>
                <w:szCs w:val="24"/>
              </w:rPr>
              <w:t xml:space="preserve">, </w:t>
            </w:r>
            <w:r w:rsidR="00897920">
              <w:rPr>
                <w:szCs w:val="24"/>
              </w:rPr>
              <w:t xml:space="preserve">people at risk of poverty, </w:t>
            </w:r>
            <w:r w:rsidR="005202CB">
              <w:rPr>
                <w:szCs w:val="24"/>
              </w:rPr>
              <w:t>etc.</w:t>
            </w:r>
            <w:r w:rsidRPr="00D81E22">
              <w:rPr>
                <w:szCs w:val="24"/>
              </w:rPr>
              <w:t>).</w:t>
            </w:r>
          </w:p>
          <w:p w:rsidR="00573E10" w:rsidRPr="00D81E22" w:rsidRDefault="00AE293D" w:rsidP="008D7E06">
            <w:pPr>
              <w:spacing w:before="0"/>
              <w:rPr>
                <w:szCs w:val="24"/>
              </w:rPr>
            </w:pPr>
            <w:r w:rsidRPr="00AE293D">
              <w:rPr>
                <w:szCs w:val="24"/>
              </w:rPr>
              <w:t>Health and social services in the programme area are especially ineffective in managing preparation and emergency responses to disasters</w:t>
            </w:r>
            <w:r w:rsidRPr="00AE293D">
              <w:t xml:space="preserve"> </w:t>
            </w:r>
            <w:r w:rsidRPr="00AE293D">
              <w:rPr>
                <w:szCs w:val="24"/>
              </w:rPr>
              <w:t>across the borders.</w:t>
            </w:r>
            <w:r w:rsidRPr="00573E10">
              <w:rPr>
                <w:szCs w:val="24"/>
              </w:rPr>
              <w:t xml:space="preserve">   </w:t>
            </w:r>
          </w:p>
        </w:tc>
      </w:tr>
      <w:tr w:rsidR="003E4534" w:rsidRPr="00B76110" w:rsidTr="00AF2732">
        <w:trPr>
          <w:trHeight w:val="995"/>
        </w:trPr>
        <w:tc>
          <w:tcPr>
            <w:tcW w:w="2235" w:type="dxa"/>
            <w:shd w:val="clear" w:color="auto" w:fill="auto"/>
          </w:tcPr>
          <w:p w:rsidR="006F5304" w:rsidRDefault="00634152" w:rsidP="00634152">
            <w:pPr>
              <w:pStyle w:val="ListParagraph"/>
              <w:tabs>
                <w:tab w:val="left" w:pos="285"/>
              </w:tabs>
              <w:spacing w:after="120"/>
              <w:ind w:left="0"/>
              <w:contextualSpacing/>
              <w:jc w:val="left"/>
              <w:rPr>
                <w:b/>
                <w:szCs w:val="24"/>
                <w:lang w:eastAsia="fr-BE"/>
              </w:rPr>
            </w:pPr>
            <w:r>
              <w:rPr>
                <w:b/>
                <w:szCs w:val="24"/>
                <w:lang w:eastAsia="fr-BE"/>
              </w:rPr>
              <w:t xml:space="preserve">TP 2 </w:t>
            </w:r>
          </w:p>
          <w:p w:rsidR="003E4534" w:rsidRPr="00D81E22" w:rsidRDefault="00DB55B9" w:rsidP="008658C8">
            <w:pPr>
              <w:pStyle w:val="ListParagraph"/>
              <w:tabs>
                <w:tab w:val="left" w:pos="285"/>
              </w:tabs>
              <w:spacing w:after="120"/>
              <w:ind w:left="0"/>
              <w:contextualSpacing/>
              <w:jc w:val="left"/>
              <w:rPr>
                <w:b/>
                <w:szCs w:val="24"/>
                <w:lang w:eastAsia="fr-BE"/>
              </w:rPr>
            </w:pPr>
            <w:r w:rsidRPr="00DB55B9">
              <w:rPr>
                <w:b/>
                <w:szCs w:val="24"/>
                <w:lang w:eastAsia="fr-BE"/>
              </w:rPr>
              <w:t xml:space="preserve">Environment, </w:t>
            </w:r>
            <w:r w:rsidR="008658C8">
              <w:rPr>
                <w:b/>
                <w:szCs w:val="24"/>
                <w:lang w:eastAsia="fr-BE"/>
              </w:rPr>
              <w:t>b</w:t>
            </w:r>
            <w:r w:rsidRPr="00DB55B9">
              <w:rPr>
                <w:b/>
                <w:szCs w:val="24"/>
                <w:lang w:eastAsia="fr-BE"/>
              </w:rPr>
              <w:t xml:space="preserve">iodiversity, </w:t>
            </w:r>
            <w:r w:rsidR="008658C8">
              <w:rPr>
                <w:b/>
                <w:szCs w:val="24"/>
                <w:lang w:eastAsia="fr-BE"/>
              </w:rPr>
              <w:t>r</w:t>
            </w:r>
            <w:r w:rsidRPr="00DB55B9">
              <w:rPr>
                <w:b/>
                <w:szCs w:val="24"/>
                <w:lang w:eastAsia="fr-BE"/>
              </w:rPr>
              <w:t xml:space="preserve">isk </w:t>
            </w:r>
            <w:r w:rsidR="008658C8">
              <w:rPr>
                <w:b/>
                <w:szCs w:val="24"/>
                <w:lang w:eastAsia="fr-BE"/>
              </w:rPr>
              <w:t>p</w:t>
            </w:r>
            <w:r w:rsidRPr="00DB55B9">
              <w:rPr>
                <w:b/>
                <w:szCs w:val="24"/>
                <w:lang w:eastAsia="fr-BE"/>
              </w:rPr>
              <w:t xml:space="preserve">revention, </w:t>
            </w:r>
            <w:r w:rsidR="008658C8">
              <w:rPr>
                <w:b/>
                <w:szCs w:val="24"/>
                <w:lang w:eastAsia="fr-BE"/>
              </w:rPr>
              <w:t>s</w:t>
            </w:r>
            <w:r w:rsidRPr="00DB55B9">
              <w:rPr>
                <w:b/>
                <w:szCs w:val="24"/>
                <w:lang w:eastAsia="fr-BE"/>
              </w:rPr>
              <w:t xml:space="preserve">ustainable </w:t>
            </w:r>
            <w:r w:rsidR="008658C8">
              <w:rPr>
                <w:b/>
                <w:szCs w:val="24"/>
                <w:lang w:eastAsia="fr-BE"/>
              </w:rPr>
              <w:t>e</w:t>
            </w:r>
            <w:r w:rsidRPr="00DB55B9">
              <w:rPr>
                <w:b/>
                <w:szCs w:val="24"/>
                <w:lang w:eastAsia="fr-BE"/>
              </w:rPr>
              <w:t xml:space="preserve">nergy  and </w:t>
            </w:r>
            <w:r w:rsidR="008658C8">
              <w:rPr>
                <w:b/>
                <w:szCs w:val="24"/>
                <w:lang w:eastAsia="fr-BE"/>
              </w:rPr>
              <w:t>e</w:t>
            </w:r>
            <w:r w:rsidRPr="00DB55B9">
              <w:rPr>
                <w:b/>
                <w:szCs w:val="24"/>
                <w:lang w:eastAsia="fr-BE"/>
              </w:rPr>
              <w:t xml:space="preserve">nergy </w:t>
            </w:r>
            <w:r w:rsidR="008658C8">
              <w:rPr>
                <w:b/>
                <w:szCs w:val="24"/>
                <w:lang w:eastAsia="fr-BE"/>
              </w:rPr>
              <w:t>e</w:t>
            </w:r>
            <w:r w:rsidRPr="00DB55B9">
              <w:rPr>
                <w:b/>
                <w:szCs w:val="24"/>
                <w:lang w:eastAsia="fr-BE"/>
              </w:rPr>
              <w:t>fficiency</w:t>
            </w:r>
          </w:p>
        </w:tc>
        <w:tc>
          <w:tcPr>
            <w:tcW w:w="7218" w:type="dxa"/>
            <w:shd w:val="clear" w:color="auto" w:fill="auto"/>
          </w:tcPr>
          <w:p w:rsidR="003E4534" w:rsidRPr="00D81E22" w:rsidRDefault="003E4534" w:rsidP="00A90053">
            <w:pPr>
              <w:spacing w:before="0"/>
              <w:rPr>
                <w:szCs w:val="24"/>
              </w:rPr>
            </w:pPr>
            <w:r w:rsidRPr="00D81E22">
              <w:rPr>
                <w:szCs w:val="24"/>
              </w:rPr>
              <w:t xml:space="preserve">The programme area </w:t>
            </w:r>
            <w:r w:rsidR="00D46EC2">
              <w:rPr>
                <w:szCs w:val="24"/>
              </w:rPr>
              <w:t>i</w:t>
            </w:r>
            <w:r w:rsidR="00A2600C">
              <w:rPr>
                <w:szCs w:val="24"/>
              </w:rPr>
              <w:t>s</w:t>
            </w:r>
            <w:r w:rsidRPr="00D81E22">
              <w:rPr>
                <w:szCs w:val="24"/>
              </w:rPr>
              <w:t xml:space="preserve"> rich</w:t>
            </w:r>
            <w:r w:rsidR="00D46EC2">
              <w:rPr>
                <w:szCs w:val="24"/>
              </w:rPr>
              <w:t xml:space="preserve"> in</w:t>
            </w:r>
            <w:r w:rsidRPr="00D81E22">
              <w:rPr>
                <w:szCs w:val="24"/>
              </w:rPr>
              <w:t xml:space="preserve"> </w:t>
            </w:r>
            <w:r w:rsidR="00D46EC2">
              <w:rPr>
                <w:szCs w:val="24"/>
              </w:rPr>
              <w:t>natural resources</w:t>
            </w:r>
            <w:r w:rsidRPr="00D81E22">
              <w:rPr>
                <w:szCs w:val="24"/>
              </w:rPr>
              <w:t xml:space="preserve">, biodiversity and </w:t>
            </w:r>
            <w:r w:rsidR="00D46EC2">
              <w:rPr>
                <w:szCs w:val="24"/>
              </w:rPr>
              <w:t>protected areas</w:t>
            </w:r>
            <w:r w:rsidR="00194C5A">
              <w:rPr>
                <w:szCs w:val="24"/>
              </w:rPr>
              <w:t xml:space="preserve">, </w:t>
            </w:r>
            <w:r w:rsidR="00BD50F7">
              <w:rPr>
                <w:szCs w:val="24"/>
              </w:rPr>
              <w:t xml:space="preserve">as well </w:t>
            </w:r>
            <w:r w:rsidR="00D46EC2">
              <w:rPr>
                <w:szCs w:val="24"/>
              </w:rPr>
              <w:t xml:space="preserve">as in </w:t>
            </w:r>
            <w:r w:rsidR="00BD50F7">
              <w:rPr>
                <w:szCs w:val="24"/>
              </w:rPr>
              <w:t xml:space="preserve">sensitive ecosystems, </w:t>
            </w:r>
            <w:r w:rsidR="00443BC6">
              <w:rPr>
                <w:szCs w:val="24"/>
              </w:rPr>
              <w:t xml:space="preserve">therefore </w:t>
            </w:r>
            <w:r w:rsidR="00443BC6" w:rsidRPr="00D46EC2">
              <w:rPr>
                <w:szCs w:val="24"/>
              </w:rPr>
              <w:t>significant environmental challenges are related to</w:t>
            </w:r>
            <w:r w:rsidR="00133168" w:rsidRPr="00D46EC2">
              <w:rPr>
                <w:szCs w:val="24"/>
              </w:rPr>
              <w:t xml:space="preserve"> </w:t>
            </w:r>
            <w:r w:rsidR="00BD50F7" w:rsidRPr="00D46EC2">
              <w:rPr>
                <w:szCs w:val="24"/>
              </w:rPr>
              <w:t>their</w:t>
            </w:r>
            <w:r w:rsidR="00133168" w:rsidRPr="00D46EC2">
              <w:rPr>
                <w:szCs w:val="24"/>
              </w:rPr>
              <w:t xml:space="preserve"> </w:t>
            </w:r>
            <w:r w:rsidR="005454BB" w:rsidRPr="000F53EE">
              <w:rPr>
                <w:szCs w:val="24"/>
              </w:rPr>
              <w:t>protection</w:t>
            </w:r>
            <w:r w:rsidRPr="00D81E22">
              <w:rPr>
                <w:szCs w:val="24"/>
              </w:rPr>
              <w:t>.</w:t>
            </w:r>
          </w:p>
          <w:p w:rsidR="00BD50F7" w:rsidRPr="000F53EE" w:rsidRDefault="000F53EE" w:rsidP="000F53EE">
            <w:pPr>
              <w:rPr>
                <w:rFonts w:ascii="Arial" w:hAnsi="Arial" w:cs="Arial"/>
              </w:rPr>
            </w:pPr>
            <w:r>
              <w:rPr>
                <w:szCs w:val="24"/>
              </w:rPr>
              <w:t xml:space="preserve">There are </w:t>
            </w:r>
            <w:r w:rsidR="003E4534" w:rsidRPr="000F53EE">
              <w:rPr>
                <w:szCs w:val="24"/>
              </w:rPr>
              <w:t xml:space="preserve">environmental hot spots </w:t>
            </w:r>
            <w:r w:rsidR="003B516A" w:rsidRPr="000F53EE">
              <w:rPr>
                <w:szCs w:val="24"/>
              </w:rPr>
              <w:t>with</w:t>
            </w:r>
            <w:r w:rsidR="002D4601" w:rsidRPr="000F53EE">
              <w:rPr>
                <w:szCs w:val="24"/>
              </w:rPr>
              <w:t xml:space="preserve"> </w:t>
            </w:r>
            <w:r w:rsidR="005153B7">
              <w:rPr>
                <w:szCs w:val="24"/>
              </w:rPr>
              <w:t xml:space="preserve">related </w:t>
            </w:r>
            <w:r w:rsidR="003E4534" w:rsidRPr="000F53EE">
              <w:rPr>
                <w:szCs w:val="24"/>
              </w:rPr>
              <w:t>remediation plan</w:t>
            </w:r>
            <w:r w:rsidR="003B516A" w:rsidRPr="000F53EE">
              <w:rPr>
                <w:szCs w:val="24"/>
              </w:rPr>
              <w:t>s</w:t>
            </w:r>
            <w:r w:rsidR="003E4534" w:rsidRPr="000F53EE">
              <w:rPr>
                <w:szCs w:val="24"/>
              </w:rPr>
              <w:t xml:space="preserve"> </w:t>
            </w:r>
            <w:r w:rsidRPr="000F53EE">
              <w:rPr>
                <w:szCs w:val="24"/>
              </w:rPr>
              <w:t xml:space="preserve">within the programme </w:t>
            </w:r>
            <w:r w:rsidR="00C25817" w:rsidRPr="000F53EE">
              <w:rPr>
                <w:szCs w:val="24"/>
              </w:rPr>
              <w:t>area</w:t>
            </w:r>
            <w:r w:rsidR="00C25817">
              <w:rPr>
                <w:szCs w:val="24"/>
              </w:rPr>
              <w:t>;</w:t>
            </w:r>
            <w:r w:rsidR="005153B7">
              <w:rPr>
                <w:szCs w:val="24"/>
              </w:rPr>
              <w:t xml:space="preserve"> however, </w:t>
            </w:r>
            <w:r w:rsidRPr="000F53EE">
              <w:rPr>
                <w:szCs w:val="24"/>
              </w:rPr>
              <w:t>those plans</w:t>
            </w:r>
            <w:r>
              <w:rPr>
                <w:rFonts w:ascii="Arial" w:hAnsi="Arial" w:cs="Arial"/>
              </w:rPr>
              <w:t xml:space="preserve"> </w:t>
            </w:r>
            <w:r w:rsidR="00634458" w:rsidRPr="000F53EE">
              <w:rPr>
                <w:szCs w:val="24"/>
              </w:rPr>
              <w:t>should</w:t>
            </w:r>
            <w:r w:rsidR="003B516A" w:rsidRPr="000F53EE">
              <w:rPr>
                <w:szCs w:val="24"/>
              </w:rPr>
              <w:t xml:space="preserve"> be placed</w:t>
            </w:r>
            <w:r w:rsidR="002D4601" w:rsidRPr="000F53EE">
              <w:rPr>
                <w:szCs w:val="24"/>
              </w:rPr>
              <w:t xml:space="preserve"> </w:t>
            </w:r>
            <w:r w:rsidR="003E4534" w:rsidRPr="000F53EE">
              <w:rPr>
                <w:szCs w:val="24"/>
              </w:rPr>
              <w:t>in use</w:t>
            </w:r>
            <w:r w:rsidR="00BD50F7" w:rsidRPr="000F53EE">
              <w:rPr>
                <w:szCs w:val="24"/>
              </w:rPr>
              <w:t>.</w:t>
            </w:r>
          </w:p>
          <w:p w:rsidR="00B426FC" w:rsidRDefault="00B426FC" w:rsidP="00537212">
            <w:pPr>
              <w:pStyle w:val="ListParagraph"/>
              <w:ind w:left="0"/>
              <w:rPr>
                <w:color w:val="000000"/>
              </w:rPr>
            </w:pPr>
            <w:r>
              <w:rPr>
                <w:szCs w:val="24"/>
              </w:rPr>
              <w:t xml:space="preserve">Furthermore, the programme area </w:t>
            </w:r>
            <w:r w:rsidRPr="00D81E22">
              <w:rPr>
                <w:szCs w:val="24"/>
              </w:rPr>
              <w:t xml:space="preserve">is </w:t>
            </w:r>
            <w:r>
              <w:rPr>
                <w:szCs w:val="24"/>
              </w:rPr>
              <w:t xml:space="preserve">at </w:t>
            </w:r>
            <w:r w:rsidRPr="00D81E22">
              <w:rPr>
                <w:szCs w:val="24"/>
              </w:rPr>
              <w:t xml:space="preserve">high risk </w:t>
            </w:r>
            <w:r>
              <w:rPr>
                <w:szCs w:val="24"/>
              </w:rPr>
              <w:t>as regards to natural disasters, especially</w:t>
            </w:r>
            <w:r w:rsidRPr="00D81E22">
              <w:rPr>
                <w:szCs w:val="24"/>
              </w:rPr>
              <w:t xml:space="preserve"> flood</w:t>
            </w:r>
            <w:r>
              <w:rPr>
                <w:szCs w:val="24"/>
              </w:rPr>
              <w:t>s</w:t>
            </w:r>
            <w:r w:rsidRPr="00D81E22">
              <w:rPr>
                <w:szCs w:val="24"/>
              </w:rPr>
              <w:t>, droughts and fire</w:t>
            </w:r>
            <w:r>
              <w:rPr>
                <w:szCs w:val="24"/>
              </w:rPr>
              <w:t xml:space="preserve">s which is mainly due to </w:t>
            </w:r>
            <w:r w:rsidR="0000527F">
              <w:rPr>
                <w:szCs w:val="24"/>
              </w:rPr>
              <w:t xml:space="preserve">the </w:t>
            </w:r>
            <w:r>
              <w:rPr>
                <w:szCs w:val="24"/>
              </w:rPr>
              <w:t>climate changes. Since the f</w:t>
            </w:r>
            <w:r w:rsidRPr="00456DD8">
              <w:t xml:space="preserve">unctionality of </w:t>
            </w:r>
            <w:r>
              <w:t xml:space="preserve">risk prevention and </w:t>
            </w:r>
            <w:r w:rsidRPr="00DD0CD6">
              <w:t xml:space="preserve">protection systems related to natural disasters </w:t>
            </w:r>
            <w:r w:rsidRPr="00172340">
              <w:rPr>
                <w:color w:val="000000"/>
              </w:rPr>
              <w:t>is not on the satisfactory level</w:t>
            </w:r>
            <w:r>
              <w:rPr>
                <w:color w:val="000000"/>
              </w:rPr>
              <w:t xml:space="preserve">, the joint cross-border initiatives </w:t>
            </w:r>
            <w:r w:rsidR="0000527F">
              <w:rPr>
                <w:color w:val="000000"/>
              </w:rPr>
              <w:t xml:space="preserve">in relation to emergency preparedness </w:t>
            </w:r>
            <w:r w:rsidRPr="00172340">
              <w:rPr>
                <w:color w:val="000000"/>
              </w:rPr>
              <w:t>need to</w:t>
            </w:r>
            <w:r>
              <w:rPr>
                <w:color w:val="000000"/>
              </w:rPr>
              <w:t xml:space="preserve"> </w:t>
            </w:r>
            <w:r w:rsidR="006C629A">
              <w:rPr>
                <w:color w:val="000000"/>
              </w:rPr>
              <w:t>take place</w:t>
            </w:r>
            <w:r w:rsidRPr="00172340">
              <w:rPr>
                <w:color w:val="000000"/>
              </w:rPr>
              <w:t>.</w:t>
            </w:r>
          </w:p>
          <w:p w:rsidR="003E4534" w:rsidRPr="005153B7" w:rsidRDefault="003E4534" w:rsidP="00AF2732">
            <w:pPr>
              <w:spacing w:before="0"/>
              <w:rPr>
                <w:szCs w:val="24"/>
              </w:rPr>
            </w:pPr>
            <w:r w:rsidRPr="00D81E22">
              <w:rPr>
                <w:szCs w:val="24"/>
              </w:rPr>
              <w:t xml:space="preserve">Energy indicators in </w:t>
            </w:r>
            <w:r w:rsidR="00194C5A">
              <w:rPr>
                <w:szCs w:val="24"/>
              </w:rPr>
              <w:t xml:space="preserve">the </w:t>
            </w:r>
            <w:r w:rsidR="00194C5A" w:rsidRPr="00D81E22">
              <w:rPr>
                <w:szCs w:val="24"/>
              </w:rPr>
              <w:t>programm</w:t>
            </w:r>
            <w:r w:rsidR="00194C5A">
              <w:rPr>
                <w:szCs w:val="24"/>
              </w:rPr>
              <w:t>e</w:t>
            </w:r>
            <w:r w:rsidR="00194C5A" w:rsidRPr="00D81E22">
              <w:rPr>
                <w:szCs w:val="24"/>
              </w:rPr>
              <w:t xml:space="preserve"> </w:t>
            </w:r>
            <w:r w:rsidRPr="00D81E22">
              <w:rPr>
                <w:szCs w:val="24"/>
              </w:rPr>
              <w:t xml:space="preserve">area are showing </w:t>
            </w:r>
            <w:r w:rsidR="009014BE">
              <w:rPr>
                <w:szCs w:val="24"/>
              </w:rPr>
              <w:t>low share of production and consumption from renewable energy resources even though the programme area has potential in using wind, solar power, biomass and geothermal energy.</w:t>
            </w:r>
            <w:r w:rsidR="00AF2732">
              <w:rPr>
                <w:szCs w:val="24"/>
              </w:rPr>
              <w:t xml:space="preserve"> Furthermore, the analysis has shown that there is a need to improve energy efficiency in public buildings. </w:t>
            </w:r>
            <w:r w:rsidR="009014BE">
              <w:rPr>
                <w:szCs w:val="24"/>
              </w:rPr>
              <w:t xml:space="preserve">  </w:t>
            </w:r>
            <w:r w:rsidR="00AF2732">
              <w:rPr>
                <w:szCs w:val="24"/>
              </w:rPr>
              <w:t>Therefore, joint cross-border initiatives need to be implemented in order to strengthen the use of sustainable energy</w:t>
            </w:r>
            <w:r w:rsidR="0019529E">
              <w:rPr>
                <w:szCs w:val="24"/>
              </w:rPr>
              <w:t xml:space="preserve">, to improve the related </w:t>
            </w:r>
            <w:r w:rsidR="0019529E">
              <w:rPr>
                <w:szCs w:val="24"/>
              </w:rPr>
              <w:lastRenderedPageBreak/>
              <w:t>planning and legal framework, to strengthen awareness raising and to increase energy efficiency, especially in public buildings and housing sector.</w:t>
            </w:r>
          </w:p>
        </w:tc>
      </w:tr>
      <w:tr w:rsidR="003E4534" w:rsidRPr="00B76110" w:rsidTr="00030E3C">
        <w:trPr>
          <w:trHeight w:val="4615"/>
        </w:trPr>
        <w:tc>
          <w:tcPr>
            <w:tcW w:w="2235" w:type="dxa"/>
            <w:shd w:val="clear" w:color="auto" w:fill="auto"/>
          </w:tcPr>
          <w:p w:rsidR="006F5304" w:rsidRDefault="00634152" w:rsidP="00634152">
            <w:pPr>
              <w:pStyle w:val="ListParagraph"/>
              <w:tabs>
                <w:tab w:val="left" w:pos="285"/>
              </w:tabs>
              <w:spacing w:after="120"/>
              <w:ind w:left="0"/>
              <w:contextualSpacing/>
              <w:jc w:val="left"/>
              <w:rPr>
                <w:b/>
                <w:szCs w:val="24"/>
                <w:lang w:eastAsia="fr-BE"/>
              </w:rPr>
            </w:pPr>
            <w:r>
              <w:rPr>
                <w:b/>
                <w:szCs w:val="24"/>
                <w:lang w:eastAsia="fr-BE"/>
              </w:rPr>
              <w:lastRenderedPageBreak/>
              <w:t xml:space="preserve">TP 4 </w:t>
            </w:r>
          </w:p>
          <w:p w:rsidR="003E4534" w:rsidRPr="00D81E22" w:rsidRDefault="003E4534" w:rsidP="00634152">
            <w:pPr>
              <w:pStyle w:val="ListParagraph"/>
              <w:tabs>
                <w:tab w:val="left" w:pos="285"/>
              </w:tabs>
              <w:spacing w:after="120"/>
              <w:ind w:left="0"/>
              <w:contextualSpacing/>
              <w:jc w:val="left"/>
              <w:rPr>
                <w:b/>
                <w:szCs w:val="24"/>
                <w:lang w:eastAsia="fr-BE"/>
              </w:rPr>
            </w:pPr>
            <w:r w:rsidRPr="00D81E22">
              <w:rPr>
                <w:b/>
                <w:szCs w:val="24"/>
                <w:lang w:eastAsia="fr-BE"/>
              </w:rPr>
              <w:t xml:space="preserve">Tourism and </w:t>
            </w:r>
            <w:r w:rsidR="00CE2DE8">
              <w:rPr>
                <w:b/>
                <w:szCs w:val="24"/>
                <w:lang w:eastAsia="fr-BE"/>
              </w:rPr>
              <w:t>cultural and natural h</w:t>
            </w:r>
            <w:r w:rsidRPr="00D81E22">
              <w:rPr>
                <w:b/>
                <w:szCs w:val="24"/>
                <w:lang w:eastAsia="fr-BE"/>
              </w:rPr>
              <w:t>eritage</w:t>
            </w:r>
          </w:p>
        </w:tc>
        <w:tc>
          <w:tcPr>
            <w:tcW w:w="7218" w:type="dxa"/>
            <w:shd w:val="clear" w:color="auto" w:fill="auto"/>
          </w:tcPr>
          <w:p w:rsidR="007507BD" w:rsidRDefault="003E4534" w:rsidP="00A90053">
            <w:pPr>
              <w:spacing w:before="0"/>
              <w:contextualSpacing/>
              <w:rPr>
                <w:rFonts w:eastAsia="Times New Roman"/>
                <w:szCs w:val="24"/>
              </w:rPr>
            </w:pPr>
            <w:r w:rsidRPr="00D81E22">
              <w:rPr>
                <w:rFonts w:eastAsia="Times New Roman"/>
                <w:szCs w:val="24"/>
              </w:rPr>
              <w:t xml:space="preserve">The programme area has rich natural </w:t>
            </w:r>
            <w:r w:rsidR="006E7676">
              <w:rPr>
                <w:rFonts w:eastAsia="Times New Roman"/>
                <w:szCs w:val="24"/>
              </w:rPr>
              <w:t xml:space="preserve">and cultural heritage which reflects long and eventful history but also ethnic, natural and cultural diversity. Furthermore, Adriatic Sea coast is well-known for its </w:t>
            </w:r>
            <w:r w:rsidRPr="00D81E22">
              <w:rPr>
                <w:rFonts w:eastAsia="Times New Roman"/>
                <w:szCs w:val="24"/>
              </w:rPr>
              <w:t xml:space="preserve">beauty </w:t>
            </w:r>
            <w:r w:rsidR="006E7676">
              <w:rPr>
                <w:rFonts w:eastAsia="Times New Roman"/>
                <w:szCs w:val="24"/>
              </w:rPr>
              <w:t xml:space="preserve">and diversity whereas the </w:t>
            </w:r>
            <w:r w:rsidRPr="00D81E22">
              <w:rPr>
                <w:rFonts w:eastAsia="Times New Roman"/>
                <w:szCs w:val="24"/>
              </w:rPr>
              <w:t xml:space="preserve">continental part </w:t>
            </w:r>
            <w:r w:rsidR="006E7676">
              <w:rPr>
                <w:rFonts w:eastAsia="Times New Roman"/>
                <w:szCs w:val="24"/>
              </w:rPr>
              <w:t xml:space="preserve">of the programme area also shows great potential </w:t>
            </w:r>
            <w:r w:rsidRPr="00D81E22">
              <w:rPr>
                <w:rFonts w:eastAsia="Times New Roman"/>
                <w:szCs w:val="24"/>
              </w:rPr>
              <w:t>(thermal springs, castles, protected areas, mountains, rivers, etc</w:t>
            </w:r>
            <w:r w:rsidR="00D56C8B" w:rsidRPr="00D81E22">
              <w:rPr>
                <w:rFonts w:eastAsia="Times New Roman"/>
                <w:szCs w:val="24"/>
              </w:rPr>
              <w:t>.)</w:t>
            </w:r>
            <w:r w:rsidR="006E7676">
              <w:rPr>
                <w:rFonts w:eastAsia="Times New Roman"/>
                <w:szCs w:val="24"/>
              </w:rPr>
              <w:t xml:space="preserve">. </w:t>
            </w:r>
            <w:r w:rsidR="0027762A" w:rsidRPr="00F130A2">
              <w:rPr>
                <w:rFonts w:eastAsia="Times New Roman"/>
                <w:szCs w:val="24"/>
              </w:rPr>
              <w:t xml:space="preserve">The richness of </w:t>
            </w:r>
            <w:r w:rsidR="0027762A">
              <w:rPr>
                <w:rFonts w:eastAsia="Times New Roman"/>
                <w:szCs w:val="24"/>
              </w:rPr>
              <w:t>the programme area’s</w:t>
            </w:r>
            <w:r w:rsidR="0027762A" w:rsidRPr="00F130A2">
              <w:rPr>
                <w:rFonts w:eastAsia="Times New Roman"/>
                <w:szCs w:val="24"/>
              </w:rPr>
              <w:t xml:space="preserve"> cultural and natural resources needs to be preserved and their management improved</w:t>
            </w:r>
            <w:r w:rsidR="0027762A">
              <w:rPr>
                <w:rFonts w:eastAsia="Times New Roman"/>
                <w:szCs w:val="24"/>
              </w:rPr>
              <w:t>.</w:t>
            </w:r>
            <w:r w:rsidR="0027762A" w:rsidRPr="00F130A2">
              <w:rPr>
                <w:rFonts w:eastAsia="Times New Roman"/>
                <w:szCs w:val="24"/>
              </w:rPr>
              <w:t xml:space="preserve"> </w:t>
            </w:r>
            <w:r w:rsidR="0027762A">
              <w:rPr>
                <w:rFonts w:eastAsia="Times New Roman"/>
                <w:szCs w:val="24"/>
              </w:rPr>
              <w:t>Also</w:t>
            </w:r>
            <w:r w:rsidR="006E7676">
              <w:rPr>
                <w:rFonts w:eastAsia="Times New Roman"/>
                <w:szCs w:val="24"/>
              </w:rPr>
              <w:t xml:space="preserve">, </w:t>
            </w:r>
            <w:r w:rsidR="002D4601">
              <w:rPr>
                <w:rFonts w:eastAsia="Times New Roman"/>
                <w:szCs w:val="24"/>
              </w:rPr>
              <w:t xml:space="preserve">the </w:t>
            </w:r>
            <w:r w:rsidR="006E7676">
              <w:rPr>
                <w:rFonts w:eastAsia="Times New Roman"/>
                <w:szCs w:val="24"/>
              </w:rPr>
              <w:t xml:space="preserve">programme area </w:t>
            </w:r>
            <w:r w:rsidR="002D4601">
              <w:rPr>
                <w:rFonts w:eastAsia="Times New Roman"/>
                <w:szCs w:val="24"/>
              </w:rPr>
              <w:t>potential</w:t>
            </w:r>
            <w:r w:rsidR="00434907">
              <w:rPr>
                <w:rFonts w:eastAsia="Times New Roman"/>
                <w:szCs w:val="24"/>
              </w:rPr>
              <w:t>s</w:t>
            </w:r>
            <w:r w:rsidR="002D4601">
              <w:rPr>
                <w:rFonts w:eastAsia="Times New Roman"/>
                <w:szCs w:val="24"/>
              </w:rPr>
              <w:t xml:space="preserve"> </w:t>
            </w:r>
            <w:r w:rsidR="00434907">
              <w:rPr>
                <w:rFonts w:eastAsia="Times New Roman"/>
                <w:szCs w:val="24"/>
              </w:rPr>
              <w:t>are</w:t>
            </w:r>
            <w:r w:rsidR="007507BD" w:rsidRPr="007507BD">
              <w:rPr>
                <w:rFonts w:eastAsia="Times New Roman"/>
                <w:szCs w:val="24"/>
              </w:rPr>
              <w:t xml:space="preserve"> not sufficiently used</w:t>
            </w:r>
            <w:r w:rsidR="006E7676">
              <w:rPr>
                <w:rFonts w:eastAsia="Times New Roman"/>
                <w:szCs w:val="24"/>
              </w:rPr>
              <w:t xml:space="preserve"> and need to be further strengthened</w:t>
            </w:r>
            <w:r w:rsidR="007507BD">
              <w:rPr>
                <w:rFonts w:eastAsia="Times New Roman"/>
                <w:szCs w:val="24"/>
              </w:rPr>
              <w:t>.</w:t>
            </w:r>
            <w:r w:rsidR="007507BD" w:rsidRPr="007507BD">
              <w:rPr>
                <w:rFonts w:eastAsia="Times New Roman"/>
                <w:szCs w:val="24"/>
              </w:rPr>
              <w:t xml:space="preserve"> </w:t>
            </w:r>
          </w:p>
          <w:p w:rsidR="00D330AB" w:rsidRDefault="00D330AB" w:rsidP="00A90053">
            <w:pPr>
              <w:spacing w:before="0"/>
              <w:contextualSpacing/>
              <w:rPr>
                <w:rFonts w:eastAsia="Times New Roman"/>
                <w:szCs w:val="24"/>
              </w:rPr>
            </w:pPr>
          </w:p>
          <w:p w:rsidR="003F1835" w:rsidRPr="00D81E22" w:rsidRDefault="008C4F51" w:rsidP="0027762A">
            <w:pPr>
              <w:spacing w:before="0"/>
              <w:contextualSpacing/>
              <w:rPr>
                <w:rFonts w:eastAsia="Times New Roman"/>
                <w:szCs w:val="24"/>
              </w:rPr>
            </w:pPr>
            <w:r>
              <w:rPr>
                <w:rFonts w:eastAsia="Times New Roman"/>
                <w:szCs w:val="24"/>
              </w:rPr>
              <w:t>In the programme area t</w:t>
            </w:r>
            <w:r w:rsidR="00D56C8B" w:rsidRPr="00D56C8B">
              <w:rPr>
                <w:rFonts w:eastAsia="Times New Roman"/>
                <w:szCs w:val="24"/>
              </w:rPr>
              <w:t xml:space="preserve">here is </w:t>
            </w:r>
            <w:r w:rsidR="00D56C8B">
              <w:rPr>
                <w:rFonts w:eastAsia="Times New Roman"/>
                <w:szCs w:val="24"/>
              </w:rPr>
              <w:t xml:space="preserve">an </w:t>
            </w:r>
            <w:r w:rsidR="00D56C8B" w:rsidRPr="00D56C8B">
              <w:rPr>
                <w:rFonts w:eastAsia="Times New Roman"/>
                <w:szCs w:val="24"/>
              </w:rPr>
              <w:t xml:space="preserve">insufficient diversification of </w:t>
            </w:r>
            <w:r w:rsidR="007507BD">
              <w:rPr>
                <w:rFonts w:eastAsia="Times New Roman"/>
                <w:szCs w:val="24"/>
              </w:rPr>
              <w:t xml:space="preserve">tourism </w:t>
            </w:r>
            <w:r w:rsidR="00D56C8B" w:rsidRPr="00D56C8B">
              <w:rPr>
                <w:rFonts w:eastAsia="Times New Roman"/>
                <w:szCs w:val="24"/>
              </w:rPr>
              <w:t xml:space="preserve">services, </w:t>
            </w:r>
            <w:r w:rsidR="0027762A">
              <w:rPr>
                <w:rFonts w:eastAsia="Times New Roman"/>
                <w:szCs w:val="24"/>
              </w:rPr>
              <w:t xml:space="preserve">lack of joint cross-border touristic offer, </w:t>
            </w:r>
            <w:r w:rsidR="00D56C8B" w:rsidRPr="00D56C8B">
              <w:rPr>
                <w:rFonts w:eastAsia="Times New Roman"/>
                <w:szCs w:val="24"/>
              </w:rPr>
              <w:t xml:space="preserve">insufficient number </w:t>
            </w:r>
            <w:r w:rsidR="00D56C8B">
              <w:rPr>
                <w:rFonts w:eastAsia="Times New Roman"/>
                <w:szCs w:val="24"/>
              </w:rPr>
              <w:t>of globally branded destination</w:t>
            </w:r>
            <w:r w:rsidR="0027762A">
              <w:rPr>
                <w:rFonts w:eastAsia="Times New Roman"/>
                <w:szCs w:val="24"/>
              </w:rPr>
              <w:t>s, lack of trained personnel</w:t>
            </w:r>
            <w:r w:rsidR="00B006B4">
              <w:rPr>
                <w:rFonts w:eastAsia="Times New Roman"/>
                <w:szCs w:val="24"/>
              </w:rPr>
              <w:t xml:space="preserve"> and</w:t>
            </w:r>
            <w:r w:rsidR="00D56C8B" w:rsidRPr="00D56C8B">
              <w:rPr>
                <w:rFonts w:eastAsia="Times New Roman"/>
                <w:szCs w:val="24"/>
              </w:rPr>
              <w:t xml:space="preserve"> inadequate tourism infrastructure which needs </w:t>
            </w:r>
            <w:r w:rsidR="00EC3554">
              <w:rPr>
                <w:rFonts w:eastAsia="Times New Roman"/>
                <w:szCs w:val="24"/>
              </w:rPr>
              <w:t>further improvement</w:t>
            </w:r>
            <w:r w:rsidR="00D56C8B">
              <w:rPr>
                <w:rFonts w:eastAsia="Times New Roman"/>
                <w:szCs w:val="24"/>
              </w:rPr>
              <w:t>.</w:t>
            </w:r>
            <w:r w:rsidR="00D56C8B" w:rsidRPr="00D81E22">
              <w:rPr>
                <w:rFonts w:eastAsia="Times New Roman"/>
                <w:szCs w:val="24"/>
              </w:rPr>
              <w:t xml:space="preserve"> </w:t>
            </w:r>
            <w:r w:rsidR="0027762A">
              <w:rPr>
                <w:rFonts w:eastAsia="Times New Roman"/>
                <w:szCs w:val="24"/>
              </w:rPr>
              <w:t>Furthermore, there is a need to link the t</w:t>
            </w:r>
            <w:r w:rsidR="007507BD">
              <w:rPr>
                <w:rFonts w:eastAsia="Times New Roman"/>
                <w:szCs w:val="24"/>
              </w:rPr>
              <w:t>ourism sector with other economy sectors (e.g.</w:t>
            </w:r>
            <w:r w:rsidR="007507BD" w:rsidRPr="00D81E22">
              <w:rPr>
                <w:rFonts w:eastAsia="Times New Roman"/>
                <w:szCs w:val="24"/>
              </w:rPr>
              <w:t xml:space="preserve"> agriculture</w:t>
            </w:r>
            <w:r w:rsidR="007507BD">
              <w:rPr>
                <w:rFonts w:eastAsia="Times New Roman"/>
                <w:szCs w:val="24"/>
              </w:rPr>
              <w:t>)</w:t>
            </w:r>
            <w:r w:rsidR="0027762A">
              <w:rPr>
                <w:rFonts w:eastAsia="Times New Roman"/>
                <w:szCs w:val="24"/>
              </w:rPr>
              <w:t xml:space="preserve"> and c</w:t>
            </w:r>
            <w:r w:rsidR="003F1835" w:rsidRPr="00F130A2">
              <w:rPr>
                <w:rFonts w:eastAsia="Times New Roman"/>
                <w:szCs w:val="24"/>
              </w:rPr>
              <w:t xml:space="preserve">ultural and </w:t>
            </w:r>
            <w:r w:rsidR="003F1835">
              <w:rPr>
                <w:rFonts w:eastAsia="Times New Roman"/>
                <w:szCs w:val="24"/>
              </w:rPr>
              <w:t>n</w:t>
            </w:r>
            <w:r w:rsidR="003F1835" w:rsidRPr="00F130A2">
              <w:rPr>
                <w:rFonts w:eastAsia="Times New Roman"/>
                <w:szCs w:val="24"/>
              </w:rPr>
              <w:t xml:space="preserve">atural </w:t>
            </w:r>
            <w:r w:rsidRPr="00F130A2">
              <w:rPr>
                <w:rFonts w:eastAsia="Times New Roman"/>
                <w:szCs w:val="24"/>
              </w:rPr>
              <w:t>resources</w:t>
            </w:r>
            <w:r w:rsidR="0056199D">
              <w:rPr>
                <w:rFonts w:eastAsia="Times New Roman"/>
                <w:szCs w:val="24"/>
              </w:rPr>
              <w:t xml:space="preserve">, especially through better cooperation and coordination between relevant stakeholders in order to </w:t>
            </w:r>
            <w:r w:rsidR="00B54C20">
              <w:rPr>
                <w:rFonts w:eastAsia="Times New Roman"/>
                <w:szCs w:val="24"/>
              </w:rPr>
              <w:t>enhance sustainable management of tourism and cultural and natural assets</w:t>
            </w:r>
            <w:r>
              <w:rPr>
                <w:rFonts w:eastAsia="Times New Roman"/>
                <w:szCs w:val="24"/>
              </w:rPr>
              <w:t>.</w:t>
            </w:r>
          </w:p>
        </w:tc>
      </w:tr>
      <w:tr w:rsidR="003E4534" w:rsidRPr="00B76110" w:rsidTr="009B5CB8">
        <w:trPr>
          <w:trHeight w:val="2795"/>
        </w:trPr>
        <w:tc>
          <w:tcPr>
            <w:tcW w:w="2235" w:type="dxa"/>
            <w:shd w:val="clear" w:color="auto" w:fill="auto"/>
          </w:tcPr>
          <w:p w:rsidR="003E4534" w:rsidRPr="00D81E22" w:rsidRDefault="00634152" w:rsidP="008658C8">
            <w:pPr>
              <w:pStyle w:val="ListParagraph"/>
              <w:tabs>
                <w:tab w:val="left" w:pos="285"/>
              </w:tabs>
              <w:spacing w:after="120"/>
              <w:ind w:left="0"/>
              <w:contextualSpacing/>
              <w:jc w:val="left"/>
              <w:rPr>
                <w:b/>
                <w:szCs w:val="24"/>
                <w:lang w:eastAsia="fr-BE"/>
              </w:rPr>
            </w:pPr>
            <w:r>
              <w:rPr>
                <w:b/>
                <w:szCs w:val="24"/>
                <w:lang w:eastAsia="fr-BE"/>
              </w:rPr>
              <w:t xml:space="preserve">TP 7 </w:t>
            </w:r>
            <w:r w:rsidR="005B23B4" w:rsidRPr="005B23B4">
              <w:rPr>
                <w:b/>
                <w:szCs w:val="24"/>
                <w:lang w:eastAsia="fr-BE"/>
              </w:rPr>
              <w:t xml:space="preserve">Competitiveness and </w:t>
            </w:r>
            <w:r w:rsidR="008658C8">
              <w:rPr>
                <w:b/>
                <w:szCs w:val="24"/>
                <w:lang w:eastAsia="fr-BE"/>
              </w:rPr>
              <w:t>b</w:t>
            </w:r>
            <w:r w:rsidR="005B23B4" w:rsidRPr="005B23B4">
              <w:rPr>
                <w:b/>
                <w:szCs w:val="24"/>
                <w:lang w:eastAsia="fr-BE"/>
              </w:rPr>
              <w:t xml:space="preserve">usiness </w:t>
            </w:r>
            <w:r w:rsidR="008658C8">
              <w:rPr>
                <w:b/>
                <w:szCs w:val="24"/>
                <w:lang w:eastAsia="fr-BE"/>
              </w:rPr>
              <w:t>e</w:t>
            </w:r>
            <w:r w:rsidR="005B23B4" w:rsidRPr="005B23B4">
              <w:rPr>
                <w:b/>
                <w:szCs w:val="24"/>
                <w:lang w:eastAsia="fr-BE"/>
              </w:rPr>
              <w:t xml:space="preserve">nvironment </w:t>
            </w:r>
            <w:r w:rsidR="008658C8">
              <w:rPr>
                <w:b/>
                <w:szCs w:val="24"/>
                <w:lang w:eastAsia="fr-BE"/>
              </w:rPr>
              <w:t>d</w:t>
            </w:r>
            <w:r w:rsidR="005B23B4" w:rsidRPr="005B23B4">
              <w:rPr>
                <w:b/>
                <w:szCs w:val="24"/>
                <w:lang w:eastAsia="fr-BE"/>
              </w:rPr>
              <w:t>evelopment</w:t>
            </w:r>
          </w:p>
        </w:tc>
        <w:tc>
          <w:tcPr>
            <w:tcW w:w="7218" w:type="dxa"/>
            <w:shd w:val="clear" w:color="auto" w:fill="auto"/>
          </w:tcPr>
          <w:p w:rsidR="00761EE3" w:rsidRDefault="008C5A61" w:rsidP="00A90053">
            <w:pPr>
              <w:spacing w:before="0" w:line="280" w:lineRule="atLeast"/>
              <w:rPr>
                <w:szCs w:val="24"/>
              </w:rPr>
            </w:pPr>
            <w:r>
              <w:rPr>
                <w:szCs w:val="24"/>
              </w:rPr>
              <w:t>T</w:t>
            </w:r>
            <w:r w:rsidR="00761EE3">
              <w:rPr>
                <w:szCs w:val="24"/>
              </w:rPr>
              <w:t xml:space="preserve">here </w:t>
            </w:r>
            <w:r w:rsidR="003E4534" w:rsidRPr="00D81E22">
              <w:rPr>
                <w:szCs w:val="24"/>
              </w:rPr>
              <w:t xml:space="preserve">is a </w:t>
            </w:r>
            <w:r w:rsidR="008C40C7">
              <w:rPr>
                <w:szCs w:val="24"/>
              </w:rPr>
              <w:t>need</w:t>
            </w:r>
            <w:r w:rsidR="003E4534" w:rsidRPr="00D81E22">
              <w:rPr>
                <w:szCs w:val="24"/>
              </w:rPr>
              <w:t xml:space="preserve"> </w:t>
            </w:r>
            <w:r w:rsidR="005D4DD7">
              <w:rPr>
                <w:szCs w:val="24"/>
              </w:rPr>
              <w:t xml:space="preserve">for improving the quality </w:t>
            </w:r>
            <w:r w:rsidR="008C40C7">
              <w:rPr>
                <w:szCs w:val="24"/>
              </w:rPr>
              <w:t xml:space="preserve">of business </w:t>
            </w:r>
            <w:r w:rsidR="00761EE3" w:rsidRPr="00D81E22">
              <w:rPr>
                <w:szCs w:val="24"/>
              </w:rPr>
              <w:t>supporting services</w:t>
            </w:r>
            <w:r>
              <w:rPr>
                <w:szCs w:val="24"/>
              </w:rPr>
              <w:t xml:space="preserve"> in the programme area</w:t>
            </w:r>
            <w:r w:rsidR="00A2600C">
              <w:rPr>
                <w:szCs w:val="24"/>
              </w:rPr>
              <w:t xml:space="preserve"> as business </w:t>
            </w:r>
            <w:r w:rsidR="00A2600C" w:rsidRPr="00A2600C">
              <w:rPr>
                <w:szCs w:val="24"/>
              </w:rPr>
              <w:t>support institutions do not respond completely to needs of entrepreneurs</w:t>
            </w:r>
            <w:r w:rsidR="00D565AE">
              <w:rPr>
                <w:szCs w:val="24"/>
              </w:rPr>
              <w:t>.</w:t>
            </w:r>
            <w:r w:rsidR="00761EE3" w:rsidRPr="00D81E22">
              <w:rPr>
                <w:szCs w:val="24"/>
              </w:rPr>
              <w:t xml:space="preserve"> </w:t>
            </w:r>
            <w:r w:rsidR="00A2600C">
              <w:rPr>
                <w:szCs w:val="24"/>
              </w:rPr>
              <w:t>Furthermore, e</w:t>
            </w:r>
            <w:r w:rsidR="00A2600C" w:rsidRPr="00D81E22">
              <w:rPr>
                <w:szCs w:val="24"/>
              </w:rPr>
              <w:t xml:space="preserve">ntrepreneurial </w:t>
            </w:r>
            <w:r w:rsidR="00A2600C">
              <w:rPr>
                <w:szCs w:val="24"/>
              </w:rPr>
              <w:t xml:space="preserve">capacity and </w:t>
            </w:r>
            <w:r w:rsidR="00A2600C" w:rsidRPr="00D81E22">
              <w:rPr>
                <w:szCs w:val="24"/>
              </w:rPr>
              <w:t>skills are in general low</w:t>
            </w:r>
            <w:r w:rsidR="00A2600C">
              <w:rPr>
                <w:szCs w:val="24"/>
              </w:rPr>
              <w:t xml:space="preserve"> and need further strengthening.</w:t>
            </w:r>
          </w:p>
          <w:p w:rsidR="00761EE3" w:rsidRDefault="008C40C7" w:rsidP="00A90053">
            <w:pPr>
              <w:spacing w:before="0" w:line="280" w:lineRule="atLeast"/>
              <w:rPr>
                <w:szCs w:val="24"/>
              </w:rPr>
            </w:pPr>
            <w:r>
              <w:rPr>
                <w:szCs w:val="24"/>
              </w:rPr>
              <w:t xml:space="preserve">In the programme area there </w:t>
            </w:r>
            <w:r w:rsidRPr="00D81E22">
              <w:rPr>
                <w:szCs w:val="24"/>
              </w:rPr>
              <w:t xml:space="preserve">is </w:t>
            </w:r>
            <w:r>
              <w:rPr>
                <w:szCs w:val="24"/>
              </w:rPr>
              <w:t>a lack of innovative skills and knowledge as well as linkages between business and research and investments in products and process innovations.</w:t>
            </w:r>
          </w:p>
          <w:p w:rsidR="00A2600C" w:rsidRPr="008C40C7" w:rsidRDefault="004D48FD" w:rsidP="008C40C7">
            <w:pPr>
              <w:spacing w:before="0"/>
              <w:rPr>
                <w:szCs w:val="24"/>
              </w:rPr>
            </w:pPr>
            <w:r w:rsidRPr="004D48FD">
              <w:rPr>
                <w:szCs w:val="24"/>
              </w:rPr>
              <w:t>To create a positive business environment</w:t>
            </w:r>
            <w:r>
              <w:rPr>
                <w:szCs w:val="24"/>
              </w:rPr>
              <w:t xml:space="preserve"> and to foster its development</w:t>
            </w:r>
            <w:r w:rsidRPr="004D48FD">
              <w:rPr>
                <w:szCs w:val="24"/>
              </w:rPr>
              <w:t>, programme area needs to have strong</w:t>
            </w:r>
            <w:r>
              <w:rPr>
                <w:szCs w:val="24"/>
              </w:rPr>
              <w:t xml:space="preserve"> business support institutions </w:t>
            </w:r>
            <w:r w:rsidRPr="004D48FD">
              <w:rPr>
                <w:szCs w:val="24"/>
              </w:rPr>
              <w:t>respond</w:t>
            </w:r>
            <w:r>
              <w:rPr>
                <w:szCs w:val="24"/>
              </w:rPr>
              <w:t>ing</w:t>
            </w:r>
            <w:r w:rsidRPr="004D48FD">
              <w:rPr>
                <w:szCs w:val="24"/>
              </w:rPr>
              <w:t xml:space="preserve"> to </w:t>
            </w:r>
            <w:r>
              <w:rPr>
                <w:szCs w:val="24"/>
              </w:rPr>
              <w:t xml:space="preserve">the </w:t>
            </w:r>
            <w:r w:rsidRPr="004D48FD">
              <w:rPr>
                <w:szCs w:val="24"/>
              </w:rPr>
              <w:t>needs of entrepreneurs</w:t>
            </w:r>
            <w:r>
              <w:rPr>
                <w:szCs w:val="24"/>
              </w:rPr>
              <w:t xml:space="preserve"> and enabling them to collaborate with education and R&amp;D institutions thus creating the platform for the </w:t>
            </w:r>
            <w:r w:rsidRPr="004D48FD">
              <w:rPr>
                <w:szCs w:val="24"/>
              </w:rPr>
              <w:t xml:space="preserve">support </w:t>
            </w:r>
            <w:r>
              <w:rPr>
                <w:szCs w:val="24"/>
              </w:rPr>
              <w:t xml:space="preserve">to </w:t>
            </w:r>
            <w:r w:rsidRPr="004D48FD">
              <w:rPr>
                <w:szCs w:val="24"/>
              </w:rPr>
              <w:t>product</w:t>
            </w:r>
            <w:r>
              <w:rPr>
                <w:szCs w:val="24"/>
              </w:rPr>
              <w:t>s</w:t>
            </w:r>
            <w:r w:rsidRPr="004D48FD">
              <w:rPr>
                <w:szCs w:val="24"/>
              </w:rPr>
              <w:t xml:space="preserve"> protection, marketing and development of cross-border markets and address</w:t>
            </w:r>
            <w:r>
              <w:rPr>
                <w:szCs w:val="24"/>
              </w:rPr>
              <w:t>ing</w:t>
            </w:r>
            <w:r w:rsidRPr="004D48FD">
              <w:rPr>
                <w:szCs w:val="24"/>
              </w:rPr>
              <w:t xml:space="preserve"> the needs of the programme area in expanding the quality of services and products meanwhile improving </w:t>
            </w:r>
            <w:r>
              <w:rPr>
                <w:szCs w:val="24"/>
              </w:rPr>
              <w:t xml:space="preserve">the </w:t>
            </w:r>
            <w:r w:rsidRPr="004D48FD">
              <w:rPr>
                <w:szCs w:val="24"/>
              </w:rPr>
              <w:t>skills and knowledge on ap</w:t>
            </w:r>
            <w:r>
              <w:rPr>
                <w:szCs w:val="24"/>
              </w:rPr>
              <w:t xml:space="preserve">plying innovative technologies and fostering the </w:t>
            </w:r>
            <w:r w:rsidRPr="004D48FD">
              <w:rPr>
                <w:szCs w:val="24"/>
              </w:rPr>
              <w:t xml:space="preserve">exchange </w:t>
            </w:r>
            <w:r>
              <w:rPr>
                <w:szCs w:val="24"/>
              </w:rPr>
              <w:t xml:space="preserve">of </w:t>
            </w:r>
            <w:r w:rsidRPr="004D48FD">
              <w:rPr>
                <w:szCs w:val="24"/>
              </w:rPr>
              <w:t>experience in application of new technologies, processes and products.</w:t>
            </w:r>
            <w:r w:rsidRPr="00C95BC8">
              <w:rPr>
                <w:rFonts w:ascii="Arial" w:hAnsi="Arial" w:cs="Arial"/>
                <w:sz w:val="22"/>
                <w:szCs w:val="22"/>
                <w:lang w:eastAsia="fr-BE"/>
              </w:rPr>
              <w:t xml:space="preserve">  </w:t>
            </w:r>
          </w:p>
        </w:tc>
      </w:tr>
    </w:tbl>
    <w:p w:rsidR="00FB701A" w:rsidRPr="00B76110" w:rsidRDefault="00FB701A" w:rsidP="00D17A3D">
      <w:pPr>
        <w:spacing w:after="240"/>
        <w:rPr>
          <w:rFonts w:eastAsia="Times New Roman"/>
        </w:rPr>
      </w:pPr>
    </w:p>
    <w:p w:rsidR="00FB701A" w:rsidRPr="00B76110" w:rsidRDefault="00EE503D" w:rsidP="00D17A3D">
      <w:pPr>
        <w:keepNext/>
        <w:spacing w:after="240"/>
        <w:outlineLvl w:val="1"/>
        <w:rPr>
          <w:rFonts w:eastAsia="Times New Roman"/>
          <w:b/>
          <w:lang w:eastAsia="fr-BE"/>
        </w:rPr>
      </w:pPr>
      <w:r w:rsidRPr="00B76110">
        <w:rPr>
          <w:rFonts w:eastAsia="Times New Roman"/>
          <w:b/>
          <w:lang w:eastAsia="fr-BE"/>
        </w:rPr>
        <w:t>1.2</w:t>
      </w:r>
      <w:r w:rsidRPr="00B76110">
        <w:rPr>
          <w:rFonts w:eastAsia="Times New Roman"/>
          <w:b/>
          <w:lang w:eastAsia="fr-BE"/>
        </w:rPr>
        <w:tab/>
      </w:r>
      <w:r w:rsidR="00FB701A" w:rsidRPr="00B76110">
        <w:rPr>
          <w:rFonts w:eastAsia="Times New Roman"/>
          <w:b/>
          <w:lang w:eastAsia="fr-BE"/>
        </w:rPr>
        <w:t xml:space="preserve">Justification </w:t>
      </w:r>
      <w:r w:rsidR="003B2279">
        <w:rPr>
          <w:rFonts w:eastAsia="Times New Roman"/>
          <w:b/>
          <w:lang w:eastAsia="fr-BE"/>
        </w:rPr>
        <w:t>for</w:t>
      </w:r>
      <w:r w:rsidR="003B2279" w:rsidRPr="00B76110">
        <w:rPr>
          <w:rFonts w:eastAsia="Times New Roman"/>
          <w:b/>
          <w:lang w:eastAsia="fr-BE"/>
        </w:rPr>
        <w:t xml:space="preserve"> </w:t>
      </w:r>
      <w:r w:rsidR="00FB701A" w:rsidRPr="00B76110">
        <w:rPr>
          <w:rFonts w:eastAsia="Times New Roman"/>
          <w:b/>
          <w:lang w:eastAsia="fr-BE"/>
        </w:rPr>
        <w:t>the financial allocation</w:t>
      </w:r>
    </w:p>
    <w:p w:rsidR="00FB701A" w:rsidRPr="00B76110" w:rsidRDefault="00693173" w:rsidP="006F0F86">
      <w:pPr>
        <w:tabs>
          <w:tab w:val="left" w:pos="2302"/>
        </w:tabs>
        <w:spacing w:after="240"/>
        <w:ind w:left="709"/>
        <w:rPr>
          <w:rFonts w:eastAsia="Times New Roman"/>
          <w:lang w:eastAsia="fr-BE"/>
        </w:rPr>
      </w:pPr>
      <w:r>
        <w:rPr>
          <w:rFonts w:eastAsia="Times New Roman"/>
          <w:lang w:eastAsia="fr-BE"/>
        </w:rPr>
        <w:t>J</w:t>
      </w:r>
      <w:r w:rsidR="00FB701A" w:rsidRPr="00B76110">
        <w:rPr>
          <w:rFonts w:eastAsia="Times New Roman"/>
          <w:lang w:eastAsia="fr-BE"/>
        </w:rPr>
        <w:t xml:space="preserve">ustification </w:t>
      </w:r>
      <w:r w:rsidR="003B2279">
        <w:rPr>
          <w:rFonts w:eastAsia="Times New Roman"/>
          <w:lang w:eastAsia="fr-BE"/>
        </w:rPr>
        <w:t>for</w:t>
      </w:r>
      <w:r w:rsidR="003B2279" w:rsidRPr="00B76110">
        <w:rPr>
          <w:rFonts w:eastAsia="Times New Roman"/>
          <w:lang w:eastAsia="fr-BE"/>
        </w:rPr>
        <w:t xml:space="preserve"> </w:t>
      </w:r>
      <w:r w:rsidR="00FB701A" w:rsidRPr="00B76110">
        <w:rPr>
          <w:rFonts w:eastAsia="Times New Roman"/>
          <w:lang w:eastAsia="fr-BE"/>
        </w:rPr>
        <w:t xml:space="preserve">the financial allocation (i.e. Union support) to each thematic </w:t>
      </w:r>
      <w:r w:rsidR="003E10BA">
        <w:rPr>
          <w:rFonts w:eastAsia="Times New Roman"/>
          <w:lang w:eastAsia="fr-BE"/>
        </w:rPr>
        <w:t>priority</w:t>
      </w:r>
      <w:r w:rsidR="003E10BA" w:rsidRPr="00B76110">
        <w:rPr>
          <w:rFonts w:eastAsia="Times New Roman"/>
          <w:lang w:eastAsia="fr-BE"/>
        </w:rPr>
        <w:t xml:space="preserve"> </w:t>
      </w:r>
      <w:r w:rsidR="00FB701A" w:rsidRPr="00B76110">
        <w:rPr>
          <w:rFonts w:eastAsia="Times New Roman"/>
          <w:lang w:eastAsia="fr-BE"/>
        </w:rPr>
        <w:t xml:space="preserve">in accordance with the thematic concentration requirements </w:t>
      </w:r>
      <w:r w:rsidR="00A366E4">
        <w:rPr>
          <w:rFonts w:eastAsia="Times New Roman"/>
          <w:lang w:eastAsia="fr-BE"/>
        </w:rPr>
        <w:t>(</w:t>
      </w:r>
      <w:r w:rsidR="00FB701A" w:rsidRPr="00B76110">
        <w:rPr>
          <w:rFonts w:eastAsia="Times New Roman"/>
          <w:lang w:eastAsia="fr-BE"/>
        </w:rPr>
        <w:t>taking into account the ex-ante evaluation</w:t>
      </w:r>
      <w:r w:rsidR="00A366E4">
        <w:rPr>
          <w:rFonts w:eastAsia="Times New Roman"/>
          <w:lang w:eastAsia="fr-BE"/>
        </w:rPr>
        <w:t>)</w:t>
      </w:r>
      <w:r w:rsidR="00FB701A" w:rsidRPr="00B76110">
        <w:rPr>
          <w:rFonts w:eastAsia="Times New Roman"/>
          <w:lang w:eastAsia="fr-BE"/>
        </w:rPr>
        <w:t>.</w:t>
      </w:r>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1"/>
      </w:tblGrid>
      <w:tr w:rsidR="00FB701A" w:rsidRPr="00B76110" w:rsidTr="00030E3C">
        <w:trPr>
          <w:trHeight w:val="759"/>
        </w:trPr>
        <w:tc>
          <w:tcPr>
            <w:tcW w:w="9501" w:type="dxa"/>
            <w:shd w:val="clear" w:color="auto" w:fill="auto"/>
          </w:tcPr>
          <w:p w:rsidR="009F29FA" w:rsidRPr="009F29FA" w:rsidRDefault="009F29FA" w:rsidP="009F29FA">
            <w:pPr>
              <w:rPr>
                <w:rFonts w:eastAsia="Times New Roman"/>
                <w:lang w:eastAsia="fr-BE"/>
              </w:rPr>
            </w:pPr>
            <w:r w:rsidRPr="009F29FA">
              <w:rPr>
                <w:rFonts w:eastAsia="Times New Roman"/>
                <w:lang w:eastAsia="fr-BE"/>
              </w:rPr>
              <w:t xml:space="preserve">The overall programme </w:t>
            </w:r>
            <w:r w:rsidR="00F716BC">
              <w:rPr>
                <w:rFonts w:eastAsia="Times New Roman"/>
                <w:lang w:eastAsia="fr-BE"/>
              </w:rPr>
              <w:t xml:space="preserve">EU </w:t>
            </w:r>
            <w:r w:rsidRPr="009F29FA">
              <w:rPr>
                <w:rFonts w:eastAsia="Times New Roman"/>
                <w:lang w:eastAsia="fr-BE"/>
              </w:rPr>
              <w:t xml:space="preserve">budget is EUR </w:t>
            </w:r>
            <w:r w:rsidR="00C40589">
              <w:rPr>
                <w:rFonts w:eastAsia="Times New Roman"/>
                <w:lang w:eastAsia="fr-BE"/>
              </w:rPr>
              <w:t>57</w:t>
            </w:r>
            <w:r w:rsidRPr="009F29FA">
              <w:rPr>
                <w:rFonts w:eastAsia="Times New Roman"/>
                <w:lang w:eastAsia="fr-BE"/>
              </w:rPr>
              <w:t>.</w:t>
            </w:r>
            <w:r w:rsidR="00C40589">
              <w:rPr>
                <w:rFonts w:eastAsia="Times New Roman"/>
                <w:lang w:eastAsia="fr-BE"/>
              </w:rPr>
              <w:t>155</w:t>
            </w:r>
            <w:r w:rsidRPr="009F29FA">
              <w:rPr>
                <w:rFonts w:eastAsia="Times New Roman"/>
                <w:lang w:eastAsia="fr-BE"/>
              </w:rPr>
              <w:t>.</w:t>
            </w:r>
            <w:r w:rsidR="00C40589">
              <w:rPr>
                <w:rFonts w:eastAsia="Times New Roman"/>
                <w:lang w:eastAsia="fr-BE"/>
              </w:rPr>
              <w:t>316</w:t>
            </w:r>
            <w:r w:rsidRPr="009F29FA">
              <w:rPr>
                <w:rFonts w:eastAsia="Times New Roman"/>
                <w:lang w:eastAsia="fr-BE"/>
              </w:rPr>
              <w:t>,</w:t>
            </w:r>
            <w:r>
              <w:rPr>
                <w:rFonts w:eastAsia="Times New Roman"/>
                <w:lang w:eastAsia="fr-BE"/>
              </w:rPr>
              <w:t>00</w:t>
            </w:r>
            <w:r w:rsidR="002300A8">
              <w:rPr>
                <w:rFonts w:eastAsia="Times New Roman"/>
                <w:lang w:eastAsia="fr-BE"/>
              </w:rPr>
              <w:t>.</w:t>
            </w:r>
            <w:r w:rsidR="00B43BC0">
              <w:rPr>
                <w:rFonts w:eastAsia="Times New Roman"/>
                <w:lang w:eastAsia="fr-BE"/>
              </w:rPr>
              <w:t xml:space="preserve"> T</w:t>
            </w:r>
            <w:r w:rsidRPr="009F29FA">
              <w:rPr>
                <w:rFonts w:eastAsia="Times New Roman"/>
                <w:lang w:eastAsia="fr-BE"/>
              </w:rPr>
              <w:t xml:space="preserve">he financial allocation to the chosen thematic </w:t>
            </w:r>
            <w:r w:rsidR="00CB6D28">
              <w:rPr>
                <w:rFonts w:eastAsia="Times New Roman"/>
                <w:lang w:eastAsia="fr-BE"/>
              </w:rPr>
              <w:t>priorities</w:t>
            </w:r>
            <w:r w:rsidRPr="009F29FA">
              <w:rPr>
                <w:rFonts w:eastAsia="Times New Roman"/>
                <w:lang w:eastAsia="fr-BE"/>
              </w:rPr>
              <w:t xml:space="preserve"> reflects</w:t>
            </w:r>
            <w:r w:rsidR="00F716BC">
              <w:rPr>
                <w:rFonts w:eastAsia="Times New Roman"/>
                <w:lang w:eastAsia="fr-BE"/>
              </w:rPr>
              <w:t xml:space="preserve"> the following criteria</w:t>
            </w:r>
            <w:r w:rsidRPr="009F29FA">
              <w:rPr>
                <w:rFonts w:eastAsia="Times New Roman"/>
                <w:lang w:eastAsia="fr-BE"/>
              </w:rPr>
              <w:t>:</w:t>
            </w:r>
          </w:p>
          <w:p w:rsidR="008F40D7" w:rsidRPr="008F40D7" w:rsidRDefault="008F40D7" w:rsidP="00A430A9">
            <w:pPr>
              <w:pStyle w:val="ListParagraph"/>
              <w:numPr>
                <w:ilvl w:val="0"/>
                <w:numId w:val="32"/>
              </w:numPr>
              <w:rPr>
                <w:lang w:eastAsia="fr-BE"/>
              </w:rPr>
            </w:pPr>
            <w:r w:rsidRPr="008F40D7">
              <w:rPr>
                <w:lang w:eastAsia="fr-BE"/>
              </w:rPr>
              <w:lastRenderedPageBreak/>
              <w:t>The needs and opportunities as described in the Situation Analysis and SWOT</w:t>
            </w:r>
          </w:p>
          <w:p w:rsidR="008F40D7" w:rsidRDefault="009F29FA" w:rsidP="00A430A9">
            <w:pPr>
              <w:pStyle w:val="ListParagraph"/>
              <w:numPr>
                <w:ilvl w:val="0"/>
                <w:numId w:val="32"/>
              </w:numPr>
              <w:rPr>
                <w:lang w:eastAsia="fr-BE"/>
              </w:rPr>
            </w:pPr>
            <w:r w:rsidRPr="008F40D7">
              <w:rPr>
                <w:lang w:eastAsia="fr-BE"/>
              </w:rPr>
              <w:t xml:space="preserve">The estimated financial size of </w:t>
            </w:r>
            <w:r w:rsidR="00F716BC">
              <w:rPr>
                <w:lang w:eastAsia="fr-BE"/>
              </w:rPr>
              <w:t xml:space="preserve">the </w:t>
            </w:r>
            <w:r w:rsidR="00A06B1C" w:rsidRPr="008F40D7">
              <w:rPr>
                <w:lang w:eastAsia="fr-BE"/>
              </w:rPr>
              <w:t>actions</w:t>
            </w:r>
            <w:r w:rsidRPr="008F40D7">
              <w:rPr>
                <w:lang w:eastAsia="fr-BE"/>
              </w:rPr>
              <w:t xml:space="preserve"> foreseen in each priority axis</w:t>
            </w:r>
          </w:p>
          <w:p w:rsidR="008F40D7" w:rsidRPr="003B70D5" w:rsidRDefault="009F29FA" w:rsidP="00A430A9">
            <w:pPr>
              <w:pStyle w:val="ListParagraph"/>
              <w:numPr>
                <w:ilvl w:val="0"/>
                <w:numId w:val="32"/>
              </w:numPr>
              <w:rPr>
                <w:lang w:eastAsia="fr-BE"/>
              </w:rPr>
            </w:pPr>
            <w:r w:rsidRPr="003B70D5">
              <w:rPr>
                <w:lang w:eastAsia="fr-BE"/>
              </w:rPr>
              <w:t xml:space="preserve">The coherence with the funding priorities as </w:t>
            </w:r>
            <w:r w:rsidR="00F716BC">
              <w:rPr>
                <w:lang w:eastAsia="fr-BE"/>
              </w:rPr>
              <w:t xml:space="preserve">set </w:t>
            </w:r>
            <w:r w:rsidRPr="003B70D5">
              <w:rPr>
                <w:lang w:eastAsia="fr-BE"/>
              </w:rPr>
              <w:t xml:space="preserve">in the </w:t>
            </w:r>
            <w:r w:rsidR="008F40D7" w:rsidRPr="003B70D5">
              <w:rPr>
                <w:lang w:eastAsia="fr-BE"/>
              </w:rPr>
              <w:t xml:space="preserve">Partnership Agreement for Croatia and </w:t>
            </w:r>
            <w:r w:rsidR="00203835">
              <w:rPr>
                <w:lang w:eastAsia="fr-BE"/>
              </w:rPr>
              <w:t>Indicative</w:t>
            </w:r>
            <w:r w:rsidR="008F40D7" w:rsidRPr="003B70D5">
              <w:rPr>
                <w:lang w:eastAsia="fr-BE"/>
              </w:rPr>
              <w:t xml:space="preserve"> </w:t>
            </w:r>
            <w:r w:rsidR="00CD4F57">
              <w:rPr>
                <w:lang w:eastAsia="fr-BE"/>
              </w:rPr>
              <w:t xml:space="preserve">Country </w:t>
            </w:r>
            <w:r w:rsidR="008F40D7" w:rsidRPr="003B70D5">
              <w:rPr>
                <w:lang w:eastAsia="fr-BE"/>
              </w:rPr>
              <w:t>Strateg</w:t>
            </w:r>
            <w:r w:rsidR="00D87415">
              <w:rPr>
                <w:lang w:eastAsia="fr-BE"/>
              </w:rPr>
              <w:t xml:space="preserve">y </w:t>
            </w:r>
            <w:r w:rsidR="008F40D7" w:rsidRPr="003B70D5">
              <w:rPr>
                <w:lang w:eastAsia="fr-BE"/>
              </w:rPr>
              <w:t>Papers for Bosnia and Herzegovina and Montenegro</w:t>
            </w:r>
          </w:p>
          <w:p w:rsidR="009F29FA" w:rsidRPr="00AD513F" w:rsidRDefault="009F29FA" w:rsidP="00A430A9">
            <w:pPr>
              <w:pStyle w:val="ListParagraph"/>
              <w:numPr>
                <w:ilvl w:val="0"/>
                <w:numId w:val="32"/>
              </w:numPr>
              <w:rPr>
                <w:lang w:eastAsia="fr-BE"/>
              </w:rPr>
            </w:pPr>
            <w:r w:rsidRPr="00AD513F">
              <w:rPr>
                <w:lang w:eastAsia="fr-BE"/>
              </w:rPr>
              <w:t xml:space="preserve">The inputs provided by relevant partners within </w:t>
            </w:r>
            <w:r w:rsidR="00F716BC">
              <w:rPr>
                <w:lang w:eastAsia="fr-BE"/>
              </w:rPr>
              <w:t xml:space="preserve">public and online </w:t>
            </w:r>
            <w:r w:rsidRPr="00AD513F">
              <w:rPr>
                <w:lang w:eastAsia="fr-BE"/>
              </w:rPr>
              <w:t xml:space="preserve">consultations </w:t>
            </w:r>
          </w:p>
          <w:p w:rsidR="008F40D7" w:rsidRDefault="008F40D7" w:rsidP="00A430A9">
            <w:pPr>
              <w:pStyle w:val="ListParagraph"/>
              <w:numPr>
                <w:ilvl w:val="0"/>
                <w:numId w:val="32"/>
              </w:numPr>
              <w:rPr>
                <w:lang w:eastAsia="fr-BE"/>
              </w:rPr>
            </w:pPr>
            <w:r w:rsidRPr="009F29FA">
              <w:rPr>
                <w:lang w:eastAsia="fr-BE"/>
              </w:rPr>
              <w:t>The experiences of the programming period 2007-2013</w:t>
            </w:r>
            <w:r>
              <w:rPr>
                <w:lang w:eastAsia="fr-BE"/>
              </w:rPr>
              <w:t xml:space="preserve"> for the IPA programmes Croatia-Bosnia and Herzegovina and Croatia-Montenegro</w:t>
            </w:r>
          </w:p>
          <w:p w:rsidR="009F29FA" w:rsidRPr="008F40D7" w:rsidRDefault="008F40D7" w:rsidP="00A430A9">
            <w:pPr>
              <w:pStyle w:val="ListParagraph"/>
              <w:numPr>
                <w:ilvl w:val="0"/>
                <w:numId w:val="32"/>
              </w:numPr>
              <w:rPr>
                <w:lang w:eastAsia="fr-BE"/>
              </w:rPr>
            </w:pPr>
            <w:r w:rsidRPr="008F40D7">
              <w:rPr>
                <w:lang w:eastAsia="fr-BE"/>
              </w:rPr>
              <w:t xml:space="preserve">The Technical Assistance according </w:t>
            </w:r>
            <w:r w:rsidR="00D565AE">
              <w:rPr>
                <w:lang w:eastAsia="fr-BE"/>
              </w:rPr>
              <w:t xml:space="preserve">to </w:t>
            </w:r>
            <w:r w:rsidRPr="008F40D7">
              <w:rPr>
                <w:lang w:eastAsia="fr-BE"/>
              </w:rPr>
              <w:t>the Commissi</w:t>
            </w:r>
            <w:r>
              <w:rPr>
                <w:lang w:eastAsia="fr-BE"/>
              </w:rPr>
              <w:t>on Implementing Regulation (10%)</w:t>
            </w:r>
          </w:p>
          <w:p w:rsidR="00CB0C1D" w:rsidRPr="006E357B" w:rsidRDefault="009F29FA" w:rsidP="004F5D74">
            <w:pPr>
              <w:rPr>
                <w:rFonts w:eastAsia="Times New Roman"/>
                <w:lang w:eastAsia="fr-BE"/>
              </w:rPr>
            </w:pPr>
            <w:r w:rsidRPr="009F29FA">
              <w:rPr>
                <w:rFonts w:eastAsia="Times New Roman"/>
                <w:lang w:eastAsia="fr-BE"/>
              </w:rPr>
              <w:t>Further</w:t>
            </w:r>
            <w:r w:rsidR="00F716BC">
              <w:rPr>
                <w:rFonts w:eastAsia="Times New Roman"/>
                <w:lang w:eastAsia="fr-BE"/>
              </w:rPr>
              <w:t>more</w:t>
            </w:r>
            <w:r w:rsidRPr="009F29FA">
              <w:rPr>
                <w:rFonts w:eastAsia="Times New Roman"/>
                <w:lang w:eastAsia="fr-BE"/>
              </w:rPr>
              <w:t xml:space="preserve">, for the estimation of the number of operations under each thematic objective an average budget of an operation of about </w:t>
            </w:r>
            <w:r w:rsidR="004F5D74" w:rsidRPr="009F29FA">
              <w:rPr>
                <w:rFonts w:eastAsia="Times New Roman"/>
                <w:lang w:eastAsia="fr-BE"/>
              </w:rPr>
              <w:t xml:space="preserve">total cost </w:t>
            </w:r>
            <w:r w:rsidR="004F5D74">
              <w:rPr>
                <w:rFonts w:eastAsia="Times New Roman"/>
                <w:lang w:eastAsia="fr-BE"/>
              </w:rPr>
              <w:t xml:space="preserve">of </w:t>
            </w:r>
            <w:r w:rsidRPr="008F0389">
              <w:rPr>
                <w:rFonts w:eastAsia="Times New Roman"/>
                <w:lang w:eastAsia="fr-BE"/>
              </w:rPr>
              <w:t xml:space="preserve">EUR </w:t>
            </w:r>
            <w:r w:rsidR="00D565AE">
              <w:rPr>
                <w:rFonts w:eastAsia="Times New Roman"/>
                <w:lang w:eastAsia="fr-BE"/>
              </w:rPr>
              <w:t>475</w:t>
            </w:r>
            <w:r w:rsidR="004F5D74" w:rsidRPr="008F0389">
              <w:rPr>
                <w:rFonts w:eastAsia="Times New Roman"/>
                <w:lang w:eastAsia="fr-BE"/>
              </w:rPr>
              <w:t>.000,00</w:t>
            </w:r>
            <w:r w:rsidRPr="008F0389">
              <w:rPr>
                <w:rFonts w:eastAsia="Times New Roman"/>
                <w:lang w:eastAsia="fr-BE"/>
              </w:rPr>
              <w:t xml:space="preserve"> </w:t>
            </w:r>
            <w:r w:rsidR="004F5D74" w:rsidRPr="008F0389">
              <w:rPr>
                <w:rFonts w:eastAsia="Times New Roman"/>
                <w:lang w:eastAsia="fr-BE"/>
              </w:rPr>
              <w:t xml:space="preserve">for PA 1, EUR </w:t>
            </w:r>
            <w:r w:rsidR="00D565AE">
              <w:rPr>
                <w:rFonts w:eastAsia="Times New Roman"/>
                <w:lang w:eastAsia="fr-BE"/>
              </w:rPr>
              <w:t>850</w:t>
            </w:r>
            <w:r w:rsidR="004F5D74" w:rsidRPr="008F0389">
              <w:rPr>
                <w:rFonts w:eastAsia="Times New Roman"/>
                <w:lang w:eastAsia="fr-BE"/>
              </w:rPr>
              <w:t xml:space="preserve">.000,00 for PA 2, EUR </w:t>
            </w:r>
            <w:r w:rsidR="00D565AE">
              <w:rPr>
                <w:rFonts w:eastAsia="Times New Roman"/>
                <w:lang w:eastAsia="fr-BE"/>
              </w:rPr>
              <w:t>850</w:t>
            </w:r>
            <w:r w:rsidR="00994177" w:rsidRPr="008F0389">
              <w:rPr>
                <w:rFonts w:eastAsia="Times New Roman"/>
                <w:lang w:eastAsia="fr-BE"/>
              </w:rPr>
              <w:t xml:space="preserve">.000,00 </w:t>
            </w:r>
            <w:r w:rsidR="004F5D74" w:rsidRPr="008F0389">
              <w:rPr>
                <w:rFonts w:eastAsia="Times New Roman"/>
                <w:lang w:eastAsia="fr-BE"/>
              </w:rPr>
              <w:t xml:space="preserve">for PA 3 and EUR </w:t>
            </w:r>
            <w:r w:rsidR="00D565AE">
              <w:rPr>
                <w:rFonts w:eastAsia="Times New Roman"/>
                <w:lang w:eastAsia="fr-BE"/>
              </w:rPr>
              <w:t>575</w:t>
            </w:r>
            <w:r w:rsidR="00994177" w:rsidRPr="008F0389">
              <w:rPr>
                <w:rFonts w:eastAsia="Times New Roman"/>
                <w:lang w:eastAsia="fr-BE"/>
              </w:rPr>
              <w:t xml:space="preserve">.000,00 </w:t>
            </w:r>
            <w:r w:rsidR="004F5D74" w:rsidRPr="008F0389">
              <w:rPr>
                <w:rFonts w:eastAsia="Times New Roman"/>
                <w:lang w:eastAsia="fr-BE"/>
              </w:rPr>
              <w:t>for PA 4</w:t>
            </w:r>
            <w:r w:rsidR="004F5D74">
              <w:rPr>
                <w:rFonts w:eastAsia="Times New Roman"/>
                <w:lang w:eastAsia="fr-BE"/>
              </w:rPr>
              <w:t xml:space="preserve"> </w:t>
            </w:r>
            <w:r w:rsidRPr="009F29FA">
              <w:rPr>
                <w:rFonts w:eastAsia="Times New Roman"/>
                <w:lang w:eastAsia="fr-BE"/>
              </w:rPr>
              <w:t>has been assumed. However, since the financial size of an operation shall reflect the activities and outputs planned, also smaller and larger operations can be supported.</w:t>
            </w:r>
          </w:p>
          <w:p w:rsidR="005B5026" w:rsidRPr="005B5026" w:rsidRDefault="005B5026" w:rsidP="004F5D74">
            <w:pPr>
              <w:rPr>
                <w:rFonts w:eastAsia="Times New Roman"/>
                <w:color w:val="548DD4" w:themeColor="text2" w:themeTint="99"/>
                <w:szCs w:val="24"/>
              </w:rPr>
            </w:pPr>
            <w:r w:rsidRPr="00773F01">
              <w:rPr>
                <w:rFonts w:eastAsia="Times New Roman"/>
                <w:szCs w:val="24"/>
              </w:rPr>
              <w:t xml:space="preserve">In addition, stakeholders of the programme area have a long tradition and a growing need of cooperation in </w:t>
            </w:r>
            <w:r w:rsidR="006E357B" w:rsidRPr="00773F01">
              <w:rPr>
                <w:rFonts w:eastAsia="Times New Roman"/>
                <w:szCs w:val="24"/>
              </w:rPr>
              <w:t xml:space="preserve">the field of environment, </w:t>
            </w:r>
            <w:r w:rsidR="00D565AE" w:rsidRPr="00773F01">
              <w:rPr>
                <w:rFonts w:eastAsia="Times New Roman"/>
                <w:szCs w:val="24"/>
              </w:rPr>
              <w:t xml:space="preserve">cultural </w:t>
            </w:r>
            <w:r w:rsidR="006E357B" w:rsidRPr="00773F01">
              <w:rPr>
                <w:rFonts w:eastAsia="Times New Roman"/>
                <w:szCs w:val="24"/>
              </w:rPr>
              <w:t xml:space="preserve">and </w:t>
            </w:r>
            <w:r w:rsidR="00D565AE">
              <w:rPr>
                <w:rFonts w:eastAsia="Times New Roman"/>
                <w:szCs w:val="24"/>
              </w:rPr>
              <w:t>natural</w:t>
            </w:r>
            <w:r w:rsidR="00D565AE" w:rsidRPr="00773F01">
              <w:rPr>
                <w:rFonts w:eastAsia="Times New Roman"/>
                <w:szCs w:val="24"/>
              </w:rPr>
              <w:t xml:space="preserve"> </w:t>
            </w:r>
            <w:r w:rsidR="006E357B" w:rsidRPr="00773F01">
              <w:rPr>
                <w:rFonts w:eastAsia="Times New Roman"/>
                <w:szCs w:val="24"/>
              </w:rPr>
              <w:t>heritage protection, tourism</w:t>
            </w:r>
            <w:r w:rsidRPr="00773F01">
              <w:rPr>
                <w:rFonts w:eastAsia="Times New Roman"/>
                <w:szCs w:val="24"/>
              </w:rPr>
              <w:t xml:space="preserve">, </w:t>
            </w:r>
            <w:r w:rsidR="00237D5D" w:rsidRPr="00773F01">
              <w:rPr>
                <w:rFonts w:eastAsia="Times New Roman"/>
                <w:szCs w:val="24"/>
              </w:rPr>
              <w:t xml:space="preserve">entrepreneurship and </w:t>
            </w:r>
            <w:r w:rsidR="001D1E40" w:rsidRPr="00773F01">
              <w:rPr>
                <w:rFonts w:eastAsia="Times New Roman"/>
                <w:szCs w:val="24"/>
              </w:rPr>
              <w:t>community based</w:t>
            </w:r>
            <w:r w:rsidR="00FE1C7D" w:rsidRPr="00773F01">
              <w:rPr>
                <w:rFonts w:eastAsia="Times New Roman"/>
                <w:szCs w:val="24"/>
              </w:rPr>
              <w:t xml:space="preserve"> services, as defined by priority </w:t>
            </w:r>
            <w:r w:rsidR="00F716BC">
              <w:rPr>
                <w:rFonts w:eastAsia="Times New Roman"/>
                <w:szCs w:val="24"/>
              </w:rPr>
              <w:t xml:space="preserve">measures </w:t>
            </w:r>
            <w:r w:rsidR="00FE1C7D" w:rsidRPr="00773F01">
              <w:rPr>
                <w:rFonts w:eastAsia="Times New Roman"/>
                <w:szCs w:val="24"/>
              </w:rPr>
              <w:t>of the relevant IPA cross-border programmes</w:t>
            </w:r>
            <w:r w:rsidR="00677134" w:rsidRPr="00773F01">
              <w:rPr>
                <w:rFonts w:eastAsia="Times New Roman"/>
                <w:szCs w:val="24"/>
              </w:rPr>
              <w:t xml:space="preserve"> in the 2007-2013 programming period</w:t>
            </w:r>
            <w:r w:rsidR="00FE1C7D" w:rsidRPr="00773F01">
              <w:rPr>
                <w:rFonts w:eastAsia="Times New Roman"/>
                <w:szCs w:val="24"/>
              </w:rPr>
              <w:t>.</w:t>
            </w:r>
            <w:r w:rsidR="00677134" w:rsidRPr="00773F01">
              <w:rPr>
                <w:rFonts w:eastAsia="Times New Roman"/>
                <w:szCs w:val="24"/>
              </w:rPr>
              <w:t xml:space="preserve"> </w:t>
            </w:r>
            <w:r w:rsidR="00F716BC">
              <w:rPr>
                <w:rFonts w:eastAsia="Times New Roman"/>
                <w:szCs w:val="24"/>
              </w:rPr>
              <w:t>Also</w:t>
            </w:r>
            <w:r w:rsidR="00FE1C7D" w:rsidRPr="00773F01">
              <w:rPr>
                <w:rFonts w:eastAsia="Times New Roman"/>
                <w:szCs w:val="24"/>
              </w:rPr>
              <w:t xml:space="preserve">, </w:t>
            </w:r>
            <w:r w:rsidR="00F716BC">
              <w:rPr>
                <w:rFonts w:eastAsia="Times New Roman"/>
                <w:szCs w:val="24"/>
              </w:rPr>
              <w:t xml:space="preserve">it is important to take into account that </w:t>
            </w:r>
            <w:r w:rsidR="00677134" w:rsidRPr="00773F01">
              <w:rPr>
                <w:rFonts w:eastAsia="Times New Roman"/>
                <w:szCs w:val="24"/>
              </w:rPr>
              <w:t>there were</w:t>
            </w:r>
            <w:r w:rsidRPr="00773F01">
              <w:rPr>
                <w:rFonts w:eastAsia="Times New Roman"/>
                <w:szCs w:val="24"/>
              </w:rPr>
              <w:t xml:space="preserve"> around </w:t>
            </w:r>
            <w:r w:rsidR="00095203" w:rsidRPr="00773F01">
              <w:rPr>
                <w:rFonts w:eastAsia="Times New Roman"/>
                <w:szCs w:val="24"/>
              </w:rPr>
              <w:t xml:space="preserve">1150 project </w:t>
            </w:r>
            <w:r w:rsidR="005F7B19" w:rsidRPr="00773F01">
              <w:rPr>
                <w:rFonts w:eastAsia="Times New Roman"/>
                <w:szCs w:val="24"/>
              </w:rPr>
              <w:t>applicants</w:t>
            </w:r>
            <w:r w:rsidR="00095203" w:rsidRPr="00773F01">
              <w:rPr>
                <w:rFonts w:eastAsia="Times New Roman"/>
                <w:szCs w:val="24"/>
              </w:rPr>
              <w:t xml:space="preserve"> </w:t>
            </w:r>
            <w:r w:rsidR="005F7B19" w:rsidRPr="00773F01">
              <w:rPr>
                <w:rFonts w:eastAsia="Times New Roman"/>
                <w:szCs w:val="24"/>
              </w:rPr>
              <w:t xml:space="preserve">who applied to the published Call for proposals of the IPA cross-border programme </w:t>
            </w:r>
            <w:r w:rsidR="00095203" w:rsidRPr="00773F01">
              <w:rPr>
                <w:rFonts w:eastAsia="Times New Roman"/>
                <w:szCs w:val="24"/>
              </w:rPr>
              <w:t xml:space="preserve">Croatia-Bosnia and Herzegovina </w:t>
            </w:r>
            <w:r w:rsidR="00183776">
              <w:rPr>
                <w:rFonts w:eastAsia="Times New Roman"/>
                <w:szCs w:val="24"/>
              </w:rPr>
              <w:t xml:space="preserve">2007-2013 </w:t>
            </w:r>
            <w:r w:rsidR="00095203" w:rsidRPr="00773F01">
              <w:rPr>
                <w:rFonts w:eastAsia="Times New Roman"/>
                <w:szCs w:val="24"/>
              </w:rPr>
              <w:t xml:space="preserve">and around </w:t>
            </w:r>
            <w:r w:rsidRPr="00773F01">
              <w:rPr>
                <w:rFonts w:eastAsia="Times New Roman"/>
                <w:szCs w:val="24"/>
              </w:rPr>
              <w:t xml:space="preserve">545 </w:t>
            </w:r>
            <w:r w:rsidR="002623E1" w:rsidRPr="00773F01">
              <w:rPr>
                <w:rFonts w:eastAsia="Times New Roman"/>
                <w:szCs w:val="24"/>
              </w:rPr>
              <w:t xml:space="preserve">project </w:t>
            </w:r>
            <w:r w:rsidR="005F7B19" w:rsidRPr="00773F01">
              <w:rPr>
                <w:rFonts w:eastAsia="Times New Roman"/>
                <w:szCs w:val="24"/>
              </w:rPr>
              <w:t>applicants who applied to the published Call for proposals of the IPA cross-border programme Croatia-Montenegro</w:t>
            </w:r>
            <w:r w:rsidR="00183776">
              <w:rPr>
                <w:rFonts w:eastAsia="Times New Roman"/>
                <w:szCs w:val="24"/>
              </w:rPr>
              <w:t xml:space="preserve"> 2007-2013</w:t>
            </w:r>
            <w:r w:rsidR="002F36A8" w:rsidRPr="00773F01">
              <w:rPr>
                <w:rFonts w:eastAsia="Times New Roman"/>
                <w:szCs w:val="24"/>
              </w:rPr>
              <w:t>.</w:t>
            </w:r>
            <w:r w:rsidRPr="001654B1">
              <w:rPr>
                <w:rFonts w:eastAsia="Times New Roman"/>
                <w:szCs w:val="24"/>
              </w:rPr>
              <w:t xml:space="preserve"> </w:t>
            </w:r>
          </w:p>
          <w:p w:rsidR="001654B1" w:rsidRDefault="001654B1" w:rsidP="004F5D74">
            <w:pPr>
              <w:rPr>
                <w:rFonts w:eastAsia="Times New Roman"/>
                <w:i/>
                <w:color w:val="548DD4" w:themeColor="text2" w:themeTint="99"/>
                <w:szCs w:val="24"/>
              </w:rPr>
            </w:pPr>
            <w:r w:rsidRPr="001654B1">
              <w:rPr>
                <w:rFonts w:eastAsia="Times New Roman"/>
                <w:i/>
                <w:color w:val="548DD4" w:themeColor="text2" w:themeTint="99"/>
                <w:szCs w:val="24"/>
              </w:rPr>
              <w:t>Priority Axis 1</w:t>
            </w:r>
          </w:p>
          <w:p w:rsidR="001654B1" w:rsidRPr="00A167CA" w:rsidRDefault="001654B1" w:rsidP="001654B1">
            <w:pPr>
              <w:rPr>
                <w:rFonts w:eastAsia="Times New Roman"/>
                <w:szCs w:val="24"/>
              </w:rPr>
            </w:pPr>
            <w:r w:rsidRPr="001654B1">
              <w:rPr>
                <w:rFonts w:eastAsia="Times New Roman"/>
                <w:szCs w:val="24"/>
              </w:rPr>
              <w:t xml:space="preserve">The planned </w:t>
            </w:r>
            <w:r w:rsidRPr="00A167CA">
              <w:rPr>
                <w:rFonts w:eastAsia="Times New Roman"/>
                <w:szCs w:val="24"/>
              </w:rPr>
              <w:t>IPA</w:t>
            </w:r>
            <w:r w:rsidRPr="001654B1">
              <w:rPr>
                <w:rFonts w:eastAsia="Times New Roman"/>
                <w:szCs w:val="24"/>
              </w:rPr>
              <w:t xml:space="preserve"> allocation to Priority Axis 1</w:t>
            </w:r>
            <w:r>
              <w:rPr>
                <w:rFonts w:eastAsia="Times New Roman"/>
                <w:szCs w:val="24"/>
              </w:rPr>
              <w:t xml:space="preserve"> </w:t>
            </w:r>
            <w:r w:rsidRPr="001654B1">
              <w:rPr>
                <w:rFonts w:eastAsia="Times New Roman"/>
                <w:szCs w:val="24"/>
              </w:rPr>
              <w:t xml:space="preserve">is EUR </w:t>
            </w:r>
            <w:r w:rsidR="006C2CB5">
              <w:rPr>
                <w:rFonts w:eastAsia="Times New Roman"/>
                <w:szCs w:val="24"/>
              </w:rPr>
              <w:t>8</w:t>
            </w:r>
            <w:r w:rsidRPr="001654B1">
              <w:rPr>
                <w:rFonts w:eastAsia="Times New Roman"/>
                <w:szCs w:val="24"/>
              </w:rPr>
              <w:t>.</w:t>
            </w:r>
            <w:r w:rsidR="003A3361">
              <w:rPr>
                <w:rFonts w:eastAsia="Times New Roman"/>
                <w:szCs w:val="24"/>
              </w:rPr>
              <w:t>573</w:t>
            </w:r>
            <w:r>
              <w:rPr>
                <w:rFonts w:eastAsia="Times New Roman"/>
                <w:szCs w:val="24"/>
              </w:rPr>
              <w:t>.</w:t>
            </w:r>
            <w:r w:rsidR="003A3361">
              <w:rPr>
                <w:rFonts w:eastAsia="Times New Roman"/>
                <w:szCs w:val="24"/>
              </w:rPr>
              <w:t>297</w:t>
            </w:r>
            <w:r>
              <w:rPr>
                <w:rFonts w:eastAsia="Times New Roman"/>
                <w:szCs w:val="24"/>
              </w:rPr>
              <w:t>,</w:t>
            </w:r>
            <w:r w:rsidR="00A430A9">
              <w:rPr>
                <w:rFonts w:eastAsia="Times New Roman"/>
                <w:szCs w:val="24"/>
              </w:rPr>
              <w:t xml:space="preserve">40 </w:t>
            </w:r>
            <w:r w:rsidR="00F74BC6">
              <w:rPr>
                <w:rFonts w:eastAsia="Times New Roman"/>
                <w:szCs w:val="24"/>
              </w:rPr>
              <w:t xml:space="preserve">million </w:t>
            </w:r>
            <w:r w:rsidRPr="001654B1">
              <w:rPr>
                <w:rFonts w:eastAsia="Times New Roman"/>
                <w:szCs w:val="24"/>
              </w:rPr>
              <w:t xml:space="preserve">corresponding to </w:t>
            </w:r>
            <w:r>
              <w:rPr>
                <w:rFonts w:eastAsia="Times New Roman"/>
                <w:szCs w:val="24"/>
              </w:rPr>
              <w:t>15%</w:t>
            </w:r>
            <w:r w:rsidRPr="001654B1">
              <w:rPr>
                <w:rFonts w:eastAsia="Times New Roman"/>
                <w:szCs w:val="24"/>
              </w:rPr>
              <w:t xml:space="preserve"> percent of the programme</w:t>
            </w:r>
            <w:r w:rsidR="00E23AED">
              <w:rPr>
                <w:rFonts w:eastAsia="Times New Roman"/>
                <w:szCs w:val="24"/>
              </w:rPr>
              <w:t xml:space="preserve"> budget</w:t>
            </w:r>
            <w:r w:rsidRPr="001654B1">
              <w:rPr>
                <w:rFonts w:eastAsia="Times New Roman"/>
                <w:szCs w:val="24"/>
              </w:rPr>
              <w:t xml:space="preserve">, with an estimated number of </w:t>
            </w:r>
            <w:r w:rsidR="00A776DF">
              <w:rPr>
                <w:rFonts w:eastAsia="Times New Roman"/>
                <w:szCs w:val="24"/>
              </w:rPr>
              <w:t xml:space="preserve">about </w:t>
            </w:r>
            <w:r w:rsidR="00DB7A6E">
              <w:rPr>
                <w:rFonts w:eastAsia="Times New Roman"/>
                <w:szCs w:val="24"/>
              </w:rPr>
              <w:t>18</w:t>
            </w:r>
            <w:r w:rsidR="00DB7A6E" w:rsidRPr="001654B1">
              <w:rPr>
                <w:rFonts w:eastAsia="Times New Roman"/>
                <w:szCs w:val="24"/>
              </w:rPr>
              <w:t xml:space="preserve"> </w:t>
            </w:r>
            <w:r w:rsidRPr="001654B1">
              <w:rPr>
                <w:rFonts w:eastAsia="Times New Roman"/>
                <w:szCs w:val="24"/>
              </w:rPr>
              <w:t xml:space="preserve">operations that will be supported. This financial allocation reflects the planned size of actions facing the needs to strongly </w:t>
            </w:r>
            <w:r w:rsidR="006D511E" w:rsidRPr="006D511E">
              <w:rPr>
                <w:rFonts w:eastAsia="Times New Roman"/>
                <w:szCs w:val="24"/>
              </w:rPr>
              <w:t>improve services in the area of public health and social welfare sector</w:t>
            </w:r>
            <w:r w:rsidRPr="001654B1">
              <w:rPr>
                <w:rFonts w:eastAsia="Times New Roman"/>
                <w:szCs w:val="24"/>
              </w:rPr>
              <w:t xml:space="preserve">. </w:t>
            </w:r>
            <w:r w:rsidR="00DF45AD" w:rsidRPr="00DF45AD">
              <w:rPr>
                <w:rFonts w:eastAsia="Times New Roman"/>
                <w:szCs w:val="24"/>
              </w:rPr>
              <w:t xml:space="preserve">Furthermore, </w:t>
            </w:r>
            <w:r w:rsidR="00DB7A6E">
              <w:rPr>
                <w:rFonts w:eastAsia="Times New Roman"/>
                <w:szCs w:val="24"/>
              </w:rPr>
              <w:t>i</w:t>
            </w:r>
            <w:r w:rsidR="00DB7A6E" w:rsidRPr="001A7D0D">
              <w:rPr>
                <w:rFonts w:eastAsia="Times New Roman"/>
                <w:szCs w:val="24"/>
              </w:rPr>
              <w:t>t is expected that there will be both smaller and larger projects</w:t>
            </w:r>
            <w:r w:rsidR="00DB7A6E" w:rsidRPr="00DF45AD" w:rsidDel="00DB7A6E">
              <w:rPr>
                <w:rFonts w:eastAsia="Times New Roman"/>
                <w:szCs w:val="24"/>
              </w:rPr>
              <w:t xml:space="preserve"> </w:t>
            </w:r>
            <w:r w:rsidR="007B6D33" w:rsidRPr="007B6D33">
              <w:rPr>
                <w:rFonts w:eastAsia="Times New Roman"/>
                <w:szCs w:val="24"/>
              </w:rPr>
              <w:t xml:space="preserve">as they have been also in the </w:t>
            </w:r>
            <w:r w:rsidR="0050728A">
              <w:rPr>
                <w:rFonts w:eastAsia="Times New Roman"/>
                <w:szCs w:val="24"/>
              </w:rPr>
              <w:t>IPA programmes Croatia-</w:t>
            </w:r>
            <w:r w:rsidR="0050728A" w:rsidRPr="00A167CA">
              <w:rPr>
                <w:rFonts w:eastAsia="Times New Roman"/>
                <w:szCs w:val="24"/>
              </w:rPr>
              <w:t>Bosnia and Herzegovina and Croatia-Montenegro in the 2007-2013 programming period.</w:t>
            </w:r>
          </w:p>
          <w:p w:rsidR="00F32579" w:rsidRDefault="001654B1" w:rsidP="00F74BC6">
            <w:pPr>
              <w:rPr>
                <w:rFonts w:eastAsia="Times New Roman"/>
                <w:szCs w:val="24"/>
              </w:rPr>
            </w:pPr>
            <w:r w:rsidRPr="00A167CA">
              <w:rPr>
                <w:rFonts w:eastAsia="Times New Roman"/>
                <w:szCs w:val="24"/>
              </w:rPr>
              <w:t xml:space="preserve">The financial allocation is in line with the emphasis given to </w:t>
            </w:r>
            <w:r w:rsidR="005410F3">
              <w:rPr>
                <w:rFonts w:eastAsia="Times New Roman"/>
                <w:szCs w:val="24"/>
              </w:rPr>
              <w:t>enhancing a</w:t>
            </w:r>
            <w:r w:rsidR="005410F3" w:rsidRPr="005410F3">
              <w:rPr>
                <w:sz w:val="22"/>
                <w:szCs w:val="22"/>
              </w:rPr>
              <w:t>ctive inclusion and reduction of poverty</w:t>
            </w:r>
            <w:r w:rsidR="00BA7BE5" w:rsidRPr="00A167CA">
              <w:rPr>
                <w:sz w:val="22"/>
                <w:szCs w:val="22"/>
              </w:rPr>
              <w:t xml:space="preserve"> and social policies</w:t>
            </w:r>
            <w:r w:rsidR="00ED54FC" w:rsidRPr="00A167CA">
              <w:rPr>
                <w:rFonts w:eastAsia="Times New Roman"/>
                <w:szCs w:val="24"/>
              </w:rPr>
              <w:t xml:space="preserve"> </w:t>
            </w:r>
            <w:r w:rsidR="00A14443">
              <w:rPr>
                <w:rFonts w:eastAsia="Times New Roman"/>
                <w:szCs w:val="24"/>
              </w:rPr>
              <w:t xml:space="preserve">by </w:t>
            </w:r>
            <w:r w:rsidR="00A14443">
              <w:t xml:space="preserve">creating conditions for further positive development of health and social care systems, </w:t>
            </w:r>
            <w:r w:rsidRPr="00A167CA">
              <w:rPr>
                <w:rFonts w:eastAsia="Times New Roman"/>
                <w:szCs w:val="24"/>
              </w:rPr>
              <w:t xml:space="preserve">within the funding priorities defined in the </w:t>
            </w:r>
            <w:r w:rsidR="006242E7" w:rsidRPr="00A167CA">
              <w:rPr>
                <w:rFonts w:eastAsia="Times New Roman"/>
                <w:szCs w:val="24"/>
              </w:rPr>
              <w:t>national strateg</w:t>
            </w:r>
            <w:r w:rsidR="00D87415">
              <w:rPr>
                <w:rFonts w:eastAsia="Times New Roman"/>
                <w:szCs w:val="24"/>
              </w:rPr>
              <w:t>y</w:t>
            </w:r>
            <w:r w:rsidR="006242E7" w:rsidRPr="00A167CA">
              <w:rPr>
                <w:rFonts w:eastAsia="Times New Roman"/>
                <w:szCs w:val="24"/>
              </w:rPr>
              <w:t xml:space="preserve"> papers of all </w:t>
            </w:r>
            <w:r w:rsidR="00E35DF6" w:rsidRPr="00A167CA">
              <w:rPr>
                <w:rFonts w:eastAsia="Times New Roman"/>
                <w:szCs w:val="24"/>
              </w:rPr>
              <w:t xml:space="preserve">partner </w:t>
            </w:r>
            <w:r w:rsidR="006242E7" w:rsidRPr="00A167CA">
              <w:rPr>
                <w:rFonts w:eastAsia="Times New Roman"/>
                <w:szCs w:val="24"/>
              </w:rPr>
              <w:t>countries</w:t>
            </w:r>
            <w:r w:rsidR="00CB0C1D" w:rsidRPr="00A167CA">
              <w:rPr>
                <w:rFonts w:eastAsia="Times New Roman"/>
                <w:szCs w:val="24"/>
              </w:rPr>
              <w:t>.</w:t>
            </w:r>
            <w:r w:rsidRPr="00F74BC6">
              <w:rPr>
                <w:rFonts w:eastAsia="Times New Roman"/>
                <w:szCs w:val="24"/>
              </w:rPr>
              <w:t xml:space="preserve"> </w:t>
            </w:r>
          </w:p>
          <w:p w:rsidR="00F74BC6" w:rsidRDefault="00F74BC6" w:rsidP="00F74BC6">
            <w:pPr>
              <w:rPr>
                <w:rFonts w:eastAsia="Times New Roman"/>
                <w:i/>
                <w:color w:val="548DD4" w:themeColor="text2" w:themeTint="99"/>
                <w:szCs w:val="24"/>
              </w:rPr>
            </w:pPr>
            <w:r w:rsidRPr="001654B1">
              <w:rPr>
                <w:rFonts w:eastAsia="Times New Roman"/>
                <w:i/>
                <w:color w:val="548DD4" w:themeColor="text2" w:themeTint="99"/>
                <w:szCs w:val="24"/>
              </w:rPr>
              <w:t xml:space="preserve">Priority Axis </w:t>
            </w:r>
            <w:r>
              <w:rPr>
                <w:rFonts w:eastAsia="Times New Roman"/>
                <w:i/>
                <w:color w:val="548DD4" w:themeColor="text2" w:themeTint="99"/>
                <w:szCs w:val="24"/>
              </w:rPr>
              <w:t>2</w:t>
            </w:r>
          </w:p>
          <w:p w:rsidR="00624BF4" w:rsidRDefault="0082271D" w:rsidP="0082271D">
            <w:pPr>
              <w:rPr>
                <w:rFonts w:eastAsia="Times New Roman"/>
                <w:szCs w:val="24"/>
              </w:rPr>
            </w:pPr>
            <w:r w:rsidRPr="001654B1">
              <w:rPr>
                <w:rFonts w:eastAsia="Times New Roman"/>
                <w:szCs w:val="24"/>
              </w:rPr>
              <w:t xml:space="preserve">The planned </w:t>
            </w:r>
            <w:r w:rsidRPr="00FE6605">
              <w:rPr>
                <w:rFonts w:eastAsia="Times New Roman"/>
                <w:szCs w:val="24"/>
              </w:rPr>
              <w:t>IPA</w:t>
            </w:r>
            <w:r w:rsidRPr="001654B1">
              <w:rPr>
                <w:rFonts w:eastAsia="Times New Roman"/>
                <w:szCs w:val="24"/>
              </w:rPr>
              <w:t xml:space="preserve"> allocation to Priority Axis </w:t>
            </w:r>
            <w:r w:rsidR="0048566F">
              <w:rPr>
                <w:rFonts w:eastAsia="Times New Roman"/>
                <w:szCs w:val="24"/>
              </w:rPr>
              <w:t>2</w:t>
            </w:r>
            <w:r>
              <w:rPr>
                <w:rFonts w:eastAsia="Times New Roman"/>
                <w:szCs w:val="24"/>
              </w:rPr>
              <w:t xml:space="preserve"> </w:t>
            </w:r>
            <w:r w:rsidRPr="001654B1">
              <w:rPr>
                <w:rFonts w:eastAsia="Times New Roman"/>
                <w:szCs w:val="24"/>
              </w:rPr>
              <w:t xml:space="preserve">is EUR </w:t>
            </w:r>
            <w:r w:rsidR="00D72E16">
              <w:rPr>
                <w:rFonts w:eastAsia="Times New Roman"/>
                <w:szCs w:val="24"/>
              </w:rPr>
              <w:t>14</w:t>
            </w:r>
            <w:r w:rsidRPr="001654B1">
              <w:rPr>
                <w:rFonts w:eastAsia="Times New Roman"/>
                <w:szCs w:val="24"/>
              </w:rPr>
              <w:t>.</w:t>
            </w:r>
            <w:r w:rsidR="00EA3668">
              <w:rPr>
                <w:rFonts w:eastAsia="Times New Roman"/>
                <w:szCs w:val="24"/>
              </w:rPr>
              <w:t>288</w:t>
            </w:r>
            <w:r>
              <w:rPr>
                <w:rFonts w:eastAsia="Times New Roman"/>
                <w:szCs w:val="24"/>
              </w:rPr>
              <w:t>.</w:t>
            </w:r>
            <w:r w:rsidR="00EA3668">
              <w:rPr>
                <w:rFonts w:eastAsia="Times New Roman"/>
                <w:szCs w:val="24"/>
              </w:rPr>
              <w:t>829</w:t>
            </w:r>
            <w:r>
              <w:rPr>
                <w:rFonts w:eastAsia="Times New Roman"/>
                <w:szCs w:val="24"/>
              </w:rPr>
              <w:t xml:space="preserve">,00 million </w:t>
            </w:r>
            <w:r w:rsidRPr="001654B1">
              <w:rPr>
                <w:rFonts w:eastAsia="Times New Roman"/>
                <w:szCs w:val="24"/>
              </w:rPr>
              <w:t xml:space="preserve">corresponding to </w:t>
            </w:r>
            <w:r w:rsidR="00E23AED">
              <w:rPr>
                <w:rFonts w:eastAsia="Times New Roman"/>
                <w:szCs w:val="24"/>
              </w:rPr>
              <w:t>25</w:t>
            </w:r>
            <w:r>
              <w:rPr>
                <w:rFonts w:eastAsia="Times New Roman"/>
                <w:szCs w:val="24"/>
              </w:rPr>
              <w:t>%</w:t>
            </w:r>
            <w:r w:rsidRPr="001654B1">
              <w:rPr>
                <w:rFonts w:eastAsia="Times New Roman"/>
                <w:szCs w:val="24"/>
              </w:rPr>
              <w:t xml:space="preserve"> percent of the programme</w:t>
            </w:r>
            <w:r w:rsidR="00E23AED">
              <w:rPr>
                <w:rFonts w:eastAsia="Times New Roman"/>
                <w:szCs w:val="24"/>
              </w:rPr>
              <w:t xml:space="preserve"> budget</w:t>
            </w:r>
            <w:r w:rsidRPr="001654B1">
              <w:rPr>
                <w:rFonts w:eastAsia="Times New Roman"/>
                <w:szCs w:val="24"/>
              </w:rPr>
              <w:t xml:space="preserve">, with an estimated number of </w:t>
            </w:r>
            <w:r>
              <w:rPr>
                <w:rFonts w:eastAsia="Times New Roman"/>
                <w:szCs w:val="24"/>
              </w:rPr>
              <w:t xml:space="preserve">about </w:t>
            </w:r>
            <w:r w:rsidR="00D338C0">
              <w:rPr>
                <w:rFonts w:eastAsia="Times New Roman"/>
                <w:szCs w:val="24"/>
              </w:rPr>
              <w:t>17</w:t>
            </w:r>
            <w:r w:rsidR="00D338C0" w:rsidRPr="001654B1">
              <w:rPr>
                <w:rFonts w:eastAsia="Times New Roman"/>
                <w:szCs w:val="24"/>
              </w:rPr>
              <w:t xml:space="preserve"> </w:t>
            </w:r>
            <w:r w:rsidRPr="001654B1">
              <w:rPr>
                <w:rFonts w:eastAsia="Times New Roman"/>
                <w:szCs w:val="24"/>
              </w:rPr>
              <w:t xml:space="preserve">operations that will be supported. </w:t>
            </w:r>
            <w:r w:rsidR="00A55F69">
              <w:rPr>
                <w:rFonts w:eastAsia="Times New Roman"/>
                <w:szCs w:val="24"/>
              </w:rPr>
              <w:t>Therefore, the large</w:t>
            </w:r>
            <w:r w:rsidR="00624BF4" w:rsidRPr="0048566F">
              <w:rPr>
                <w:rFonts w:eastAsia="Times New Roman"/>
                <w:szCs w:val="24"/>
              </w:rPr>
              <w:t xml:space="preserve"> part of programme budget is reserved for Priority Axis 2</w:t>
            </w:r>
            <w:r w:rsidR="00624BF4">
              <w:rPr>
                <w:rFonts w:eastAsia="Times New Roman"/>
                <w:szCs w:val="24"/>
              </w:rPr>
              <w:t xml:space="preserve"> and t</w:t>
            </w:r>
            <w:r w:rsidRPr="001654B1">
              <w:rPr>
                <w:rFonts w:eastAsia="Times New Roman"/>
                <w:szCs w:val="24"/>
              </w:rPr>
              <w:t xml:space="preserve">his financial allocation reflects the planned size of actions </w:t>
            </w:r>
            <w:r w:rsidR="00624BF4" w:rsidRPr="00DF45AD">
              <w:rPr>
                <w:rFonts w:eastAsia="Times New Roman"/>
                <w:szCs w:val="24"/>
              </w:rPr>
              <w:t xml:space="preserve">to be rather </w:t>
            </w:r>
            <w:r w:rsidR="00624BF4">
              <w:rPr>
                <w:rFonts w:eastAsia="Times New Roman"/>
                <w:szCs w:val="24"/>
              </w:rPr>
              <w:t>more complex in order to face</w:t>
            </w:r>
            <w:r w:rsidRPr="001654B1">
              <w:rPr>
                <w:rFonts w:eastAsia="Times New Roman"/>
                <w:szCs w:val="24"/>
              </w:rPr>
              <w:t xml:space="preserve"> the needs to strongly improve </w:t>
            </w:r>
            <w:r w:rsidR="002356CC" w:rsidRPr="002356CC">
              <w:rPr>
                <w:rFonts w:eastAsia="Times New Roman"/>
                <w:szCs w:val="24"/>
              </w:rPr>
              <w:t>en</w:t>
            </w:r>
            <w:r w:rsidR="002356CC">
              <w:rPr>
                <w:rFonts w:eastAsia="Times New Roman"/>
                <w:szCs w:val="24"/>
              </w:rPr>
              <w:t xml:space="preserve">vironment and nature protection, </w:t>
            </w:r>
            <w:r w:rsidR="006E4605">
              <w:rPr>
                <w:rFonts w:eastAsia="Times New Roman"/>
                <w:szCs w:val="24"/>
              </w:rPr>
              <w:t xml:space="preserve">promote </w:t>
            </w:r>
            <w:r w:rsidR="002356CC" w:rsidRPr="002356CC">
              <w:rPr>
                <w:rFonts w:eastAsia="Times New Roman"/>
                <w:szCs w:val="24"/>
              </w:rPr>
              <w:t>utilization of renewable energy resources</w:t>
            </w:r>
            <w:r w:rsidR="002356CC">
              <w:rPr>
                <w:rFonts w:eastAsia="Times New Roman"/>
                <w:szCs w:val="24"/>
              </w:rPr>
              <w:t xml:space="preserve"> and </w:t>
            </w:r>
            <w:r w:rsidR="00742A46">
              <w:rPr>
                <w:rFonts w:eastAsia="Times New Roman"/>
                <w:szCs w:val="24"/>
              </w:rPr>
              <w:t xml:space="preserve">to </w:t>
            </w:r>
            <w:r w:rsidR="002356CC" w:rsidRPr="002356CC">
              <w:rPr>
                <w:rFonts w:eastAsia="Times New Roman"/>
                <w:szCs w:val="24"/>
              </w:rPr>
              <w:t xml:space="preserve">strengthen energy efficiency </w:t>
            </w:r>
            <w:r w:rsidRPr="00D92852">
              <w:rPr>
                <w:rFonts w:eastAsia="Times New Roman"/>
                <w:szCs w:val="24"/>
              </w:rPr>
              <w:t>in the programme</w:t>
            </w:r>
            <w:r w:rsidR="00742A46">
              <w:rPr>
                <w:rFonts w:eastAsia="Times New Roman"/>
                <w:szCs w:val="24"/>
              </w:rPr>
              <w:t xml:space="preserve"> area</w:t>
            </w:r>
            <w:r w:rsidRPr="001654B1">
              <w:rPr>
                <w:rFonts w:eastAsia="Times New Roman"/>
                <w:szCs w:val="24"/>
              </w:rPr>
              <w:t xml:space="preserve">. </w:t>
            </w:r>
          </w:p>
          <w:p w:rsidR="0082271D" w:rsidRDefault="0082271D" w:rsidP="0082271D">
            <w:pPr>
              <w:rPr>
                <w:rFonts w:eastAsia="Times New Roman"/>
                <w:szCs w:val="24"/>
              </w:rPr>
            </w:pPr>
            <w:r w:rsidRPr="00B516FE">
              <w:rPr>
                <w:rFonts w:eastAsia="Times New Roman"/>
                <w:szCs w:val="24"/>
              </w:rPr>
              <w:t xml:space="preserve">The financial allocation is in line with the emphasis given to </w:t>
            </w:r>
            <w:r w:rsidR="007D5D2E" w:rsidRPr="00B516FE">
              <w:rPr>
                <w:rFonts w:eastAsia="Times New Roman"/>
                <w:szCs w:val="24"/>
              </w:rPr>
              <w:t>promoting energy efficiency, renewable energies and protecting natural resources</w:t>
            </w:r>
            <w:r w:rsidRPr="00B516FE">
              <w:rPr>
                <w:rFonts w:eastAsia="Times New Roman"/>
                <w:szCs w:val="24"/>
              </w:rPr>
              <w:t xml:space="preserve"> </w:t>
            </w:r>
            <w:r w:rsidR="00744C02">
              <w:rPr>
                <w:rFonts w:eastAsia="Times New Roman"/>
                <w:szCs w:val="24"/>
              </w:rPr>
              <w:t xml:space="preserve">by </w:t>
            </w:r>
            <w:r w:rsidR="00744C02">
              <w:t>creating conditions for further positive development of</w:t>
            </w:r>
            <w:r w:rsidR="00744C02" w:rsidRPr="00B516FE">
              <w:rPr>
                <w:rFonts w:eastAsia="Times New Roman"/>
                <w:szCs w:val="24"/>
              </w:rPr>
              <w:t xml:space="preserve"> </w:t>
            </w:r>
            <w:r w:rsidR="00744C02">
              <w:rPr>
                <w:rFonts w:eastAsia="Times New Roman"/>
                <w:szCs w:val="24"/>
              </w:rPr>
              <w:t xml:space="preserve">the relevant sectors, </w:t>
            </w:r>
            <w:r w:rsidRPr="00B516FE">
              <w:rPr>
                <w:rFonts w:eastAsia="Times New Roman"/>
                <w:szCs w:val="24"/>
              </w:rPr>
              <w:t xml:space="preserve">within the funding priorities defined in the </w:t>
            </w:r>
            <w:r w:rsidR="003A226E">
              <w:rPr>
                <w:rFonts w:eastAsia="Times New Roman"/>
                <w:szCs w:val="24"/>
              </w:rPr>
              <w:t xml:space="preserve">relevant </w:t>
            </w:r>
            <w:r w:rsidRPr="00B516FE">
              <w:rPr>
                <w:rFonts w:eastAsia="Times New Roman"/>
                <w:szCs w:val="24"/>
              </w:rPr>
              <w:t xml:space="preserve">national </w:t>
            </w:r>
            <w:r w:rsidRPr="00B516FE">
              <w:rPr>
                <w:rFonts w:eastAsia="Times New Roman"/>
                <w:szCs w:val="24"/>
              </w:rPr>
              <w:lastRenderedPageBreak/>
              <w:t>strateg</w:t>
            </w:r>
            <w:r w:rsidR="00DA4627">
              <w:rPr>
                <w:rFonts w:eastAsia="Times New Roman"/>
                <w:szCs w:val="24"/>
              </w:rPr>
              <w:t>y</w:t>
            </w:r>
            <w:r w:rsidRPr="00B516FE">
              <w:rPr>
                <w:rFonts w:eastAsia="Times New Roman"/>
                <w:szCs w:val="24"/>
              </w:rPr>
              <w:t xml:space="preserve"> papers</w:t>
            </w:r>
            <w:r w:rsidR="003A226E">
              <w:rPr>
                <w:rFonts w:eastAsia="Times New Roman"/>
                <w:szCs w:val="24"/>
              </w:rPr>
              <w:t>.</w:t>
            </w:r>
          </w:p>
          <w:p w:rsidR="00B63494" w:rsidRDefault="00B63494" w:rsidP="00B63494">
            <w:pPr>
              <w:rPr>
                <w:rFonts w:eastAsia="Times New Roman"/>
                <w:i/>
                <w:color w:val="548DD4" w:themeColor="text2" w:themeTint="99"/>
                <w:szCs w:val="24"/>
              </w:rPr>
            </w:pPr>
            <w:r w:rsidRPr="001654B1">
              <w:rPr>
                <w:rFonts w:eastAsia="Times New Roman"/>
                <w:i/>
                <w:color w:val="548DD4" w:themeColor="text2" w:themeTint="99"/>
                <w:szCs w:val="24"/>
              </w:rPr>
              <w:t xml:space="preserve">Priority Axis </w:t>
            </w:r>
            <w:r>
              <w:rPr>
                <w:rFonts w:eastAsia="Times New Roman"/>
                <w:i/>
                <w:color w:val="548DD4" w:themeColor="text2" w:themeTint="99"/>
                <w:szCs w:val="24"/>
              </w:rPr>
              <w:t>3</w:t>
            </w:r>
          </w:p>
          <w:p w:rsidR="0082271D" w:rsidRPr="001654B1" w:rsidRDefault="0082271D" w:rsidP="0082271D">
            <w:pPr>
              <w:rPr>
                <w:rFonts w:eastAsia="Times New Roman"/>
                <w:szCs w:val="24"/>
              </w:rPr>
            </w:pPr>
            <w:r w:rsidRPr="001654B1">
              <w:rPr>
                <w:rFonts w:eastAsia="Times New Roman"/>
                <w:szCs w:val="24"/>
              </w:rPr>
              <w:t xml:space="preserve">The planned </w:t>
            </w:r>
            <w:r w:rsidRPr="006A793F">
              <w:rPr>
                <w:rFonts w:eastAsia="Times New Roman"/>
                <w:szCs w:val="24"/>
              </w:rPr>
              <w:t>IPA</w:t>
            </w:r>
            <w:r w:rsidRPr="001654B1">
              <w:rPr>
                <w:rFonts w:eastAsia="Times New Roman"/>
                <w:szCs w:val="24"/>
              </w:rPr>
              <w:t xml:space="preserve"> allocation to Priority Axis </w:t>
            </w:r>
            <w:r w:rsidR="009D4FD7">
              <w:rPr>
                <w:rFonts w:eastAsia="Times New Roman"/>
                <w:szCs w:val="24"/>
              </w:rPr>
              <w:t>3</w:t>
            </w:r>
            <w:r>
              <w:rPr>
                <w:rFonts w:eastAsia="Times New Roman"/>
                <w:szCs w:val="24"/>
              </w:rPr>
              <w:t xml:space="preserve"> </w:t>
            </w:r>
            <w:r w:rsidRPr="001654B1">
              <w:rPr>
                <w:rFonts w:eastAsia="Times New Roman"/>
                <w:szCs w:val="24"/>
              </w:rPr>
              <w:t xml:space="preserve">is EUR </w:t>
            </w:r>
            <w:r w:rsidR="00EA3668">
              <w:rPr>
                <w:rFonts w:eastAsia="Times New Roman"/>
                <w:szCs w:val="24"/>
              </w:rPr>
              <w:t>17</w:t>
            </w:r>
            <w:r w:rsidRPr="001654B1">
              <w:rPr>
                <w:rFonts w:eastAsia="Times New Roman"/>
                <w:szCs w:val="24"/>
              </w:rPr>
              <w:t>.</w:t>
            </w:r>
            <w:r w:rsidR="00EA3668">
              <w:rPr>
                <w:rFonts w:eastAsia="Times New Roman"/>
                <w:szCs w:val="24"/>
              </w:rPr>
              <w:t>146</w:t>
            </w:r>
            <w:r>
              <w:rPr>
                <w:rFonts w:eastAsia="Times New Roman"/>
                <w:szCs w:val="24"/>
              </w:rPr>
              <w:t>.</w:t>
            </w:r>
            <w:r w:rsidR="00A430A9">
              <w:rPr>
                <w:rFonts w:eastAsia="Times New Roman"/>
                <w:szCs w:val="24"/>
              </w:rPr>
              <w:t>594</w:t>
            </w:r>
            <w:r>
              <w:rPr>
                <w:rFonts w:eastAsia="Times New Roman"/>
                <w:szCs w:val="24"/>
              </w:rPr>
              <w:t>,</w:t>
            </w:r>
            <w:r w:rsidR="00A430A9">
              <w:rPr>
                <w:rFonts w:eastAsia="Times New Roman"/>
                <w:szCs w:val="24"/>
              </w:rPr>
              <w:t xml:space="preserve">80 </w:t>
            </w:r>
            <w:r>
              <w:rPr>
                <w:rFonts w:eastAsia="Times New Roman"/>
                <w:szCs w:val="24"/>
              </w:rPr>
              <w:t xml:space="preserve">million </w:t>
            </w:r>
            <w:r w:rsidRPr="001654B1">
              <w:rPr>
                <w:rFonts w:eastAsia="Times New Roman"/>
                <w:szCs w:val="24"/>
              </w:rPr>
              <w:t xml:space="preserve">corresponding to </w:t>
            </w:r>
            <w:r w:rsidR="00DF15CA">
              <w:rPr>
                <w:rFonts w:eastAsia="Times New Roman"/>
                <w:szCs w:val="24"/>
              </w:rPr>
              <w:t>30</w:t>
            </w:r>
            <w:r>
              <w:rPr>
                <w:rFonts w:eastAsia="Times New Roman"/>
                <w:szCs w:val="24"/>
              </w:rPr>
              <w:t>%</w:t>
            </w:r>
            <w:r w:rsidRPr="001654B1">
              <w:rPr>
                <w:rFonts w:eastAsia="Times New Roman"/>
                <w:szCs w:val="24"/>
              </w:rPr>
              <w:t xml:space="preserve"> percent of the programme</w:t>
            </w:r>
            <w:r w:rsidR="00DF15CA">
              <w:rPr>
                <w:rFonts w:eastAsia="Times New Roman"/>
                <w:szCs w:val="24"/>
              </w:rPr>
              <w:t xml:space="preserve"> budget</w:t>
            </w:r>
            <w:r w:rsidRPr="001654B1">
              <w:rPr>
                <w:rFonts w:eastAsia="Times New Roman"/>
                <w:szCs w:val="24"/>
              </w:rPr>
              <w:t xml:space="preserve">, with an estimated number of </w:t>
            </w:r>
            <w:r>
              <w:rPr>
                <w:rFonts w:eastAsia="Times New Roman"/>
                <w:szCs w:val="24"/>
              </w:rPr>
              <w:t xml:space="preserve">about </w:t>
            </w:r>
            <w:r w:rsidR="00D338C0">
              <w:rPr>
                <w:rFonts w:eastAsia="Times New Roman"/>
                <w:szCs w:val="24"/>
              </w:rPr>
              <w:t>20</w:t>
            </w:r>
            <w:r w:rsidR="00D338C0" w:rsidRPr="001654B1">
              <w:rPr>
                <w:rFonts w:eastAsia="Times New Roman"/>
                <w:szCs w:val="24"/>
              </w:rPr>
              <w:t xml:space="preserve"> </w:t>
            </w:r>
            <w:r w:rsidRPr="001654B1">
              <w:rPr>
                <w:rFonts w:eastAsia="Times New Roman"/>
                <w:szCs w:val="24"/>
              </w:rPr>
              <w:t xml:space="preserve">operations that will be supported. </w:t>
            </w:r>
            <w:r w:rsidR="00DF15CA" w:rsidRPr="0048566F">
              <w:rPr>
                <w:rFonts w:eastAsia="Times New Roman"/>
                <w:szCs w:val="24"/>
              </w:rPr>
              <w:t>Therefore, the largest part of programme budget</w:t>
            </w:r>
            <w:r w:rsidR="00DF15CA">
              <w:rPr>
                <w:rFonts w:eastAsia="Times New Roman"/>
                <w:szCs w:val="24"/>
              </w:rPr>
              <w:t xml:space="preserve"> is reserved for Priority Axis 3 and t</w:t>
            </w:r>
            <w:r w:rsidRPr="001654B1">
              <w:rPr>
                <w:rFonts w:eastAsia="Times New Roman"/>
                <w:szCs w:val="24"/>
              </w:rPr>
              <w:t xml:space="preserve">his financial allocation reflects the needs to </w:t>
            </w:r>
            <w:r w:rsidR="00320F1C" w:rsidRPr="00320F1C">
              <w:rPr>
                <w:rFonts w:eastAsia="Times New Roman"/>
                <w:szCs w:val="24"/>
              </w:rPr>
              <w:t>strengthen and diversify the tourism offer</w:t>
            </w:r>
            <w:r w:rsidR="00320F1C">
              <w:rPr>
                <w:rFonts w:eastAsia="Times New Roman"/>
                <w:szCs w:val="24"/>
              </w:rPr>
              <w:t xml:space="preserve"> and to enable </w:t>
            </w:r>
            <w:r w:rsidR="00320F1C" w:rsidRPr="00320F1C">
              <w:rPr>
                <w:rFonts w:eastAsia="Times New Roman"/>
                <w:szCs w:val="24"/>
              </w:rPr>
              <w:t>sustainable use of cultural and natural heritage</w:t>
            </w:r>
            <w:r w:rsidRPr="00D92852">
              <w:rPr>
                <w:rFonts w:eastAsia="Times New Roman"/>
                <w:szCs w:val="24"/>
              </w:rPr>
              <w:t xml:space="preserve"> in the programme area</w:t>
            </w:r>
            <w:r w:rsidRPr="001654B1">
              <w:rPr>
                <w:rFonts w:eastAsia="Times New Roman"/>
                <w:szCs w:val="24"/>
              </w:rPr>
              <w:t xml:space="preserve">. </w:t>
            </w:r>
            <w:r w:rsidRPr="00DF45AD">
              <w:rPr>
                <w:rFonts w:eastAsia="Times New Roman"/>
                <w:szCs w:val="24"/>
              </w:rPr>
              <w:t xml:space="preserve">Furthermore, </w:t>
            </w:r>
            <w:r w:rsidR="00151565">
              <w:rPr>
                <w:rFonts w:eastAsia="Times New Roman"/>
                <w:szCs w:val="24"/>
              </w:rPr>
              <w:t>b</w:t>
            </w:r>
            <w:r w:rsidR="00151565" w:rsidRPr="00151565">
              <w:rPr>
                <w:rFonts w:eastAsia="Times New Roman"/>
                <w:szCs w:val="24"/>
              </w:rPr>
              <w:t xml:space="preserve">oth smaller (e.g. promoting products) and larger projects (e.g. cycle paths) are expected </w:t>
            </w:r>
            <w:r w:rsidRPr="007B6D33">
              <w:rPr>
                <w:rFonts w:eastAsia="Times New Roman"/>
                <w:szCs w:val="24"/>
              </w:rPr>
              <w:t xml:space="preserve">as they have been also in the </w:t>
            </w:r>
            <w:r>
              <w:rPr>
                <w:rFonts w:eastAsia="Times New Roman"/>
                <w:szCs w:val="24"/>
              </w:rPr>
              <w:t xml:space="preserve">IPA programmes Croatia-Bosnia and Herzegovina and Croatia-Montenegro in the </w:t>
            </w:r>
            <w:r w:rsidRPr="001654B1">
              <w:rPr>
                <w:rFonts w:eastAsia="Times New Roman"/>
                <w:szCs w:val="24"/>
              </w:rPr>
              <w:t>2007-2013 programming period.</w:t>
            </w:r>
            <w:r w:rsidR="005433D1">
              <w:rPr>
                <w:rFonts w:eastAsia="Times New Roman"/>
                <w:szCs w:val="24"/>
              </w:rPr>
              <w:t xml:space="preserve"> </w:t>
            </w:r>
            <w:r w:rsidR="005433D1" w:rsidRPr="008C40C7">
              <w:rPr>
                <w:rFonts w:eastAsia="Times New Roman"/>
                <w:szCs w:val="24"/>
              </w:rPr>
              <w:t xml:space="preserve">Under the Priority Axis 3 </w:t>
            </w:r>
            <w:r w:rsidR="005433D1" w:rsidRPr="008C40C7">
              <w:rPr>
                <w:szCs w:val="24"/>
              </w:rPr>
              <w:t xml:space="preserve">strategic </w:t>
            </w:r>
            <w:r w:rsidR="0086651F">
              <w:rPr>
                <w:szCs w:val="24"/>
              </w:rPr>
              <w:t xml:space="preserve">operation </w:t>
            </w:r>
            <w:r w:rsidR="005433D1" w:rsidRPr="008C40C7">
              <w:rPr>
                <w:szCs w:val="24"/>
              </w:rPr>
              <w:t xml:space="preserve">“Development of Rural Tourism in the Adriatic Hinterland” </w:t>
            </w:r>
            <w:r w:rsidR="0086651F">
              <w:rPr>
                <w:szCs w:val="24"/>
              </w:rPr>
              <w:t xml:space="preserve">is envisaged to </w:t>
            </w:r>
            <w:r w:rsidR="005433D1" w:rsidRPr="008C40C7">
              <w:rPr>
                <w:szCs w:val="24"/>
              </w:rPr>
              <w:t>be implemented.</w:t>
            </w:r>
            <w:r w:rsidR="005433D1">
              <w:rPr>
                <w:szCs w:val="24"/>
              </w:rPr>
              <w:t xml:space="preserve"> </w:t>
            </w:r>
          </w:p>
          <w:p w:rsidR="00CA7148" w:rsidRDefault="00CA7148" w:rsidP="00CA7148">
            <w:pPr>
              <w:rPr>
                <w:rFonts w:eastAsia="Times New Roman"/>
                <w:i/>
                <w:color w:val="548DD4" w:themeColor="text2" w:themeTint="99"/>
                <w:szCs w:val="24"/>
              </w:rPr>
            </w:pPr>
            <w:r w:rsidRPr="001654B1">
              <w:rPr>
                <w:rFonts w:eastAsia="Times New Roman"/>
                <w:i/>
                <w:color w:val="548DD4" w:themeColor="text2" w:themeTint="99"/>
                <w:szCs w:val="24"/>
              </w:rPr>
              <w:t xml:space="preserve">Priority Axis </w:t>
            </w:r>
            <w:r>
              <w:rPr>
                <w:rFonts w:eastAsia="Times New Roman"/>
                <w:i/>
                <w:color w:val="548DD4" w:themeColor="text2" w:themeTint="99"/>
                <w:szCs w:val="24"/>
              </w:rPr>
              <w:t>4</w:t>
            </w:r>
          </w:p>
          <w:p w:rsidR="0082271D" w:rsidRPr="001654B1" w:rsidRDefault="0082271D" w:rsidP="0082271D">
            <w:pPr>
              <w:rPr>
                <w:rFonts w:eastAsia="Times New Roman"/>
                <w:szCs w:val="24"/>
              </w:rPr>
            </w:pPr>
            <w:r w:rsidRPr="001654B1">
              <w:rPr>
                <w:rFonts w:eastAsia="Times New Roman"/>
                <w:szCs w:val="24"/>
              </w:rPr>
              <w:t xml:space="preserve">The planned </w:t>
            </w:r>
            <w:r w:rsidRPr="006A793F">
              <w:rPr>
                <w:rFonts w:eastAsia="Times New Roman"/>
                <w:szCs w:val="24"/>
              </w:rPr>
              <w:t>IPA</w:t>
            </w:r>
            <w:r w:rsidRPr="001654B1">
              <w:rPr>
                <w:rFonts w:eastAsia="Times New Roman"/>
                <w:szCs w:val="24"/>
              </w:rPr>
              <w:t xml:space="preserve"> allocation to Priority Axis </w:t>
            </w:r>
            <w:r w:rsidR="00E61B77">
              <w:rPr>
                <w:rFonts w:eastAsia="Times New Roman"/>
                <w:szCs w:val="24"/>
              </w:rPr>
              <w:t>4</w:t>
            </w:r>
            <w:r>
              <w:rPr>
                <w:rFonts w:eastAsia="Times New Roman"/>
                <w:szCs w:val="24"/>
              </w:rPr>
              <w:t xml:space="preserve"> </w:t>
            </w:r>
            <w:r w:rsidRPr="001654B1">
              <w:rPr>
                <w:rFonts w:eastAsia="Times New Roman"/>
                <w:szCs w:val="24"/>
              </w:rPr>
              <w:t xml:space="preserve">is EUR </w:t>
            </w:r>
            <w:r w:rsidR="00250667">
              <w:rPr>
                <w:rFonts w:eastAsia="Times New Roman"/>
                <w:szCs w:val="24"/>
              </w:rPr>
              <w:t>11</w:t>
            </w:r>
            <w:r w:rsidRPr="001654B1">
              <w:rPr>
                <w:rFonts w:eastAsia="Times New Roman"/>
                <w:szCs w:val="24"/>
              </w:rPr>
              <w:t>.</w:t>
            </w:r>
            <w:r w:rsidR="00F759D9">
              <w:rPr>
                <w:rFonts w:eastAsia="Times New Roman"/>
                <w:szCs w:val="24"/>
              </w:rPr>
              <w:t>431</w:t>
            </w:r>
            <w:r>
              <w:rPr>
                <w:rFonts w:eastAsia="Times New Roman"/>
                <w:szCs w:val="24"/>
              </w:rPr>
              <w:t>.</w:t>
            </w:r>
            <w:r w:rsidR="00F759D9">
              <w:rPr>
                <w:rFonts w:eastAsia="Times New Roman"/>
                <w:szCs w:val="24"/>
              </w:rPr>
              <w:t>063</w:t>
            </w:r>
            <w:r>
              <w:rPr>
                <w:rFonts w:eastAsia="Times New Roman"/>
                <w:szCs w:val="24"/>
              </w:rPr>
              <w:t>,</w:t>
            </w:r>
            <w:r w:rsidR="00A430A9">
              <w:rPr>
                <w:rFonts w:eastAsia="Times New Roman"/>
                <w:szCs w:val="24"/>
              </w:rPr>
              <w:t xml:space="preserve">20 </w:t>
            </w:r>
            <w:r>
              <w:rPr>
                <w:rFonts w:eastAsia="Times New Roman"/>
                <w:szCs w:val="24"/>
              </w:rPr>
              <w:t xml:space="preserve">million </w:t>
            </w:r>
            <w:r w:rsidRPr="001654B1">
              <w:rPr>
                <w:rFonts w:eastAsia="Times New Roman"/>
                <w:szCs w:val="24"/>
              </w:rPr>
              <w:t xml:space="preserve">corresponding to </w:t>
            </w:r>
            <w:r w:rsidR="00E61B77">
              <w:rPr>
                <w:rFonts w:eastAsia="Times New Roman"/>
                <w:szCs w:val="24"/>
              </w:rPr>
              <w:t>20</w:t>
            </w:r>
            <w:r>
              <w:rPr>
                <w:rFonts w:eastAsia="Times New Roman"/>
                <w:szCs w:val="24"/>
              </w:rPr>
              <w:t>%</w:t>
            </w:r>
            <w:r w:rsidRPr="001654B1">
              <w:rPr>
                <w:rFonts w:eastAsia="Times New Roman"/>
                <w:szCs w:val="24"/>
              </w:rPr>
              <w:t xml:space="preserve"> percent of the programme, with an estimated number of </w:t>
            </w:r>
            <w:r>
              <w:rPr>
                <w:rFonts w:eastAsia="Times New Roman"/>
                <w:szCs w:val="24"/>
              </w:rPr>
              <w:t xml:space="preserve">about </w:t>
            </w:r>
            <w:r w:rsidR="00F10DE9">
              <w:rPr>
                <w:rFonts w:eastAsia="Times New Roman"/>
                <w:szCs w:val="24"/>
              </w:rPr>
              <w:t>20</w:t>
            </w:r>
            <w:r w:rsidR="00F10DE9" w:rsidRPr="001654B1">
              <w:rPr>
                <w:rFonts w:eastAsia="Times New Roman"/>
                <w:szCs w:val="24"/>
              </w:rPr>
              <w:t xml:space="preserve"> </w:t>
            </w:r>
            <w:r w:rsidRPr="001654B1">
              <w:rPr>
                <w:rFonts w:eastAsia="Times New Roman"/>
                <w:szCs w:val="24"/>
              </w:rPr>
              <w:t xml:space="preserve">operations that will be supported. This financial allocation reflects the planned size of actions facing the needs to </w:t>
            </w:r>
            <w:r w:rsidR="001A7D0D" w:rsidRPr="001A7D0D">
              <w:rPr>
                <w:rFonts w:eastAsia="Times New Roman"/>
                <w:szCs w:val="24"/>
              </w:rPr>
              <w:t>accelerate the competitiveness and development of business environment in the programme area</w:t>
            </w:r>
            <w:r w:rsidRPr="001654B1">
              <w:rPr>
                <w:rFonts w:eastAsia="Times New Roman"/>
                <w:szCs w:val="24"/>
              </w:rPr>
              <w:t xml:space="preserve">. </w:t>
            </w:r>
            <w:r w:rsidRPr="00DF45AD">
              <w:rPr>
                <w:rFonts w:eastAsia="Times New Roman"/>
                <w:szCs w:val="24"/>
              </w:rPr>
              <w:t xml:space="preserve">Furthermore, </w:t>
            </w:r>
            <w:r w:rsidR="001A7D0D">
              <w:rPr>
                <w:rFonts w:eastAsia="Times New Roman"/>
                <w:szCs w:val="24"/>
              </w:rPr>
              <w:t>i</w:t>
            </w:r>
            <w:r w:rsidR="001A7D0D" w:rsidRPr="001A7D0D">
              <w:rPr>
                <w:rFonts w:eastAsia="Times New Roman"/>
                <w:szCs w:val="24"/>
              </w:rPr>
              <w:t xml:space="preserve">t is expected that there will be both smaller (e.g. networks) and larger projects </w:t>
            </w:r>
            <w:r w:rsidRPr="007B6D33">
              <w:rPr>
                <w:rFonts w:eastAsia="Times New Roman"/>
                <w:szCs w:val="24"/>
              </w:rPr>
              <w:t xml:space="preserve">as they have been also in the </w:t>
            </w:r>
            <w:r>
              <w:rPr>
                <w:rFonts w:eastAsia="Times New Roman"/>
                <w:szCs w:val="24"/>
              </w:rPr>
              <w:t xml:space="preserve">IPA programmes Croatia-Bosnia and Herzegovina and Croatia-Montenegro in the </w:t>
            </w:r>
            <w:r w:rsidRPr="001654B1">
              <w:rPr>
                <w:rFonts w:eastAsia="Times New Roman"/>
                <w:szCs w:val="24"/>
              </w:rPr>
              <w:t>2007-2013 programming period.</w:t>
            </w:r>
          </w:p>
          <w:p w:rsidR="005C473E" w:rsidRPr="001654B1" w:rsidRDefault="0082271D" w:rsidP="00E27638">
            <w:pPr>
              <w:rPr>
                <w:rFonts w:eastAsia="Times New Roman"/>
                <w:szCs w:val="24"/>
              </w:rPr>
            </w:pPr>
            <w:r w:rsidRPr="00B516FE">
              <w:rPr>
                <w:rFonts w:eastAsia="Times New Roman"/>
                <w:szCs w:val="24"/>
              </w:rPr>
              <w:t xml:space="preserve">The financial allocation is in line with the emphasis given to </w:t>
            </w:r>
            <w:r w:rsidR="00F67396" w:rsidRPr="00B516FE">
              <w:rPr>
                <w:rFonts w:eastAsia="Times New Roman"/>
                <w:szCs w:val="24"/>
              </w:rPr>
              <w:t>enhancing innovative and competitive business</w:t>
            </w:r>
            <w:r w:rsidR="00E27638">
              <w:rPr>
                <w:rFonts w:eastAsia="Times New Roman"/>
                <w:szCs w:val="24"/>
              </w:rPr>
              <w:t xml:space="preserve">, development of business environment as well as applying </w:t>
            </w:r>
            <w:r w:rsidR="00F67396" w:rsidRPr="00B516FE">
              <w:rPr>
                <w:rFonts w:eastAsia="Times New Roman"/>
                <w:szCs w:val="24"/>
              </w:rPr>
              <w:t xml:space="preserve">research and innovation </w:t>
            </w:r>
            <w:r w:rsidR="00744C02">
              <w:rPr>
                <w:rFonts w:eastAsia="Times New Roman"/>
                <w:szCs w:val="24"/>
              </w:rPr>
              <w:t xml:space="preserve">by </w:t>
            </w:r>
            <w:r w:rsidR="00744C02">
              <w:t>creating conditions for further positive development of</w:t>
            </w:r>
            <w:r w:rsidR="00744C02" w:rsidRPr="00B516FE">
              <w:rPr>
                <w:rFonts w:eastAsia="Times New Roman"/>
                <w:szCs w:val="24"/>
              </w:rPr>
              <w:t xml:space="preserve"> </w:t>
            </w:r>
            <w:r w:rsidR="00E27638">
              <w:rPr>
                <w:rFonts w:eastAsia="Times New Roman"/>
                <w:szCs w:val="24"/>
              </w:rPr>
              <w:t xml:space="preserve">the </w:t>
            </w:r>
            <w:r w:rsidR="00744C02">
              <w:rPr>
                <w:rFonts w:eastAsia="Times New Roman"/>
                <w:szCs w:val="24"/>
              </w:rPr>
              <w:t xml:space="preserve">relevant sectors, </w:t>
            </w:r>
            <w:r w:rsidRPr="00B516FE">
              <w:rPr>
                <w:rFonts w:eastAsia="Times New Roman"/>
                <w:szCs w:val="24"/>
              </w:rPr>
              <w:t>within the funding priorities defined in the national strateg</w:t>
            </w:r>
            <w:r w:rsidR="00B104A7">
              <w:rPr>
                <w:rFonts w:eastAsia="Times New Roman"/>
                <w:szCs w:val="24"/>
              </w:rPr>
              <w:t xml:space="preserve">y </w:t>
            </w:r>
            <w:r w:rsidRPr="00B516FE">
              <w:rPr>
                <w:rFonts w:eastAsia="Times New Roman"/>
                <w:szCs w:val="24"/>
              </w:rPr>
              <w:t>papers of all partner countries.</w:t>
            </w:r>
            <w:r w:rsidRPr="00F74BC6">
              <w:rPr>
                <w:rFonts w:eastAsia="Times New Roman"/>
                <w:szCs w:val="24"/>
              </w:rPr>
              <w:t xml:space="preserve"> </w:t>
            </w:r>
          </w:p>
        </w:tc>
      </w:tr>
    </w:tbl>
    <w:p w:rsidR="00FB701A" w:rsidRPr="00B76110" w:rsidRDefault="00FB701A" w:rsidP="00D17A3D">
      <w:pPr>
        <w:spacing w:after="240"/>
        <w:ind w:left="765" w:hanging="283"/>
        <w:rPr>
          <w:rFonts w:eastAsia="Times New Roman"/>
        </w:rPr>
        <w:sectPr w:rsidR="00FB701A" w:rsidRPr="00B76110" w:rsidSect="006A4BDD">
          <w:headerReference w:type="default" r:id="rId9"/>
          <w:footerReference w:type="default" r:id="rId10"/>
          <w:pgSz w:w="11907" w:h="16839"/>
          <w:pgMar w:top="1134" w:right="1417" w:bottom="1134" w:left="1417" w:header="709" w:footer="709" w:gutter="0"/>
          <w:pgNumType w:start="0"/>
          <w:cols w:space="708"/>
          <w:docGrid w:linePitch="360"/>
        </w:sectPr>
      </w:pPr>
    </w:p>
    <w:p w:rsidR="00B30930" w:rsidRPr="00B76110" w:rsidRDefault="00FB701A" w:rsidP="00D17A3D">
      <w:pPr>
        <w:spacing w:after="240"/>
        <w:rPr>
          <w:rFonts w:eastAsia="Times New Roman"/>
          <w:b/>
        </w:rPr>
      </w:pPr>
      <w:r w:rsidRPr="00B76110">
        <w:rPr>
          <w:rFonts w:eastAsia="Times New Roman"/>
          <w:b/>
        </w:rPr>
        <w:lastRenderedPageBreak/>
        <w:t>Table 2: Overview of the investment strategy</w:t>
      </w:r>
      <w:r w:rsidR="00972AEF">
        <w:rPr>
          <w:rFonts w:eastAsia="Times New Roman"/>
          <w:b/>
        </w:rPr>
        <w:t xml:space="preserve"> of the cooperation programme</w:t>
      </w:r>
      <w:r w:rsidR="00BC6289">
        <w:rPr>
          <w:rFonts w:eastAsia="Times New Roman"/>
          <w:b/>
        </w:rPr>
        <w:t xml:space="preserve"> (indicative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801"/>
        <w:gridCol w:w="2410"/>
        <w:gridCol w:w="1417"/>
        <w:gridCol w:w="6458"/>
      </w:tblGrid>
      <w:tr w:rsidR="00B30930" w:rsidRPr="00B76110" w:rsidTr="0093079F">
        <w:trPr>
          <w:trHeight w:val="897"/>
          <w:jc w:val="center"/>
        </w:trPr>
        <w:tc>
          <w:tcPr>
            <w:tcW w:w="1911" w:type="dxa"/>
            <w:tcBorders>
              <w:top w:val="single" w:sz="4" w:space="0" w:color="auto"/>
              <w:left w:val="single" w:sz="4" w:space="0" w:color="auto"/>
              <w:right w:val="single" w:sz="4" w:space="0" w:color="auto"/>
            </w:tcBorders>
          </w:tcPr>
          <w:p w:rsidR="00B30930" w:rsidRPr="00412DF8" w:rsidRDefault="00B30930" w:rsidP="00D17A3D">
            <w:pPr>
              <w:spacing w:after="240"/>
              <w:rPr>
                <w:rFonts w:eastAsia="Times New Roman"/>
                <w:sz w:val="20"/>
              </w:rPr>
            </w:pPr>
            <w:r w:rsidRPr="00412DF8">
              <w:rPr>
                <w:rFonts w:eastAsia="Times New Roman"/>
                <w:b/>
                <w:sz w:val="20"/>
              </w:rPr>
              <w:t xml:space="preserve">Priority axis </w:t>
            </w:r>
          </w:p>
        </w:tc>
        <w:tc>
          <w:tcPr>
            <w:tcW w:w="1801" w:type="dxa"/>
            <w:tcBorders>
              <w:top w:val="single" w:sz="4" w:space="0" w:color="auto"/>
              <w:left w:val="single" w:sz="4" w:space="0" w:color="auto"/>
              <w:right w:val="single" w:sz="4" w:space="0" w:color="auto"/>
            </w:tcBorders>
            <w:hideMark/>
          </w:tcPr>
          <w:p w:rsidR="00B30930" w:rsidRPr="00412DF8" w:rsidRDefault="00B30930" w:rsidP="003B2279">
            <w:pPr>
              <w:spacing w:after="240"/>
              <w:rPr>
                <w:rFonts w:eastAsia="Times New Roman"/>
                <w:i/>
                <w:sz w:val="20"/>
              </w:rPr>
            </w:pPr>
            <w:r w:rsidRPr="00412DF8">
              <w:rPr>
                <w:rFonts w:eastAsia="Times New Roman"/>
                <w:b/>
                <w:sz w:val="20"/>
              </w:rPr>
              <w:t xml:space="preserve">Union support (in EUR) </w:t>
            </w:r>
          </w:p>
        </w:tc>
        <w:tc>
          <w:tcPr>
            <w:tcW w:w="2410" w:type="dxa"/>
            <w:tcBorders>
              <w:top w:val="single" w:sz="4" w:space="0" w:color="auto"/>
              <w:left w:val="single" w:sz="4" w:space="0" w:color="auto"/>
              <w:right w:val="single" w:sz="4" w:space="0" w:color="auto"/>
            </w:tcBorders>
          </w:tcPr>
          <w:p w:rsidR="00B30930" w:rsidRPr="00412DF8" w:rsidRDefault="00B30930" w:rsidP="00D17A3D">
            <w:pPr>
              <w:spacing w:after="240"/>
              <w:rPr>
                <w:rFonts w:eastAsia="Times New Roman"/>
                <w:i/>
                <w:sz w:val="20"/>
              </w:rPr>
            </w:pPr>
            <w:r w:rsidRPr="00412DF8">
              <w:rPr>
                <w:rFonts w:eastAsia="Times New Roman"/>
                <w:b/>
                <w:sz w:val="20"/>
              </w:rPr>
              <w:t xml:space="preserve">Proportion (%) of the total Union support for the cooperation programme </w:t>
            </w:r>
          </w:p>
        </w:tc>
        <w:tc>
          <w:tcPr>
            <w:tcW w:w="1417" w:type="dxa"/>
            <w:tcBorders>
              <w:top w:val="single" w:sz="4" w:space="0" w:color="auto"/>
              <w:left w:val="single" w:sz="4" w:space="0" w:color="auto"/>
              <w:right w:val="single" w:sz="4" w:space="0" w:color="auto"/>
            </w:tcBorders>
          </w:tcPr>
          <w:p w:rsidR="00B30930" w:rsidRPr="00412DF8" w:rsidRDefault="00B30930" w:rsidP="0070697A">
            <w:pPr>
              <w:spacing w:after="240"/>
              <w:rPr>
                <w:rFonts w:eastAsia="Times New Roman"/>
                <w:b/>
                <w:sz w:val="20"/>
              </w:rPr>
            </w:pPr>
            <w:r w:rsidRPr="00412DF8">
              <w:rPr>
                <w:rFonts w:eastAsia="Times New Roman"/>
                <w:b/>
                <w:sz w:val="20"/>
              </w:rPr>
              <w:t>Thematic priorities</w:t>
            </w:r>
          </w:p>
        </w:tc>
        <w:tc>
          <w:tcPr>
            <w:tcW w:w="6458" w:type="dxa"/>
            <w:tcBorders>
              <w:top w:val="single" w:sz="4" w:space="0" w:color="auto"/>
              <w:left w:val="single" w:sz="4" w:space="0" w:color="auto"/>
              <w:right w:val="single" w:sz="4" w:space="0" w:color="auto"/>
            </w:tcBorders>
          </w:tcPr>
          <w:p w:rsidR="00B30930" w:rsidRPr="00412DF8" w:rsidRDefault="00B30930" w:rsidP="00A366E4">
            <w:pPr>
              <w:spacing w:after="240"/>
              <w:jc w:val="center"/>
              <w:rPr>
                <w:rFonts w:eastAsia="Times New Roman"/>
                <w:b/>
                <w:sz w:val="20"/>
              </w:rPr>
            </w:pPr>
            <w:r w:rsidRPr="00412DF8">
              <w:rPr>
                <w:rFonts w:eastAsia="Times New Roman"/>
                <w:b/>
                <w:sz w:val="20"/>
              </w:rPr>
              <w:t xml:space="preserve">Result indicators corresponding to the </w:t>
            </w:r>
            <w:r w:rsidR="008B0DF1" w:rsidRPr="00412DF8">
              <w:rPr>
                <w:rFonts w:eastAsia="Times New Roman"/>
                <w:b/>
                <w:sz w:val="20"/>
              </w:rPr>
              <w:t>thematic priority</w:t>
            </w:r>
          </w:p>
        </w:tc>
      </w:tr>
      <w:tr w:rsidR="00E0086E" w:rsidRPr="00B76110" w:rsidTr="0093079F">
        <w:trPr>
          <w:trHeight w:val="572"/>
          <w:jc w:val="center"/>
        </w:trPr>
        <w:tc>
          <w:tcPr>
            <w:tcW w:w="1911" w:type="dxa"/>
            <w:tcBorders>
              <w:top w:val="single" w:sz="4" w:space="0" w:color="auto"/>
              <w:left w:val="single" w:sz="4" w:space="0" w:color="auto"/>
              <w:bottom w:val="single" w:sz="4" w:space="0" w:color="auto"/>
              <w:right w:val="single" w:sz="4" w:space="0" w:color="auto"/>
            </w:tcBorders>
            <w:hideMark/>
          </w:tcPr>
          <w:p w:rsidR="00E0086E" w:rsidRPr="00412DF8" w:rsidRDefault="00E0086E" w:rsidP="0093079F">
            <w:pPr>
              <w:spacing w:after="0"/>
              <w:jc w:val="left"/>
              <w:rPr>
                <w:rFonts w:eastAsia="Times New Roman"/>
                <w:sz w:val="20"/>
              </w:rPr>
            </w:pPr>
            <w:r w:rsidRPr="00412DF8">
              <w:rPr>
                <w:rFonts w:eastAsia="Times New Roman"/>
                <w:sz w:val="20"/>
              </w:rPr>
              <w:t>PA 1</w:t>
            </w:r>
          </w:p>
        </w:tc>
        <w:tc>
          <w:tcPr>
            <w:tcW w:w="1801" w:type="dxa"/>
            <w:tcBorders>
              <w:top w:val="single" w:sz="4" w:space="0" w:color="auto"/>
              <w:left w:val="single" w:sz="4" w:space="0" w:color="auto"/>
              <w:bottom w:val="single" w:sz="4" w:space="0" w:color="auto"/>
              <w:right w:val="single" w:sz="4" w:space="0" w:color="auto"/>
            </w:tcBorders>
          </w:tcPr>
          <w:p w:rsidR="00E0086E" w:rsidRPr="00EE3188" w:rsidRDefault="00E0086E" w:rsidP="00124575">
            <w:pPr>
              <w:rPr>
                <w:sz w:val="20"/>
              </w:rPr>
            </w:pPr>
            <w:r w:rsidRPr="00EE3188">
              <w:rPr>
                <w:sz w:val="20"/>
              </w:rPr>
              <w:t>8.573.297,40</w:t>
            </w:r>
          </w:p>
        </w:tc>
        <w:tc>
          <w:tcPr>
            <w:tcW w:w="2410" w:type="dxa"/>
            <w:tcBorders>
              <w:left w:val="single" w:sz="4" w:space="0" w:color="auto"/>
              <w:right w:val="single" w:sz="4" w:space="0" w:color="auto"/>
            </w:tcBorders>
          </w:tcPr>
          <w:p w:rsidR="00E0086E" w:rsidRPr="00412DF8" w:rsidRDefault="00E0086E" w:rsidP="0093079F">
            <w:pPr>
              <w:spacing w:after="0"/>
              <w:jc w:val="left"/>
              <w:rPr>
                <w:rFonts w:eastAsia="Times New Roman"/>
                <w:sz w:val="20"/>
              </w:rPr>
            </w:pPr>
            <w:r>
              <w:rPr>
                <w:rFonts w:eastAsia="Times New Roman"/>
                <w:sz w:val="20"/>
              </w:rPr>
              <w:t>85%</w:t>
            </w:r>
          </w:p>
        </w:tc>
        <w:tc>
          <w:tcPr>
            <w:tcW w:w="1417" w:type="dxa"/>
            <w:tcBorders>
              <w:left w:val="single" w:sz="4" w:space="0" w:color="auto"/>
              <w:right w:val="single" w:sz="4" w:space="0" w:color="auto"/>
            </w:tcBorders>
          </w:tcPr>
          <w:p w:rsidR="00E0086E" w:rsidRPr="00412DF8" w:rsidRDefault="00E0086E" w:rsidP="0093079F">
            <w:pPr>
              <w:spacing w:after="0"/>
              <w:jc w:val="left"/>
              <w:rPr>
                <w:rFonts w:eastAsia="Times New Roman"/>
                <w:sz w:val="20"/>
              </w:rPr>
            </w:pPr>
            <w:r w:rsidRPr="00412DF8">
              <w:rPr>
                <w:rFonts w:eastAsia="Times New Roman"/>
                <w:sz w:val="20"/>
              </w:rPr>
              <w:t>TP 1</w:t>
            </w:r>
          </w:p>
        </w:tc>
        <w:tc>
          <w:tcPr>
            <w:tcW w:w="6458" w:type="dxa"/>
            <w:tcBorders>
              <w:left w:val="single" w:sz="4" w:space="0" w:color="auto"/>
              <w:right w:val="single" w:sz="4" w:space="0" w:color="auto"/>
            </w:tcBorders>
          </w:tcPr>
          <w:p w:rsidR="00E0086E" w:rsidRPr="00412DF8" w:rsidRDefault="00E0086E" w:rsidP="001777D4">
            <w:pPr>
              <w:pStyle w:val="ListParagraph"/>
              <w:numPr>
                <w:ilvl w:val="0"/>
                <w:numId w:val="40"/>
              </w:numPr>
              <w:spacing w:after="0"/>
              <w:rPr>
                <w:sz w:val="20"/>
              </w:rPr>
            </w:pPr>
            <w:r w:rsidRPr="00C3760D">
              <w:rPr>
                <w:color w:val="000000"/>
                <w:sz w:val="20"/>
              </w:rPr>
              <w:t>Percentage of institutions providing improved public health care or social care services</w:t>
            </w:r>
            <w:r>
              <w:t xml:space="preserve"> </w:t>
            </w:r>
            <w:r w:rsidRPr="007E7FA3">
              <w:rPr>
                <w:color w:val="000000"/>
                <w:sz w:val="20"/>
              </w:rPr>
              <w:t>in the programme area</w:t>
            </w:r>
            <w:r w:rsidRPr="007E7FA3" w:rsidDel="00C3760D">
              <w:rPr>
                <w:color w:val="000000"/>
                <w:sz w:val="20"/>
              </w:rPr>
              <w:t xml:space="preserve"> </w:t>
            </w:r>
          </w:p>
        </w:tc>
      </w:tr>
      <w:tr w:rsidR="00E0086E" w:rsidRPr="00B76110" w:rsidTr="0093079F">
        <w:trPr>
          <w:trHeight w:val="572"/>
          <w:jc w:val="center"/>
        </w:trPr>
        <w:tc>
          <w:tcPr>
            <w:tcW w:w="1911" w:type="dxa"/>
            <w:tcBorders>
              <w:top w:val="single" w:sz="4" w:space="0" w:color="auto"/>
              <w:left w:val="single" w:sz="4" w:space="0" w:color="auto"/>
              <w:bottom w:val="single" w:sz="4" w:space="0" w:color="auto"/>
              <w:right w:val="single" w:sz="4" w:space="0" w:color="auto"/>
            </w:tcBorders>
          </w:tcPr>
          <w:p w:rsidR="00E0086E" w:rsidRPr="00412DF8" w:rsidRDefault="00E0086E" w:rsidP="00B76ACD">
            <w:pPr>
              <w:jc w:val="left"/>
              <w:rPr>
                <w:sz w:val="20"/>
              </w:rPr>
            </w:pPr>
            <w:r w:rsidRPr="00412DF8">
              <w:rPr>
                <w:rFonts w:eastAsia="Times New Roman"/>
                <w:sz w:val="20"/>
              </w:rPr>
              <w:t>PA 2</w:t>
            </w:r>
          </w:p>
        </w:tc>
        <w:tc>
          <w:tcPr>
            <w:tcW w:w="1801" w:type="dxa"/>
            <w:tcBorders>
              <w:top w:val="single" w:sz="4" w:space="0" w:color="auto"/>
              <w:left w:val="single" w:sz="4" w:space="0" w:color="auto"/>
              <w:bottom w:val="single" w:sz="4" w:space="0" w:color="auto"/>
              <w:right w:val="single" w:sz="4" w:space="0" w:color="auto"/>
            </w:tcBorders>
          </w:tcPr>
          <w:p w:rsidR="00E0086E" w:rsidRPr="00EE3188" w:rsidRDefault="00E0086E" w:rsidP="00124575">
            <w:pPr>
              <w:rPr>
                <w:sz w:val="20"/>
              </w:rPr>
            </w:pPr>
            <w:r w:rsidRPr="00EE3188">
              <w:rPr>
                <w:sz w:val="20"/>
              </w:rPr>
              <w:t>14.288.829,00</w:t>
            </w:r>
          </w:p>
        </w:tc>
        <w:tc>
          <w:tcPr>
            <w:tcW w:w="2410" w:type="dxa"/>
            <w:tcBorders>
              <w:left w:val="single" w:sz="4" w:space="0" w:color="auto"/>
              <w:right w:val="single" w:sz="4" w:space="0" w:color="auto"/>
            </w:tcBorders>
          </w:tcPr>
          <w:p w:rsidR="00E0086E" w:rsidRPr="00412DF8" w:rsidRDefault="00E0086E" w:rsidP="00B76ACD">
            <w:pPr>
              <w:spacing w:after="240"/>
              <w:jc w:val="left"/>
              <w:rPr>
                <w:rFonts w:eastAsia="Times New Roman"/>
                <w:sz w:val="20"/>
              </w:rPr>
            </w:pPr>
            <w:r>
              <w:rPr>
                <w:rFonts w:eastAsia="Times New Roman"/>
                <w:sz w:val="20"/>
              </w:rPr>
              <w:t>85%</w:t>
            </w:r>
          </w:p>
        </w:tc>
        <w:tc>
          <w:tcPr>
            <w:tcW w:w="1417" w:type="dxa"/>
            <w:tcBorders>
              <w:left w:val="single" w:sz="4" w:space="0" w:color="auto"/>
              <w:right w:val="single" w:sz="4" w:space="0" w:color="auto"/>
            </w:tcBorders>
          </w:tcPr>
          <w:p w:rsidR="00E0086E" w:rsidRPr="00412DF8" w:rsidRDefault="00E0086E" w:rsidP="00B76ACD">
            <w:pPr>
              <w:spacing w:after="240"/>
              <w:jc w:val="left"/>
              <w:rPr>
                <w:rFonts w:eastAsia="Times New Roman"/>
                <w:sz w:val="20"/>
              </w:rPr>
            </w:pPr>
            <w:r w:rsidRPr="00412DF8">
              <w:rPr>
                <w:rFonts w:eastAsia="Times New Roman"/>
                <w:sz w:val="20"/>
              </w:rPr>
              <w:t>TP 2</w:t>
            </w:r>
          </w:p>
        </w:tc>
        <w:tc>
          <w:tcPr>
            <w:tcW w:w="6458" w:type="dxa"/>
            <w:tcBorders>
              <w:left w:val="single" w:sz="4" w:space="0" w:color="auto"/>
              <w:right w:val="single" w:sz="4" w:space="0" w:color="auto"/>
            </w:tcBorders>
          </w:tcPr>
          <w:p w:rsidR="00E0086E" w:rsidRDefault="00E0086E" w:rsidP="001777D4">
            <w:pPr>
              <w:pStyle w:val="ListParagraph"/>
              <w:numPr>
                <w:ilvl w:val="0"/>
                <w:numId w:val="41"/>
              </w:numPr>
              <w:spacing w:after="0"/>
              <w:rPr>
                <w:sz w:val="20"/>
              </w:rPr>
            </w:pPr>
            <w:r>
              <w:rPr>
                <w:sz w:val="20"/>
              </w:rPr>
              <w:t>Number</w:t>
            </w:r>
            <w:r w:rsidRPr="00834F94">
              <w:rPr>
                <w:sz w:val="20"/>
              </w:rPr>
              <w:t xml:space="preserve"> of km2 covered by improved management systems for risk prevention in </w:t>
            </w:r>
            <w:r>
              <w:rPr>
                <w:sz w:val="20"/>
              </w:rPr>
              <w:t xml:space="preserve">the </w:t>
            </w:r>
            <w:r w:rsidRPr="00834F94">
              <w:rPr>
                <w:sz w:val="20"/>
              </w:rPr>
              <w:t>programme area</w:t>
            </w:r>
            <w:r w:rsidRPr="0091357B">
              <w:rPr>
                <w:sz w:val="20"/>
              </w:rPr>
              <w:t xml:space="preserve"> </w:t>
            </w:r>
          </w:p>
          <w:p w:rsidR="00E0086E" w:rsidRPr="00375FE7" w:rsidRDefault="00E0086E" w:rsidP="001777D4">
            <w:pPr>
              <w:pStyle w:val="ListParagraph"/>
              <w:numPr>
                <w:ilvl w:val="0"/>
                <w:numId w:val="41"/>
              </w:numPr>
              <w:spacing w:after="0"/>
              <w:rPr>
                <w:sz w:val="20"/>
              </w:rPr>
            </w:pPr>
            <w:r w:rsidRPr="007E7FA3">
              <w:rPr>
                <w:sz w:val="20"/>
              </w:rPr>
              <w:t>Increase in percentage of energy saved in public buildings in the programme area</w:t>
            </w:r>
            <w:r w:rsidRPr="007E7FA3" w:rsidDel="008363F1">
              <w:rPr>
                <w:sz w:val="20"/>
              </w:rPr>
              <w:t xml:space="preserve"> </w:t>
            </w:r>
          </w:p>
        </w:tc>
      </w:tr>
      <w:tr w:rsidR="00E0086E" w:rsidRPr="00B76110" w:rsidTr="0093079F">
        <w:trPr>
          <w:trHeight w:val="572"/>
          <w:jc w:val="center"/>
        </w:trPr>
        <w:tc>
          <w:tcPr>
            <w:tcW w:w="1911" w:type="dxa"/>
            <w:tcBorders>
              <w:top w:val="single" w:sz="4" w:space="0" w:color="auto"/>
              <w:left w:val="single" w:sz="4" w:space="0" w:color="auto"/>
              <w:bottom w:val="single" w:sz="4" w:space="0" w:color="auto"/>
              <w:right w:val="single" w:sz="4" w:space="0" w:color="auto"/>
            </w:tcBorders>
          </w:tcPr>
          <w:p w:rsidR="00E0086E" w:rsidRPr="00412DF8" w:rsidRDefault="00E0086E" w:rsidP="0093079F">
            <w:pPr>
              <w:spacing w:after="0"/>
              <w:jc w:val="left"/>
              <w:rPr>
                <w:sz w:val="20"/>
              </w:rPr>
            </w:pPr>
            <w:r w:rsidRPr="00412DF8">
              <w:rPr>
                <w:rFonts w:eastAsia="Times New Roman"/>
                <w:sz w:val="20"/>
              </w:rPr>
              <w:t>PA 3</w:t>
            </w:r>
          </w:p>
        </w:tc>
        <w:tc>
          <w:tcPr>
            <w:tcW w:w="1801" w:type="dxa"/>
            <w:tcBorders>
              <w:top w:val="single" w:sz="4" w:space="0" w:color="auto"/>
              <w:left w:val="single" w:sz="4" w:space="0" w:color="auto"/>
              <w:right w:val="single" w:sz="4" w:space="0" w:color="auto"/>
            </w:tcBorders>
          </w:tcPr>
          <w:p w:rsidR="00E0086E" w:rsidRPr="00EE3188" w:rsidRDefault="00E0086E" w:rsidP="00124575">
            <w:pPr>
              <w:rPr>
                <w:sz w:val="20"/>
              </w:rPr>
            </w:pPr>
            <w:r w:rsidRPr="00EE3188">
              <w:rPr>
                <w:sz w:val="20"/>
              </w:rPr>
              <w:t>17.146.594,80</w:t>
            </w:r>
          </w:p>
        </w:tc>
        <w:tc>
          <w:tcPr>
            <w:tcW w:w="2410" w:type="dxa"/>
            <w:tcBorders>
              <w:left w:val="single" w:sz="4" w:space="0" w:color="auto"/>
              <w:right w:val="single" w:sz="4" w:space="0" w:color="auto"/>
            </w:tcBorders>
          </w:tcPr>
          <w:p w:rsidR="00E0086E" w:rsidRPr="00412DF8" w:rsidRDefault="00E0086E" w:rsidP="0093079F">
            <w:pPr>
              <w:spacing w:after="0"/>
              <w:jc w:val="left"/>
              <w:rPr>
                <w:rFonts w:eastAsia="Times New Roman"/>
                <w:sz w:val="20"/>
              </w:rPr>
            </w:pPr>
            <w:r>
              <w:rPr>
                <w:rFonts w:eastAsia="Times New Roman"/>
                <w:sz w:val="20"/>
              </w:rPr>
              <w:t>85%</w:t>
            </w:r>
          </w:p>
        </w:tc>
        <w:tc>
          <w:tcPr>
            <w:tcW w:w="1417" w:type="dxa"/>
            <w:tcBorders>
              <w:left w:val="single" w:sz="4" w:space="0" w:color="auto"/>
              <w:right w:val="single" w:sz="4" w:space="0" w:color="auto"/>
            </w:tcBorders>
          </w:tcPr>
          <w:p w:rsidR="00E0086E" w:rsidRPr="00412DF8" w:rsidRDefault="00E0086E" w:rsidP="0093079F">
            <w:pPr>
              <w:spacing w:after="0"/>
              <w:jc w:val="left"/>
              <w:rPr>
                <w:rFonts w:eastAsia="Times New Roman"/>
                <w:sz w:val="20"/>
              </w:rPr>
            </w:pPr>
            <w:r w:rsidRPr="00412DF8">
              <w:rPr>
                <w:rFonts w:eastAsia="Times New Roman"/>
                <w:sz w:val="20"/>
              </w:rPr>
              <w:t>TP 4</w:t>
            </w:r>
          </w:p>
        </w:tc>
        <w:tc>
          <w:tcPr>
            <w:tcW w:w="6458" w:type="dxa"/>
            <w:tcBorders>
              <w:left w:val="single" w:sz="4" w:space="0" w:color="auto"/>
              <w:right w:val="single" w:sz="4" w:space="0" w:color="auto"/>
            </w:tcBorders>
          </w:tcPr>
          <w:p w:rsidR="00E0086E" w:rsidRDefault="00E0086E" w:rsidP="001777D4">
            <w:pPr>
              <w:pStyle w:val="ListParagraph"/>
              <w:numPr>
                <w:ilvl w:val="0"/>
                <w:numId w:val="42"/>
              </w:numPr>
              <w:spacing w:after="0"/>
              <w:jc w:val="left"/>
              <w:rPr>
                <w:sz w:val="20"/>
              </w:rPr>
            </w:pPr>
            <w:r w:rsidRPr="00A932EE">
              <w:rPr>
                <w:sz w:val="20"/>
              </w:rPr>
              <w:t xml:space="preserve">Increase in number of tourist overnights in </w:t>
            </w:r>
            <w:r>
              <w:rPr>
                <w:sz w:val="20"/>
              </w:rPr>
              <w:t xml:space="preserve">the </w:t>
            </w:r>
            <w:r w:rsidRPr="00A932EE">
              <w:rPr>
                <w:sz w:val="20"/>
              </w:rPr>
              <w:t xml:space="preserve">programme area </w:t>
            </w:r>
          </w:p>
          <w:p w:rsidR="00E0086E" w:rsidRPr="00BC630C" w:rsidRDefault="00E0086E" w:rsidP="001777D4">
            <w:pPr>
              <w:pStyle w:val="ListParagraph"/>
              <w:numPr>
                <w:ilvl w:val="0"/>
                <w:numId w:val="42"/>
              </w:numPr>
              <w:spacing w:after="0"/>
              <w:jc w:val="left"/>
              <w:rPr>
                <w:sz w:val="20"/>
              </w:rPr>
            </w:pPr>
            <w:r w:rsidRPr="00ED3434">
              <w:rPr>
                <w:sz w:val="20"/>
              </w:rPr>
              <w:t xml:space="preserve">Increase in number of visitors to supported sites of cultural and natural heritage </w:t>
            </w:r>
            <w:r w:rsidRPr="007E7FA3">
              <w:rPr>
                <w:sz w:val="20"/>
              </w:rPr>
              <w:t>in the programme area</w:t>
            </w:r>
            <w:r w:rsidRPr="007E7FA3" w:rsidDel="008363F1">
              <w:rPr>
                <w:sz w:val="20"/>
              </w:rPr>
              <w:t xml:space="preserve"> </w:t>
            </w:r>
          </w:p>
        </w:tc>
      </w:tr>
      <w:tr w:rsidR="00E0086E" w:rsidRPr="00B76110" w:rsidTr="00A932EE">
        <w:trPr>
          <w:trHeight w:val="470"/>
          <w:jc w:val="center"/>
        </w:trPr>
        <w:tc>
          <w:tcPr>
            <w:tcW w:w="1911" w:type="dxa"/>
            <w:tcBorders>
              <w:top w:val="single" w:sz="4" w:space="0" w:color="auto"/>
              <w:left w:val="single" w:sz="4" w:space="0" w:color="auto"/>
              <w:bottom w:val="single" w:sz="4" w:space="0" w:color="auto"/>
              <w:right w:val="single" w:sz="4" w:space="0" w:color="auto"/>
            </w:tcBorders>
          </w:tcPr>
          <w:p w:rsidR="00E0086E" w:rsidRPr="00412DF8" w:rsidRDefault="00E0086E" w:rsidP="000E08D9">
            <w:pPr>
              <w:jc w:val="left"/>
              <w:rPr>
                <w:sz w:val="20"/>
              </w:rPr>
            </w:pPr>
            <w:r w:rsidRPr="00412DF8">
              <w:rPr>
                <w:rFonts w:eastAsia="Times New Roman"/>
                <w:sz w:val="20"/>
              </w:rPr>
              <w:t>PA 4</w:t>
            </w:r>
          </w:p>
        </w:tc>
        <w:tc>
          <w:tcPr>
            <w:tcW w:w="1801" w:type="dxa"/>
            <w:tcBorders>
              <w:top w:val="single" w:sz="4" w:space="0" w:color="auto"/>
              <w:left w:val="single" w:sz="4" w:space="0" w:color="auto"/>
              <w:bottom w:val="single" w:sz="4" w:space="0" w:color="auto"/>
              <w:right w:val="single" w:sz="4" w:space="0" w:color="auto"/>
            </w:tcBorders>
          </w:tcPr>
          <w:p w:rsidR="00E0086E" w:rsidRPr="00EE3188" w:rsidRDefault="00E0086E" w:rsidP="00124575">
            <w:pPr>
              <w:rPr>
                <w:sz w:val="20"/>
              </w:rPr>
            </w:pPr>
            <w:r w:rsidRPr="00EE3188">
              <w:rPr>
                <w:sz w:val="20"/>
              </w:rPr>
              <w:t>11.431.063,20</w:t>
            </w:r>
          </w:p>
        </w:tc>
        <w:tc>
          <w:tcPr>
            <w:tcW w:w="2410" w:type="dxa"/>
            <w:tcBorders>
              <w:top w:val="single" w:sz="4" w:space="0" w:color="auto"/>
              <w:left w:val="single" w:sz="4" w:space="0" w:color="auto"/>
              <w:bottom w:val="single" w:sz="4" w:space="0" w:color="auto"/>
              <w:right w:val="single" w:sz="4" w:space="0" w:color="auto"/>
            </w:tcBorders>
          </w:tcPr>
          <w:p w:rsidR="00E0086E" w:rsidRPr="00412DF8" w:rsidRDefault="00E0086E" w:rsidP="000E08D9">
            <w:pPr>
              <w:jc w:val="left"/>
              <w:rPr>
                <w:rFonts w:eastAsia="Times New Roman"/>
                <w:sz w:val="20"/>
              </w:rPr>
            </w:pPr>
            <w:r>
              <w:rPr>
                <w:rFonts w:eastAsia="Times New Roman"/>
                <w:sz w:val="20"/>
              </w:rPr>
              <w:t>85%</w:t>
            </w:r>
          </w:p>
        </w:tc>
        <w:tc>
          <w:tcPr>
            <w:tcW w:w="1417" w:type="dxa"/>
            <w:tcBorders>
              <w:top w:val="single" w:sz="4" w:space="0" w:color="auto"/>
              <w:left w:val="single" w:sz="4" w:space="0" w:color="auto"/>
              <w:bottom w:val="single" w:sz="4" w:space="0" w:color="auto"/>
              <w:right w:val="single" w:sz="4" w:space="0" w:color="auto"/>
            </w:tcBorders>
          </w:tcPr>
          <w:p w:rsidR="00E0086E" w:rsidRPr="00412DF8" w:rsidRDefault="00E0086E" w:rsidP="000E08D9">
            <w:pPr>
              <w:jc w:val="left"/>
              <w:rPr>
                <w:rFonts w:eastAsia="Times New Roman"/>
                <w:sz w:val="20"/>
              </w:rPr>
            </w:pPr>
            <w:r w:rsidRPr="00412DF8">
              <w:rPr>
                <w:rFonts w:eastAsia="Times New Roman"/>
                <w:sz w:val="20"/>
              </w:rPr>
              <w:t>TP 7</w:t>
            </w:r>
          </w:p>
        </w:tc>
        <w:tc>
          <w:tcPr>
            <w:tcW w:w="6458" w:type="dxa"/>
            <w:tcBorders>
              <w:top w:val="single" w:sz="4" w:space="0" w:color="auto"/>
              <w:left w:val="single" w:sz="4" w:space="0" w:color="auto"/>
              <w:bottom w:val="single" w:sz="4" w:space="0" w:color="auto"/>
              <w:right w:val="single" w:sz="4" w:space="0" w:color="auto"/>
            </w:tcBorders>
          </w:tcPr>
          <w:p w:rsidR="00E0086E" w:rsidRPr="00B96F1B" w:rsidRDefault="00E0086E" w:rsidP="001D742E">
            <w:pPr>
              <w:pStyle w:val="ListParagraph"/>
              <w:numPr>
                <w:ilvl w:val="0"/>
                <w:numId w:val="43"/>
              </w:numPr>
              <w:spacing w:before="120" w:after="120"/>
              <w:jc w:val="left"/>
              <w:rPr>
                <w:sz w:val="20"/>
              </w:rPr>
            </w:pPr>
            <w:r w:rsidRPr="008363F1">
              <w:rPr>
                <w:sz w:val="20"/>
              </w:rPr>
              <w:t>Increase in number of new products and/or services jointly developed or implemented</w:t>
            </w:r>
          </w:p>
        </w:tc>
      </w:tr>
      <w:tr w:rsidR="00E0086E" w:rsidRPr="00B76110" w:rsidTr="0093079F">
        <w:trPr>
          <w:trHeight w:val="572"/>
          <w:jc w:val="center"/>
        </w:trPr>
        <w:tc>
          <w:tcPr>
            <w:tcW w:w="1911" w:type="dxa"/>
            <w:tcBorders>
              <w:top w:val="single" w:sz="4" w:space="0" w:color="auto"/>
              <w:left w:val="single" w:sz="4" w:space="0" w:color="auto"/>
              <w:bottom w:val="single" w:sz="4" w:space="0" w:color="auto"/>
              <w:right w:val="single" w:sz="4" w:space="0" w:color="auto"/>
            </w:tcBorders>
          </w:tcPr>
          <w:p w:rsidR="00E0086E" w:rsidRPr="00412DF8" w:rsidRDefault="00E0086E" w:rsidP="0093079F">
            <w:pPr>
              <w:spacing w:after="0"/>
              <w:jc w:val="left"/>
              <w:rPr>
                <w:rFonts w:eastAsia="Times New Roman"/>
                <w:sz w:val="20"/>
              </w:rPr>
            </w:pPr>
            <w:r w:rsidRPr="00412DF8">
              <w:rPr>
                <w:rFonts w:eastAsia="Times New Roman"/>
                <w:sz w:val="20"/>
              </w:rPr>
              <w:t>PA 5</w:t>
            </w:r>
          </w:p>
        </w:tc>
        <w:tc>
          <w:tcPr>
            <w:tcW w:w="1801" w:type="dxa"/>
            <w:tcBorders>
              <w:top w:val="single" w:sz="4" w:space="0" w:color="auto"/>
              <w:left w:val="single" w:sz="4" w:space="0" w:color="auto"/>
              <w:bottom w:val="single" w:sz="4" w:space="0" w:color="auto"/>
              <w:right w:val="single" w:sz="4" w:space="0" w:color="auto"/>
            </w:tcBorders>
          </w:tcPr>
          <w:p w:rsidR="00E0086E" w:rsidRPr="00EE3188" w:rsidRDefault="00E0086E" w:rsidP="00124575">
            <w:pPr>
              <w:rPr>
                <w:sz w:val="20"/>
              </w:rPr>
            </w:pPr>
            <w:r w:rsidRPr="00EE3188">
              <w:rPr>
                <w:sz w:val="20"/>
              </w:rPr>
              <w:t>5.715.531,60</w:t>
            </w:r>
          </w:p>
        </w:tc>
        <w:tc>
          <w:tcPr>
            <w:tcW w:w="2410" w:type="dxa"/>
            <w:tcBorders>
              <w:top w:val="single" w:sz="4" w:space="0" w:color="auto"/>
              <w:left w:val="single" w:sz="4" w:space="0" w:color="auto"/>
              <w:bottom w:val="single" w:sz="4" w:space="0" w:color="auto"/>
              <w:right w:val="single" w:sz="4" w:space="0" w:color="auto"/>
            </w:tcBorders>
          </w:tcPr>
          <w:p w:rsidR="00E0086E" w:rsidRPr="00412DF8" w:rsidRDefault="00E0086E" w:rsidP="0093079F">
            <w:pPr>
              <w:spacing w:after="0"/>
              <w:jc w:val="left"/>
              <w:rPr>
                <w:rFonts w:eastAsia="Times New Roman"/>
                <w:sz w:val="20"/>
              </w:rPr>
            </w:pPr>
            <w:r>
              <w:rPr>
                <w:rFonts w:eastAsia="Times New Roman"/>
                <w:sz w:val="20"/>
              </w:rPr>
              <w:t>85%</w:t>
            </w:r>
          </w:p>
        </w:tc>
        <w:tc>
          <w:tcPr>
            <w:tcW w:w="1417" w:type="dxa"/>
            <w:tcBorders>
              <w:top w:val="single" w:sz="4" w:space="0" w:color="auto"/>
              <w:left w:val="single" w:sz="4" w:space="0" w:color="auto"/>
              <w:bottom w:val="single" w:sz="4" w:space="0" w:color="auto"/>
              <w:right w:val="single" w:sz="4" w:space="0" w:color="auto"/>
            </w:tcBorders>
          </w:tcPr>
          <w:p w:rsidR="00E0086E" w:rsidRPr="00412DF8" w:rsidRDefault="00E0086E" w:rsidP="0093079F">
            <w:pPr>
              <w:spacing w:after="0"/>
              <w:jc w:val="left"/>
              <w:rPr>
                <w:rFonts w:eastAsia="Times New Roman"/>
                <w:sz w:val="20"/>
              </w:rPr>
            </w:pPr>
            <w:r w:rsidRPr="00412DF8">
              <w:rPr>
                <w:rFonts w:eastAsia="Times New Roman"/>
                <w:sz w:val="20"/>
              </w:rPr>
              <w:t>TA</w:t>
            </w:r>
          </w:p>
        </w:tc>
        <w:tc>
          <w:tcPr>
            <w:tcW w:w="6458" w:type="dxa"/>
            <w:tcBorders>
              <w:top w:val="single" w:sz="4" w:space="0" w:color="auto"/>
              <w:left w:val="single" w:sz="4" w:space="0" w:color="auto"/>
              <w:bottom w:val="single" w:sz="4" w:space="0" w:color="auto"/>
              <w:right w:val="single" w:sz="4" w:space="0" w:color="auto"/>
            </w:tcBorders>
          </w:tcPr>
          <w:p w:rsidR="00E0086E" w:rsidRPr="00412DF8" w:rsidRDefault="00E0086E" w:rsidP="0093079F">
            <w:pPr>
              <w:spacing w:after="0"/>
              <w:jc w:val="left"/>
              <w:rPr>
                <w:rFonts w:eastAsia="Times New Roman"/>
                <w:sz w:val="20"/>
              </w:rPr>
            </w:pPr>
          </w:p>
        </w:tc>
      </w:tr>
      <w:tr w:rsidR="00E0086E" w:rsidRPr="00B76110" w:rsidTr="0093079F">
        <w:trPr>
          <w:trHeight w:val="572"/>
          <w:jc w:val="center"/>
        </w:trPr>
        <w:tc>
          <w:tcPr>
            <w:tcW w:w="1911" w:type="dxa"/>
            <w:tcBorders>
              <w:top w:val="single" w:sz="4" w:space="0" w:color="auto"/>
              <w:left w:val="single" w:sz="4" w:space="0" w:color="auto"/>
              <w:bottom w:val="single" w:sz="4" w:space="0" w:color="auto"/>
              <w:right w:val="single" w:sz="4" w:space="0" w:color="auto"/>
            </w:tcBorders>
          </w:tcPr>
          <w:p w:rsidR="00E0086E" w:rsidRPr="00412DF8" w:rsidRDefault="00E0086E" w:rsidP="0093079F">
            <w:pPr>
              <w:spacing w:after="0"/>
              <w:jc w:val="left"/>
              <w:rPr>
                <w:rFonts w:eastAsia="Times New Roman"/>
                <w:sz w:val="20"/>
              </w:rPr>
            </w:pPr>
            <w:r w:rsidRPr="00412DF8">
              <w:rPr>
                <w:rFonts w:eastAsia="Times New Roman"/>
                <w:sz w:val="20"/>
              </w:rPr>
              <w:t>TOTAL</w:t>
            </w:r>
          </w:p>
        </w:tc>
        <w:tc>
          <w:tcPr>
            <w:tcW w:w="1801" w:type="dxa"/>
            <w:tcBorders>
              <w:top w:val="single" w:sz="4" w:space="0" w:color="auto"/>
              <w:left w:val="single" w:sz="4" w:space="0" w:color="auto"/>
              <w:bottom w:val="single" w:sz="4" w:space="0" w:color="auto"/>
              <w:right w:val="single" w:sz="4" w:space="0" w:color="auto"/>
            </w:tcBorders>
          </w:tcPr>
          <w:p w:rsidR="00E0086E" w:rsidRPr="00EE3188" w:rsidRDefault="00E0086E" w:rsidP="00124575">
            <w:pPr>
              <w:rPr>
                <w:sz w:val="20"/>
              </w:rPr>
            </w:pPr>
            <w:r w:rsidRPr="00EE3188">
              <w:rPr>
                <w:sz w:val="20"/>
              </w:rPr>
              <w:t>57.155.316,00</w:t>
            </w:r>
          </w:p>
        </w:tc>
        <w:tc>
          <w:tcPr>
            <w:tcW w:w="2410" w:type="dxa"/>
            <w:tcBorders>
              <w:top w:val="single" w:sz="4" w:space="0" w:color="auto"/>
              <w:left w:val="single" w:sz="4" w:space="0" w:color="auto"/>
              <w:bottom w:val="single" w:sz="4" w:space="0" w:color="auto"/>
              <w:right w:val="single" w:sz="4" w:space="0" w:color="auto"/>
            </w:tcBorders>
          </w:tcPr>
          <w:p w:rsidR="00E0086E" w:rsidRPr="00412DF8" w:rsidRDefault="007D5BCC" w:rsidP="0093079F">
            <w:pPr>
              <w:spacing w:after="0"/>
              <w:jc w:val="left"/>
              <w:rPr>
                <w:rFonts w:eastAsia="Times New Roman"/>
                <w:sz w:val="20"/>
              </w:rPr>
            </w:pPr>
            <w:r>
              <w:rPr>
                <w:rFonts w:eastAsia="Times New Roman"/>
                <w:sz w:val="20"/>
              </w:rPr>
              <w:t>85%</w:t>
            </w:r>
          </w:p>
        </w:tc>
        <w:tc>
          <w:tcPr>
            <w:tcW w:w="1417" w:type="dxa"/>
            <w:tcBorders>
              <w:top w:val="single" w:sz="4" w:space="0" w:color="auto"/>
              <w:left w:val="single" w:sz="4" w:space="0" w:color="auto"/>
              <w:bottom w:val="single" w:sz="4" w:space="0" w:color="auto"/>
              <w:right w:val="single" w:sz="4" w:space="0" w:color="auto"/>
            </w:tcBorders>
          </w:tcPr>
          <w:p w:rsidR="00E0086E" w:rsidRPr="00412DF8" w:rsidRDefault="00E0086E" w:rsidP="0093079F">
            <w:pPr>
              <w:spacing w:after="0"/>
              <w:jc w:val="left"/>
              <w:rPr>
                <w:rFonts w:eastAsia="Times New Roman"/>
                <w:sz w:val="20"/>
              </w:rPr>
            </w:pPr>
          </w:p>
        </w:tc>
        <w:tc>
          <w:tcPr>
            <w:tcW w:w="6458" w:type="dxa"/>
            <w:tcBorders>
              <w:top w:val="single" w:sz="4" w:space="0" w:color="auto"/>
              <w:left w:val="single" w:sz="4" w:space="0" w:color="auto"/>
              <w:bottom w:val="single" w:sz="4" w:space="0" w:color="auto"/>
              <w:right w:val="single" w:sz="4" w:space="0" w:color="auto"/>
            </w:tcBorders>
          </w:tcPr>
          <w:p w:rsidR="00E0086E" w:rsidRPr="00412DF8" w:rsidRDefault="00E0086E" w:rsidP="0093079F">
            <w:pPr>
              <w:spacing w:after="0"/>
              <w:jc w:val="left"/>
              <w:rPr>
                <w:rFonts w:eastAsia="Times New Roman"/>
                <w:sz w:val="20"/>
              </w:rPr>
            </w:pPr>
          </w:p>
        </w:tc>
      </w:tr>
    </w:tbl>
    <w:p w:rsidR="00FB701A" w:rsidRPr="00B76110" w:rsidRDefault="00FB701A" w:rsidP="00D17A3D">
      <w:pPr>
        <w:spacing w:after="240"/>
        <w:rPr>
          <w:rFonts w:eastAsia="Times New Roman"/>
        </w:rPr>
        <w:sectPr w:rsidR="00FB701A" w:rsidRPr="00B76110" w:rsidSect="006A4BDD">
          <w:headerReference w:type="default" r:id="rId11"/>
          <w:footerReference w:type="default" r:id="rId12"/>
          <w:headerReference w:type="first" r:id="rId13"/>
          <w:footerReference w:type="first" r:id="rId14"/>
          <w:pgSz w:w="16838" w:h="11906" w:orient="landscape"/>
          <w:pgMar w:top="1588" w:right="1021" w:bottom="1701" w:left="1021" w:header="601" w:footer="1077" w:gutter="0"/>
          <w:cols w:space="720"/>
          <w:docGrid w:linePitch="326"/>
        </w:sectPr>
      </w:pPr>
    </w:p>
    <w:p w:rsidR="006B68CB" w:rsidRDefault="00FB701A" w:rsidP="00BF5BDA">
      <w:pPr>
        <w:keepNext/>
        <w:spacing w:before="360" w:after="240"/>
        <w:ind w:left="1560" w:hanging="1560"/>
        <w:outlineLvl w:val="0"/>
        <w:rPr>
          <w:rFonts w:eastAsia="Times New Roman"/>
          <w:b/>
          <w:bCs/>
          <w:smallCaps/>
          <w:szCs w:val="24"/>
        </w:rPr>
      </w:pPr>
      <w:r w:rsidRPr="00B76110">
        <w:rPr>
          <w:rFonts w:eastAsia="Times New Roman"/>
          <w:b/>
          <w:bCs/>
          <w:smallCaps/>
          <w:szCs w:val="24"/>
        </w:rPr>
        <w:lastRenderedPageBreak/>
        <w:t>SECTION 2.</w:t>
      </w:r>
      <w:r w:rsidRPr="00B76110">
        <w:rPr>
          <w:rFonts w:eastAsia="Times New Roman"/>
          <w:b/>
          <w:bCs/>
          <w:smallCaps/>
          <w:szCs w:val="24"/>
        </w:rPr>
        <w:tab/>
        <w:t xml:space="preserve">priority axes </w:t>
      </w:r>
    </w:p>
    <w:p w:rsidR="00FB701A" w:rsidRPr="00B76110" w:rsidRDefault="00FB701A" w:rsidP="00BF5BDA">
      <w:pPr>
        <w:keepNext/>
        <w:spacing w:before="360" w:after="240"/>
        <w:ind w:left="1560" w:hanging="1560"/>
        <w:outlineLvl w:val="0"/>
        <w:rPr>
          <w:rFonts w:eastAsia="Times New Roman"/>
          <w:b/>
          <w:bCs/>
          <w:smallCaps/>
          <w:szCs w:val="24"/>
        </w:rPr>
      </w:pPr>
      <w:r w:rsidRPr="00B76110">
        <w:rPr>
          <w:rFonts w:eastAsia="Times New Roman"/>
          <w:b/>
          <w:bCs/>
          <w:smallCaps/>
          <w:szCs w:val="24"/>
        </w:rPr>
        <w:t>(</w:t>
      </w:r>
      <w:r w:rsidR="006B68CB" w:rsidRPr="00567F19">
        <w:t xml:space="preserve">Reference: </w:t>
      </w:r>
      <w:r w:rsidR="003B2279">
        <w:t xml:space="preserve">points (b) and (c) of </w:t>
      </w:r>
      <w:r w:rsidRPr="00567F19">
        <w:t xml:space="preserve">Article </w:t>
      </w:r>
      <w:r w:rsidR="003662DE" w:rsidRPr="00567F19">
        <w:t>8</w:t>
      </w:r>
      <w:r w:rsidRPr="00567F19">
        <w:t xml:space="preserve">(2) </w:t>
      </w:r>
      <w:r w:rsidR="00965678" w:rsidRPr="00567F19">
        <w:t>of Regulation (EU) No 1299/2013</w:t>
      </w:r>
      <w:r w:rsidRPr="00567F19">
        <w:t>)</w:t>
      </w:r>
    </w:p>
    <w:p w:rsidR="00663619" w:rsidRDefault="00FB701A" w:rsidP="00663619">
      <w:pPr>
        <w:rPr>
          <w:rFonts w:eastAsia="Times New Roman"/>
          <w:b/>
        </w:rPr>
      </w:pPr>
      <w:r w:rsidRPr="00B76110">
        <w:rPr>
          <w:rFonts w:eastAsia="Times New Roman"/>
          <w:b/>
        </w:rPr>
        <w:t>Section 2.</w:t>
      </w:r>
      <w:r w:rsidR="00CA604B">
        <w:rPr>
          <w:rFonts w:eastAsia="Times New Roman"/>
          <w:b/>
        </w:rPr>
        <w:t>1</w:t>
      </w:r>
      <w:r w:rsidRPr="00B76110">
        <w:rPr>
          <w:rFonts w:eastAsia="Times New Roman"/>
          <w:b/>
        </w:rPr>
        <w:t xml:space="preserve">. </w:t>
      </w:r>
      <w:r w:rsidRPr="00B76110">
        <w:rPr>
          <w:rFonts w:eastAsia="Times New Roman"/>
          <w:b/>
        </w:rPr>
        <w:tab/>
      </w:r>
      <w:r w:rsidR="001D3041">
        <w:rPr>
          <w:rFonts w:eastAsia="Times New Roman"/>
          <w:b/>
        </w:rPr>
        <w:t>D</w:t>
      </w:r>
      <w:r w:rsidRPr="00B76110">
        <w:rPr>
          <w:rFonts w:eastAsia="Times New Roman"/>
          <w:b/>
        </w:rPr>
        <w:t xml:space="preserve">escription of the priority axes </w:t>
      </w:r>
      <w:r w:rsidR="00CA604B">
        <w:rPr>
          <w:rFonts w:eastAsia="Times New Roman"/>
          <w:b/>
        </w:rPr>
        <w:t>(</w:t>
      </w:r>
      <w:r w:rsidRPr="00B76110">
        <w:rPr>
          <w:rFonts w:eastAsia="Times New Roman"/>
          <w:b/>
        </w:rPr>
        <w:t>other than technical assistance</w:t>
      </w:r>
      <w:r w:rsidR="00CA604B">
        <w:rPr>
          <w:rFonts w:eastAsia="Times New Roman"/>
          <w:b/>
        </w:rPr>
        <w:t>)</w:t>
      </w:r>
      <w:r w:rsidRPr="00B76110">
        <w:rPr>
          <w:rFonts w:eastAsia="Times New Roman"/>
          <w:b/>
        </w:rPr>
        <w:t xml:space="preserve"> </w:t>
      </w:r>
    </w:p>
    <w:p w:rsidR="00FB701A" w:rsidRDefault="00E27638" w:rsidP="00567F19">
      <w:r w:rsidRPr="00517115" w:rsidDel="00E27638">
        <w:rPr>
          <w:b/>
        </w:rPr>
        <w:t xml:space="preserve"> </w:t>
      </w:r>
      <w:r w:rsidR="0067454E" w:rsidRPr="00567F19">
        <w:t>(</w:t>
      </w:r>
      <w:r w:rsidR="00972AEF" w:rsidRPr="00567F19">
        <w:t xml:space="preserve">Reference: </w:t>
      </w:r>
      <w:r w:rsidR="003B2279">
        <w:t xml:space="preserve">point (b) of </w:t>
      </w:r>
      <w:r w:rsidR="00FB701A" w:rsidRPr="00567F19">
        <w:t xml:space="preserve">Article </w:t>
      </w:r>
      <w:r w:rsidR="003662DE" w:rsidRPr="00567F19">
        <w:t>8</w:t>
      </w:r>
      <w:r w:rsidR="00FB701A" w:rsidRPr="00567F19">
        <w:t xml:space="preserve">(2) </w:t>
      </w:r>
      <w:r w:rsidR="00965678" w:rsidRPr="00567F19">
        <w:t>of Regulation (EU) No 1299/2013</w:t>
      </w:r>
      <w:r w:rsidR="00FB701A" w:rsidRPr="00567F19">
        <w:t>)</w:t>
      </w:r>
    </w:p>
    <w:p w:rsidR="00663619" w:rsidRPr="00663619" w:rsidRDefault="00663619" w:rsidP="00567F19">
      <w:pPr>
        <w:rPr>
          <w:b/>
        </w:rPr>
      </w:pPr>
    </w:p>
    <w:p w:rsidR="00FB701A" w:rsidRDefault="00092883" w:rsidP="00D17A3D">
      <w:pPr>
        <w:spacing w:after="240"/>
        <w:rPr>
          <w:rFonts w:eastAsia="Times New Roman"/>
        </w:rPr>
      </w:pPr>
      <w:r>
        <w:rPr>
          <w:rFonts w:eastAsia="Times New Roman"/>
          <w:b/>
        </w:rPr>
        <w:t>2.</w:t>
      </w:r>
      <w:r w:rsidR="00BA085A">
        <w:rPr>
          <w:rFonts w:eastAsia="Times New Roman"/>
          <w:b/>
        </w:rPr>
        <w:t>1</w:t>
      </w:r>
      <w:r>
        <w:rPr>
          <w:rFonts w:eastAsia="Times New Roman"/>
          <w:b/>
        </w:rPr>
        <w:t xml:space="preserve">.1 </w:t>
      </w:r>
      <w:r w:rsidR="00AB05A1">
        <w:rPr>
          <w:rFonts w:eastAsia="Times New Roman"/>
          <w:b/>
        </w:rPr>
        <w:t>Priority axis</w:t>
      </w:r>
      <w:r w:rsidR="00FB701A" w:rsidRPr="00B76110">
        <w:rPr>
          <w:rFonts w:eastAsia="Times New Roman"/>
          <w:b/>
        </w:rPr>
        <w:t xml:space="preserve"> </w:t>
      </w:r>
      <w:r w:rsidR="00252DD5">
        <w:rPr>
          <w:rFonts w:eastAsia="Times New Roman"/>
          <w:b/>
        </w:rPr>
        <w:t xml:space="preserve">1 </w:t>
      </w:r>
      <w:r w:rsidR="00BA085A">
        <w:rPr>
          <w:rFonts w:eastAsia="Times New Roman"/>
          <w:b/>
        </w:rPr>
        <w:t xml:space="preserve"> </w:t>
      </w:r>
    </w:p>
    <w:tbl>
      <w:tblPr>
        <w:tblpPr w:leftFromText="180" w:rightFromText="180" w:vertAnchor="text" w:horzAnchor="margin" w:tblpY="22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670"/>
      </w:tblGrid>
      <w:tr w:rsidR="00AD55AC" w:rsidRPr="00CD6BE3" w:rsidTr="00E27638">
        <w:trPr>
          <w:trHeight w:val="491"/>
        </w:trPr>
        <w:tc>
          <w:tcPr>
            <w:tcW w:w="3510" w:type="dxa"/>
            <w:shd w:val="clear" w:color="auto" w:fill="auto"/>
          </w:tcPr>
          <w:p w:rsidR="00AD55AC" w:rsidRPr="00B76110" w:rsidRDefault="00AD55AC" w:rsidP="00AD55AC">
            <w:pPr>
              <w:spacing w:after="240"/>
              <w:rPr>
                <w:rFonts w:eastAsia="Times New Roman"/>
                <w:i/>
              </w:rPr>
            </w:pPr>
            <w:r w:rsidRPr="00B76110">
              <w:rPr>
                <w:rFonts w:eastAsia="Times New Roman"/>
                <w:i/>
              </w:rPr>
              <w:t>ID</w:t>
            </w:r>
            <w:r>
              <w:rPr>
                <w:rFonts w:eastAsia="Times New Roman"/>
                <w:i/>
              </w:rPr>
              <w:t xml:space="preserve"> of the priority axis</w:t>
            </w:r>
          </w:p>
        </w:tc>
        <w:tc>
          <w:tcPr>
            <w:tcW w:w="5670" w:type="dxa"/>
            <w:shd w:val="clear" w:color="auto" w:fill="auto"/>
          </w:tcPr>
          <w:p w:rsidR="00B66D0E" w:rsidRPr="00B66D0E" w:rsidRDefault="00B66D0E" w:rsidP="00AD55AC">
            <w:pPr>
              <w:spacing w:after="240"/>
              <w:rPr>
                <w:rFonts w:eastAsia="Times New Roman"/>
                <w:color w:val="8DB3E2"/>
                <w:szCs w:val="24"/>
                <w:lang w:val="nb-NO"/>
              </w:rPr>
            </w:pPr>
            <w:r>
              <w:rPr>
                <w:rFonts w:eastAsia="Times New Roman"/>
                <w:szCs w:val="24"/>
                <w:lang w:val="nb-NO"/>
              </w:rPr>
              <w:t>PA 1</w:t>
            </w:r>
          </w:p>
        </w:tc>
      </w:tr>
      <w:tr w:rsidR="00AD55AC" w:rsidRPr="00B76110" w:rsidTr="00E27638">
        <w:trPr>
          <w:trHeight w:val="422"/>
        </w:trPr>
        <w:tc>
          <w:tcPr>
            <w:tcW w:w="3510" w:type="dxa"/>
            <w:shd w:val="clear" w:color="auto" w:fill="auto"/>
          </w:tcPr>
          <w:p w:rsidR="00AD55AC" w:rsidRPr="00B76110" w:rsidRDefault="00AD55AC" w:rsidP="00AD55AC">
            <w:pPr>
              <w:spacing w:after="240"/>
              <w:rPr>
                <w:rFonts w:eastAsia="Times New Roman"/>
                <w:i/>
              </w:rPr>
            </w:pPr>
            <w:r w:rsidRPr="00B76110">
              <w:rPr>
                <w:rFonts w:eastAsia="Times New Roman"/>
                <w:i/>
              </w:rPr>
              <w:t>Title</w:t>
            </w:r>
            <w:r>
              <w:rPr>
                <w:rFonts w:eastAsia="Times New Roman"/>
                <w:i/>
              </w:rPr>
              <w:t xml:space="preserve"> of the priority axis </w:t>
            </w:r>
          </w:p>
        </w:tc>
        <w:tc>
          <w:tcPr>
            <w:tcW w:w="5670" w:type="dxa"/>
            <w:shd w:val="clear" w:color="auto" w:fill="auto"/>
          </w:tcPr>
          <w:p w:rsidR="00AD55AC" w:rsidRPr="00AA2937" w:rsidRDefault="00FD5C05" w:rsidP="008D693C">
            <w:pPr>
              <w:spacing w:after="0"/>
              <w:rPr>
                <w:rFonts w:eastAsia="Times New Roman"/>
                <w:b/>
                <w:szCs w:val="24"/>
              </w:rPr>
            </w:pPr>
            <w:r w:rsidRPr="00AA2937">
              <w:rPr>
                <w:b/>
                <w:szCs w:val="24"/>
              </w:rPr>
              <w:t>Improving the quality of the services in public health and social care sector</w:t>
            </w:r>
            <w:r w:rsidRPr="00AA2937" w:rsidDel="00FD5C05">
              <w:rPr>
                <w:b/>
                <w:szCs w:val="24"/>
              </w:rPr>
              <w:t xml:space="preserve"> </w:t>
            </w:r>
          </w:p>
        </w:tc>
      </w:tr>
    </w:tbl>
    <w:p w:rsidR="008D693C" w:rsidRDefault="008D693C" w:rsidP="00567F19">
      <w:pPr>
        <w:keepNext/>
        <w:spacing w:before="360" w:after="240"/>
        <w:outlineLvl w:val="0"/>
        <w:rPr>
          <w:b/>
        </w:rPr>
      </w:pPr>
    </w:p>
    <w:tbl>
      <w:tblPr>
        <w:tblpPr w:leftFromText="180" w:rightFromText="180" w:vertAnchor="text" w:horzAnchor="margin" w:tblpY="1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194"/>
      </w:tblGrid>
      <w:tr w:rsidR="008D693C" w:rsidRPr="00B76110" w:rsidTr="00E27638">
        <w:tc>
          <w:tcPr>
            <w:tcW w:w="4986" w:type="dxa"/>
            <w:shd w:val="clear" w:color="auto" w:fill="auto"/>
          </w:tcPr>
          <w:p w:rsidR="008D693C" w:rsidRPr="002E0699" w:rsidRDefault="008D693C" w:rsidP="00A90053">
            <w:pPr>
              <w:spacing w:after="240"/>
              <w:ind w:left="480" w:hanging="480"/>
              <w:rPr>
                <w:rFonts w:eastAsia="Times New Roman"/>
              </w:rPr>
            </w:pPr>
            <w:r w:rsidRPr="00C25270">
              <w:rPr>
                <w:rFonts w:eastAsia="Times New Roman"/>
              </w:rPr>
              <w:fldChar w:fldCharType="begin">
                <w:ffData>
                  <w:name w:val="Check1"/>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The entire priority axis will be implemented solely through financial instruments</w:t>
            </w:r>
          </w:p>
        </w:tc>
        <w:tc>
          <w:tcPr>
            <w:tcW w:w="4194" w:type="dxa"/>
            <w:shd w:val="clear" w:color="auto" w:fill="auto"/>
          </w:tcPr>
          <w:p w:rsidR="008D693C" w:rsidRPr="00B76110" w:rsidRDefault="008D693C" w:rsidP="00A90053">
            <w:pPr>
              <w:tabs>
                <w:tab w:val="left" w:pos="2302"/>
              </w:tabs>
              <w:spacing w:after="240"/>
              <w:rPr>
                <w:rFonts w:eastAsia="Times New Roman"/>
              </w:rPr>
            </w:pPr>
          </w:p>
        </w:tc>
      </w:tr>
      <w:tr w:rsidR="008D693C" w:rsidRPr="00B76110" w:rsidTr="00E27638">
        <w:tc>
          <w:tcPr>
            <w:tcW w:w="4986" w:type="dxa"/>
            <w:shd w:val="clear" w:color="auto" w:fill="auto"/>
          </w:tcPr>
          <w:p w:rsidR="008D693C" w:rsidRPr="002E0699" w:rsidRDefault="008D693C" w:rsidP="00A90053">
            <w:pPr>
              <w:tabs>
                <w:tab w:val="left" w:pos="2302"/>
              </w:tabs>
              <w:spacing w:after="240"/>
              <w:ind w:left="480" w:hanging="480"/>
              <w:rPr>
                <w:rFonts w:eastAsia="Times New Roman"/>
              </w:rPr>
            </w:pPr>
            <w:r w:rsidRPr="00C25270">
              <w:rPr>
                <w:rFonts w:eastAsia="Times New Roman"/>
              </w:rPr>
              <w:fldChar w:fldCharType="begin">
                <w:ffData>
                  <w:name w:val="Check2"/>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The entire priority axis will be implemented solely though financial instruments set up at Union level</w:t>
            </w:r>
          </w:p>
        </w:tc>
        <w:tc>
          <w:tcPr>
            <w:tcW w:w="4194" w:type="dxa"/>
            <w:shd w:val="clear" w:color="auto" w:fill="auto"/>
          </w:tcPr>
          <w:p w:rsidR="008D693C" w:rsidRPr="00B76110" w:rsidRDefault="008D693C" w:rsidP="00A90053">
            <w:pPr>
              <w:tabs>
                <w:tab w:val="left" w:pos="2302"/>
              </w:tabs>
              <w:spacing w:after="240"/>
              <w:rPr>
                <w:rFonts w:eastAsia="Times New Roman"/>
              </w:rPr>
            </w:pPr>
          </w:p>
        </w:tc>
      </w:tr>
      <w:tr w:rsidR="008D693C" w:rsidRPr="00B76110" w:rsidTr="00E27638">
        <w:tc>
          <w:tcPr>
            <w:tcW w:w="4986" w:type="dxa"/>
            <w:shd w:val="clear" w:color="auto" w:fill="auto"/>
          </w:tcPr>
          <w:p w:rsidR="008D693C" w:rsidRPr="002E0699" w:rsidRDefault="008D693C" w:rsidP="00A90053">
            <w:pPr>
              <w:tabs>
                <w:tab w:val="left" w:pos="2302"/>
              </w:tabs>
              <w:spacing w:after="240"/>
              <w:ind w:left="480" w:hanging="480"/>
              <w:rPr>
                <w:rFonts w:eastAsia="Times New Roman"/>
              </w:rPr>
            </w:pPr>
            <w:r w:rsidRPr="00C25270">
              <w:rPr>
                <w:rFonts w:eastAsia="Times New Roman"/>
              </w:rPr>
              <w:fldChar w:fldCharType="begin">
                <w:ffData>
                  <w:name w:val="Check3"/>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 xml:space="preserve">The entire priority axis will be implemented through community-led local development </w:t>
            </w:r>
          </w:p>
        </w:tc>
        <w:tc>
          <w:tcPr>
            <w:tcW w:w="4194" w:type="dxa"/>
            <w:shd w:val="clear" w:color="auto" w:fill="auto"/>
          </w:tcPr>
          <w:p w:rsidR="008D693C" w:rsidRPr="00B76110" w:rsidRDefault="008D693C" w:rsidP="00A90053">
            <w:pPr>
              <w:tabs>
                <w:tab w:val="left" w:pos="2302"/>
              </w:tabs>
              <w:spacing w:after="240"/>
              <w:rPr>
                <w:rFonts w:eastAsia="Times New Roman"/>
              </w:rPr>
            </w:pPr>
          </w:p>
        </w:tc>
      </w:tr>
    </w:tbl>
    <w:p w:rsidR="008D693C" w:rsidRDefault="008D693C" w:rsidP="00567F19">
      <w:pPr>
        <w:keepNext/>
        <w:spacing w:before="360" w:after="240"/>
        <w:outlineLvl w:val="0"/>
        <w:rPr>
          <w:b/>
        </w:rPr>
      </w:pPr>
    </w:p>
    <w:p w:rsidR="00FB701A" w:rsidRPr="00B76110" w:rsidRDefault="00FB701A" w:rsidP="008D693C">
      <w:pPr>
        <w:spacing w:after="240"/>
        <w:rPr>
          <w:rFonts w:eastAsia="Times New Roman"/>
          <w:b/>
        </w:rPr>
      </w:pPr>
    </w:p>
    <w:p w:rsidR="00FB701A" w:rsidRPr="00B76110" w:rsidRDefault="00092883" w:rsidP="00EA3E84">
      <w:pPr>
        <w:rPr>
          <w:b/>
        </w:rPr>
      </w:pPr>
      <w:r>
        <w:rPr>
          <w:b/>
        </w:rPr>
        <w:t>2.</w:t>
      </w:r>
      <w:r w:rsidR="00BA085A">
        <w:rPr>
          <w:b/>
        </w:rPr>
        <w:t>1</w:t>
      </w:r>
      <w:r>
        <w:rPr>
          <w:b/>
        </w:rPr>
        <w:t>.</w:t>
      </w:r>
      <w:r w:rsidR="00BA085A">
        <w:rPr>
          <w:b/>
        </w:rPr>
        <w:t>2</w:t>
      </w:r>
      <w:r>
        <w:rPr>
          <w:b/>
        </w:rPr>
        <w:t xml:space="preserve"> </w:t>
      </w:r>
      <w:r w:rsidR="00252DD5">
        <w:rPr>
          <w:b/>
        </w:rPr>
        <w:t>Fund, c</w:t>
      </w:r>
      <w:r w:rsidR="00EA3E84" w:rsidRPr="00B76110">
        <w:rPr>
          <w:b/>
        </w:rPr>
        <w:t>alculation basis for Union support</w:t>
      </w:r>
      <w:r w:rsidR="00252DD5">
        <w:rPr>
          <w:b/>
        </w:rPr>
        <w:t xml:space="preserve"> and justification of the calculation basis choice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284"/>
      </w:tblGrid>
      <w:tr w:rsidR="00FB701A" w:rsidRPr="00B76110" w:rsidTr="00E27638">
        <w:trPr>
          <w:jc w:val="center"/>
        </w:trPr>
        <w:tc>
          <w:tcPr>
            <w:tcW w:w="4855" w:type="dxa"/>
            <w:shd w:val="clear" w:color="auto" w:fill="auto"/>
          </w:tcPr>
          <w:p w:rsidR="00FB701A" w:rsidRPr="00B76110" w:rsidRDefault="00252DD5" w:rsidP="00252DD5">
            <w:pPr>
              <w:spacing w:after="240"/>
              <w:rPr>
                <w:rFonts w:eastAsia="Times New Roman"/>
                <w:i/>
              </w:rPr>
            </w:pPr>
            <w:r>
              <w:rPr>
                <w:rFonts w:eastAsia="Times New Roman"/>
                <w:i/>
              </w:rPr>
              <w:t>Fund</w:t>
            </w:r>
          </w:p>
        </w:tc>
        <w:tc>
          <w:tcPr>
            <w:tcW w:w="4284" w:type="dxa"/>
            <w:shd w:val="clear" w:color="auto" w:fill="auto"/>
          </w:tcPr>
          <w:p w:rsidR="00FB701A" w:rsidRPr="008D693C" w:rsidRDefault="008D693C" w:rsidP="00252DD5">
            <w:pPr>
              <w:spacing w:after="240"/>
              <w:rPr>
                <w:rFonts w:eastAsia="Times New Roman"/>
                <w:szCs w:val="24"/>
              </w:rPr>
            </w:pPr>
            <w:r>
              <w:rPr>
                <w:rFonts w:eastAsia="Times New Roman"/>
                <w:szCs w:val="24"/>
              </w:rPr>
              <w:t>IPA</w:t>
            </w:r>
          </w:p>
        </w:tc>
      </w:tr>
      <w:tr w:rsidR="00EA3E84" w:rsidRPr="00B76110" w:rsidTr="00E27638">
        <w:trPr>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rsidR="00EA3E84" w:rsidRPr="00B76110" w:rsidRDefault="00252DD5" w:rsidP="00E17367">
            <w:pPr>
              <w:spacing w:after="240"/>
              <w:rPr>
                <w:rFonts w:eastAsia="Times New Roman"/>
                <w:i/>
              </w:rPr>
            </w:pPr>
            <w:r w:rsidRPr="00B76110">
              <w:rPr>
                <w:rFonts w:eastAsia="Times New Roman"/>
                <w:i/>
              </w:rPr>
              <w:t xml:space="preserve">Calculation </w:t>
            </w:r>
            <w:r>
              <w:rPr>
                <w:rFonts w:eastAsia="Times New Roman"/>
                <w:i/>
              </w:rPr>
              <w:t>b</w:t>
            </w:r>
            <w:r w:rsidRPr="00B76110">
              <w:rPr>
                <w:rFonts w:eastAsia="Times New Roman"/>
                <w:i/>
              </w:rPr>
              <w:t>asis (total</w:t>
            </w:r>
            <w:r>
              <w:rPr>
                <w:rFonts w:eastAsia="Times New Roman"/>
                <w:i/>
              </w:rPr>
              <w:t xml:space="preserve"> eligible expenditure or public eligible expenditure</w:t>
            </w:r>
            <w:r w:rsidRPr="00B76110">
              <w:rPr>
                <w:rFonts w:eastAsia="Times New Roman"/>
                <w:i/>
              </w:rPr>
              <w:t>)</w:t>
            </w:r>
            <w:r w:rsidRPr="00B76110" w:rsidDel="00252DD5">
              <w:rPr>
                <w:rFonts w:eastAsia="Times New Roman"/>
                <w:i/>
              </w:rPr>
              <w:t xml:space="preserve"> </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EA3E84" w:rsidRPr="008D693C" w:rsidRDefault="008D693C" w:rsidP="00252DD5">
            <w:pPr>
              <w:spacing w:after="240"/>
              <w:rPr>
                <w:rFonts w:eastAsia="Times New Roman"/>
                <w:szCs w:val="24"/>
              </w:rPr>
            </w:pPr>
            <w:r>
              <w:rPr>
                <w:rFonts w:eastAsia="Times New Roman"/>
                <w:szCs w:val="24"/>
              </w:rPr>
              <w:t>T</w:t>
            </w:r>
            <w:r w:rsidRPr="008D693C">
              <w:rPr>
                <w:rFonts w:eastAsia="Times New Roman"/>
                <w:szCs w:val="24"/>
              </w:rPr>
              <w:t>otal eligible expenditure</w:t>
            </w:r>
          </w:p>
        </w:tc>
      </w:tr>
      <w:tr w:rsidR="00252DD5" w:rsidRPr="00B76110" w:rsidTr="00E27638">
        <w:trPr>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rsidR="00252DD5" w:rsidRDefault="00252DD5" w:rsidP="00E17367">
            <w:pPr>
              <w:spacing w:after="240"/>
              <w:rPr>
                <w:rFonts w:eastAsia="Times New Roman"/>
                <w:i/>
              </w:rPr>
            </w:pPr>
            <w:r>
              <w:rPr>
                <w:rFonts w:eastAsia="Times New Roman"/>
                <w:i/>
              </w:rPr>
              <w:t>J</w:t>
            </w:r>
            <w:r w:rsidRPr="00252DD5">
              <w:rPr>
                <w:rFonts w:eastAsia="Times New Roman"/>
                <w:i/>
              </w:rPr>
              <w:t>ustification of the calculation basis choice</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252DD5" w:rsidRPr="00B76110" w:rsidRDefault="00252DD5" w:rsidP="00575154">
            <w:pPr>
              <w:spacing w:after="240"/>
              <w:rPr>
                <w:rFonts w:eastAsia="Times New Roman"/>
                <w:i/>
                <w:color w:val="8DB3E2"/>
                <w:sz w:val="18"/>
                <w:szCs w:val="18"/>
              </w:rPr>
            </w:pPr>
          </w:p>
        </w:tc>
      </w:tr>
    </w:tbl>
    <w:p w:rsidR="00FB701A" w:rsidRPr="00B76110" w:rsidRDefault="00FB701A" w:rsidP="00D17A3D">
      <w:pPr>
        <w:spacing w:after="240"/>
        <w:ind w:firstLine="720"/>
        <w:rPr>
          <w:rFonts w:eastAsia="Times New Roman"/>
          <w:b/>
        </w:rPr>
      </w:pPr>
    </w:p>
    <w:p w:rsidR="00972AEF" w:rsidRDefault="00FB701A" w:rsidP="00E27638">
      <w:pPr>
        <w:spacing w:after="0"/>
        <w:rPr>
          <w:rFonts w:eastAsia="Times New Roman"/>
          <w:b/>
        </w:rPr>
      </w:pPr>
      <w:r w:rsidRPr="00B76110">
        <w:rPr>
          <w:rFonts w:eastAsia="Times New Roman"/>
          <w:b/>
        </w:rPr>
        <w:t>2.</w:t>
      </w:r>
      <w:r w:rsidR="00BA085A">
        <w:rPr>
          <w:rFonts w:eastAsia="Times New Roman"/>
          <w:b/>
        </w:rPr>
        <w:t>1</w:t>
      </w:r>
      <w:r w:rsidRPr="00B76110">
        <w:rPr>
          <w:rFonts w:eastAsia="Times New Roman"/>
          <w:b/>
        </w:rPr>
        <w:t>.</w:t>
      </w:r>
      <w:r w:rsidR="00BA085A">
        <w:rPr>
          <w:rFonts w:eastAsia="Times New Roman"/>
          <w:b/>
        </w:rPr>
        <w:t>3</w:t>
      </w:r>
      <w:r w:rsidRPr="00B76110">
        <w:rPr>
          <w:rFonts w:eastAsia="Times New Roman"/>
          <w:b/>
        </w:rPr>
        <w:t xml:space="preserve">. </w:t>
      </w:r>
      <w:r w:rsidR="00E17367">
        <w:rPr>
          <w:rFonts w:eastAsia="Times New Roman"/>
          <w:b/>
        </w:rPr>
        <w:t>The s</w:t>
      </w:r>
      <w:r w:rsidRPr="00B76110">
        <w:rPr>
          <w:rFonts w:eastAsia="Times New Roman"/>
          <w:b/>
        </w:rPr>
        <w:t xml:space="preserve">pecific objectives </w:t>
      </w:r>
      <w:r w:rsidR="00E17367">
        <w:rPr>
          <w:rFonts w:eastAsia="Times New Roman"/>
          <w:b/>
        </w:rPr>
        <w:t>of</w:t>
      </w:r>
      <w:r w:rsidRPr="00B76110">
        <w:rPr>
          <w:rFonts w:eastAsia="Times New Roman"/>
          <w:b/>
        </w:rPr>
        <w:t xml:space="preserve"> the </w:t>
      </w:r>
      <w:r w:rsidR="00E17367">
        <w:rPr>
          <w:rFonts w:eastAsia="Times New Roman"/>
          <w:b/>
        </w:rPr>
        <w:t>thematic</w:t>
      </w:r>
      <w:r w:rsidR="00E17367" w:rsidRPr="00B76110">
        <w:rPr>
          <w:rFonts w:eastAsia="Times New Roman"/>
          <w:b/>
        </w:rPr>
        <w:t xml:space="preserve"> </w:t>
      </w:r>
      <w:r w:rsidRPr="00B76110">
        <w:rPr>
          <w:rFonts w:eastAsia="Times New Roman"/>
          <w:b/>
        </w:rPr>
        <w:t xml:space="preserve">priority and expected results </w:t>
      </w:r>
    </w:p>
    <w:p w:rsidR="00FB701A" w:rsidRDefault="00E17367" w:rsidP="00E27638">
      <w:pPr>
        <w:spacing w:after="0"/>
      </w:pPr>
      <w:r w:rsidRPr="00B76110" w:rsidDel="00E17367">
        <w:rPr>
          <w:rFonts w:eastAsia="Times New Roman"/>
        </w:rPr>
        <w:t xml:space="preserve"> </w:t>
      </w:r>
      <w:r w:rsidR="00FB701A" w:rsidRPr="00B76110">
        <w:t>(</w:t>
      </w:r>
      <w:r w:rsidR="00972AEF">
        <w:t xml:space="preserve">Reference: </w:t>
      </w:r>
      <w:r w:rsidR="003B2279">
        <w:t xml:space="preserve">points (b)(i) and (ii) of </w:t>
      </w:r>
      <w:r w:rsidR="00FB701A" w:rsidRPr="00B76110">
        <w:t xml:space="preserve">Article </w:t>
      </w:r>
      <w:r w:rsidR="008B1BD4">
        <w:t>8</w:t>
      </w:r>
      <w:r w:rsidR="00FB701A" w:rsidRPr="00B76110">
        <w:t xml:space="preserve">(2) </w:t>
      </w:r>
      <w:r w:rsidR="00965678">
        <w:t>of Regulation (EU) No 1299/2013</w:t>
      </w:r>
      <w:r w:rsidR="00E27638">
        <w:t>)</w:t>
      </w:r>
    </w:p>
    <w:p w:rsidR="00E27638" w:rsidRPr="00E27638" w:rsidRDefault="00E27638" w:rsidP="00E27638">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5103"/>
      </w:tblGrid>
      <w:tr w:rsidR="00BC3AC5" w:rsidRPr="00901CB6" w:rsidTr="00E27638">
        <w:trPr>
          <w:trHeight w:val="491"/>
          <w:jc w:val="center"/>
        </w:trPr>
        <w:tc>
          <w:tcPr>
            <w:tcW w:w="3738" w:type="dxa"/>
            <w:shd w:val="clear" w:color="auto" w:fill="auto"/>
          </w:tcPr>
          <w:p w:rsidR="00BC3AC5" w:rsidRPr="00B76110" w:rsidRDefault="00BC3AC5" w:rsidP="00B85FF7">
            <w:pPr>
              <w:spacing w:after="240"/>
              <w:rPr>
                <w:rFonts w:eastAsia="Times New Roman"/>
                <w:i/>
              </w:rPr>
            </w:pPr>
            <w:r w:rsidRPr="00B76110">
              <w:rPr>
                <w:rFonts w:eastAsia="Times New Roman"/>
                <w:i/>
              </w:rPr>
              <w:t>ID</w:t>
            </w:r>
          </w:p>
        </w:tc>
        <w:tc>
          <w:tcPr>
            <w:tcW w:w="5103" w:type="dxa"/>
            <w:shd w:val="clear" w:color="auto" w:fill="auto"/>
          </w:tcPr>
          <w:p w:rsidR="00BC3AC5" w:rsidRPr="00624028" w:rsidRDefault="00E27638" w:rsidP="00B85FF7">
            <w:pPr>
              <w:spacing w:after="240"/>
              <w:rPr>
                <w:rFonts w:eastAsia="Times New Roman"/>
                <w:szCs w:val="24"/>
                <w:lang w:val="nb-NO"/>
              </w:rPr>
            </w:pPr>
            <w:r>
              <w:rPr>
                <w:rFonts w:eastAsia="Times New Roman"/>
                <w:i/>
              </w:rPr>
              <w:t>1.1.</w:t>
            </w:r>
          </w:p>
        </w:tc>
      </w:tr>
      <w:tr w:rsidR="00BC3AC5" w:rsidRPr="00B76110" w:rsidTr="00E27638">
        <w:trPr>
          <w:trHeight w:val="360"/>
          <w:jc w:val="center"/>
        </w:trPr>
        <w:tc>
          <w:tcPr>
            <w:tcW w:w="3738" w:type="dxa"/>
            <w:shd w:val="clear" w:color="auto" w:fill="auto"/>
          </w:tcPr>
          <w:p w:rsidR="00BC3AC5" w:rsidRPr="00B76110" w:rsidRDefault="00BC3AC5" w:rsidP="00E27638">
            <w:pPr>
              <w:spacing w:after="0"/>
              <w:rPr>
                <w:rFonts w:eastAsia="Times New Roman"/>
                <w:i/>
              </w:rPr>
            </w:pPr>
            <w:r w:rsidRPr="00B76110">
              <w:rPr>
                <w:rFonts w:eastAsia="Times New Roman"/>
                <w:i/>
              </w:rPr>
              <w:t xml:space="preserve">Specific objective </w:t>
            </w:r>
          </w:p>
        </w:tc>
        <w:tc>
          <w:tcPr>
            <w:tcW w:w="5103" w:type="dxa"/>
            <w:shd w:val="clear" w:color="auto" w:fill="auto"/>
          </w:tcPr>
          <w:p w:rsidR="00BC3AC5" w:rsidRPr="00624028" w:rsidRDefault="003A5323" w:rsidP="00B85FF7">
            <w:pPr>
              <w:spacing w:after="0"/>
              <w:rPr>
                <w:rFonts w:eastAsia="Times New Roman"/>
                <w:szCs w:val="24"/>
              </w:rPr>
            </w:pPr>
            <w:r w:rsidRPr="003A5323">
              <w:rPr>
                <w:rFonts w:eastAsia="Times New Roman"/>
                <w:szCs w:val="24"/>
              </w:rPr>
              <w:t>To improve the quality of the services in public health and social care sector across the borders</w:t>
            </w:r>
          </w:p>
        </w:tc>
      </w:tr>
      <w:tr w:rsidR="00BC3AC5" w:rsidRPr="00B76110" w:rsidTr="00E27638">
        <w:trPr>
          <w:trHeight w:val="360"/>
          <w:jc w:val="center"/>
        </w:trPr>
        <w:tc>
          <w:tcPr>
            <w:tcW w:w="3738" w:type="dxa"/>
            <w:shd w:val="clear" w:color="auto" w:fill="auto"/>
          </w:tcPr>
          <w:p w:rsidR="00BC3AC5" w:rsidRPr="00B76110" w:rsidRDefault="00BC3AC5" w:rsidP="00B85FF7">
            <w:pPr>
              <w:spacing w:after="240"/>
              <w:rPr>
                <w:rFonts w:eastAsia="Times New Roman"/>
                <w:i/>
              </w:rPr>
            </w:pPr>
            <w:r w:rsidRPr="00B76110">
              <w:rPr>
                <w:rFonts w:eastAsia="Times New Roman"/>
                <w:i/>
              </w:rPr>
              <w:t xml:space="preserve">The results </w:t>
            </w:r>
            <w:r>
              <w:rPr>
                <w:rFonts w:eastAsia="Times New Roman"/>
                <w:i/>
              </w:rPr>
              <w:t xml:space="preserve">that </w:t>
            </w:r>
            <w:r w:rsidRPr="00B76110">
              <w:rPr>
                <w:rFonts w:eastAsia="Times New Roman"/>
                <w:i/>
              </w:rPr>
              <w:t xml:space="preserve">the </w:t>
            </w:r>
            <w:r>
              <w:rPr>
                <w:rFonts w:eastAsia="Times New Roman"/>
                <w:i/>
              </w:rPr>
              <w:t>partner</w:t>
            </w:r>
            <w:r w:rsidRPr="00B76110">
              <w:rPr>
                <w:rFonts w:eastAsia="Times New Roman"/>
                <w:i/>
              </w:rPr>
              <w:t xml:space="preserve"> States seek to achieve with </w:t>
            </w:r>
            <w:r>
              <w:rPr>
                <w:rFonts w:eastAsia="Times New Roman"/>
                <w:i/>
              </w:rPr>
              <w:t>Union</w:t>
            </w:r>
            <w:r w:rsidRPr="00B76110">
              <w:rPr>
                <w:rFonts w:eastAsia="Times New Roman"/>
                <w:i/>
              </w:rPr>
              <w:t xml:space="preserve"> support</w:t>
            </w:r>
          </w:p>
        </w:tc>
        <w:tc>
          <w:tcPr>
            <w:tcW w:w="5103" w:type="dxa"/>
            <w:shd w:val="clear" w:color="auto" w:fill="auto"/>
          </w:tcPr>
          <w:p w:rsidR="0048112D" w:rsidRPr="00672F9E" w:rsidRDefault="00672F9E" w:rsidP="0048112D">
            <w:pPr>
              <w:spacing w:after="240"/>
              <w:rPr>
                <w:rFonts w:eastAsia="Times New Roman"/>
                <w:szCs w:val="24"/>
              </w:rPr>
            </w:pPr>
            <w:r w:rsidRPr="00672F9E">
              <w:rPr>
                <w:rFonts w:eastAsia="Times New Roman"/>
                <w:szCs w:val="24"/>
                <w:lang w:eastAsia="de-DE"/>
              </w:rPr>
              <w:t>In the programme area there is a sufficient number of health care institutions but these do not still match all the needs of the beneficiaries. In addition, social welfare systems in the programme area are not well adapted to users especially</w:t>
            </w:r>
            <w:r w:rsidR="00ED3434">
              <w:rPr>
                <w:rFonts w:eastAsia="Times New Roman"/>
                <w:szCs w:val="24"/>
                <w:lang w:eastAsia="de-DE"/>
              </w:rPr>
              <w:t xml:space="preserve"> those</w:t>
            </w:r>
            <w:r w:rsidRPr="00672F9E">
              <w:rPr>
                <w:rFonts w:eastAsia="Times New Roman"/>
                <w:szCs w:val="24"/>
                <w:lang w:eastAsia="de-DE"/>
              </w:rPr>
              <w:t xml:space="preserve"> in vulnerable positions. </w:t>
            </w:r>
            <w:r w:rsidR="0048112D" w:rsidRPr="00672F9E">
              <w:rPr>
                <w:rFonts w:eastAsia="Times New Roman"/>
                <w:szCs w:val="24"/>
              </w:rPr>
              <w:t xml:space="preserve">For this reason, </w:t>
            </w:r>
            <w:r w:rsidR="0065746A">
              <w:rPr>
                <w:rFonts w:eastAsia="Times New Roman"/>
                <w:szCs w:val="24"/>
              </w:rPr>
              <w:t xml:space="preserve">under this specific objective, </w:t>
            </w:r>
            <w:r w:rsidR="0048112D" w:rsidRPr="00672F9E">
              <w:rPr>
                <w:rFonts w:eastAsia="Times New Roman"/>
                <w:szCs w:val="24"/>
              </w:rPr>
              <w:t xml:space="preserve">the </w:t>
            </w:r>
            <w:r w:rsidR="00ED3434">
              <w:rPr>
                <w:rFonts w:eastAsia="Times New Roman"/>
                <w:szCs w:val="24"/>
              </w:rPr>
              <w:t>P</w:t>
            </w:r>
            <w:r w:rsidR="00ED3434" w:rsidRPr="00672F9E">
              <w:rPr>
                <w:rFonts w:eastAsia="Times New Roman"/>
                <w:szCs w:val="24"/>
              </w:rPr>
              <w:t xml:space="preserve">rogramme </w:t>
            </w:r>
            <w:r w:rsidR="0048112D" w:rsidRPr="00672F9E">
              <w:rPr>
                <w:rFonts w:eastAsia="Times New Roman"/>
                <w:szCs w:val="24"/>
              </w:rPr>
              <w:t xml:space="preserve">aims to improve the quality, the delivery of services and human resources providing </w:t>
            </w:r>
            <w:r w:rsidR="00ED3434">
              <w:rPr>
                <w:rFonts w:eastAsia="Times New Roman"/>
                <w:szCs w:val="24"/>
              </w:rPr>
              <w:t xml:space="preserve">enhanced </w:t>
            </w:r>
            <w:r w:rsidR="0048112D" w:rsidRPr="00672F9E">
              <w:rPr>
                <w:rFonts w:eastAsia="Times New Roman"/>
                <w:szCs w:val="24"/>
              </w:rPr>
              <w:t xml:space="preserve">services in both sectors, thus making them more accessible and effective. </w:t>
            </w:r>
          </w:p>
          <w:p w:rsidR="00ED3434" w:rsidRDefault="00ED3434" w:rsidP="00ED3434">
            <w:pPr>
              <w:spacing w:after="240"/>
              <w:rPr>
                <w:rFonts w:eastAsia="Times New Roman"/>
                <w:szCs w:val="24"/>
              </w:rPr>
            </w:pPr>
            <w:r>
              <w:rPr>
                <w:rFonts w:eastAsia="Times New Roman"/>
                <w:szCs w:val="24"/>
              </w:rPr>
              <w:t>In addition, taking into account that public h</w:t>
            </w:r>
            <w:r w:rsidRPr="00ED3434">
              <w:rPr>
                <w:rFonts w:eastAsia="Times New Roman"/>
                <w:szCs w:val="24"/>
              </w:rPr>
              <w:t xml:space="preserve">ealth and social </w:t>
            </w:r>
            <w:r>
              <w:rPr>
                <w:rFonts w:eastAsia="Times New Roman"/>
                <w:szCs w:val="24"/>
              </w:rPr>
              <w:t xml:space="preserve">care </w:t>
            </w:r>
            <w:r w:rsidRPr="00ED3434">
              <w:rPr>
                <w:rFonts w:eastAsia="Times New Roman"/>
                <w:szCs w:val="24"/>
              </w:rPr>
              <w:t xml:space="preserve">services in the programme area </w:t>
            </w:r>
            <w:r>
              <w:rPr>
                <w:rFonts w:eastAsia="Times New Roman"/>
                <w:szCs w:val="24"/>
              </w:rPr>
              <w:t xml:space="preserve">are </w:t>
            </w:r>
            <w:r w:rsidRPr="00ED3434">
              <w:rPr>
                <w:rFonts w:eastAsia="Times New Roman"/>
                <w:szCs w:val="24"/>
              </w:rPr>
              <w:t>especially ineffective in managing preparation and emergency responses to disasters</w:t>
            </w:r>
            <w:r>
              <w:rPr>
                <w:rFonts w:eastAsia="Times New Roman"/>
                <w:szCs w:val="24"/>
              </w:rPr>
              <w:t xml:space="preserve">, the Programme aims to </w:t>
            </w:r>
            <w:r w:rsidR="00267610">
              <w:rPr>
                <w:rFonts w:eastAsia="Times New Roman"/>
                <w:szCs w:val="24"/>
              </w:rPr>
              <w:t>develop and establish</w:t>
            </w:r>
            <w:r>
              <w:rPr>
                <w:rFonts w:eastAsia="Times New Roman"/>
                <w:szCs w:val="24"/>
              </w:rPr>
              <w:t xml:space="preserve"> </w:t>
            </w:r>
            <w:r w:rsidR="00267610" w:rsidRPr="00267610">
              <w:rPr>
                <w:rFonts w:eastAsia="Times New Roman"/>
                <w:szCs w:val="24"/>
              </w:rPr>
              <w:t>networking structures for the purpose of common disaster response across the borders</w:t>
            </w:r>
            <w:r w:rsidR="00267610">
              <w:rPr>
                <w:rFonts w:eastAsia="Times New Roman"/>
                <w:szCs w:val="24"/>
              </w:rPr>
              <w:t>.</w:t>
            </w:r>
          </w:p>
          <w:p w:rsidR="0048112D" w:rsidRDefault="00672F9E" w:rsidP="00B85FF7">
            <w:pPr>
              <w:spacing w:after="240"/>
              <w:rPr>
                <w:rFonts w:eastAsia="Times New Roman"/>
                <w:szCs w:val="24"/>
              </w:rPr>
            </w:pPr>
            <w:r w:rsidRPr="00672F9E">
              <w:rPr>
                <w:rFonts w:eastAsia="Times New Roman"/>
                <w:szCs w:val="24"/>
              </w:rPr>
              <w:t xml:space="preserve">Furthermore, </w:t>
            </w:r>
            <w:r w:rsidR="0065746A">
              <w:rPr>
                <w:rFonts w:eastAsia="Times New Roman"/>
                <w:szCs w:val="24"/>
              </w:rPr>
              <w:t xml:space="preserve">the Programme will also address the need </w:t>
            </w:r>
            <w:r w:rsidR="0048112D" w:rsidRPr="00672F9E">
              <w:rPr>
                <w:rFonts w:eastAsia="Times New Roman"/>
                <w:szCs w:val="24"/>
              </w:rPr>
              <w:t xml:space="preserve">to promote the healthy life style, active and healthy ageing and to strengthen palliative care </w:t>
            </w:r>
            <w:r w:rsidR="0065746A">
              <w:rPr>
                <w:rFonts w:eastAsia="Times New Roman"/>
                <w:szCs w:val="24"/>
              </w:rPr>
              <w:t xml:space="preserve">in the </w:t>
            </w:r>
            <w:r w:rsidR="0048112D" w:rsidRPr="00672F9E">
              <w:rPr>
                <w:rFonts w:eastAsia="Times New Roman"/>
                <w:szCs w:val="24"/>
              </w:rPr>
              <w:t>programme</w:t>
            </w:r>
            <w:r w:rsidR="0065746A">
              <w:rPr>
                <w:rFonts w:eastAsia="Times New Roman"/>
                <w:szCs w:val="24"/>
              </w:rPr>
              <w:t xml:space="preserve"> area</w:t>
            </w:r>
            <w:r w:rsidR="0048112D" w:rsidRPr="00672F9E">
              <w:rPr>
                <w:rFonts w:eastAsia="Times New Roman"/>
                <w:szCs w:val="24"/>
              </w:rPr>
              <w:t>.</w:t>
            </w:r>
          </w:p>
          <w:p w:rsidR="00BC3AC5" w:rsidRDefault="0065746A" w:rsidP="00E27638">
            <w:pPr>
              <w:spacing w:before="0" w:after="0"/>
              <w:rPr>
                <w:rFonts w:eastAsia="Times New Roman"/>
                <w:szCs w:val="24"/>
              </w:rPr>
            </w:pPr>
            <w:r>
              <w:rPr>
                <w:rFonts w:eastAsia="Times New Roman"/>
                <w:szCs w:val="24"/>
              </w:rPr>
              <w:t>The following result is e</w:t>
            </w:r>
            <w:r w:rsidR="00BC3AC5">
              <w:rPr>
                <w:rFonts w:eastAsia="Times New Roman"/>
                <w:szCs w:val="24"/>
              </w:rPr>
              <w:t xml:space="preserve">xpected </w:t>
            </w:r>
            <w:r>
              <w:rPr>
                <w:rFonts w:eastAsia="Times New Roman"/>
                <w:szCs w:val="24"/>
              </w:rPr>
              <w:t xml:space="preserve">to be achieved within SO </w:t>
            </w:r>
            <w:r w:rsidR="00BC3AC5">
              <w:rPr>
                <w:rFonts w:eastAsia="Times New Roman"/>
                <w:szCs w:val="24"/>
              </w:rPr>
              <w:t>1.</w:t>
            </w:r>
            <w:r w:rsidR="00EE2246">
              <w:rPr>
                <w:rFonts w:eastAsia="Times New Roman"/>
                <w:szCs w:val="24"/>
              </w:rPr>
              <w:t>1</w:t>
            </w:r>
            <w:r w:rsidR="00BC3AC5">
              <w:rPr>
                <w:rFonts w:eastAsia="Times New Roman"/>
                <w:szCs w:val="24"/>
              </w:rPr>
              <w:t>:</w:t>
            </w:r>
          </w:p>
          <w:p w:rsidR="00844EF7" w:rsidRDefault="00844EF7" w:rsidP="00E27638">
            <w:pPr>
              <w:pStyle w:val="NumPar2"/>
              <w:numPr>
                <w:ilvl w:val="0"/>
                <w:numId w:val="0"/>
              </w:numPr>
              <w:spacing w:before="0" w:after="0"/>
              <w:ind w:left="868" w:hanging="850"/>
              <w:rPr>
                <w:szCs w:val="24"/>
              </w:rPr>
            </w:pPr>
            <w:r w:rsidRPr="00844EF7">
              <w:rPr>
                <w:szCs w:val="24"/>
              </w:rPr>
              <w:t>Improved quality of the services in public health</w:t>
            </w:r>
          </w:p>
          <w:p w:rsidR="00BC3AC5" w:rsidRPr="0044752F" w:rsidRDefault="00844EF7" w:rsidP="00E27638">
            <w:pPr>
              <w:pStyle w:val="NumPar2"/>
              <w:numPr>
                <w:ilvl w:val="0"/>
                <w:numId w:val="0"/>
              </w:numPr>
              <w:spacing w:before="0" w:after="0"/>
              <w:ind w:left="868" w:hanging="850"/>
              <w:rPr>
                <w:szCs w:val="24"/>
              </w:rPr>
            </w:pPr>
            <w:r w:rsidRPr="00844EF7">
              <w:rPr>
                <w:szCs w:val="24"/>
              </w:rPr>
              <w:t>and social care sector</w:t>
            </w:r>
          </w:p>
        </w:tc>
      </w:tr>
    </w:tbl>
    <w:p w:rsidR="004A3E43" w:rsidRDefault="004A3E43" w:rsidP="00D17A3D">
      <w:pPr>
        <w:tabs>
          <w:tab w:val="left" w:pos="720"/>
        </w:tabs>
        <w:rPr>
          <w:rFonts w:eastAsia="Times New Roman"/>
          <w:b/>
        </w:rPr>
      </w:pPr>
    </w:p>
    <w:p w:rsidR="00EF118F" w:rsidRDefault="00E17367" w:rsidP="00D17A3D">
      <w:pPr>
        <w:tabs>
          <w:tab w:val="left" w:pos="720"/>
        </w:tabs>
        <w:rPr>
          <w:rFonts w:eastAsia="Times New Roman"/>
          <w:b/>
        </w:rPr>
      </w:pPr>
      <w:r>
        <w:rPr>
          <w:rFonts w:eastAsia="Times New Roman"/>
          <w:b/>
        </w:rPr>
        <w:t>2.</w:t>
      </w:r>
      <w:r w:rsidR="00663619">
        <w:rPr>
          <w:rFonts w:eastAsia="Times New Roman"/>
          <w:b/>
        </w:rPr>
        <w:t>1</w:t>
      </w:r>
      <w:r>
        <w:rPr>
          <w:rFonts w:eastAsia="Times New Roman"/>
          <w:b/>
        </w:rPr>
        <w:t>.</w:t>
      </w:r>
      <w:r w:rsidR="00663619">
        <w:rPr>
          <w:rFonts w:eastAsia="Times New Roman"/>
          <w:b/>
        </w:rPr>
        <w:t>4</w:t>
      </w:r>
      <w:r>
        <w:rPr>
          <w:rFonts w:eastAsia="Times New Roman"/>
          <w:b/>
        </w:rPr>
        <w:t>. Elements of other thematic priori</w:t>
      </w:r>
      <w:r w:rsidR="00E27638">
        <w:rPr>
          <w:rFonts w:eastAsia="Times New Roman"/>
          <w:b/>
        </w:rPr>
        <w:t>ties added to the priority axis</w:t>
      </w:r>
    </w:p>
    <w:p w:rsidR="0017143D" w:rsidRPr="00E27638" w:rsidRDefault="00EF118F" w:rsidP="00D17A3D">
      <w:pPr>
        <w:tabs>
          <w:tab w:val="left" w:pos="720"/>
        </w:tabs>
        <w:rPr>
          <w:rFonts w:eastAsia="Times New Roman"/>
        </w:rPr>
      </w:pPr>
      <w:r w:rsidRPr="00A366E4">
        <w:rPr>
          <w:rFonts w:eastAsia="Times New Roman"/>
        </w:rPr>
        <w:t>(Reference: Article 35(1) of IPA II Implementing Regulation)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F13F0D" w:rsidRPr="00901CB6" w:rsidTr="00E27638">
        <w:trPr>
          <w:trHeight w:val="491"/>
        </w:trPr>
        <w:tc>
          <w:tcPr>
            <w:tcW w:w="9039" w:type="dxa"/>
            <w:shd w:val="clear" w:color="auto" w:fill="auto"/>
          </w:tcPr>
          <w:p w:rsidR="00F13F0D" w:rsidRPr="00F13F0D" w:rsidRDefault="00F13F0D" w:rsidP="00B6792F">
            <w:pPr>
              <w:spacing w:after="240"/>
              <w:rPr>
                <w:rFonts w:eastAsia="Times New Roman"/>
                <w:color w:val="8DB3E2"/>
                <w:szCs w:val="24"/>
                <w:lang w:val="nb-NO"/>
              </w:rPr>
            </w:pPr>
            <w:r>
              <w:rPr>
                <w:rFonts w:eastAsia="Times New Roman"/>
                <w:szCs w:val="24"/>
                <w:lang w:val="nb-NO"/>
              </w:rPr>
              <w:t>N/A</w:t>
            </w:r>
          </w:p>
        </w:tc>
      </w:tr>
    </w:tbl>
    <w:p w:rsidR="00EC0786" w:rsidRDefault="00EC0786" w:rsidP="00D17A3D">
      <w:pPr>
        <w:tabs>
          <w:tab w:val="left" w:pos="720"/>
        </w:tabs>
        <w:rPr>
          <w:rFonts w:eastAsia="Times New Roman"/>
          <w:b/>
        </w:rPr>
      </w:pPr>
    </w:p>
    <w:p w:rsidR="000B5F72" w:rsidRPr="00B76110" w:rsidRDefault="000B5F72" w:rsidP="002007DA">
      <w:pPr>
        <w:suppressAutoHyphens/>
        <w:spacing w:after="240"/>
        <w:rPr>
          <w:rFonts w:eastAsia="Times New Roman"/>
          <w:b/>
        </w:rPr>
      </w:pPr>
      <w:r>
        <w:rPr>
          <w:rFonts w:eastAsia="Times New Roman"/>
          <w:b/>
        </w:rPr>
        <w:t>2.1</w:t>
      </w:r>
      <w:r w:rsidRPr="00B76110">
        <w:rPr>
          <w:rFonts w:eastAsia="Times New Roman"/>
          <w:b/>
        </w:rPr>
        <w:t>.</w:t>
      </w:r>
      <w:r w:rsidR="00EC0786">
        <w:rPr>
          <w:rFonts w:eastAsia="Times New Roman"/>
          <w:b/>
        </w:rPr>
        <w:t>5</w:t>
      </w:r>
      <w:r w:rsidRPr="00B76110">
        <w:rPr>
          <w:rFonts w:eastAsia="Times New Roman"/>
          <w:b/>
        </w:rPr>
        <w:t xml:space="preserve">. Actions to be supported under the </w:t>
      </w:r>
      <w:r>
        <w:rPr>
          <w:rFonts w:eastAsia="Times New Roman"/>
          <w:b/>
        </w:rPr>
        <w:t>thematic</w:t>
      </w:r>
      <w:r w:rsidRPr="00B76110">
        <w:rPr>
          <w:rFonts w:eastAsia="Times New Roman"/>
          <w:b/>
        </w:rPr>
        <w:t xml:space="preserve"> priority</w:t>
      </w:r>
      <w:r w:rsidRPr="00D372DE">
        <w:rPr>
          <w:rFonts w:eastAsia="Times New Roman"/>
          <w:b/>
        </w:rPr>
        <w:t xml:space="preserve"> </w:t>
      </w:r>
      <w:r w:rsidR="00D372DE" w:rsidRPr="00D372DE">
        <w:rPr>
          <w:rFonts w:eastAsia="Times New Roman"/>
          <w:b/>
        </w:rPr>
        <w:t>1</w:t>
      </w:r>
    </w:p>
    <w:p w:rsidR="000B5F72" w:rsidRPr="00B76110" w:rsidRDefault="00EC0786" w:rsidP="00EC0786">
      <w:pPr>
        <w:keepNext/>
        <w:spacing w:after="240"/>
        <w:ind w:left="851" w:hanging="851"/>
        <w:outlineLvl w:val="2"/>
        <w:rPr>
          <w:rFonts w:eastAsia="Times New Roman"/>
          <w:b/>
          <w:i/>
        </w:rPr>
      </w:pPr>
      <w:r>
        <w:rPr>
          <w:rFonts w:eastAsia="Times New Roman"/>
          <w:b/>
          <w:i/>
        </w:rPr>
        <w:t>2.1</w:t>
      </w:r>
      <w:r w:rsidR="000B5F72" w:rsidRPr="00B76110">
        <w:rPr>
          <w:rFonts w:eastAsia="Times New Roman"/>
          <w:b/>
          <w:i/>
        </w:rPr>
        <w:t>.</w:t>
      </w:r>
      <w:r>
        <w:rPr>
          <w:rFonts w:eastAsia="Times New Roman"/>
          <w:b/>
          <w:i/>
        </w:rPr>
        <w:t>5</w:t>
      </w:r>
      <w:r w:rsidR="000B5F72" w:rsidRPr="00B76110">
        <w:rPr>
          <w:rFonts w:eastAsia="Times New Roman"/>
          <w:b/>
          <w:i/>
        </w:rPr>
        <w:t xml:space="preserve">.1. A description of the type and examples of actions to be </w:t>
      </w:r>
      <w:r w:rsidR="000B5F72">
        <w:rPr>
          <w:rFonts w:eastAsia="Times New Roman"/>
          <w:b/>
          <w:i/>
        </w:rPr>
        <w:t>supported</w:t>
      </w:r>
      <w:r w:rsidR="000B5F72" w:rsidRPr="00B76110">
        <w:rPr>
          <w:rFonts w:eastAsia="Times New Roman"/>
          <w:b/>
          <w:i/>
        </w:rPr>
        <w:t xml:space="preserve"> and their expected contribution to the specific objectives, including, where appropriate</w:t>
      </w:r>
      <w:r w:rsidR="000B5F72">
        <w:rPr>
          <w:rFonts w:eastAsia="Times New Roman"/>
          <w:b/>
          <w:i/>
        </w:rPr>
        <w:t>,</w:t>
      </w:r>
      <w:r w:rsidR="000B5F72" w:rsidRPr="00B76110">
        <w:rPr>
          <w:rFonts w:eastAsia="Times New Roman"/>
          <w:b/>
          <w:i/>
        </w:rPr>
        <w:t xml:space="preserve"> identification of the main target groups, specific territories targeted and types of beneficiaries</w:t>
      </w:r>
    </w:p>
    <w:p w:rsidR="000B5F72" w:rsidRPr="00567F19" w:rsidRDefault="000B5F72" w:rsidP="000B5F72">
      <w:r w:rsidRPr="00567F19">
        <w:t xml:space="preserve">(Reference: </w:t>
      </w:r>
      <w:r>
        <w:t xml:space="preserve">point (b)(iii) of </w:t>
      </w:r>
      <w:r w:rsidRPr="00567F19">
        <w:t>Article 8(2) of Regulation (EU) No 1299/2013)</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04"/>
      </w:tblGrid>
      <w:tr w:rsidR="000B5F72" w:rsidRPr="00D76927" w:rsidTr="00C34482">
        <w:trPr>
          <w:trHeight w:val="518"/>
        </w:trPr>
        <w:tc>
          <w:tcPr>
            <w:tcW w:w="2235" w:type="dxa"/>
            <w:shd w:val="clear" w:color="auto" w:fill="auto"/>
          </w:tcPr>
          <w:p w:rsidR="000B5F72" w:rsidRPr="00D76927" w:rsidRDefault="000B5F72" w:rsidP="0059168F">
            <w:pPr>
              <w:spacing w:after="240"/>
              <w:rPr>
                <w:rFonts w:eastAsia="Times New Roman"/>
                <w:i/>
                <w:color w:val="8DB3E2"/>
                <w:szCs w:val="24"/>
              </w:rPr>
            </w:pPr>
            <w:r w:rsidRPr="00D76927">
              <w:rPr>
                <w:rFonts w:eastAsia="Times New Roman"/>
                <w:i/>
                <w:szCs w:val="24"/>
              </w:rPr>
              <w:t>Thematic Priority</w:t>
            </w:r>
          </w:p>
        </w:tc>
        <w:tc>
          <w:tcPr>
            <w:tcW w:w="6804" w:type="dxa"/>
            <w:shd w:val="clear" w:color="auto" w:fill="auto"/>
          </w:tcPr>
          <w:p w:rsidR="000B5F72" w:rsidRPr="00D76927" w:rsidRDefault="00C475A0" w:rsidP="00394FC5">
            <w:pPr>
              <w:rPr>
                <w:szCs w:val="24"/>
              </w:rPr>
            </w:pPr>
            <w:r w:rsidRPr="00D76927">
              <w:rPr>
                <w:rFonts w:eastAsia="Times New Roman"/>
                <w:szCs w:val="24"/>
              </w:rPr>
              <w:t xml:space="preserve">TP 1 </w:t>
            </w:r>
            <w:r w:rsidR="00394FC5" w:rsidRPr="00D76927">
              <w:rPr>
                <w:szCs w:val="24"/>
              </w:rPr>
              <w:t>Public health and social care sector</w:t>
            </w:r>
          </w:p>
        </w:tc>
      </w:tr>
      <w:tr w:rsidR="000B5F72" w:rsidRPr="00D76927" w:rsidTr="00C34482">
        <w:trPr>
          <w:trHeight w:val="819"/>
        </w:trPr>
        <w:tc>
          <w:tcPr>
            <w:tcW w:w="9039" w:type="dxa"/>
            <w:gridSpan w:val="2"/>
            <w:shd w:val="clear" w:color="auto" w:fill="auto"/>
          </w:tcPr>
          <w:p w:rsidR="00840606" w:rsidRPr="00D76927" w:rsidRDefault="00840606" w:rsidP="00840606">
            <w:pPr>
              <w:spacing w:after="0" w:line="280" w:lineRule="atLeast"/>
              <w:contextualSpacing/>
              <w:rPr>
                <w:szCs w:val="24"/>
              </w:rPr>
            </w:pPr>
            <w:r w:rsidRPr="00D76927">
              <w:rPr>
                <w:szCs w:val="24"/>
              </w:rPr>
              <w:t xml:space="preserve">The supported actions under </w:t>
            </w:r>
            <w:r w:rsidR="00E30DA6" w:rsidRPr="00D76927">
              <w:rPr>
                <w:szCs w:val="24"/>
              </w:rPr>
              <w:t xml:space="preserve">priority </w:t>
            </w:r>
            <w:r w:rsidR="00185E02" w:rsidRPr="00D76927">
              <w:rPr>
                <w:szCs w:val="24"/>
              </w:rPr>
              <w:t xml:space="preserve">axis </w:t>
            </w:r>
            <w:r w:rsidRPr="00D76927">
              <w:rPr>
                <w:szCs w:val="24"/>
              </w:rPr>
              <w:t>1 will contribute to improve facilities, services and skills in the area of public health and social welfare</w:t>
            </w:r>
            <w:r w:rsidR="006B1E0B" w:rsidRPr="00D76927">
              <w:rPr>
                <w:szCs w:val="24"/>
              </w:rPr>
              <w:t xml:space="preserve"> sector</w:t>
            </w:r>
            <w:r w:rsidRPr="00D76927">
              <w:rPr>
                <w:szCs w:val="24"/>
              </w:rPr>
              <w:t>.</w:t>
            </w:r>
            <w:r w:rsidR="00731C64" w:rsidRPr="00D76927">
              <w:rPr>
                <w:szCs w:val="24"/>
              </w:rPr>
              <w:t xml:space="preserve"> </w:t>
            </w:r>
          </w:p>
          <w:p w:rsidR="00840606" w:rsidRPr="00D76927" w:rsidRDefault="00840606" w:rsidP="00840606">
            <w:pPr>
              <w:spacing w:after="0" w:line="280" w:lineRule="atLeast"/>
              <w:contextualSpacing/>
              <w:rPr>
                <w:szCs w:val="24"/>
              </w:rPr>
            </w:pPr>
          </w:p>
          <w:p w:rsidR="00840606" w:rsidRPr="00D76927" w:rsidRDefault="00840606" w:rsidP="00840606">
            <w:pPr>
              <w:spacing w:after="0" w:line="280" w:lineRule="atLeast"/>
              <w:contextualSpacing/>
              <w:rPr>
                <w:szCs w:val="24"/>
              </w:rPr>
            </w:pPr>
            <w:r w:rsidRPr="00D76927">
              <w:rPr>
                <w:szCs w:val="24"/>
              </w:rPr>
              <w:t xml:space="preserve">More concretely, the focus of </w:t>
            </w:r>
            <w:r w:rsidR="00E30DA6" w:rsidRPr="00D76927">
              <w:rPr>
                <w:szCs w:val="24"/>
              </w:rPr>
              <w:t xml:space="preserve">priority </w:t>
            </w:r>
            <w:r w:rsidR="00185E02" w:rsidRPr="00D76927">
              <w:rPr>
                <w:szCs w:val="24"/>
              </w:rPr>
              <w:t xml:space="preserve">axis </w:t>
            </w:r>
            <w:r w:rsidRPr="00D76927">
              <w:rPr>
                <w:szCs w:val="24"/>
              </w:rPr>
              <w:t xml:space="preserve">1 will be on addressing the challenges identified in the areas of public health and social welfare sector by enhancing accessibility to and effectiveness of the related services, developing and implementing related lifelong learning programmes, developing and implementing </w:t>
            </w:r>
            <w:r w:rsidR="00AA01FD" w:rsidRPr="00D76927">
              <w:rPr>
                <w:szCs w:val="24"/>
              </w:rPr>
              <w:t xml:space="preserve">education </w:t>
            </w:r>
            <w:r w:rsidRPr="00D76927">
              <w:rPr>
                <w:szCs w:val="24"/>
              </w:rPr>
              <w:t xml:space="preserve">programmes for increasing skills of health and social care workers to better adapt to the real needs of the beneficiaries, implementing actions for improving quality, scope and delivery mechanism of social services provided to users in vulnerable positions as well as support </w:t>
            </w:r>
            <w:r w:rsidR="00AA01FD" w:rsidRPr="00D76927">
              <w:rPr>
                <w:szCs w:val="24"/>
              </w:rPr>
              <w:t xml:space="preserve">to </w:t>
            </w:r>
            <w:r w:rsidRPr="00D76927">
              <w:rPr>
                <w:szCs w:val="24"/>
              </w:rPr>
              <w:t xml:space="preserve">networking activities with aim of enhancing </w:t>
            </w:r>
            <w:r w:rsidR="00D65E7A" w:rsidRPr="00D76927">
              <w:rPr>
                <w:szCs w:val="24"/>
              </w:rPr>
              <w:t xml:space="preserve">health care and </w:t>
            </w:r>
            <w:r w:rsidRPr="00D76927">
              <w:rPr>
                <w:szCs w:val="24"/>
              </w:rPr>
              <w:t xml:space="preserve">social services and facilities. </w:t>
            </w:r>
            <w:r w:rsidR="00731C64" w:rsidRPr="00D76927">
              <w:rPr>
                <w:szCs w:val="24"/>
              </w:rPr>
              <w:t>Furthermore, developing schemes and using ICT tools for establishing networking structures for the purpose of common disaster response across the borders will be the aim of this priority axis in order to tackle the challenge of ineffective health and social care systems in managing preparation and emergency responses to disasters.</w:t>
            </w:r>
          </w:p>
          <w:p w:rsidR="00840606" w:rsidRPr="00D76927" w:rsidRDefault="00840606" w:rsidP="004B40D3">
            <w:pPr>
              <w:spacing w:after="0" w:line="280" w:lineRule="atLeast"/>
              <w:contextualSpacing/>
              <w:rPr>
                <w:szCs w:val="24"/>
              </w:rPr>
            </w:pPr>
          </w:p>
          <w:p w:rsidR="006D78F3" w:rsidRPr="00D76927" w:rsidRDefault="006D78F3" w:rsidP="004B40D3">
            <w:pPr>
              <w:spacing w:after="0" w:line="280" w:lineRule="atLeast"/>
              <w:contextualSpacing/>
              <w:rPr>
                <w:szCs w:val="24"/>
              </w:rPr>
            </w:pPr>
            <w:r w:rsidRPr="00D76927">
              <w:rPr>
                <w:szCs w:val="24"/>
              </w:rPr>
              <w:t xml:space="preserve">According to the </w:t>
            </w:r>
            <w:r w:rsidR="00185E02" w:rsidRPr="00D76927">
              <w:rPr>
                <w:szCs w:val="24"/>
              </w:rPr>
              <w:t xml:space="preserve">specific </w:t>
            </w:r>
            <w:r w:rsidRPr="00D76927">
              <w:rPr>
                <w:szCs w:val="24"/>
              </w:rPr>
              <w:t xml:space="preserve">objective within </w:t>
            </w:r>
            <w:r w:rsidR="00185E02" w:rsidRPr="00D76927">
              <w:rPr>
                <w:szCs w:val="24"/>
              </w:rPr>
              <w:t xml:space="preserve">priority </w:t>
            </w:r>
            <w:r w:rsidRPr="00D76927">
              <w:rPr>
                <w:szCs w:val="24"/>
              </w:rPr>
              <w:t>axis 1</w:t>
            </w:r>
            <w:r w:rsidR="00A11C62" w:rsidRPr="00D76927">
              <w:rPr>
                <w:szCs w:val="24"/>
              </w:rPr>
              <w:t xml:space="preserve">, </w:t>
            </w:r>
            <w:r w:rsidR="008E0757" w:rsidRPr="00D76927">
              <w:rPr>
                <w:szCs w:val="24"/>
              </w:rPr>
              <w:t>following</w:t>
            </w:r>
            <w:r w:rsidR="00A11C62" w:rsidRPr="00D76927">
              <w:rPr>
                <w:szCs w:val="24"/>
              </w:rPr>
              <w:t xml:space="preserve"> actions will be supported:</w:t>
            </w:r>
          </w:p>
          <w:p w:rsidR="00EA55F4" w:rsidRPr="00D76927" w:rsidRDefault="00A11C62" w:rsidP="007947C1">
            <w:pPr>
              <w:pStyle w:val="ListParagraph"/>
              <w:numPr>
                <w:ilvl w:val="0"/>
                <w:numId w:val="32"/>
              </w:numPr>
              <w:spacing w:after="0" w:line="280" w:lineRule="atLeast"/>
              <w:contextualSpacing/>
              <w:rPr>
                <w:rFonts w:cstheme="minorBidi"/>
                <w:szCs w:val="24"/>
                <w:lang w:val="en-US" w:eastAsia="ja-JP"/>
              </w:rPr>
            </w:pPr>
            <w:r w:rsidRPr="00D76927">
              <w:rPr>
                <w:szCs w:val="24"/>
              </w:rPr>
              <w:t xml:space="preserve">Actions to improve </w:t>
            </w:r>
            <w:r w:rsidR="007947C1" w:rsidRPr="00D76927">
              <w:rPr>
                <w:szCs w:val="24"/>
              </w:rPr>
              <w:t>the quality of the services in public health and social care sector across the borders</w:t>
            </w:r>
            <w:r w:rsidR="004F5D32" w:rsidRPr="00D76927">
              <w:rPr>
                <w:szCs w:val="24"/>
              </w:rPr>
              <w:t xml:space="preserve"> </w:t>
            </w:r>
            <w:r w:rsidR="005E29BE" w:rsidRPr="00D76927">
              <w:rPr>
                <w:szCs w:val="24"/>
              </w:rPr>
              <w:t>(as per SO 1.</w:t>
            </w:r>
            <w:r w:rsidR="007947C1" w:rsidRPr="00D76927">
              <w:rPr>
                <w:szCs w:val="24"/>
              </w:rPr>
              <w:t>1.</w:t>
            </w:r>
            <w:r w:rsidR="00EA55F4" w:rsidRPr="00D76927">
              <w:rPr>
                <w:szCs w:val="24"/>
              </w:rPr>
              <w:t xml:space="preserve"> - </w:t>
            </w:r>
            <w:r w:rsidR="00185E02" w:rsidRPr="00D76927">
              <w:rPr>
                <w:szCs w:val="24"/>
              </w:rPr>
              <w:t xml:space="preserve">expected </w:t>
            </w:r>
            <w:r w:rsidR="00EA55F4" w:rsidRPr="00D76927">
              <w:rPr>
                <w:szCs w:val="24"/>
              </w:rPr>
              <w:t>result 1.</w:t>
            </w:r>
            <w:r w:rsidR="007947C1" w:rsidRPr="00D76927">
              <w:rPr>
                <w:szCs w:val="24"/>
              </w:rPr>
              <w:t>1.</w:t>
            </w:r>
            <w:r w:rsidR="00EA55F4" w:rsidRPr="00D76927">
              <w:rPr>
                <w:szCs w:val="24"/>
              </w:rPr>
              <w:t>)</w:t>
            </w:r>
          </w:p>
          <w:p w:rsidR="009E0A1B" w:rsidRPr="00D76927" w:rsidRDefault="009E0A1B" w:rsidP="0075364F">
            <w:pPr>
              <w:spacing w:after="0" w:line="280" w:lineRule="atLeast"/>
              <w:contextualSpacing/>
              <w:rPr>
                <w:i/>
                <w:szCs w:val="24"/>
              </w:rPr>
            </w:pPr>
          </w:p>
          <w:p w:rsidR="009E0A1B" w:rsidRPr="00D76927" w:rsidRDefault="007947C1" w:rsidP="0075364F">
            <w:pPr>
              <w:spacing w:after="0" w:line="280" w:lineRule="atLeast"/>
              <w:contextualSpacing/>
              <w:rPr>
                <w:b/>
                <w:szCs w:val="24"/>
              </w:rPr>
            </w:pPr>
            <w:r w:rsidRPr="00D76927">
              <w:rPr>
                <w:b/>
                <w:szCs w:val="24"/>
              </w:rPr>
              <w:t xml:space="preserve">Actions to improve the quality of the services in public health and social care sector across the borders </w:t>
            </w:r>
          </w:p>
          <w:p w:rsidR="007947C1" w:rsidRPr="00D76927" w:rsidRDefault="007947C1" w:rsidP="0075364F">
            <w:pPr>
              <w:spacing w:after="0" w:line="280" w:lineRule="atLeast"/>
              <w:contextualSpacing/>
              <w:rPr>
                <w:szCs w:val="24"/>
              </w:rPr>
            </w:pPr>
          </w:p>
          <w:p w:rsidR="009E0A1B" w:rsidRPr="00D76927" w:rsidRDefault="009E0A1B" w:rsidP="009E0A1B">
            <w:pPr>
              <w:spacing w:after="0" w:line="280" w:lineRule="atLeast"/>
              <w:contextualSpacing/>
              <w:rPr>
                <w:i/>
                <w:szCs w:val="24"/>
              </w:rPr>
            </w:pPr>
            <w:r w:rsidRPr="00D76927">
              <w:rPr>
                <w:i/>
                <w:szCs w:val="24"/>
              </w:rPr>
              <w:t xml:space="preserve">Examples of actions supported within SO </w:t>
            </w:r>
            <w:r w:rsidR="00545FE4" w:rsidRPr="00D76927">
              <w:rPr>
                <w:i/>
                <w:szCs w:val="24"/>
              </w:rPr>
              <w:t>1</w:t>
            </w:r>
            <w:r w:rsidR="00121906" w:rsidRPr="00D76927">
              <w:rPr>
                <w:i/>
                <w:szCs w:val="24"/>
              </w:rPr>
              <w:t>.</w:t>
            </w:r>
            <w:r w:rsidR="007947C1" w:rsidRPr="00D76927">
              <w:rPr>
                <w:i/>
                <w:szCs w:val="24"/>
              </w:rPr>
              <w:t>1.</w:t>
            </w:r>
            <w:r w:rsidRPr="00D76927">
              <w:rPr>
                <w:i/>
                <w:szCs w:val="24"/>
              </w:rPr>
              <w:t xml:space="preserve"> are:</w:t>
            </w:r>
          </w:p>
          <w:p w:rsidR="00BC380E" w:rsidRPr="00D76927" w:rsidRDefault="00BC380E" w:rsidP="009E0A1B">
            <w:pPr>
              <w:spacing w:after="0" w:line="280" w:lineRule="atLeast"/>
              <w:contextualSpacing/>
              <w:rPr>
                <w:i/>
                <w:szCs w:val="24"/>
              </w:rPr>
            </w:pPr>
          </w:p>
          <w:p w:rsidR="00121906" w:rsidRPr="00D76927" w:rsidRDefault="00121906" w:rsidP="008C262E">
            <w:pPr>
              <w:numPr>
                <w:ilvl w:val="0"/>
                <w:numId w:val="44"/>
              </w:numPr>
              <w:spacing w:after="0" w:line="280" w:lineRule="atLeast"/>
              <w:contextualSpacing/>
              <w:rPr>
                <w:szCs w:val="24"/>
              </w:rPr>
            </w:pPr>
            <w:r w:rsidRPr="00D76927">
              <w:rPr>
                <w:szCs w:val="24"/>
              </w:rPr>
              <w:t>Providing support to public health and social care institutions in improving accessibility and effectiveness (e.g. small infrastructure and equipment), including related pilot projects.</w:t>
            </w:r>
          </w:p>
          <w:p w:rsidR="00121906" w:rsidRPr="00D76927" w:rsidRDefault="00121906" w:rsidP="008C262E">
            <w:pPr>
              <w:numPr>
                <w:ilvl w:val="0"/>
                <w:numId w:val="44"/>
              </w:numPr>
              <w:spacing w:after="0" w:line="280" w:lineRule="atLeast"/>
              <w:contextualSpacing/>
              <w:rPr>
                <w:szCs w:val="24"/>
              </w:rPr>
            </w:pPr>
            <w:r w:rsidRPr="00D76927">
              <w:rPr>
                <w:szCs w:val="24"/>
              </w:rPr>
              <w:t>Implementing ICT solutions in order to improve public health and social care services.</w:t>
            </w:r>
          </w:p>
          <w:p w:rsidR="00121906" w:rsidRPr="00D76927" w:rsidRDefault="00121906" w:rsidP="008C262E">
            <w:pPr>
              <w:numPr>
                <w:ilvl w:val="0"/>
                <w:numId w:val="44"/>
              </w:numPr>
              <w:spacing w:after="0" w:line="280" w:lineRule="atLeast"/>
              <w:contextualSpacing/>
              <w:rPr>
                <w:szCs w:val="24"/>
              </w:rPr>
            </w:pPr>
            <w:r w:rsidRPr="00D76927">
              <w:rPr>
                <w:szCs w:val="24"/>
              </w:rPr>
              <w:t xml:space="preserve">Developing schemes and using ICT tools for establishing networking structures for the purpose of common disaster response across the borders. </w:t>
            </w:r>
          </w:p>
          <w:p w:rsidR="00121906" w:rsidRPr="00D76927" w:rsidRDefault="00121906" w:rsidP="008C262E">
            <w:pPr>
              <w:numPr>
                <w:ilvl w:val="0"/>
                <w:numId w:val="44"/>
              </w:numPr>
              <w:spacing w:after="0" w:line="280" w:lineRule="atLeast"/>
              <w:contextualSpacing/>
              <w:rPr>
                <w:szCs w:val="24"/>
              </w:rPr>
            </w:pPr>
            <w:r w:rsidRPr="00D76927">
              <w:rPr>
                <w:szCs w:val="24"/>
              </w:rPr>
              <w:t>Developing and implementing joint lifelong learning and training programmes addressing skills and needs in the area of health and social care.</w:t>
            </w:r>
          </w:p>
          <w:p w:rsidR="00121906" w:rsidRPr="00D76927" w:rsidRDefault="00121906" w:rsidP="008C262E">
            <w:pPr>
              <w:numPr>
                <w:ilvl w:val="0"/>
                <w:numId w:val="44"/>
              </w:numPr>
              <w:spacing w:after="0" w:line="280" w:lineRule="atLeast"/>
              <w:contextualSpacing/>
              <w:rPr>
                <w:szCs w:val="24"/>
              </w:rPr>
            </w:pPr>
            <w:r w:rsidRPr="00D76927">
              <w:rPr>
                <w:szCs w:val="24"/>
              </w:rPr>
              <w:t xml:space="preserve">Developing and implementing joint activities on enhancing the quality of health </w:t>
            </w:r>
            <w:r w:rsidRPr="00D76927">
              <w:rPr>
                <w:szCs w:val="24"/>
              </w:rPr>
              <w:lastRenderedPageBreak/>
              <w:t>care and social care (e.g. joint health services delivery, promoting healthy lifestyles and active and healthy aging, disease prevention implementation plan, etc.)</w:t>
            </w:r>
          </w:p>
          <w:p w:rsidR="00121906" w:rsidRPr="00D76927" w:rsidRDefault="00121906" w:rsidP="008C262E">
            <w:pPr>
              <w:numPr>
                <w:ilvl w:val="0"/>
                <w:numId w:val="44"/>
              </w:numPr>
              <w:spacing w:after="0" w:line="280" w:lineRule="atLeast"/>
              <w:contextualSpacing/>
              <w:rPr>
                <w:szCs w:val="24"/>
              </w:rPr>
            </w:pPr>
            <w:r w:rsidRPr="00D76927">
              <w:rPr>
                <w:szCs w:val="24"/>
              </w:rPr>
              <w:t>Joint strengthening of health care for vulnerable groups with focus on elderly, palliative care and persons with disabilities.</w:t>
            </w:r>
          </w:p>
          <w:p w:rsidR="00121906" w:rsidRPr="00D76927" w:rsidRDefault="00121906" w:rsidP="008C262E">
            <w:pPr>
              <w:numPr>
                <w:ilvl w:val="0"/>
                <w:numId w:val="44"/>
              </w:numPr>
              <w:spacing w:after="0" w:line="280" w:lineRule="atLeast"/>
              <w:contextualSpacing/>
              <w:rPr>
                <w:szCs w:val="24"/>
              </w:rPr>
            </w:pPr>
            <w:r w:rsidRPr="00D76927">
              <w:rPr>
                <w:szCs w:val="24"/>
              </w:rPr>
              <w:t>Networking of organisations (e.g. health care and social care institutions, family centres, education institutions, etc.) in order to create joint activities for enhancing accessibility to health and social services.</w:t>
            </w:r>
          </w:p>
          <w:p w:rsidR="00121906" w:rsidRPr="00D76927" w:rsidRDefault="00121906" w:rsidP="00AA01FD">
            <w:pPr>
              <w:numPr>
                <w:ilvl w:val="0"/>
                <w:numId w:val="44"/>
              </w:numPr>
              <w:spacing w:after="0" w:line="280" w:lineRule="atLeast"/>
              <w:contextualSpacing/>
              <w:rPr>
                <w:szCs w:val="24"/>
              </w:rPr>
            </w:pPr>
            <w:r w:rsidRPr="00D76927">
              <w:rPr>
                <w:szCs w:val="24"/>
              </w:rPr>
              <w:t>Awareness rising activities in promotion of different types of services available for vulnerable groups.</w:t>
            </w:r>
          </w:p>
          <w:p w:rsidR="006F27EF" w:rsidRPr="00D76927" w:rsidRDefault="005D7739" w:rsidP="0075364F">
            <w:pPr>
              <w:spacing w:after="0" w:line="280" w:lineRule="atLeast"/>
              <w:contextualSpacing/>
              <w:rPr>
                <w:szCs w:val="24"/>
              </w:rPr>
            </w:pPr>
            <w:r w:rsidRPr="00D76927">
              <w:rPr>
                <w:i/>
                <w:szCs w:val="24"/>
              </w:rPr>
              <w:t>Main target groups and types of beneficiaries</w:t>
            </w:r>
          </w:p>
          <w:p w:rsidR="00C125BC" w:rsidRPr="00D76927" w:rsidRDefault="00C125BC" w:rsidP="00C125BC">
            <w:pPr>
              <w:spacing w:after="0" w:line="280" w:lineRule="atLeast"/>
              <w:contextualSpacing/>
              <w:rPr>
                <w:szCs w:val="24"/>
              </w:rPr>
            </w:pPr>
            <w:r w:rsidRPr="00D76927">
              <w:rPr>
                <w:szCs w:val="24"/>
              </w:rPr>
              <w:t>The main target groups to be understood as those individuals and/or organisations positively affected by the activities and results of an operation, though not necessarily being dir</w:t>
            </w:r>
            <w:r w:rsidR="00A34C16" w:rsidRPr="00D76927">
              <w:rPr>
                <w:szCs w:val="24"/>
              </w:rPr>
              <w:t xml:space="preserve">ectly involved in the operation. They </w:t>
            </w:r>
            <w:r w:rsidR="001A1048" w:rsidRPr="00D76927">
              <w:rPr>
                <w:szCs w:val="24"/>
              </w:rPr>
              <w:t>include</w:t>
            </w:r>
            <w:r w:rsidR="00FF3DE8" w:rsidRPr="00D76927">
              <w:rPr>
                <w:szCs w:val="24"/>
              </w:rPr>
              <w:t xml:space="preserve"> </w:t>
            </w:r>
            <w:r w:rsidR="001A1048" w:rsidRPr="00D76927">
              <w:rPr>
                <w:szCs w:val="24"/>
              </w:rPr>
              <w:t>private</w:t>
            </w:r>
            <w:r w:rsidR="00FF3DE8" w:rsidRPr="00D76927">
              <w:rPr>
                <w:szCs w:val="24"/>
              </w:rPr>
              <w:t>,</w:t>
            </w:r>
            <w:r w:rsidR="001A1048" w:rsidRPr="00D76927">
              <w:rPr>
                <w:szCs w:val="24"/>
              </w:rPr>
              <w:t xml:space="preserve"> </w:t>
            </w:r>
            <w:r w:rsidR="00FF3DE8" w:rsidRPr="00D76927">
              <w:rPr>
                <w:szCs w:val="24"/>
              </w:rPr>
              <w:t xml:space="preserve">public </w:t>
            </w:r>
            <w:r w:rsidR="00E22ED9" w:rsidRPr="00D76927">
              <w:rPr>
                <w:szCs w:val="24"/>
              </w:rPr>
              <w:t xml:space="preserve">and civil </w:t>
            </w:r>
            <w:r w:rsidR="001A1048" w:rsidRPr="00D76927">
              <w:rPr>
                <w:szCs w:val="24"/>
              </w:rPr>
              <w:t xml:space="preserve">sector, such as </w:t>
            </w:r>
            <w:r w:rsidR="00E22ED9" w:rsidRPr="00D76927">
              <w:rPr>
                <w:szCs w:val="24"/>
              </w:rPr>
              <w:t xml:space="preserve">enterprises, </w:t>
            </w:r>
            <w:r w:rsidR="001A1048" w:rsidRPr="00D76927">
              <w:rPr>
                <w:szCs w:val="24"/>
              </w:rPr>
              <w:t>policy makers and planners</w:t>
            </w:r>
            <w:r w:rsidR="00FF3DE8" w:rsidRPr="00D76927">
              <w:rPr>
                <w:szCs w:val="24"/>
              </w:rPr>
              <w:t>,</w:t>
            </w:r>
            <w:r w:rsidR="001A1048" w:rsidRPr="00D76927">
              <w:rPr>
                <w:szCs w:val="24"/>
              </w:rPr>
              <w:t xml:space="preserve"> organisations dealing with </w:t>
            </w:r>
            <w:r w:rsidR="00FF3DE8" w:rsidRPr="00D76927">
              <w:rPr>
                <w:szCs w:val="24"/>
              </w:rPr>
              <w:t>health care and social welfare</w:t>
            </w:r>
            <w:r w:rsidR="00A66180" w:rsidRPr="00D76927">
              <w:rPr>
                <w:szCs w:val="24"/>
              </w:rPr>
              <w:t xml:space="preserve"> </w:t>
            </w:r>
            <w:r w:rsidRPr="00D76927">
              <w:rPr>
                <w:szCs w:val="24"/>
              </w:rPr>
              <w:t>as well as all population groups which are affected by the issue.</w:t>
            </w:r>
          </w:p>
          <w:p w:rsidR="00AF7704" w:rsidRPr="00D76927" w:rsidRDefault="00FB0B87" w:rsidP="00C125BC">
            <w:pPr>
              <w:spacing w:after="0" w:line="280" w:lineRule="atLeast"/>
              <w:contextualSpacing/>
              <w:rPr>
                <w:szCs w:val="24"/>
              </w:rPr>
            </w:pPr>
            <w:r w:rsidRPr="00D76927">
              <w:rPr>
                <w:szCs w:val="24"/>
              </w:rPr>
              <w:t>Beneficiaries to be understood as project partners benefitting from programme funds and implementing activities within the operation are all legal personalities that can contribute to i</w:t>
            </w:r>
            <w:r w:rsidR="00EC7241" w:rsidRPr="00D76927">
              <w:rPr>
                <w:szCs w:val="24"/>
              </w:rPr>
              <w:t>mproving facilities</w:t>
            </w:r>
            <w:r w:rsidR="000F005A" w:rsidRPr="00D76927">
              <w:rPr>
                <w:szCs w:val="24"/>
              </w:rPr>
              <w:t xml:space="preserve"> and </w:t>
            </w:r>
            <w:r w:rsidR="00EC7241" w:rsidRPr="00D76927">
              <w:rPr>
                <w:szCs w:val="24"/>
              </w:rPr>
              <w:t>services</w:t>
            </w:r>
            <w:r w:rsidR="000F005A" w:rsidRPr="00D76927">
              <w:rPr>
                <w:szCs w:val="24"/>
              </w:rPr>
              <w:t xml:space="preserve"> in the area of </w:t>
            </w:r>
            <w:r w:rsidR="00EC7241" w:rsidRPr="00D76927">
              <w:rPr>
                <w:szCs w:val="24"/>
              </w:rPr>
              <w:t>public healt</w:t>
            </w:r>
            <w:r w:rsidR="000F005A" w:rsidRPr="00D76927">
              <w:rPr>
                <w:szCs w:val="24"/>
              </w:rPr>
              <w:t>h</w:t>
            </w:r>
            <w:r w:rsidR="007E0EB1" w:rsidRPr="00D76927">
              <w:rPr>
                <w:szCs w:val="24"/>
              </w:rPr>
              <w:t xml:space="preserve"> </w:t>
            </w:r>
            <w:r w:rsidR="000F005A" w:rsidRPr="00D76927">
              <w:rPr>
                <w:szCs w:val="24"/>
              </w:rPr>
              <w:t>care and social sector</w:t>
            </w:r>
            <w:r w:rsidR="00AA01FD" w:rsidRPr="00D76927">
              <w:rPr>
                <w:szCs w:val="24"/>
              </w:rPr>
              <w:t>s</w:t>
            </w:r>
            <w:r w:rsidRPr="00D76927">
              <w:rPr>
                <w:szCs w:val="24"/>
              </w:rPr>
              <w:t xml:space="preserve"> </w:t>
            </w:r>
            <w:r w:rsidR="00AA01FD" w:rsidRPr="00D76927">
              <w:rPr>
                <w:szCs w:val="24"/>
              </w:rPr>
              <w:t>across</w:t>
            </w:r>
            <w:r w:rsidR="003A1F75" w:rsidRPr="00D76927">
              <w:rPr>
                <w:szCs w:val="24"/>
              </w:rPr>
              <w:t xml:space="preserve"> the borders</w:t>
            </w:r>
            <w:r w:rsidRPr="00D76927">
              <w:rPr>
                <w:szCs w:val="24"/>
              </w:rPr>
              <w:t xml:space="preserve">. They comprise amongst others: organisations responsible for providing </w:t>
            </w:r>
            <w:r w:rsidR="0041695E" w:rsidRPr="00D76927">
              <w:rPr>
                <w:szCs w:val="24"/>
              </w:rPr>
              <w:t xml:space="preserve">public health and </w:t>
            </w:r>
            <w:r w:rsidRPr="00D76927">
              <w:rPr>
                <w:szCs w:val="24"/>
              </w:rPr>
              <w:t>soc</w:t>
            </w:r>
            <w:r w:rsidR="008A7CB8" w:rsidRPr="00D76927">
              <w:rPr>
                <w:szCs w:val="24"/>
              </w:rPr>
              <w:t>ial services, public</w:t>
            </w:r>
            <w:r w:rsidRPr="00D76927">
              <w:rPr>
                <w:szCs w:val="24"/>
              </w:rPr>
              <w:t xml:space="preserve">/non-profit organisations including institutes, universities, colleges, educational institutions, public institutions for adult education/learning, </w:t>
            </w:r>
            <w:r w:rsidR="00AA01FD" w:rsidRPr="00D76927">
              <w:rPr>
                <w:szCs w:val="24"/>
              </w:rPr>
              <w:t xml:space="preserve">NGOs, </w:t>
            </w:r>
            <w:r w:rsidRPr="00D76927">
              <w:rPr>
                <w:szCs w:val="24"/>
              </w:rPr>
              <w:t>local and regional government bodies, development agenc</w:t>
            </w:r>
            <w:r w:rsidR="0041695E" w:rsidRPr="00D76927">
              <w:rPr>
                <w:szCs w:val="24"/>
              </w:rPr>
              <w:t>ies</w:t>
            </w:r>
            <w:r w:rsidR="004610D9" w:rsidRPr="00D76927">
              <w:rPr>
                <w:szCs w:val="24"/>
              </w:rPr>
              <w:t>.</w:t>
            </w:r>
          </w:p>
          <w:p w:rsidR="004610D9" w:rsidRPr="00D76927" w:rsidRDefault="004610D9" w:rsidP="00C125BC">
            <w:pPr>
              <w:spacing w:after="0" w:line="280" w:lineRule="atLeast"/>
              <w:contextualSpacing/>
              <w:rPr>
                <w:szCs w:val="24"/>
              </w:rPr>
            </w:pPr>
          </w:p>
          <w:p w:rsidR="009B01E1" w:rsidRPr="00D76927" w:rsidRDefault="009B01E1" w:rsidP="009B01E1">
            <w:pPr>
              <w:spacing w:after="0" w:line="280" w:lineRule="atLeast"/>
              <w:contextualSpacing/>
              <w:rPr>
                <w:i/>
                <w:szCs w:val="24"/>
              </w:rPr>
            </w:pPr>
            <w:r w:rsidRPr="00D76927">
              <w:rPr>
                <w:i/>
                <w:szCs w:val="24"/>
              </w:rPr>
              <w:t>Specific territories targeted</w:t>
            </w:r>
          </w:p>
          <w:p w:rsidR="0000709E" w:rsidRPr="00D76927" w:rsidRDefault="00195843" w:rsidP="009B01E1">
            <w:pPr>
              <w:spacing w:after="0" w:line="280" w:lineRule="atLeast"/>
              <w:contextualSpacing/>
              <w:rPr>
                <w:szCs w:val="24"/>
              </w:rPr>
            </w:pPr>
            <w:r w:rsidRPr="00D76927">
              <w:rPr>
                <w:szCs w:val="24"/>
              </w:rPr>
              <w:t>Taking into a</w:t>
            </w:r>
            <w:r w:rsidR="0000709E" w:rsidRPr="00D76927">
              <w:rPr>
                <w:szCs w:val="24"/>
              </w:rPr>
              <w:t xml:space="preserve">ccount that </w:t>
            </w:r>
            <w:r w:rsidR="0043161B" w:rsidRPr="00D76927">
              <w:rPr>
                <w:szCs w:val="24"/>
              </w:rPr>
              <w:t xml:space="preserve">common </w:t>
            </w:r>
            <w:r w:rsidR="00EA2768" w:rsidRPr="00D76927">
              <w:rPr>
                <w:szCs w:val="24"/>
              </w:rPr>
              <w:t xml:space="preserve">potentials and </w:t>
            </w:r>
            <w:r w:rsidR="0000709E" w:rsidRPr="00D76927">
              <w:rPr>
                <w:szCs w:val="24"/>
              </w:rPr>
              <w:t xml:space="preserve">challenges </w:t>
            </w:r>
            <w:r w:rsidRPr="00D76927">
              <w:rPr>
                <w:szCs w:val="24"/>
              </w:rPr>
              <w:t xml:space="preserve">have been identified </w:t>
            </w:r>
            <w:r w:rsidR="0000709E" w:rsidRPr="00D76927">
              <w:rPr>
                <w:szCs w:val="24"/>
              </w:rPr>
              <w:t>throughout the whole programme area, no specific territories will be targeted</w:t>
            </w:r>
            <w:r w:rsidR="0043161B" w:rsidRPr="00D76927">
              <w:rPr>
                <w:szCs w:val="24"/>
              </w:rPr>
              <w:t xml:space="preserve"> under the Priority axes 1</w:t>
            </w:r>
            <w:r w:rsidR="0000709E" w:rsidRPr="00D76927">
              <w:rPr>
                <w:szCs w:val="24"/>
              </w:rPr>
              <w:t xml:space="preserve">. </w:t>
            </w:r>
          </w:p>
          <w:p w:rsidR="00663BB9" w:rsidRPr="00D76927" w:rsidRDefault="0000709E" w:rsidP="00AA01FD">
            <w:pPr>
              <w:spacing w:after="0" w:line="280" w:lineRule="atLeast"/>
              <w:contextualSpacing/>
              <w:rPr>
                <w:szCs w:val="24"/>
              </w:rPr>
            </w:pPr>
            <w:r w:rsidRPr="00D76927">
              <w:rPr>
                <w:szCs w:val="24"/>
              </w:rPr>
              <w:t>Therefore, t</w:t>
            </w:r>
            <w:r w:rsidR="009B01E1" w:rsidRPr="00D76927">
              <w:rPr>
                <w:szCs w:val="24"/>
              </w:rPr>
              <w:t>he supported actions can be implemented throughout the whole programme area.</w:t>
            </w:r>
          </w:p>
        </w:tc>
      </w:tr>
    </w:tbl>
    <w:p w:rsidR="003A1F75" w:rsidRPr="00B76110" w:rsidRDefault="003A1F75" w:rsidP="00415C35">
      <w:pPr>
        <w:keepNext/>
        <w:spacing w:after="240"/>
        <w:outlineLvl w:val="2"/>
        <w:rPr>
          <w:rFonts w:eastAsia="Times New Roman"/>
          <w:b/>
          <w:i/>
        </w:rPr>
      </w:pPr>
    </w:p>
    <w:p w:rsidR="000B5F72" w:rsidRDefault="00EC0786" w:rsidP="000B5F72">
      <w:pPr>
        <w:keepNext/>
        <w:spacing w:after="240"/>
        <w:ind w:left="720" w:hanging="720"/>
        <w:outlineLvl w:val="2"/>
        <w:rPr>
          <w:rFonts w:eastAsia="Times New Roman"/>
          <w:b/>
          <w:i/>
        </w:rPr>
      </w:pPr>
      <w:r>
        <w:rPr>
          <w:rFonts w:eastAsia="Times New Roman"/>
          <w:b/>
          <w:i/>
        </w:rPr>
        <w:t>2.1</w:t>
      </w:r>
      <w:r w:rsidR="000B5F72" w:rsidRPr="00B76110">
        <w:rPr>
          <w:rFonts w:eastAsia="Times New Roman"/>
          <w:b/>
          <w:i/>
        </w:rPr>
        <w:t>.</w:t>
      </w:r>
      <w:r>
        <w:rPr>
          <w:rFonts w:eastAsia="Times New Roman"/>
          <w:b/>
          <w:i/>
        </w:rPr>
        <w:t>5</w:t>
      </w:r>
      <w:r w:rsidR="000B5F72" w:rsidRPr="00B76110">
        <w:rPr>
          <w:rFonts w:eastAsia="Times New Roman"/>
          <w:b/>
          <w:i/>
        </w:rPr>
        <w:t>.2.</w:t>
      </w:r>
      <w:r w:rsidR="000B5F72">
        <w:rPr>
          <w:rFonts w:eastAsia="Times New Roman"/>
          <w:b/>
          <w:i/>
        </w:rPr>
        <w:t xml:space="preserve"> G</w:t>
      </w:r>
      <w:r w:rsidR="000B5F72" w:rsidRPr="00B76110">
        <w:rPr>
          <w:rFonts w:eastAsia="Times New Roman"/>
          <w:b/>
          <w:i/>
        </w:rPr>
        <w:t>uiding principles for</w:t>
      </w:r>
      <w:r w:rsidR="000B5F72">
        <w:rPr>
          <w:rFonts w:eastAsia="Times New Roman"/>
          <w:b/>
          <w:i/>
        </w:rPr>
        <w:t xml:space="preserve"> </w:t>
      </w:r>
      <w:r w:rsidR="000B5F72" w:rsidRPr="00B76110">
        <w:rPr>
          <w:rFonts w:eastAsia="Times New Roman"/>
          <w:b/>
          <w:i/>
        </w:rPr>
        <w:t xml:space="preserve">the selection of operations </w:t>
      </w:r>
    </w:p>
    <w:p w:rsidR="000B5F72" w:rsidRPr="00567F19" w:rsidRDefault="000B5F72" w:rsidP="000B5F72">
      <w:r w:rsidRPr="00567F19">
        <w:t xml:space="preserve">(Reference: </w:t>
      </w:r>
      <w:r>
        <w:t>point (b)</w:t>
      </w:r>
      <w:r w:rsidR="00294072">
        <w:t xml:space="preserve"> </w:t>
      </w:r>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0B5F72" w:rsidRPr="00D76927" w:rsidTr="0059168F">
        <w:trPr>
          <w:trHeight w:val="518"/>
        </w:trPr>
        <w:tc>
          <w:tcPr>
            <w:tcW w:w="2235" w:type="dxa"/>
            <w:shd w:val="clear" w:color="auto" w:fill="auto"/>
          </w:tcPr>
          <w:p w:rsidR="000B5F72" w:rsidRPr="00D76927" w:rsidRDefault="000B5F72" w:rsidP="000C0BCF">
            <w:pPr>
              <w:spacing w:after="0"/>
              <w:rPr>
                <w:rFonts w:eastAsia="Times New Roman"/>
                <w:i/>
                <w:color w:val="8DB3E2"/>
                <w:szCs w:val="24"/>
              </w:rPr>
            </w:pPr>
            <w:r w:rsidRPr="00D76927">
              <w:rPr>
                <w:rFonts w:eastAsia="Times New Roman"/>
                <w:i/>
                <w:szCs w:val="24"/>
              </w:rPr>
              <w:t>Thematic priority</w:t>
            </w:r>
          </w:p>
        </w:tc>
        <w:tc>
          <w:tcPr>
            <w:tcW w:w="6443" w:type="dxa"/>
            <w:shd w:val="clear" w:color="auto" w:fill="auto"/>
          </w:tcPr>
          <w:p w:rsidR="000C0BCF" w:rsidRPr="00D76927" w:rsidRDefault="00294072" w:rsidP="00294072">
            <w:pPr>
              <w:spacing w:after="0"/>
              <w:rPr>
                <w:rFonts w:eastAsia="Times New Roman"/>
                <w:szCs w:val="24"/>
              </w:rPr>
            </w:pPr>
            <w:r w:rsidRPr="00D76927">
              <w:rPr>
                <w:rFonts w:eastAsia="Times New Roman"/>
                <w:szCs w:val="24"/>
              </w:rPr>
              <w:t xml:space="preserve">TP 1 </w:t>
            </w:r>
            <w:r w:rsidR="000955D2" w:rsidRPr="00D76927">
              <w:rPr>
                <w:szCs w:val="24"/>
              </w:rPr>
              <w:t>Public health and social care sector</w:t>
            </w:r>
          </w:p>
        </w:tc>
      </w:tr>
      <w:tr w:rsidR="000B5F72" w:rsidRPr="00D76927" w:rsidTr="00030E3C">
        <w:trPr>
          <w:trHeight w:val="416"/>
        </w:trPr>
        <w:tc>
          <w:tcPr>
            <w:tcW w:w="8678" w:type="dxa"/>
            <w:gridSpan w:val="2"/>
            <w:shd w:val="clear" w:color="auto" w:fill="auto"/>
          </w:tcPr>
          <w:p w:rsidR="00810163" w:rsidRPr="00EE61C0" w:rsidRDefault="00A0761C" w:rsidP="00810163">
            <w:pPr>
              <w:pStyle w:val="Default"/>
              <w:jc w:val="both"/>
              <w:rPr>
                <w:rFonts w:ascii="Arial" w:hAnsi="Arial" w:cs="Arial"/>
                <w:sz w:val="22"/>
                <w:szCs w:val="22"/>
                <w:lang w:val="en-GB"/>
              </w:rPr>
            </w:pPr>
            <w:r w:rsidRPr="00D76927">
              <w:rPr>
                <w:rFonts w:ascii="Times New Roman" w:eastAsia="Times New Roman" w:hAnsi="Times New Roman" w:cs="Times New Roman"/>
              </w:rPr>
              <w:t>The selection of operations will be carried</w:t>
            </w:r>
            <w:r w:rsidR="00D76927">
              <w:rPr>
                <w:rFonts w:eastAsia="Times New Roman"/>
              </w:rPr>
              <w:t xml:space="preserve"> out in accordance to Article 39</w:t>
            </w:r>
            <w:r w:rsidRPr="00D76927">
              <w:rPr>
                <w:rFonts w:ascii="Times New Roman" w:eastAsia="Times New Roman" w:hAnsi="Times New Roman" w:cs="Times New Roman"/>
              </w:rPr>
              <w:t xml:space="preserve"> of Commission Implementing Regulation (EU) No 447/2014 following a standardised assessment procedure. </w:t>
            </w:r>
            <w:r w:rsidR="00810163" w:rsidRPr="00810163">
              <w:rPr>
                <w:rFonts w:ascii="Times New Roman" w:eastAsia="Times New Roman" w:hAnsi="Times New Roman" w:cs="Times New Roman"/>
              </w:rPr>
              <w:t xml:space="preserve">The methodological framework for the selection of operations includes eligibility check and quality assessment. In case of </w:t>
            </w:r>
            <w:r w:rsidR="00810163">
              <w:rPr>
                <w:rFonts w:ascii="Times New Roman" w:eastAsia="Times New Roman" w:hAnsi="Times New Roman" w:cs="Times New Roman"/>
              </w:rPr>
              <w:t xml:space="preserve">regular </w:t>
            </w:r>
            <w:r w:rsidR="00810163" w:rsidRPr="00810163">
              <w:rPr>
                <w:rFonts w:ascii="Times New Roman" w:eastAsia="Times New Roman" w:hAnsi="Times New Roman" w:cs="Times New Roman"/>
              </w:rPr>
              <w:t>calls for proposals, the quality assessment will consist of 3 sets of predefined criteria: relevance, operational and sustainability criteria.</w:t>
            </w:r>
          </w:p>
          <w:p w:rsidR="00A0761C" w:rsidRPr="00D76927" w:rsidRDefault="00A0761C" w:rsidP="00A0761C">
            <w:pPr>
              <w:spacing w:before="0" w:after="0"/>
              <w:rPr>
                <w:rFonts w:eastAsia="Times New Roman"/>
                <w:szCs w:val="24"/>
              </w:rPr>
            </w:pPr>
          </w:p>
          <w:p w:rsidR="00A0761C" w:rsidRPr="00D76927" w:rsidRDefault="00A0761C" w:rsidP="00A0761C">
            <w:pPr>
              <w:spacing w:before="0" w:after="0"/>
              <w:rPr>
                <w:rFonts w:eastAsia="Times New Roman"/>
                <w:szCs w:val="24"/>
              </w:rPr>
            </w:pPr>
            <w:r w:rsidRPr="00D76927">
              <w:rPr>
                <w:rFonts w:eastAsia="Times New Roman"/>
                <w:b/>
                <w:szCs w:val="24"/>
              </w:rPr>
              <w:t>Relevance criteria</w:t>
            </w:r>
            <w:r w:rsidRPr="00D76927">
              <w:rPr>
                <w:rFonts w:eastAsia="Times New Roman"/>
                <w:szCs w:val="24"/>
              </w:rPr>
              <w:t xml:space="preserve"> allow for assessing the relevance of applications and the extent of their contribution to achieving a specific objective. They are directly linked to the results envisaged within a specific objective and can be summarised as follows: </w:t>
            </w:r>
          </w:p>
          <w:p w:rsidR="00A0761C" w:rsidRPr="00D76927" w:rsidRDefault="00A0761C" w:rsidP="008C262E">
            <w:pPr>
              <w:pStyle w:val="ListParagraph"/>
              <w:numPr>
                <w:ilvl w:val="0"/>
                <w:numId w:val="53"/>
              </w:numPr>
              <w:spacing w:after="0"/>
              <w:rPr>
                <w:szCs w:val="24"/>
              </w:rPr>
            </w:pPr>
            <w:r w:rsidRPr="00D76927">
              <w:rPr>
                <w:szCs w:val="24"/>
              </w:rPr>
              <w:lastRenderedPageBreak/>
              <w:t>Contribution to programme objectives and results, as defined by relevant specific objective</w:t>
            </w:r>
          </w:p>
          <w:p w:rsidR="00A0761C" w:rsidRPr="00D76927" w:rsidRDefault="00A0761C" w:rsidP="008C262E">
            <w:pPr>
              <w:pStyle w:val="ListParagraph"/>
              <w:numPr>
                <w:ilvl w:val="0"/>
                <w:numId w:val="53"/>
              </w:numPr>
              <w:spacing w:after="0"/>
              <w:rPr>
                <w:szCs w:val="24"/>
              </w:rPr>
            </w:pPr>
            <w:r w:rsidRPr="00D76927">
              <w:rPr>
                <w:szCs w:val="24"/>
              </w:rPr>
              <w:t>Contribution to relevant programme indicators</w:t>
            </w:r>
          </w:p>
          <w:p w:rsidR="00A0761C" w:rsidRPr="00D76927" w:rsidRDefault="00A0761C" w:rsidP="008C262E">
            <w:pPr>
              <w:pStyle w:val="ListParagraph"/>
              <w:numPr>
                <w:ilvl w:val="0"/>
                <w:numId w:val="53"/>
              </w:numPr>
              <w:spacing w:after="0"/>
              <w:rPr>
                <w:szCs w:val="24"/>
              </w:rPr>
            </w:pPr>
            <w:r w:rsidRPr="00D76927">
              <w:rPr>
                <w:szCs w:val="24"/>
              </w:rPr>
              <w:t>Coherence of planned activities and outputs with types and examples of actions and outputs, as per relevant priority axis</w:t>
            </w:r>
          </w:p>
          <w:p w:rsidR="00A0761C" w:rsidRPr="00D76927" w:rsidRDefault="00A0761C" w:rsidP="008C262E">
            <w:pPr>
              <w:pStyle w:val="ListParagraph"/>
              <w:numPr>
                <w:ilvl w:val="0"/>
                <w:numId w:val="53"/>
              </w:numPr>
              <w:spacing w:after="0"/>
              <w:rPr>
                <w:szCs w:val="24"/>
              </w:rPr>
            </w:pPr>
            <w:r w:rsidRPr="00D76927">
              <w:rPr>
                <w:szCs w:val="24"/>
              </w:rPr>
              <w:t xml:space="preserve">Coherence of operation relevance to programme area challenges and needs addressed by specific objectives </w:t>
            </w:r>
          </w:p>
          <w:p w:rsidR="00A0761C" w:rsidRPr="00D76927" w:rsidRDefault="00A0761C" w:rsidP="008C262E">
            <w:pPr>
              <w:pStyle w:val="ListParagraph"/>
              <w:numPr>
                <w:ilvl w:val="0"/>
                <w:numId w:val="53"/>
              </w:numPr>
              <w:spacing w:after="0"/>
              <w:rPr>
                <w:szCs w:val="24"/>
              </w:rPr>
            </w:pPr>
            <w:r w:rsidRPr="00D76927">
              <w:rPr>
                <w:szCs w:val="24"/>
              </w:rPr>
              <w:t>Coherence with relevant policies at different level</w:t>
            </w:r>
          </w:p>
          <w:p w:rsidR="00A0761C" w:rsidRPr="00D76927" w:rsidRDefault="00A0761C" w:rsidP="008C262E">
            <w:pPr>
              <w:pStyle w:val="ListParagraph"/>
              <w:numPr>
                <w:ilvl w:val="0"/>
                <w:numId w:val="53"/>
              </w:numPr>
              <w:spacing w:after="0"/>
              <w:rPr>
                <w:szCs w:val="24"/>
              </w:rPr>
            </w:pPr>
            <w:r w:rsidRPr="00D76927">
              <w:rPr>
                <w:szCs w:val="24"/>
              </w:rPr>
              <w:t>Contribution to the requirement of operation delivering clear cross-border impacts and benefits.</w:t>
            </w:r>
          </w:p>
          <w:p w:rsidR="00CC35B0" w:rsidRPr="00D76927" w:rsidRDefault="00A0761C" w:rsidP="008C262E">
            <w:pPr>
              <w:pStyle w:val="ListParagraph"/>
              <w:numPr>
                <w:ilvl w:val="0"/>
                <w:numId w:val="53"/>
              </w:numPr>
              <w:spacing w:after="0"/>
              <w:rPr>
                <w:szCs w:val="24"/>
                <w:lang w:val="en-US" w:eastAsia="ja-JP"/>
              </w:rPr>
            </w:pPr>
            <w:r w:rsidRPr="00D76927">
              <w:rPr>
                <w:szCs w:val="24"/>
              </w:rPr>
              <w:t>Cooperation in the development and implementation of operations</w:t>
            </w:r>
          </w:p>
          <w:p w:rsidR="00A0761C" w:rsidRPr="00D76927" w:rsidRDefault="00A0761C" w:rsidP="008C262E">
            <w:pPr>
              <w:pStyle w:val="ListParagraph"/>
              <w:numPr>
                <w:ilvl w:val="0"/>
                <w:numId w:val="53"/>
              </w:numPr>
              <w:spacing w:after="0"/>
              <w:rPr>
                <w:szCs w:val="24"/>
                <w:lang w:val="en-US" w:eastAsia="ja-JP"/>
              </w:rPr>
            </w:pPr>
            <w:r w:rsidRPr="00D76927">
              <w:rPr>
                <w:szCs w:val="24"/>
              </w:rPr>
              <w:t>In addition, cooperation either in the staffing or the financing or both</w:t>
            </w:r>
          </w:p>
          <w:p w:rsidR="00A0761C" w:rsidRPr="00D76927" w:rsidRDefault="00A0761C" w:rsidP="00A0761C">
            <w:pPr>
              <w:spacing w:before="0" w:after="0"/>
              <w:rPr>
                <w:rFonts w:eastAsia="Times New Roman"/>
                <w:szCs w:val="24"/>
              </w:rPr>
            </w:pPr>
          </w:p>
          <w:p w:rsidR="00A0761C" w:rsidRPr="00D76927" w:rsidRDefault="00A0761C" w:rsidP="00A0761C">
            <w:pPr>
              <w:spacing w:before="0" w:after="0"/>
              <w:rPr>
                <w:rFonts w:eastAsia="Times New Roman"/>
                <w:szCs w:val="24"/>
              </w:rPr>
            </w:pPr>
            <w:r w:rsidRPr="00D76927">
              <w:rPr>
                <w:rFonts w:eastAsia="Times New Roman"/>
                <w:b/>
                <w:szCs w:val="24"/>
              </w:rPr>
              <w:t>Operational criteria</w:t>
            </w:r>
            <w:r w:rsidRPr="00D76927">
              <w:rPr>
                <w:rFonts w:eastAsia="Times New Roman"/>
                <w:szCs w:val="24"/>
              </w:rPr>
              <w:t xml:space="preserve"> allow for assessing the quality of implementation with regard to the feasibility of applications as well as their value for money (invested resources in relation to results delivered). They can be summarised as follows:</w:t>
            </w:r>
          </w:p>
          <w:p w:rsidR="00A0761C" w:rsidRPr="00D76927" w:rsidRDefault="00A0761C" w:rsidP="008C262E">
            <w:pPr>
              <w:pStyle w:val="ListParagraph"/>
              <w:numPr>
                <w:ilvl w:val="0"/>
                <w:numId w:val="54"/>
              </w:numPr>
              <w:spacing w:after="0"/>
              <w:rPr>
                <w:szCs w:val="24"/>
              </w:rPr>
            </w:pPr>
            <w:r w:rsidRPr="00D76927">
              <w:rPr>
                <w:szCs w:val="24"/>
              </w:rPr>
              <w:t>Structure, coherence and transparency of the operation work plan</w:t>
            </w:r>
          </w:p>
          <w:p w:rsidR="00A0761C" w:rsidRPr="00D76927" w:rsidRDefault="00A0761C" w:rsidP="008C262E">
            <w:pPr>
              <w:pStyle w:val="ListParagraph"/>
              <w:numPr>
                <w:ilvl w:val="0"/>
                <w:numId w:val="54"/>
              </w:numPr>
              <w:spacing w:after="0"/>
              <w:rPr>
                <w:szCs w:val="24"/>
              </w:rPr>
            </w:pPr>
            <w:r w:rsidRPr="00D76927">
              <w:rPr>
                <w:szCs w:val="24"/>
              </w:rPr>
              <w:t xml:space="preserve">Correlation between defined problems, activities, objectives and operation indicators </w:t>
            </w:r>
          </w:p>
          <w:p w:rsidR="00A0761C" w:rsidRPr="00D76927" w:rsidRDefault="00A0761C" w:rsidP="008C262E">
            <w:pPr>
              <w:pStyle w:val="ListParagraph"/>
              <w:numPr>
                <w:ilvl w:val="0"/>
                <w:numId w:val="54"/>
              </w:numPr>
              <w:spacing w:after="0"/>
              <w:rPr>
                <w:szCs w:val="24"/>
              </w:rPr>
            </w:pPr>
            <w:r w:rsidRPr="00D76927">
              <w:rPr>
                <w:szCs w:val="24"/>
              </w:rPr>
              <w:t>Operation communication and capitalisation strategy and activities</w:t>
            </w:r>
          </w:p>
          <w:p w:rsidR="00A0761C" w:rsidRPr="00D76927" w:rsidRDefault="00A0761C" w:rsidP="008C262E">
            <w:pPr>
              <w:pStyle w:val="ListParagraph"/>
              <w:numPr>
                <w:ilvl w:val="0"/>
                <w:numId w:val="54"/>
              </w:numPr>
              <w:spacing w:after="0"/>
              <w:rPr>
                <w:szCs w:val="24"/>
              </w:rPr>
            </w:pPr>
            <w:r w:rsidRPr="00D76927">
              <w:rPr>
                <w:szCs w:val="24"/>
              </w:rPr>
              <w:t>Coherence of the budget with project work plan and value for money</w:t>
            </w:r>
          </w:p>
          <w:p w:rsidR="00A0761C" w:rsidRPr="00D76927" w:rsidRDefault="00A0761C" w:rsidP="008C262E">
            <w:pPr>
              <w:pStyle w:val="ListParagraph"/>
              <w:numPr>
                <w:ilvl w:val="0"/>
                <w:numId w:val="54"/>
              </w:numPr>
              <w:spacing w:after="0"/>
              <w:rPr>
                <w:szCs w:val="24"/>
              </w:rPr>
            </w:pPr>
            <w:r w:rsidRPr="00D76927">
              <w:rPr>
                <w:szCs w:val="24"/>
              </w:rPr>
              <w:t>Structures and procedures set in place for the daily management of operations</w:t>
            </w:r>
          </w:p>
          <w:p w:rsidR="00A0761C" w:rsidRPr="00D76927" w:rsidRDefault="00A0761C" w:rsidP="001571A9">
            <w:pPr>
              <w:spacing w:after="0"/>
              <w:rPr>
                <w:szCs w:val="24"/>
              </w:rPr>
            </w:pPr>
            <w:r w:rsidRPr="00D76927">
              <w:rPr>
                <w:b/>
                <w:szCs w:val="24"/>
              </w:rPr>
              <w:t>Sustainability criteria</w:t>
            </w:r>
            <w:r w:rsidRPr="00D76927">
              <w:rPr>
                <w:szCs w:val="24"/>
              </w:rPr>
              <w:t xml:space="preserve"> allow for assessing the quality of sustainability factors such as added value or horizontal issues. They can be summarised as follows:</w:t>
            </w:r>
          </w:p>
          <w:p w:rsidR="00A0761C" w:rsidRPr="00D76927" w:rsidRDefault="00A0761C" w:rsidP="008C262E">
            <w:pPr>
              <w:pStyle w:val="ListParagraph"/>
              <w:numPr>
                <w:ilvl w:val="0"/>
                <w:numId w:val="54"/>
              </w:numPr>
              <w:spacing w:after="0"/>
              <w:rPr>
                <w:szCs w:val="24"/>
              </w:rPr>
            </w:pPr>
            <w:r w:rsidRPr="00D76927">
              <w:rPr>
                <w:szCs w:val="24"/>
              </w:rPr>
              <w:t>The project is expected to have a long lasting effect</w:t>
            </w:r>
          </w:p>
          <w:p w:rsidR="00A0761C" w:rsidRPr="00D76927" w:rsidRDefault="00A0761C" w:rsidP="008C262E">
            <w:pPr>
              <w:pStyle w:val="ListParagraph"/>
              <w:numPr>
                <w:ilvl w:val="0"/>
                <w:numId w:val="54"/>
              </w:numPr>
              <w:spacing w:after="0"/>
              <w:rPr>
                <w:szCs w:val="24"/>
              </w:rPr>
            </w:pPr>
            <w:r w:rsidRPr="00D76927">
              <w:rPr>
                <w:szCs w:val="24"/>
              </w:rPr>
              <w:t>The project is having an added value, is building on previous activities, is not repeating exactly the same activities in the same area.</w:t>
            </w:r>
          </w:p>
          <w:p w:rsidR="00A0761C" w:rsidRPr="00D76927" w:rsidRDefault="00A0761C" w:rsidP="008C262E">
            <w:pPr>
              <w:pStyle w:val="ListParagraph"/>
              <w:numPr>
                <w:ilvl w:val="0"/>
                <w:numId w:val="54"/>
              </w:numPr>
              <w:spacing w:after="0"/>
              <w:rPr>
                <w:szCs w:val="24"/>
              </w:rPr>
            </w:pPr>
            <w:r w:rsidRPr="00D76927">
              <w:rPr>
                <w:szCs w:val="24"/>
              </w:rPr>
              <w:t>The project is contributing to the horizontal issues (sustainable development, gender equality, etc.)</w:t>
            </w:r>
          </w:p>
          <w:p w:rsidR="00A0761C" w:rsidRPr="00D76927" w:rsidRDefault="00A0761C" w:rsidP="00A0761C">
            <w:pPr>
              <w:spacing w:before="0" w:after="0"/>
              <w:rPr>
                <w:rFonts w:eastAsia="Times New Roman"/>
                <w:szCs w:val="24"/>
              </w:rPr>
            </w:pPr>
          </w:p>
          <w:p w:rsidR="00A0761C" w:rsidRPr="00D76927" w:rsidRDefault="00A0761C" w:rsidP="00A0761C">
            <w:pPr>
              <w:spacing w:before="0" w:after="0"/>
              <w:rPr>
                <w:rFonts w:eastAsia="Times New Roman"/>
                <w:szCs w:val="24"/>
              </w:rPr>
            </w:pPr>
            <w:r w:rsidRPr="00D76927">
              <w:rPr>
                <w:rFonts w:eastAsia="Times New Roman"/>
                <w:szCs w:val="24"/>
              </w:rPr>
              <w:t>Detailed quality assessment criteria will be laid down and made available to applicants in call specific documents. The assessment will be conducted by qualified</w:t>
            </w:r>
            <w:r w:rsidR="001571A9" w:rsidRPr="00D76927">
              <w:rPr>
                <w:rFonts w:eastAsia="Times New Roman"/>
                <w:szCs w:val="24"/>
              </w:rPr>
              <w:t xml:space="preserve"> independent</w:t>
            </w:r>
            <w:r w:rsidRPr="00D76927">
              <w:rPr>
                <w:rFonts w:eastAsia="Times New Roman"/>
                <w:szCs w:val="24"/>
              </w:rPr>
              <w:t xml:space="preserve"> assessors, in line with the required expertise.</w:t>
            </w:r>
          </w:p>
          <w:p w:rsidR="00A0761C" w:rsidRDefault="00A0761C" w:rsidP="00A0761C">
            <w:pPr>
              <w:spacing w:before="0" w:after="0"/>
              <w:rPr>
                <w:rFonts w:eastAsia="Times New Roman"/>
                <w:szCs w:val="24"/>
              </w:rPr>
            </w:pPr>
          </w:p>
          <w:p w:rsidR="00810163" w:rsidRPr="00810163" w:rsidRDefault="00810163" w:rsidP="00810163">
            <w:pPr>
              <w:spacing w:before="0" w:after="0"/>
              <w:rPr>
                <w:rFonts w:eastAsia="Times New Roman"/>
                <w:szCs w:val="24"/>
              </w:rPr>
            </w:pPr>
            <w:r w:rsidRPr="00810163">
              <w:rPr>
                <w:rFonts w:eastAsia="Times New Roman"/>
                <w:szCs w:val="24"/>
              </w:rPr>
              <w:t>In cases when the achievement of programme results requires implementation of targeted or strategic actions, JMC may decide to implement strategic projects or to launch targeted/strategic calls. A</w:t>
            </w:r>
            <w:r>
              <w:rPr>
                <w:rFonts w:eastAsia="Times New Roman"/>
                <w:szCs w:val="24"/>
              </w:rPr>
              <w:t>n operation</w:t>
            </w:r>
            <w:r w:rsidRPr="00810163">
              <w:rPr>
                <w:rFonts w:eastAsia="Times New Roman"/>
                <w:szCs w:val="24"/>
              </w:rPr>
              <w:t xml:space="preserve"> that is critical to achieve the </w:t>
            </w:r>
            <w:r w:rsidR="009A7987">
              <w:rPr>
                <w:rFonts w:eastAsia="Times New Roman"/>
                <w:szCs w:val="24"/>
              </w:rPr>
              <w:t xml:space="preserve">expected </w:t>
            </w:r>
            <w:r w:rsidRPr="00810163">
              <w:rPr>
                <w:rFonts w:eastAsia="Times New Roman"/>
                <w:szCs w:val="24"/>
              </w:rPr>
              <w:t xml:space="preserve">results of the programme is considered as strategic </w:t>
            </w:r>
            <w:r>
              <w:rPr>
                <w:rFonts w:eastAsia="Times New Roman"/>
                <w:szCs w:val="24"/>
              </w:rPr>
              <w:t>operation</w:t>
            </w:r>
            <w:r w:rsidRPr="00810163">
              <w:rPr>
                <w:rFonts w:eastAsia="Times New Roman"/>
                <w:szCs w:val="24"/>
              </w:rPr>
              <w:t>.</w:t>
            </w:r>
          </w:p>
          <w:p w:rsidR="00810163" w:rsidRPr="00D76927" w:rsidRDefault="00810163" w:rsidP="00A0761C">
            <w:pPr>
              <w:spacing w:before="0" w:after="0"/>
              <w:rPr>
                <w:rFonts w:eastAsia="Times New Roman"/>
                <w:szCs w:val="24"/>
              </w:rPr>
            </w:pPr>
          </w:p>
          <w:p w:rsidR="00A0761C" w:rsidRPr="00D76927" w:rsidRDefault="00A0761C" w:rsidP="00A0761C">
            <w:pPr>
              <w:spacing w:before="0" w:after="0"/>
              <w:rPr>
                <w:rFonts w:eastAsia="Times New Roman"/>
                <w:szCs w:val="24"/>
              </w:rPr>
            </w:pPr>
            <w:r w:rsidRPr="00D76927">
              <w:rPr>
                <w:rFonts w:eastAsia="Times New Roman"/>
                <w:szCs w:val="24"/>
              </w:rPr>
              <w:t xml:space="preserve">In case of </w:t>
            </w:r>
            <w:r w:rsidR="00810163">
              <w:rPr>
                <w:rFonts w:eastAsia="Times New Roman"/>
                <w:szCs w:val="24"/>
              </w:rPr>
              <w:t>targeted/</w:t>
            </w:r>
            <w:r w:rsidRPr="00D76927">
              <w:rPr>
                <w:rFonts w:eastAsia="Times New Roman"/>
                <w:szCs w:val="24"/>
              </w:rPr>
              <w:t>strategic calls for proposals, the methodological framework for selection of strategic operations will include the following sets of criteria:</w:t>
            </w:r>
          </w:p>
          <w:p w:rsidR="00810163" w:rsidRDefault="00810163" w:rsidP="00A0761C">
            <w:pPr>
              <w:spacing w:before="0" w:after="0"/>
              <w:rPr>
                <w:rFonts w:eastAsia="Times New Roman"/>
                <w:b/>
                <w:szCs w:val="24"/>
              </w:rPr>
            </w:pPr>
          </w:p>
          <w:p w:rsidR="00A0761C" w:rsidRPr="00D76927" w:rsidRDefault="00A0761C" w:rsidP="00A0761C">
            <w:pPr>
              <w:spacing w:before="0" w:after="0"/>
              <w:rPr>
                <w:rFonts w:eastAsia="Times New Roman"/>
                <w:szCs w:val="24"/>
              </w:rPr>
            </w:pPr>
            <w:r w:rsidRPr="00D76927">
              <w:rPr>
                <w:rFonts w:eastAsia="Times New Roman"/>
                <w:b/>
                <w:szCs w:val="24"/>
              </w:rPr>
              <w:t>Strategic criteria</w:t>
            </w:r>
            <w:r w:rsidRPr="00D76927">
              <w:rPr>
                <w:rFonts w:eastAsia="Times New Roman"/>
                <w:szCs w:val="24"/>
              </w:rPr>
              <w:t>:</w:t>
            </w:r>
          </w:p>
          <w:p w:rsidR="00A0761C" w:rsidRPr="00D76927" w:rsidRDefault="00A0761C" w:rsidP="00803720">
            <w:pPr>
              <w:pStyle w:val="ListParagraph"/>
              <w:numPr>
                <w:ilvl w:val="0"/>
                <w:numId w:val="55"/>
              </w:numPr>
              <w:spacing w:after="0"/>
              <w:rPr>
                <w:szCs w:val="24"/>
              </w:rPr>
            </w:pPr>
            <w:r w:rsidRPr="00D76927">
              <w:rPr>
                <w:szCs w:val="24"/>
              </w:rPr>
              <w:t>The Monitoring Committee considers an operation as strategic one</w:t>
            </w:r>
          </w:p>
          <w:p w:rsidR="00A0761C" w:rsidRPr="00D76927" w:rsidRDefault="00A0761C" w:rsidP="00803720">
            <w:pPr>
              <w:pStyle w:val="ListParagraph"/>
              <w:numPr>
                <w:ilvl w:val="0"/>
                <w:numId w:val="55"/>
              </w:numPr>
              <w:spacing w:after="0"/>
              <w:rPr>
                <w:szCs w:val="24"/>
              </w:rPr>
            </w:pPr>
            <w:r w:rsidRPr="00D76927">
              <w:rPr>
                <w:szCs w:val="24"/>
              </w:rPr>
              <w:t>The operation is considered to be crucial to realise the objectives of the CBC programme</w:t>
            </w:r>
          </w:p>
          <w:p w:rsidR="00A0761C" w:rsidRPr="00810163" w:rsidRDefault="00A0761C" w:rsidP="00810163">
            <w:pPr>
              <w:spacing w:after="0"/>
              <w:rPr>
                <w:szCs w:val="24"/>
              </w:rPr>
            </w:pPr>
            <w:r w:rsidRPr="00810163">
              <w:rPr>
                <w:b/>
                <w:szCs w:val="24"/>
              </w:rPr>
              <w:t>Relevance criteria</w:t>
            </w:r>
            <w:r w:rsidRPr="00810163">
              <w:rPr>
                <w:szCs w:val="24"/>
              </w:rPr>
              <w:t xml:space="preserve">: </w:t>
            </w:r>
          </w:p>
          <w:p w:rsidR="00A0761C" w:rsidRPr="00D76927" w:rsidRDefault="00A0761C" w:rsidP="00803720">
            <w:pPr>
              <w:pStyle w:val="ListParagraph"/>
              <w:numPr>
                <w:ilvl w:val="0"/>
                <w:numId w:val="55"/>
              </w:numPr>
              <w:spacing w:after="0"/>
              <w:rPr>
                <w:szCs w:val="24"/>
              </w:rPr>
            </w:pPr>
            <w:r w:rsidRPr="00D76927">
              <w:rPr>
                <w:szCs w:val="24"/>
              </w:rPr>
              <w:lastRenderedPageBreak/>
              <w:t>Contribution to programme objectives and results, as defined by relevant specific objective</w:t>
            </w:r>
          </w:p>
          <w:p w:rsidR="00A0761C" w:rsidRPr="00D76927" w:rsidRDefault="00A0761C" w:rsidP="00803720">
            <w:pPr>
              <w:pStyle w:val="ListParagraph"/>
              <w:numPr>
                <w:ilvl w:val="0"/>
                <w:numId w:val="55"/>
              </w:numPr>
              <w:spacing w:after="0"/>
              <w:rPr>
                <w:szCs w:val="24"/>
              </w:rPr>
            </w:pPr>
            <w:r w:rsidRPr="00D76927">
              <w:rPr>
                <w:szCs w:val="24"/>
              </w:rPr>
              <w:t>Contribution to relevant programme indicators</w:t>
            </w:r>
          </w:p>
          <w:p w:rsidR="00A0761C" w:rsidRPr="00D76927" w:rsidRDefault="00A0761C" w:rsidP="00803720">
            <w:pPr>
              <w:pStyle w:val="ListParagraph"/>
              <w:numPr>
                <w:ilvl w:val="0"/>
                <w:numId w:val="55"/>
              </w:numPr>
              <w:spacing w:after="0"/>
              <w:rPr>
                <w:szCs w:val="24"/>
              </w:rPr>
            </w:pPr>
            <w:r w:rsidRPr="00D76927">
              <w:rPr>
                <w:szCs w:val="24"/>
              </w:rPr>
              <w:t>Coherence of planned activities and outputs with types and examples of actions and outputs, as per relevant priority axis</w:t>
            </w:r>
          </w:p>
          <w:p w:rsidR="00A0761C" w:rsidRPr="00D76927" w:rsidRDefault="00A0761C" w:rsidP="00803720">
            <w:pPr>
              <w:pStyle w:val="ListParagraph"/>
              <w:numPr>
                <w:ilvl w:val="0"/>
                <w:numId w:val="55"/>
              </w:numPr>
              <w:spacing w:after="0"/>
              <w:rPr>
                <w:szCs w:val="24"/>
              </w:rPr>
            </w:pPr>
            <w:r w:rsidRPr="00D76927">
              <w:rPr>
                <w:szCs w:val="24"/>
              </w:rPr>
              <w:t xml:space="preserve">Coherence of operation relevance to programme area challenges and needs addressed by specific objectives </w:t>
            </w:r>
          </w:p>
          <w:p w:rsidR="00A0761C" w:rsidRPr="00D76927" w:rsidRDefault="00A0761C" w:rsidP="00803720">
            <w:pPr>
              <w:pStyle w:val="ListParagraph"/>
              <w:numPr>
                <w:ilvl w:val="0"/>
                <w:numId w:val="55"/>
              </w:numPr>
              <w:spacing w:after="0"/>
              <w:rPr>
                <w:szCs w:val="24"/>
              </w:rPr>
            </w:pPr>
            <w:r w:rsidRPr="00D76927">
              <w:rPr>
                <w:szCs w:val="24"/>
              </w:rPr>
              <w:t>Coherence with relevant policies at different level</w:t>
            </w:r>
          </w:p>
          <w:p w:rsidR="00A0761C" w:rsidRPr="00D76927" w:rsidRDefault="00A0761C" w:rsidP="00803720">
            <w:pPr>
              <w:pStyle w:val="ListParagraph"/>
              <w:numPr>
                <w:ilvl w:val="0"/>
                <w:numId w:val="55"/>
              </w:numPr>
              <w:spacing w:after="0"/>
              <w:rPr>
                <w:szCs w:val="24"/>
              </w:rPr>
            </w:pPr>
            <w:r w:rsidRPr="00D76927">
              <w:rPr>
                <w:szCs w:val="24"/>
              </w:rPr>
              <w:t>Contribution to the requirement of operation delivering clear cross-border impacts and benefits.</w:t>
            </w:r>
          </w:p>
          <w:p w:rsidR="00F81932" w:rsidRPr="00D76927" w:rsidRDefault="00A0761C" w:rsidP="00803720">
            <w:pPr>
              <w:pStyle w:val="ListParagraph"/>
              <w:numPr>
                <w:ilvl w:val="0"/>
                <w:numId w:val="55"/>
              </w:numPr>
              <w:spacing w:after="0"/>
              <w:rPr>
                <w:szCs w:val="24"/>
                <w:lang w:val="en-US" w:eastAsia="ja-JP"/>
              </w:rPr>
            </w:pPr>
            <w:r w:rsidRPr="00D76927">
              <w:rPr>
                <w:szCs w:val="24"/>
              </w:rPr>
              <w:t>Cooperation in the development and implementation of operations</w:t>
            </w:r>
          </w:p>
          <w:p w:rsidR="00A0761C" w:rsidRPr="00D76927" w:rsidRDefault="00A0761C" w:rsidP="00803720">
            <w:pPr>
              <w:pStyle w:val="ListParagraph"/>
              <w:numPr>
                <w:ilvl w:val="0"/>
                <w:numId w:val="55"/>
              </w:numPr>
              <w:spacing w:after="0"/>
              <w:rPr>
                <w:szCs w:val="24"/>
                <w:lang w:val="en-US" w:eastAsia="ja-JP"/>
              </w:rPr>
            </w:pPr>
            <w:r w:rsidRPr="00D76927">
              <w:rPr>
                <w:szCs w:val="24"/>
              </w:rPr>
              <w:t>In addition, cooperation either in the staffing or the financing or both</w:t>
            </w:r>
          </w:p>
          <w:p w:rsidR="00A0761C" w:rsidRPr="00D76927" w:rsidRDefault="00A0761C" w:rsidP="00A0761C">
            <w:pPr>
              <w:spacing w:before="0" w:after="0"/>
              <w:rPr>
                <w:rFonts w:eastAsia="Times New Roman"/>
                <w:szCs w:val="24"/>
              </w:rPr>
            </w:pPr>
          </w:p>
          <w:p w:rsidR="00A0761C" w:rsidRPr="00D76927" w:rsidRDefault="00A0761C" w:rsidP="00A0761C">
            <w:pPr>
              <w:spacing w:before="0" w:after="0"/>
              <w:rPr>
                <w:rFonts w:eastAsia="Times New Roman"/>
                <w:szCs w:val="24"/>
              </w:rPr>
            </w:pPr>
            <w:r w:rsidRPr="00D76927">
              <w:rPr>
                <w:rFonts w:eastAsia="Times New Roman"/>
                <w:b/>
                <w:szCs w:val="24"/>
              </w:rPr>
              <w:t>Operational criteria</w:t>
            </w:r>
            <w:r w:rsidRPr="00D76927">
              <w:rPr>
                <w:rFonts w:eastAsia="Times New Roman"/>
                <w:szCs w:val="24"/>
              </w:rPr>
              <w:t xml:space="preserve"> allow for assessing the quality of implementation with regard to the feasibility of applications as well as their value for money (invested resources in relation to results delivered). They can be summarised as follows:</w:t>
            </w:r>
          </w:p>
          <w:p w:rsidR="00A0761C" w:rsidRPr="00D76927" w:rsidRDefault="00A0761C" w:rsidP="00810163">
            <w:pPr>
              <w:pStyle w:val="ListParagraph"/>
              <w:numPr>
                <w:ilvl w:val="0"/>
                <w:numId w:val="55"/>
              </w:numPr>
              <w:spacing w:after="0"/>
              <w:rPr>
                <w:szCs w:val="24"/>
              </w:rPr>
            </w:pPr>
            <w:r w:rsidRPr="00D76927">
              <w:rPr>
                <w:szCs w:val="24"/>
              </w:rPr>
              <w:t>Structure, coherence and transparency of the operation work plan</w:t>
            </w:r>
          </w:p>
          <w:p w:rsidR="00A0761C" w:rsidRPr="00D76927" w:rsidRDefault="00A0761C" w:rsidP="00810163">
            <w:pPr>
              <w:pStyle w:val="ListParagraph"/>
              <w:numPr>
                <w:ilvl w:val="0"/>
                <w:numId w:val="55"/>
              </w:numPr>
              <w:spacing w:after="0"/>
              <w:rPr>
                <w:szCs w:val="24"/>
              </w:rPr>
            </w:pPr>
            <w:r w:rsidRPr="00D76927">
              <w:rPr>
                <w:szCs w:val="24"/>
              </w:rPr>
              <w:t xml:space="preserve">Correlation between defined problems, activities, objectives and operation indicators </w:t>
            </w:r>
          </w:p>
          <w:p w:rsidR="00A0761C" w:rsidRPr="00D76927" w:rsidRDefault="00A0761C" w:rsidP="00810163">
            <w:pPr>
              <w:pStyle w:val="ListParagraph"/>
              <w:numPr>
                <w:ilvl w:val="0"/>
                <w:numId w:val="55"/>
              </w:numPr>
              <w:spacing w:after="0"/>
              <w:rPr>
                <w:szCs w:val="24"/>
              </w:rPr>
            </w:pPr>
            <w:r w:rsidRPr="00D76927">
              <w:rPr>
                <w:szCs w:val="24"/>
              </w:rPr>
              <w:t>Operation communication and capitalisation strategy and activities</w:t>
            </w:r>
          </w:p>
          <w:p w:rsidR="00A0761C" w:rsidRPr="00D76927" w:rsidRDefault="00A0761C" w:rsidP="00810163">
            <w:pPr>
              <w:pStyle w:val="ListParagraph"/>
              <w:numPr>
                <w:ilvl w:val="0"/>
                <w:numId w:val="55"/>
              </w:numPr>
              <w:spacing w:after="0"/>
              <w:rPr>
                <w:szCs w:val="24"/>
              </w:rPr>
            </w:pPr>
            <w:r w:rsidRPr="00D76927">
              <w:rPr>
                <w:szCs w:val="24"/>
              </w:rPr>
              <w:t>Coherence of the budget with project work plan and value for money</w:t>
            </w:r>
          </w:p>
          <w:p w:rsidR="00A0761C" w:rsidRPr="00D76927" w:rsidRDefault="00A0761C" w:rsidP="00810163">
            <w:pPr>
              <w:pStyle w:val="ListParagraph"/>
              <w:numPr>
                <w:ilvl w:val="0"/>
                <w:numId w:val="55"/>
              </w:numPr>
              <w:spacing w:after="0"/>
              <w:rPr>
                <w:szCs w:val="24"/>
              </w:rPr>
            </w:pPr>
            <w:r w:rsidRPr="00D76927">
              <w:rPr>
                <w:szCs w:val="24"/>
              </w:rPr>
              <w:t>Structures and procedures set in place for the daily management of operations</w:t>
            </w:r>
          </w:p>
          <w:p w:rsidR="00A0761C" w:rsidRPr="00D76927" w:rsidRDefault="00A0761C" w:rsidP="00A0761C">
            <w:pPr>
              <w:spacing w:before="0" w:after="0"/>
              <w:rPr>
                <w:rFonts w:eastAsia="Times New Roman"/>
                <w:szCs w:val="24"/>
              </w:rPr>
            </w:pPr>
          </w:p>
          <w:p w:rsidR="00A0761C" w:rsidRPr="00D76927" w:rsidRDefault="00A0761C" w:rsidP="00A0761C">
            <w:pPr>
              <w:spacing w:before="0" w:after="0"/>
              <w:rPr>
                <w:rFonts w:eastAsia="Times New Roman"/>
                <w:szCs w:val="24"/>
              </w:rPr>
            </w:pPr>
            <w:r w:rsidRPr="00D76927">
              <w:rPr>
                <w:rFonts w:eastAsia="Times New Roman"/>
                <w:b/>
                <w:szCs w:val="24"/>
              </w:rPr>
              <w:t>Sustainability criteria</w:t>
            </w:r>
            <w:r w:rsidRPr="00D76927">
              <w:rPr>
                <w:rFonts w:eastAsia="Times New Roman"/>
                <w:szCs w:val="24"/>
              </w:rPr>
              <w:t xml:space="preserve"> allow for assessing the quality of sustainability factors such as added value or horizontal issues. They can be summarised as follows:</w:t>
            </w:r>
          </w:p>
          <w:p w:rsidR="00A0761C" w:rsidRPr="00D76927" w:rsidRDefault="00A0761C" w:rsidP="00810163">
            <w:pPr>
              <w:pStyle w:val="ListParagraph"/>
              <w:numPr>
                <w:ilvl w:val="0"/>
                <w:numId w:val="55"/>
              </w:numPr>
              <w:spacing w:after="0"/>
              <w:rPr>
                <w:szCs w:val="24"/>
              </w:rPr>
            </w:pPr>
            <w:r w:rsidRPr="00D76927">
              <w:rPr>
                <w:szCs w:val="24"/>
              </w:rPr>
              <w:t>The project is expected to have a long lasting effect</w:t>
            </w:r>
          </w:p>
          <w:p w:rsidR="00A0761C" w:rsidRPr="00D76927" w:rsidRDefault="00A0761C" w:rsidP="00810163">
            <w:pPr>
              <w:pStyle w:val="ListParagraph"/>
              <w:numPr>
                <w:ilvl w:val="0"/>
                <w:numId w:val="55"/>
              </w:numPr>
              <w:spacing w:after="0"/>
              <w:rPr>
                <w:szCs w:val="24"/>
              </w:rPr>
            </w:pPr>
            <w:r w:rsidRPr="00D76927">
              <w:rPr>
                <w:szCs w:val="24"/>
              </w:rPr>
              <w:t>The project is having an added value, is building on previous activities, is not repeating exactly the same activities in the same area.</w:t>
            </w:r>
          </w:p>
          <w:p w:rsidR="000B5F72" w:rsidRPr="00D76927" w:rsidRDefault="00A0761C" w:rsidP="00810163">
            <w:pPr>
              <w:pStyle w:val="ListParagraph"/>
              <w:numPr>
                <w:ilvl w:val="0"/>
                <w:numId w:val="55"/>
              </w:numPr>
              <w:spacing w:after="0"/>
              <w:rPr>
                <w:szCs w:val="24"/>
              </w:rPr>
            </w:pPr>
            <w:r w:rsidRPr="00D76927">
              <w:rPr>
                <w:szCs w:val="24"/>
              </w:rPr>
              <w:t>The project is contributing to the horizontal issues (sustainable development, gender equality, etc.)</w:t>
            </w:r>
          </w:p>
        </w:tc>
      </w:tr>
    </w:tbl>
    <w:p w:rsidR="00DE0643" w:rsidRPr="00B76110" w:rsidRDefault="00DE0643" w:rsidP="000B5F72">
      <w:pPr>
        <w:tabs>
          <w:tab w:val="left" w:pos="2302"/>
        </w:tabs>
        <w:spacing w:after="240"/>
        <w:rPr>
          <w:rFonts w:eastAsia="Times New Roman"/>
          <w:szCs w:val="24"/>
        </w:rPr>
      </w:pPr>
    </w:p>
    <w:p w:rsidR="000B5F72" w:rsidRDefault="00EC0786" w:rsidP="000B5F72">
      <w:r>
        <w:rPr>
          <w:rFonts w:eastAsia="Times New Roman"/>
          <w:b/>
          <w:i/>
        </w:rPr>
        <w:t>2.1</w:t>
      </w:r>
      <w:r w:rsidR="000B5F72" w:rsidRPr="00B76110">
        <w:rPr>
          <w:rFonts w:eastAsia="Times New Roman"/>
          <w:b/>
          <w:i/>
        </w:rPr>
        <w:t>.</w:t>
      </w:r>
      <w:r>
        <w:rPr>
          <w:rFonts w:eastAsia="Times New Roman"/>
          <w:b/>
          <w:i/>
        </w:rPr>
        <w:t>5</w:t>
      </w:r>
      <w:r w:rsidR="000B5F72" w:rsidRPr="00B76110">
        <w:rPr>
          <w:rFonts w:eastAsia="Times New Roman"/>
          <w:b/>
          <w:i/>
        </w:rPr>
        <w:t xml:space="preserve">.3. </w:t>
      </w:r>
      <w:r w:rsidR="000B5F72">
        <w:rPr>
          <w:rFonts w:eastAsia="Times New Roman"/>
          <w:b/>
          <w:i/>
        </w:rPr>
        <w:t>P</w:t>
      </w:r>
      <w:r w:rsidR="000B5F72" w:rsidRPr="00B76110">
        <w:rPr>
          <w:rFonts w:eastAsia="Times New Roman"/>
          <w:b/>
          <w:i/>
        </w:rPr>
        <w:t xml:space="preserve">lanned use of financial instruments </w:t>
      </w:r>
      <w:r w:rsidR="000B5F72">
        <w:t xml:space="preserve">(where appropriate) </w:t>
      </w:r>
    </w:p>
    <w:p w:rsidR="000B5F72" w:rsidRPr="00567F19" w:rsidRDefault="000B5F72" w:rsidP="000B5F72">
      <w:r w:rsidRPr="00567F19">
        <w:t xml:space="preserve">(Reference: </w:t>
      </w:r>
      <w:r>
        <w:t>point (b)</w:t>
      </w:r>
      <w:r w:rsidR="00400D63">
        <w:t xml:space="preserve"> </w:t>
      </w:r>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0B5F72" w:rsidRPr="00B76110" w:rsidTr="0059168F">
        <w:trPr>
          <w:trHeight w:val="518"/>
        </w:trPr>
        <w:tc>
          <w:tcPr>
            <w:tcW w:w="4339" w:type="dxa"/>
            <w:shd w:val="clear" w:color="auto" w:fill="auto"/>
          </w:tcPr>
          <w:p w:rsidR="000B5F72" w:rsidRPr="00B76110" w:rsidRDefault="000B5F72" w:rsidP="0059168F">
            <w:pPr>
              <w:spacing w:after="240"/>
              <w:rPr>
                <w:rFonts w:eastAsia="Times New Roman"/>
                <w:i/>
                <w:color w:val="8DB3E2"/>
                <w:sz w:val="18"/>
                <w:szCs w:val="18"/>
              </w:rPr>
            </w:pPr>
            <w:r>
              <w:rPr>
                <w:rFonts w:eastAsia="Times New Roman"/>
                <w:i/>
              </w:rPr>
              <w:t>Thematic</w:t>
            </w:r>
            <w:r w:rsidRPr="00B76110">
              <w:rPr>
                <w:rFonts w:eastAsia="Times New Roman"/>
                <w:i/>
              </w:rPr>
              <w:t xml:space="preserve"> </w:t>
            </w:r>
            <w:r>
              <w:rPr>
                <w:rFonts w:eastAsia="Times New Roman"/>
                <w:i/>
              </w:rPr>
              <w:t>p</w:t>
            </w:r>
            <w:r w:rsidRPr="00B76110">
              <w:rPr>
                <w:rFonts w:eastAsia="Times New Roman"/>
                <w:i/>
              </w:rPr>
              <w:t>riority</w:t>
            </w:r>
          </w:p>
        </w:tc>
        <w:tc>
          <w:tcPr>
            <w:tcW w:w="4339" w:type="dxa"/>
            <w:shd w:val="clear" w:color="auto" w:fill="auto"/>
          </w:tcPr>
          <w:p w:rsidR="000B5F72" w:rsidRPr="00B76110" w:rsidRDefault="00810163" w:rsidP="00810163">
            <w:pPr>
              <w:spacing w:after="240"/>
              <w:rPr>
                <w:rFonts w:eastAsia="Times New Roman"/>
                <w:i/>
                <w:color w:val="8DB3E2"/>
                <w:sz w:val="18"/>
                <w:szCs w:val="18"/>
              </w:rPr>
            </w:pPr>
            <w:r>
              <w:rPr>
                <w:rFonts w:eastAsia="Times New Roman"/>
                <w:szCs w:val="24"/>
              </w:rPr>
              <w:t>PA 1 (TP 1)</w:t>
            </w:r>
          </w:p>
        </w:tc>
      </w:tr>
      <w:tr w:rsidR="000B5F72" w:rsidRPr="00B76110" w:rsidTr="0059168F">
        <w:trPr>
          <w:trHeight w:val="379"/>
        </w:trPr>
        <w:tc>
          <w:tcPr>
            <w:tcW w:w="4339" w:type="dxa"/>
            <w:shd w:val="clear" w:color="auto" w:fill="auto"/>
          </w:tcPr>
          <w:p w:rsidR="000B5F72" w:rsidRPr="00B76110" w:rsidRDefault="000B5F72" w:rsidP="0059168F">
            <w:pPr>
              <w:spacing w:after="240"/>
              <w:rPr>
                <w:rFonts w:eastAsia="Times New Roman"/>
                <w:i/>
                <w:color w:val="8DB3E2"/>
                <w:sz w:val="18"/>
                <w:szCs w:val="18"/>
              </w:rPr>
            </w:pPr>
            <w:r w:rsidRPr="00B76110">
              <w:rPr>
                <w:rFonts w:eastAsia="Times New Roman"/>
                <w:i/>
              </w:rPr>
              <w:t>Planned use of financial instruments</w:t>
            </w:r>
          </w:p>
        </w:tc>
        <w:tc>
          <w:tcPr>
            <w:tcW w:w="4339" w:type="dxa"/>
            <w:shd w:val="clear" w:color="auto" w:fill="auto"/>
          </w:tcPr>
          <w:p w:rsidR="000B5F72" w:rsidRPr="00DE0643" w:rsidRDefault="00400D63" w:rsidP="0059168F">
            <w:pPr>
              <w:spacing w:after="240"/>
              <w:rPr>
                <w:rFonts w:eastAsia="Times New Roman"/>
                <w:color w:val="8DB3E2"/>
                <w:szCs w:val="24"/>
              </w:rPr>
            </w:pPr>
            <w:r>
              <w:rPr>
                <w:rFonts w:eastAsia="Times New Roman"/>
                <w:szCs w:val="24"/>
              </w:rPr>
              <w:t>N/A</w:t>
            </w:r>
          </w:p>
        </w:tc>
      </w:tr>
      <w:tr w:rsidR="000B5F72" w:rsidRPr="00B76110" w:rsidTr="0041684A">
        <w:trPr>
          <w:trHeight w:val="476"/>
        </w:trPr>
        <w:tc>
          <w:tcPr>
            <w:tcW w:w="8678" w:type="dxa"/>
            <w:gridSpan w:val="2"/>
            <w:shd w:val="clear" w:color="auto" w:fill="auto"/>
          </w:tcPr>
          <w:p w:rsidR="000B5F72" w:rsidRPr="0041684A" w:rsidRDefault="00400D63" w:rsidP="0041684A">
            <w:pPr>
              <w:spacing w:after="0"/>
              <w:rPr>
                <w:rFonts w:eastAsia="Times New Roman"/>
                <w:szCs w:val="24"/>
              </w:rPr>
            </w:pPr>
            <w:r w:rsidRPr="00400D63">
              <w:rPr>
                <w:rFonts w:eastAsia="Times New Roman"/>
                <w:szCs w:val="24"/>
              </w:rPr>
              <w:t>N/A</w:t>
            </w:r>
          </w:p>
        </w:tc>
      </w:tr>
    </w:tbl>
    <w:p w:rsidR="000B5F72" w:rsidRDefault="000B5F72" w:rsidP="000B5F72">
      <w:pPr>
        <w:keepNext/>
        <w:spacing w:after="240"/>
        <w:ind w:left="851" w:hanging="851"/>
        <w:outlineLvl w:val="2"/>
        <w:rPr>
          <w:rFonts w:eastAsia="Times New Roman"/>
          <w:b/>
          <w:i/>
        </w:rPr>
      </w:pPr>
    </w:p>
    <w:p w:rsidR="000B5F72" w:rsidRPr="00B76110" w:rsidRDefault="000B5F72" w:rsidP="00D17A3D">
      <w:pPr>
        <w:tabs>
          <w:tab w:val="left" w:pos="720"/>
        </w:tabs>
        <w:rPr>
          <w:rFonts w:eastAsia="Times New Roman"/>
          <w:b/>
        </w:rPr>
        <w:sectPr w:rsidR="000B5F72" w:rsidRPr="00B76110" w:rsidSect="006A4BDD">
          <w:headerReference w:type="default" r:id="rId15"/>
          <w:footerReference w:type="default" r:id="rId16"/>
          <w:headerReference w:type="first" r:id="rId17"/>
          <w:footerReference w:type="first" r:id="rId18"/>
          <w:pgSz w:w="11906" w:h="16838"/>
          <w:pgMar w:top="1021" w:right="1418" w:bottom="1021" w:left="1418" w:header="601" w:footer="1077" w:gutter="0"/>
          <w:cols w:space="720"/>
          <w:docGrid w:linePitch="326"/>
        </w:sectPr>
      </w:pPr>
    </w:p>
    <w:p w:rsidR="00EC0786" w:rsidRDefault="00EC0786" w:rsidP="00567F19">
      <w:pPr>
        <w:rPr>
          <w:b/>
        </w:rPr>
      </w:pPr>
      <w:r>
        <w:rPr>
          <w:b/>
        </w:rPr>
        <w:lastRenderedPageBreak/>
        <w:t xml:space="preserve">2.1.6 Common and programme specific indicators </w:t>
      </w:r>
    </w:p>
    <w:p w:rsidR="00EC0786" w:rsidRPr="00567F19" w:rsidRDefault="00EC0786" w:rsidP="00EC0786">
      <w:r w:rsidRPr="00567F19">
        <w:t>(</w:t>
      </w:r>
      <w:r w:rsidRPr="00FE0561">
        <w:t xml:space="preserve">Reference: point (b)(ii) </w:t>
      </w:r>
      <w:r>
        <w:t>and (b)</w:t>
      </w:r>
      <w:r w:rsidRPr="00EC0786">
        <w:t xml:space="preserve">(iv) </w:t>
      </w:r>
      <w:r w:rsidRPr="00FE0561">
        <w:t>of Article 8(2) of Regulation (EU) No 1299/2013</w:t>
      </w:r>
      <w:r>
        <w:t xml:space="preserve"> and Article 2(2) of IPA II Implementing Regulation</w:t>
      </w:r>
      <w:r w:rsidRPr="00567F19">
        <w:t>)</w:t>
      </w:r>
    </w:p>
    <w:p w:rsidR="00EC0786" w:rsidRDefault="00EC0786" w:rsidP="00567F19">
      <w:pPr>
        <w:rPr>
          <w:b/>
          <w:i/>
        </w:rPr>
      </w:pPr>
    </w:p>
    <w:p w:rsidR="00EC0786" w:rsidRPr="00A366E4" w:rsidRDefault="00EC0786" w:rsidP="00567F19">
      <w:pPr>
        <w:rPr>
          <w:b/>
          <w:i/>
        </w:rPr>
      </w:pPr>
      <w:r w:rsidRPr="00A366E4">
        <w:rPr>
          <w:b/>
          <w:i/>
        </w:rPr>
        <w:t xml:space="preserve">2.1.6.1 Priority axis </w:t>
      </w:r>
      <w:r>
        <w:rPr>
          <w:b/>
          <w:i/>
        </w:rPr>
        <w:t>result</w:t>
      </w:r>
      <w:r w:rsidRPr="00A366E4">
        <w:rPr>
          <w:b/>
          <w:i/>
        </w:rPr>
        <w:t xml:space="preserve"> indicators (programme specific)</w:t>
      </w:r>
    </w:p>
    <w:p w:rsidR="00972AEF" w:rsidRDefault="00FB701A" w:rsidP="00567F19">
      <w:r w:rsidRPr="00567F19">
        <w:rPr>
          <w:b/>
        </w:rPr>
        <w:t xml:space="preserve">Table 3: Programme </w:t>
      </w:r>
      <w:r w:rsidR="008B1BD4" w:rsidRPr="00567F19">
        <w:rPr>
          <w:b/>
        </w:rPr>
        <w:t>specific result indicator</w:t>
      </w:r>
      <w:r w:rsidR="00EF32FA" w:rsidRPr="00567F19">
        <w:rPr>
          <w:b/>
        </w:rPr>
        <w:t>s</w:t>
      </w:r>
      <w:r w:rsidR="008B1BD4" w:rsidRPr="00B76110">
        <w:t xml:space="preserve"> </w:t>
      </w:r>
    </w:p>
    <w:tbl>
      <w:tblPr>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2286"/>
        <w:gridCol w:w="1910"/>
        <w:gridCol w:w="1674"/>
        <w:gridCol w:w="1397"/>
        <w:gridCol w:w="2123"/>
        <w:gridCol w:w="1698"/>
        <w:gridCol w:w="1277"/>
      </w:tblGrid>
      <w:tr w:rsidR="00FB701A" w:rsidRPr="00B76110" w:rsidTr="00D17A3D">
        <w:trPr>
          <w:trHeight w:val="531"/>
        </w:trPr>
        <w:tc>
          <w:tcPr>
            <w:tcW w:w="486" w:type="pct"/>
            <w:tcBorders>
              <w:top w:val="single" w:sz="4" w:space="0" w:color="auto"/>
              <w:left w:val="single" w:sz="4" w:space="0" w:color="auto"/>
              <w:bottom w:val="single" w:sz="4" w:space="0" w:color="auto"/>
              <w:right w:val="single" w:sz="4" w:space="0" w:color="auto"/>
            </w:tcBorders>
          </w:tcPr>
          <w:p w:rsidR="00FB701A" w:rsidRPr="00B76110" w:rsidRDefault="00FB701A" w:rsidP="00D17A3D">
            <w:pPr>
              <w:tabs>
                <w:tab w:val="left" w:pos="720"/>
              </w:tabs>
              <w:rPr>
                <w:rFonts w:eastAsia="Times New Roman"/>
                <w:b/>
                <w:sz w:val="18"/>
                <w:szCs w:val="18"/>
              </w:rPr>
            </w:pPr>
            <w:r w:rsidRPr="00B76110">
              <w:rPr>
                <w:rFonts w:eastAsia="Times New Roman"/>
                <w:b/>
                <w:sz w:val="18"/>
                <w:szCs w:val="18"/>
              </w:rPr>
              <w:t>ID</w:t>
            </w:r>
          </w:p>
        </w:tc>
        <w:tc>
          <w:tcPr>
            <w:tcW w:w="834" w:type="pct"/>
            <w:tcBorders>
              <w:top w:val="single" w:sz="4" w:space="0" w:color="auto"/>
              <w:left w:val="single" w:sz="4" w:space="0" w:color="auto"/>
              <w:bottom w:val="single" w:sz="4" w:space="0" w:color="auto"/>
              <w:right w:val="single" w:sz="4" w:space="0" w:color="auto"/>
            </w:tcBorders>
            <w:hideMark/>
          </w:tcPr>
          <w:p w:rsidR="00FB701A" w:rsidRPr="00B76110" w:rsidRDefault="00FB701A" w:rsidP="00D17A3D">
            <w:pPr>
              <w:tabs>
                <w:tab w:val="left" w:pos="720"/>
              </w:tabs>
              <w:rPr>
                <w:rFonts w:eastAsia="Times New Roman"/>
                <w:b/>
                <w:sz w:val="18"/>
                <w:szCs w:val="18"/>
              </w:rPr>
            </w:pPr>
            <w:r w:rsidRPr="00B76110">
              <w:rPr>
                <w:rFonts w:eastAsia="Times New Roman"/>
                <w:b/>
                <w:sz w:val="18"/>
                <w:szCs w:val="18"/>
              </w:rPr>
              <w:t xml:space="preserve">Indicator </w:t>
            </w:r>
          </w:p>
        </w:tc>
        <w:tc>
          <w:tcPr>
            <w:tcW w:w="697" w:type="pct"/>
            <w:tcBorders>
              <w:top w:val="single" w:sz="4" w:space="0" w:color="auto"/>
              <w:left w:val="single" w:sz="4" w:space="0" w:color="auto"/>
              <w:bottom w:val="single" w:sz="4" w:space="0" w:color="auto"/>
              <w:right w:val="single" w:sz="4" w:space="0" w:color="auto"/>
            </w:tcBorders>
            <w:hideMark/>
          </w:tcPr>
          <w:p w:rsidR="00FB701A" w:rsidRPr="00B76110" w:rsidRDefault="00FB701A" w:rsidP="00D17A3D">
            <w:pPr>
              <w:snapToGrid w:val="0"/>
              <w:rPr>
                <w:rFonts w:eastAsia="Times New Roman"/>
                <w:b/>
                <w:sz w:val="18"/>
                <w:szCs w:val="18"/>
              </w:rPr>
            </w:pPr>
            <w:r w:rsidRPr="00B76110">
              <w:rPr>
                <w:rFonts w:eastAsia="Times New Roman"/>
                <w:b/>
                <w:sz w:val="18"/>
                <w:szCs w:val="18"/>
              </w:rPr>
              <w:t xml:space="preserve">Measurement </w:t>
            </w:r>
            <w:r w:rsidR="008B1BD4">
              <w:rPr>
                <w:rFonts w:eastAsia="Times New Roman"/>
                <w:b/>
                <w:sz w:val="18"/>
                <w:szCs w:val="18"/>
              </w:rPr>
              <w:t>u</w:t>
            </w:r>
            <w:r w:rsidRPr="00B76110">
              <w:rPr>
                <w:rFonts w:eastAsia="Times New Roman"/>
                <w:b/>
                <w:sz w:val="18"/>
                <w:szCs w:val="18"/>
              </w:rPr>
              <w:t>nit</w:t>
            </w:r>
          </w:p>
        </w:tc>
        <w:tc>
          <w:tcPr>
            <w:tcW w:w="611" w:type="pct"/>
            <w:tcBorders>
              <w:top w:val="single" w:sz="4" w:space="0" w:color="auto"/>
              <w:left w:val="single" w:sz="4" w:space="0" w:color="auto"/>
              <w:bottom w:val="single" w:sz="4" w:space="0" w:color="auto"/>
              <w:right w:val="single" w:sz="4" w:space="0" w:color="auto"/>
            </w:tcBorders>
            <w:hideMark/>
          </w:tcPr>
          <w:p w:rsidR="00FB701A" w:rsidRPr="00B76110" w:rsidRDefault="00FB701A" w:rsidP="00D17A3D">
            <w:pPr>
              <w:tabs>
                <w:tab w:val="left" w:pos="720"/>
              </w:tabs>
              <w:rPr>
                <w:rFonts w:eastAsia="Times New Roman"/>
                <w:b/>
                <w:sz w:val="18"/>
                <w:szCs w:val="18"/>
              </w:rPr>
            </w:pPr>
            <w:r w:rsidRPr="00B76110">
              <w:rPr>
                <w:rFonts w:eastAsia="Times New Roman"/>
                <w:b/>
                <w:sz w:val="18"/>
                <w:szCs w:val="18"/>
              </w:rPr>
              <w:t xml:space="preserve">Baseline </w:t>
            </w:r>
            <w:r w:rsidR="008B1BD4">
              <w:rPr>
                <w:rFonts w:eastAsia="Times New Roman"/>
                <w:b/>
                <w:sz w:val="18"/>
                <w:szCs w:val="18"/>
              </w:rPr>
              <w:t>v</w:t>
            </w:r>
            <w:r w:rsidRPr="00B76110">
              <w:rPr>
                <w:rFonts w:eastAsia="Times New Roman"/>
                <w:b/>
                <w:sz w:val="18"/>
                <w:szCs w:val="18"/>
              </w:rPr>
              <w:t xml:space="preserve">alue </w:t>
            </w:r>
          </w:p>
        </w:tc>
        <w:tc>
          <w:tcPr>
            <w:tcW w:w="510" w:type="pct"/>
            <w:tcBorders>
              <w:top w:val="single" w:sz="4" w:space="0" w:color="auto"/>
              <w:left w:val="single" w:sz="4" w:space="0" w:color="auto"/>
              <w:bottom w:val="single" w:sz="4" w:space="0" w:color="auto"/>
              <w:right w:val="single" w:sz="4" w:space="0" w:color="auto"/>
            </w:tcBorders>
            <w:hideMark/>
          </w:tcPr>
          <w:p w:rsidR="00FB701A" w:rsidRPr="00B76110" w:rsidRDefault="00FB701A" w:rsidP="00D17A3D">
            <w:pPr>
              <w:snapToGrid w:val="0"/>
              <w:rPr>
                <w:rFonts w:eastAsia="Times New Roman"/>
                <w:b/>
                <w:sz w:val="18"/>
                <w:szCs w:val="18"/>
              </w:rPr>
            </w:pPr>
            <w:r w:rsidRPr="00B76110">
              <w:rPr>
                <w:rFonts w:eastAsia="Times New Roman"/>
                <w:b/>
                <w:sz w:val="18"/>
                <w:szCs w:val="18"/>
              </w:rPr>
              <w:t xml:space="preserve">Baseline </w:t>
            </w:r>
            <w:r w:rsidR="008B1BD4">
              <w:rPr>
                <w:rFonts w:eastAsia="Times New Roman"/>
                <w:b/>
                <w:sz w:val="18"/>
                <w:szCs w:val="18"/>
              </w:rPr>
              <w:t>y</w:t>
            </w:r>
            <w:r w:rsidRPr="00B76110">
              <w:rPr>
                <w:rFonts w:eastAsia="Times New Roman"/>
                <w:b/>
                <w:sz w:val="18"/>
                <w:szCs w:val="18"/>
              </w:rPr>
              <w:t>ear</w:t>
            </w:r>
          </w:p>
        </w:tc>
        <w:tc>
          <w:tcPr>
            <w:tcW w:w="775" w:type="pct"/>
            <w:tcBorders>
              <w:top w:val="single" w:sz="4" w:space="0" w:color="auto"/>
              <w:left w:val="single" w:sz="4" w:space="0" w:color="auto"/>
              <w:bottom w:val="single" w:sz="4" w:space="0" w:color="auto"/>
              <w:right w:val="single" w:sz="4" w:space="0" w:color="auto"/>
            </w:tcBorders>
            <w:hideMark/>
          </w:tcPr>
          <w:p w:rsidR="00FB701A" w:rsidRPr="00B76110" w:rsidRDefault="00FB701A" w:rsidP="00B76110">
            <w:pPr>
              <w:tabs>
                <w:tab w:val="left" w:pos="720"/>
              </w:tabs>
              <w:rPr>
                <w:rFonts w:eastAsia="Times New Roman"/>
                <w:b/>
                <w:sz w:val="18"/>
                <w:szCs w:val="18"/>
              </w:rPr>
            </w:pPr>
            <w:r w:rsidRPr="00B76110">
              <w:rPr>
                <w:rFonts w:eastAsia="Times New Roman"/>
                <w:b/>
                <w:sz w:val="18"/>
                <w:szCs w:val="18"/>
              </w:rPr>
              <w:t xml:space="preserve">Target </w:t>
            </w:r>
            <w:r w:rsidR="008B1BD4">
              <w:rPr>
                <w:rFonts w:eastAsia="Times New Roman"/>
                <w:b/>
                <w:sz w:val="18"/>
                <w:szCs w:val="18"/>
              </w:rPr>
              <w:t>v</w:t>
            </w:r>
            <w:r w:rsidRPr="00B76110">
              <w:rPr>
                <w:rFonts w:eastAsia="Times New Roman"/>
                <w:b/>
                <w:sz w:val="18"/>
                <w:szCs w:val="18"/>
              </w:rPr>
              <w:t>alue (2023)</w:t>
            </w:r>
            <w:r w:rsidR="00EF32FA">
              <w:rPr>
                <w:rStyle w:val="FootnoteReference"/>
                <w:rFonts w:eastAsia="Times New Roman"/>
                <w:b/>
                <w:sz w:val="18"/>
                <w:szCs w:val="18"/>
              </w:rPr>
              <w:footnoteReference w:id="1"/>
            </w:r>
            <w:r w:rsidRPr="00B76110">
              <w:rPr>
                <w:rFonts w:eastAsia="Times New Roman"/>
                <w:b/>
                <w:sz w:val="18"/>
                <w:szCs w:val="18"/>
              </w:rPr>
              <w:t xml:space="preserve"> </w:t>
            </w:r>
          </w:p>
        </w:tc>
        <w:tc>
          <w:tcPr>
            <w:tcW w:w="620" w:type="pct"/>
            <w:tcBorders>
              <w:top w:val="single" w:sz="4" w:space="0" w:color="auto"/>
              <w:left w:val="single" w:sz="4" w:space="0" w:color="auto"/>
              <w:bottom w:val="single" w:sz="4" w:space="0" w:color="auto"/>
              <w:right w:val="single" w:sz="4" w:space="0" w:color="auto"/>
            </w:tcBorders>
            <w:hideMark/>
          </w:tcPr>
          <w:p w:rsidR="00FB701A" w:rsidRPr="00B76110" w:rsidRDefault="00FB701A" w:rsidP="00D17A3D">
            <w:pPr>
              <w:tabs>
                <w:tab w:val="left" w:pos="720"/>
              </w:tabs>
              <w:rPr>
                <w:rFonts w:eastAsia="Times New Roman"/>
                <w:b/>
                <w:sz w:val="18"/>
                <w:szCs w:val="18"/>
              </w:rPr>
            </w:pPr>
            <w:r w:rsidRPr="00B76110">
              <w:rPr>
                <w:rFonts w:eastAsia="Times New Roman"/>
                <w:b/>
                <w:sz w:val="18"/>
                <w:szCs w:val="18"/>
              </w:rPr>
              <w:t xml:space="preserve">Source of </w:t>
            </w:r>
            <w:r w:rsidR="008B1BD4">
              <w:rPr>
                <w:rFonts w:eastAsia="Times New Roman"/>
                <w:b/>
                <w:sz w:val="18"/>
                <w:szCs w:val="18"/>
              </w:rPr>
              <w:t>d</w:t>
            </w:r>
            <w:r w:rsidRPr="00B76110">
              <w:rPr>
                <w:rFonts w:eastAsia="Times New Roman"/>
                <w:b/>
                <w:sz w:val="18"/>
                <w:szCs w:val="18"/>
              </w:rPr>
              <w:t>ata</w:t>
            </w:r>
          </w:p>
        </w:tc>
        <w:tc>
          <w:tcPr>
            <w:tcW w:w="466" w:type="pct"/>
            <w:tcBorders>
              <w:top w:val="single" w:sz="4" w:space="0" w:color="auto"/>
              <w:left w:val="single" w:sz="4" w:space="0" w:color="auto"/>
              <w:bottom w:val="single" w:sz="4" w:space="0" w:color="auto"/>
              <w:right w:val="single" w:sz="4" w:space="0" w:color="auto"/>
            </w:tcBorders>
          </w:tcPr>
          <w:p w:rsidR="00FB701A" w:rsidRPr="00B76110" w:rsidRDefault="00FB701A" w:rsidP="00D17A3D">
            <w:pPr>
              <w:tabs>
                <w:tab w:val="left" w:pos="720"/>
              </w:tabs>
              <w:rPr>
                <w:rFonts w:eastAsia="Times New Roman"/>
                <w:b/>
                <w:sz w:val="18"/>
                <w:szCs w:val="18"/>
              </w:rPr>
            </w:pPr>
            <w:r w:rsidRPr="00B76110">
              <w:rPr>
                <w:rFonts w:eastAsia="Times New Roman"/>
                <w:b/>
                <w:sz w:val="18"/>
                <w:szCs w:val="18"/>
              </w:rPr>
              <w:t>Frequency of reporting</w:t>
            </w:r>
          </w:p>
        </w:tc>
      </w:tr>
      <w:tr w:rsidR="00C12589" w:rsidRPr="00C12589" w:rsidTr="00447B8F">
        <w:trPr>
          <w:trHeight w:val="870"/>
        </w:trPr>
        <w:tc>
          <w:tcPr>
            <w:tcW w:w="486" w:type="pct"/>
            <w:tcBorders>
              <w:top w:val="single" w:sz="4" w:space="0" w:color="auto"/>
              <w:left w:val="single" w:sz="4" w:space="0" w:color="auto"/>
              <w:bottom w:val="single" w:sz="4" w:space="0" w:color="auto"/>
              <w:right w:val="single" w:sz="4" w:space="0" w:color="auto"/>
            </w:tcBorders>
            <w:vAlign w:val="center"/>
          </w:tcPr>
          <w:p w:rsidR="00C12589" w:rsidRPr="00AB336D" w:rsidRDefault="00704D45" w:rsidP="00F514A1">
            <w:pPr>
              <w:tabs>
                <w:tab w:val="left" w:pos="720"/>
              </w:tabs>
              <w:rPr>
                <w:rFonts w:eastAsia="Times New Roman"/>
                <w:sz w:val="20"/>
              </w:rPr>
            </w:pPr>
            <w:r w:rsidRPr="00AB336D">
              <w:rPr>
                <w:rFonts w:eastAsia="Times New Roman"/>
                <w:sz w:val="20"/>
              </w:rPr>
              <w:t>PA 1</w:t>
            </w:r>
          </w:p>
        </w:tc>
        <w:tc>
          <w:tcPr>
            <w:tcW w:w="834" w:type="pct"/>
            <w:tcBorders>
              <w:top w:val="single" w:sz="4" w:space="0" w:color="auto"/>
              <w:left w:val="single" w:sz="4" w:space="0" w:color="auto"/>
              <w:bottom w:val="single" w:sz="4" w:space="0" w:color="auto"/>
              <w:right w:val="single" w:sz="4" w:space="0" w:color="auto"/>
            </w:tcBorders>
            <w:vAlign w:val="center"/>
          </w:tcPr>
          <w:p w:rsidR="00C12589" w:rsidRPr="00AB336D" w:rsidRDefault="00B94F10" w:rsidP="00F514A1">
            <w:pPr>
              <w:tabs>
                <w:tab w:val="left" w:pos="720"/>
              </w:tabs>
              <w:rPr>
                <w:rFonts w:eastAsia="Times New Roman"/>
                <w:sz w:val="20"/>
              </w:rPr>
            </w:pPr>
            <w:r w:rsidRPr="00B94F10">
              <w:rPr>
                <w:rFonts w:eastAsia="Times New Roman"/>
                <w:sz w:val="20"/>
              </w:rPr>
              <w:t>Percentage of institutions providing improved public health care or social care services</w:t>
            </w:r>
            <w:r>
              <w:rPr>
                <w:rFonts w:eastAsia="Times New Roman"/>
                <w:sz w:val="20"/>
              </w:rPr>
              <w:t xml:space="preserve"> </w:t>
            </w:r>
            <w:r w:rsidRPr="00B94F10">
              <w:rPr>
                <w:rFonts w:eastAsia="Times New Roman"/>
                <w:sz w:val="20"/>
              </w:rPr>
              <w:t>in the programme area</w:t>
            </w:r>
            <w:r w:rsidRPr="00B94F10" w:rsidDel="0066751A">
              <w:rPr>
                <w:rFonts w:eastAsia="Times New Roman"/>
                <w:sz w:val="20"/>
              </w:rPr>
              <w:t xml:space="preserve"> </w:t>
            </w:r>
          </w:p>
        </w:tc>
        <w:tc>
          <w:tcPr>
            <w:tcW w:w="697" w:type="pct"/>
            <w:tcBorders>
              <w:top w:val="single" w:sz="4" w:space="0" w:color="auto"/>
              <w:left w:val="single" w:sz="4" w:space="0" w:color="auto"/>
              <w:bottom w:val="single" w:sz="4" w:space="0" w:color="auto"/>
              <w:right w:val="single" w:sz="4" w:space="0" w:color="auto"/>
            </w:tcBorders>
            <w:vAlign w:val="center"/>
          </w:tcPr>
          <w:p w:rsidR="00C12589" w:rsidRPr="00AB336D" w:rsidRDefault="0066751A" w:rsidP="00F514A1">
            <w:pPr>
              <w:snapToGrid w:val="0"/>
              <w:rPr>
                <w:rFonts w:eastAsia="Times New Roman"/>
                <w:sz w:val="20"/>
              </w:rPr>
            </w:pPr>
            <w:r>
              <w:rPr>
                <w:rFonts w:eastAsia="Times New Roman"/>
                <w:sz w:val="20"/>
              </w:rPr>
              <w:t>%</w:t>
            </w:r>
          </w:p>
        </w:tc>
        <w:tc>
          <w:tcPr>
            <w:tcW w:w="611" w:type="pct"/>
            <w:tcBorders>
              <w:top w:val="single" w:sz="4" w:space="0" w:color="auto"/>
              <w:left w:val="single" w:sz="4" w:space="0" w:color="auto"/>
              <w:bottom w:val="single" w:sz="4" w:space="0" w:color="auto"/>
              <w:right w:val="single" w:sz="4" w:space="0" w:color="auto"/>
            </w:tcBorders>
            <w:vAlign w:val="center"/>
          </w:tcPr>
          <w:p w:rsidR="00C12589" w:rsidRPr="00AB336D" w:rsidRDefault="0066751A" w:rsidP="00F514A1">
            <w:pPr>
              <w:snapToGrid w:val="0"/>
              <w:spacing w:after="240"/>
              <w:ind w:left="283"/>
              <w:rPr>
                <w:rFonts w:eastAsia="Times New Roman"/>
                <w:sz w:val="20"/>
              </w:rPr>
            </w:pPr>
            <w:r>
              <w:rPr>
                <w:rFonts w:eastAsia="Times New Roman"/>
                <w:sz w:val="20"/>
              </w:rPr>
              <w:t>350</w:t>
            </w:r>
          </w:p>
        </w:tc>
        <w:tc>
          <w:tcPr>
            <w:tcW w:w="510" w:type="pct"/>
            <w:tcBorders>
              <w:top w:val="single" w:sz="4" w:space="0" w:color="auto"/>
              <w:left w:val="single" w:sz="4" w:space="0" w:color="auto"/>
              <w:bottom w:val="single" w:sz="4" w:space="0" w:color="auto"/>
              <w:right w:val="single" w:sz="4" w:space="0" w:color="auto"/>
            </w:tcBorders>
            <w:vAlign w:val="center"/>
          </w:tcPr>
          <w:p w:rsidR="00C12589" w:rsidRPr="00AB336D" w:rsidRDefault="00447B8F" w:rsidP="00F514A1">
            <w:pPr>
              <w:snapToGrid w:val="0"/>
              <w:rPr>
                <w:rFonts w:eastAsia="Times New Roman"/>
                <w:sz w:val="20"/>
                <w:lang w:val="nb-NO"/>
              </w:rPr>
            </w:pPr>
            <w:r>
              <w:rPr>
                <w:rFonts w:eastAsia="Times New Roman"/>
                <w:sz w:val="20"/>
                <w:lang w:val="nb-NO"/>
              </w:rPr>
              <w:t>2014</w:t>
            </w:r>
          </w:p>
        </w:tc>
        <w:tc>
          <w:tcPr>
            <w:tcW w:w="775" w:type="pct"/>
            <w:tcBorders>
              <w:top w:val="single" w:sz="4" w:space="0" w:color="auto"/>
              <w:left w:val="single" w:sz="4" w:space="0" w:color="auto"/>
              <w:bottom w:val="single" w:sz="4" w:space="0" w:color="auto"/>
              <w:right w:val="single" w:sz="4" w:space="0" w:color="auto"/>
            </w:tcBorders>
            <w:vAlign w:val="center"/>
          </w:tcPr>
          <w:p w:rsidR="00C12589" w:rsidRPr="00AB336D" w:rsidRDefault="001F6A7C" w:rsidP="001F6A7C">
            <w:pPr>
              <w:tabs>
                <w:tab w:val="left" w:pos="720"/>
              </w:tabs>
              <w:rPr>
                <w:rFonts w:eastAsia="Times New Roman"/>
                <w:sz w:val="20"/>
              </w:rPr>
            </w:pPr>
            <w:r>
              <w:rPr>
                <w:rFonts w:eastAsia="Times New Roman"/>
                <w:sz w:val="20"/>
              </w:rPr>
              <w:t>6</w:t>
            </w:r>
            <w:r w:rsidR="006209ED" w:rsidRPr="006209ED">
              <w:rPr>
                <w:rFonts w:eastAsia="Times New Roman"/>
                <w:sz w:val="20"/>
              </w:rPr>
              <w:t xml:space="preserve">% = </w:t>
            </w:r>
            <w:r>
              <w:rPr>
                <w:rFonts w:eastAsia="Times New Roman"/>
                <w:sz w:val="20"/>
              </w:rPr>
              <w:t>24</w:t>
            </w:r>
            <w:r w:rsidR="0066751A" w:rsidRPr="006209ED">
              <w:rPr>
                <w:rFonts w:eastAsia="Times New Roman"/>
                <w:sz w:val="20"/>
              </w:rPr>
              <w:t xml:space="preserve"> </w:t>
            </w:r>
            <w:r w:rsidR="006209ED" w:rsidRPr="006209ED">
              <w:rPr>
                <w:rFonts w:eastAsia="Times New Roman"/>
                <w:sz w:val="20"/>
              </w:rPr>
              <w:t>institutions</w:t>
            </w:r>
          </w:p>
        </w:tc>
        <w:tc>
          <w:tcPr>
            <w:tcW w:w="620" w:type="pct"/>
            <w:tcBorders>
              <w:top w:val="single" w:sz="4" w:space="0" w:color="auto"/>
              <w:left w:val="single" w:sz="4" w:space="0" w:color="auto"/>
              <w:bottom w:val="single" w:sz="4" w:space="0" w:color="auto"/>
              <w:right w:val="single" w:sz="4" w:space="0" w:color="auto"/>
            </w:tcBorders>
            <w:vAlign w:val="center"/>
          </w:tcPr>
          <w:p w:rsidR="00C12589" w:rsidRPr="00AB336D" w:rsidRDefault="006209ED" w:rsidP="00F514A1">
            <w:pPr>
              <w:spacing w:after="240"/>
              <w:rPr>
                <w:rFonts w:eastAsia="Times New Roman"/>
                <w:sz w:val="20"/>
              </w:rPr>
            </w:pPr>
            <w:r>
              <w:rPr>
                <w:rFonts w:eastAsia="Times New Roman"/>
                <w:sz w:val="20"/>
              </w:rPr>
              <w:t>S</w:t>
            </w:r>
            <w:r w:rsidRPr="00AB1D4B">
              <w:rPr>
                <w:rFonts w:eastAsia="Times New Roman"/>
                <w:sz w:val="20"/>
              </w:rPr>
              <w:t>tatistical offices</w:t>
            </w:r>
            <w:r w:rsidRPr="00B87B39">
              <w:rPr>
                <w:rFonts w:eastAsia="Times New Roman"/>
                <w:sz w:val="20"/>
              </w:rPr>
              <w:t xml:space="preserve"> </w:t>
            </w:r>
            <w:r>
              <w:rPr>
                <w:rFonts w:eastAsia="Times New Roman"/>
                <w:sz w:val="20"/>
              </w:rPr>
              <w:t xml:space="preserve">and </w:t>
            </w:r>
            <w:r w:rsidR="00B87B39" w:rsidRPr="00B87B39">
              <w:rPr>
                <w:rFonts w:eastAsia="Times New Roman"/>
                <w:sz w:val="20"/>
              </w:rPr>
              <w:t>Monitoring of operations</w:t>
            </w:r>
            <w:r w:rsidR="00B87B39">
              <w:rPr>
                <w:rFonts w:eastAsia="Times New Roman"/>
                <w:sz w:val="20"/>
              </w:rPr>
              <w:t xml:space="preserve"> (progress reports)</w:t>
            </w:r>
          </w:p>
        </w:tc>
        <w:tc>
          <w:tcPr>
            <w:tcW w:w="466" w:type="pct"/>
            <w:tcBorders>
              <w:top w:val="single" w:sz="4" w:space="0" w:color="auto"/>
              <w:left w:val="single" w:sz="4" w:space="0" w:color="auto"/>
              <w:bottom w:val="single" w:sz="4" w:space="0" w:color="auto"/>
              <w:right w:val="single" w:sz="4" w:space="0" w:color="auto"/>
            </w:tcBorders>
            <w:vAlign w:val="center"/>
          </w:tcPr>
          <w:p w:rsidR="00C12589" w:rsidRPr="00AB336D" w:rsidRDefault="00350BD3" w:rsidP="00F514A1">
            <w:pPr>
              <w:spacing w:after="240"/>
              <w:rPr>
                <w:rFonts w:eastAsia="Times New Roman"/>
                <w:sz w:val="20"/>
              </w:rPr>
            </w:pPr>
            <w:r w:rsidRPr="00B87B39">
              <w:rPr>
                <w:rFonts w:eastAsia="Times New Roman"/>
                <w:sz w:val="20"/>
              </w:rPr>
              <w:t>Annually</w:t>
            </w:r>
          </w:p>
        </w:tc>
      </w:tr>
    </w:tbl>
    <w:p w:rsidR="00FB701A" w:rsidRPr="00B76110" w:rsidRDefault="00FB701A" w:rsidP="00D17A3D">
      <w:pPr>
        <w:suppressAutoHyphens/>
        <w:spacing w:after="240"/>
        <w:rPr>
          <w:rFonts w:eastAsia="Times New Roman"/>
          <w:b/>
        </w:rPr>
        <w:sectPr w:rsidR="00FB701A" w:rsidRPr="00B76110" w:rsidSect="006A4BDD">
          <w:headerReference w:type="default" r:id="rId19"/>
          <w:footerReference w:type="default" r:id="rId20"/>
          <w:headerReference w:type="first" r:id="rId21"/>
          <w:footerReference w:type="first" r:id="rId22"/>
          <w:pgSz w:w="16838" w:h="11906" w:orient="landscape"/>
          <w:pgMar w:top="1418" w:right="1021" w:bottom="1418" w:left="1021" w:header="601" w:footer="1077" w:gutter="0"/>
          <w:cols w:space="720"/>
          <w:docGrid w:linePitch="326"/>
        </w:sectPr>
      </w:pPr>
    </w:p>
    <w:p w:rsidR="00B153BA" w:rsidRDefault="00FB701A" w:rsidP="00D53B6F">
      <w:pPr>
        <w:keepNext/>
        <w:spacing w:after="240"/>
        <w:ind w:left="851" w:hanging="851"/>
        <w:outlineLvl w:val="2"/>
        <w:rPr>
          <w:rFonts w:eastAsia="Times New Roman"/>
          <w:b/>
          <w:i/>
        </w:rPr>
      </w:pPr>
      <w:r w:rsidRPr="00B76110">
        <w:rPr>
          <w:rFonts w:eastAsia="Times New Roman"/>
          <w:b/>
          <w:i/>
        </w:rPr>
        <w:lastRenderedPageBreak/>
        <w:t>2.</w:t>
      </w:r>
      <w:r w:rsidR="00EC0786">
        <w:rPr>
          <w:rFonts w:eastAsia="Times New Roman"/>
          <w:b/>
          <w:i/>
        </w:rPr>
        <w:t>1</w:t>
      </w:r>
      <w:r w:rsidRPr="00B76110">
        <w:rPr>
          <w:rFonts w:eastAsia="Times New Roman"/>
          <w:b/>
          <w:i/>
        </w:rPr>
        <w:t>.</w:t>
      </w:r>
      <w:r w:rsidR="00092883">
        <w:rPr>
          <w:rFonts w:eastAsia="Times New Roman"/>
          <w:b/>
          <w:i/>
        </w:rPr>
        <w:t>6</w:t>
      </w:r>
      <w:r w:rsidRPr="00B76110">
        <w:rPr>
          <w:rFonts w:eastAsia="Times New Roman"/>
          <w:b/>
          <w:i/>
        </w:rPr>
        <w:t>.</w:t>
      </w:r>
      <w:r w:rsidR="00EC0786">
        <w:rPr>
          <w:rFonts w:eastAsia="Times New Roman"/>
          <w:b/>
          <w:i/>
        </w:rPr>
        <w:t>2</w:t>
      </w:r>
      <w:r w:rsidR="00EE503D" w:rsidRPr="00B76110">
        <w:rPr>
          <w:rFonts w:eastAsia="Times New Roman"/>
          <w:b/>
          <w:i/>
        </w:rPr>
        <w:t>.</w:t>
      </w:r>
      <w:r w:rsidRPr="00B76110">
        <w:rPr>
          <w:rFonts w:eastAsia="Times New Roman"/>
          <w:b/>
          <w:i/>
        </w:rPr>
        <w:t xml:space="preserve"> </w:t>
      </w:r>
      <w:r w:rsidR="00EC0786">
        <w:rPr>
          <w:rFonts w:eastAsia="Times New Roman"/>
          <w:b/>
          <w:i/>
        </w:rPr>
        <w:t>Priority axis o</w:t>
      </w:r>
      <w:r w:rsidRPr="00B76110">
        <w:rPr>
          <w:rFonts w:eastAsia="Times New Roman"/>
          <w:b/>
          <w:i/>
        </w:rPr>
        <w:t>utput indicator</w:t>
      </w:r>
      <w:r w:rsidR="00880A07">
        <w:rPr>
          <w:rFonts w:eastAsia="Times New Roman"/>
          <w:b/>
          <w:i/>
        </w:rPr>
        <w:t>s</w:t>
      </w:r>
      <w:r w:rsidR="0067454E">
        <w:rPr>
          <w:rFonts w:eastAsia="Times New Roman"/>
          <w:b/>
          <w:i/>
        </w:rPr>
        <w:t xml:space="preserve"> </w:t>
      </w:r>
      <w:r w:rsidR="00EC0786">
        <w:rPr>
          <w:rFonts w:eastAsia="Times New Roman"/>
          <w:b/>
          <w:i/>
        </w:rPr>
        <w:t>(common or programme specific)</w:t>
      </w:r>
    </w:p>
    <w:p w:rsidR="00FB701A" w:rsidRDefault="00FB701A" w:rsidP="00D17A3D">
      <w:pPr>
        <w:spacing w:after="0"/>
        <w:rPr>
          <w:rFonts w:eastAsia="Times New Roman"/>
          <w:b/>
        </w:rPr>
      </w:pPr>
      <w:r w:rsidRPr="00B76110">
        <w:rPr>
          <w:rFonts w:eastAsia="Times New Roman"/>
          <w:b/>
        </w:rPr>
        <w:t xml:space="preserve">Table </w:t>
      </w:r>
      <w:r w:rsidR="00962A75">
        <w:rPr>
          <w:rFonts w:eastAsia="Times New Roman"/>
          <w:b/>
        </w:rPr>
        <w:t>4</w:t>
      </w:r>
      <w:r w:rsidRPr="00B76110">
        <w:rPr>
          <w:rFonts w:eastAsia="Times New Roman"/>
          <w:b/>
        </w:rPr>
        <w:t xml:space="preserve">: </w:t>
      </w:r>
      <w:r w:rsidR="005706C5">
        <w:rPr>
          <w:rFonts w:eastAsia="Times New Roman"/>
          <w:b/>
        </w:rPr>
        <w:t>P</w:t>
      </w:r>
      <w:r w:rsidRPr="00B76110">
        <w:rPr>
          <w:rFonts w:eastAsia="Times New Roman"/>
          <w:b/>
        </w:rPr>
        <w:t>rogra</w:t>
      </w:r>
      <w:r w:rsidR="00222804">
        <w:rPr>
          <w:rFonts w:eastAsia="Times New Roman"/>
          <w:b/>
        </w:rPr>
        <w:t xml:space="preserve">mme </w:t>
      </w:r>
      <w:r w:rsidR="002A4646">
        <w:rPr>
          <w:rFonts w:eastAsia="Times New Roman"/>
          <w:b/>
        </w:rPr>
        <w:t xml:space="preserve">common and </w:t>
      </w:r>
      <w:r w:rsidR="00222804">
        <w:rPr>
          <w:rFonts w:eastAsia="Times New Roman"/>
          <w:b/>
        </w:rPr>
        <w:t xml:space="preserve">specific output indicators </w:t>
      </w:r>
    </w:p>
    <w:p w:rsidR="00222804" w:rsidRPr="00B76110" w:rsidRDefault="00222804" w:rsidP="00D17A3D">
      <w:pPr>
        <w:spacing w:after="0"/>
        <w:rPr>
          <w:rFonts w:eastAsia="Times New Roman"/>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8"/>
        <w:gridCol w:w="5933"/>
        <w:gridCol w:w="1985"/>
        <w:gridCol w:w="1417"/>
        <w:gridCol w:w="2552"/>
        <w:gridCol w:w="2147"/>
      </w:tblGrid>
      <w:tr w:rsidR="00FB701A" w:rsidRPr="00B76110" w:rsidTr="00222804">
        <w:trPr>
          <w:trHeight w:val="706"/>
          <w:jc w:val="center"/>
        </w:trPr>
        <w:tc>
          <w:tcPr>
            <w:tcW w:w="326" w:type="pct"/>
          </w:tcPr>
          <w:p w:rsidR="00FB701A" w:rsidRPr="00B76110" w:rsidRDefault="00FB701A" w:rsidP="00D17A3D">
            <w:pPr>
              <w:spacing w:after="240"/>
              <w:ind w:left="283" w:hanging="283"/>
              <w:jc w:val="center"/>
              <w:rPr>
                <w:rFonts w:eastAsia="Times New Roman"/>
                <w:b/>
                <w:sz w:val="20"/>
              </w:rPr>
            </w:pPr>
            <w:r w:rsidRPr="00B76110">
              <w:rPr>
                <w:rFonts w:eastAsia="Times New Roman"/>
                <w:b/>
                <w:sz w:val="20"/>
              </w:rPr>
              <w:t>ID</w:t>
            </w:r>
          </w:p>
        </w:tc>
        <w:tc>
          <w:tcPr>
            <w:tcW w:w="1976" w:type="pct"/>
            <w:shd w:val="clear" w:color="auto" w:fill="auto"/>
          </w:tcPr>
          <w:p w:rsidR="00FB701A" w:rsidRPr="00B76110" w:rsidRDefault="00FB701A" w:rsidP="00D17A3D">
            <w:pPr>
              <w:spacing w:after="240"/>
              <w:ind w:left="283" w:hanging="283"/>
              <w:jc w:val="center"/>
              <w:rPr>
                <w:rFonts w:eastAsia="Times New Roman"/>
                <w:b/>
                <w:sz w:val="20"/>
              </w:rPr>
            </w:pPr>
            <w:r w:rsidRPr="00B76110">
              <w:rPr>
                <w:rFonts w:eastAsia="Times New Roman"/>
                <w:b/>
                <w:sz w:val="20"/>
              </w:rPr>
              <w:t xml:space="preserve">Indicator </w:t>
            </w:r>
            <w:r w:rsidRPr="00B76110">
              <w:rPr>
                <w:rFonts w:eastAsia="Times New Roman"/>
                <w:b/>
                <w:i/>
                <w:sz w:val="20"/>
              </w:rPr>
              <w:t>(name of indicator)</w:t>
            </w:r>
          </w:p>
        </w:tc>
        <w:tc>
          <w:tcPr>
            <w:tcW w:w="661" w:type="pct"/>
            <w:shd w:val="clear" w:color="auto" w:fill="auto"/>
          </w:tcPr>
          <w:p w:rsidR="00FB701A" w:rsidRPr="00B76110" w:rsidRDefault="00FB701A" w:rsidP="00D17A3D">
            <w:pPr>
              <w:spacing w:after="240"/>
              <w:jc w:val="center"/>
              <w:rPr>
                <w:rFonts w:eastAsia="Times New Roman"/>
                <w:b/>
                <w:sz w:val="20"/>
              </w:rPr>
            </w:pPr>
            <w:r w:rsidRPr="00B76110">
              <w:rPr>
                <w:rFonts w:eastAsia="Times New Roman"/>
                <w:b/>
                <w:sz w:val="20"/>
              </w:rPr>
              <w:t>Measurement unit</w:t>
            </w:r>
          </w:p>
        </w:tc>
        <w:tc>
          <w:tcPr>
            <w:tcW w:w="472" w:type="pct"/>
            <w:shd w:val="clear" w:color="auto" w:fill="auto"/>
          </w:tcPr>
          <w:p w:rsidR="00FB701A" w:rsidRPr="00B76110" w:rsidRDefault="00FB701A" w:rsidP="00D17A3D">
            <w:pPr>
              <w:spacing w:after="240"/>
              <w:jc w:val="center"/>
              <w:rPr>
                <w:rFonts w:eastAsia="Times New Roman"/>
                <w:b/>
                <w:sz w:val="20"/>
              </w:rPr>
            </w:pPr>
            <w:r w:rsidRPr="00B76110">
              <w:rPr>
                <w:rFonts w:eastAsia="Times New Roman"/>
                <w:b/>
                <w:sz w:val="20"/>
              </w:rPr>
              <w:t>Target value (2023)</w:t>
            </w:r>
          </w:p>
        </w:tc>
        <w:tc>
          <w:tcPr>
            <w:tcW w:w="850" w:type="pct"/>
            <w:shd w:val="clear" w:color="auto" w:fill="auto"/>
          </w:tcPr>
          <w:p w:rsidR="00FB701A" w:rsidRPr="00B76110" w:rsidRDefault="00FB701A" w:rsidP="00D17A3D">
            <w:pPr>
              <w:spacing w:after="240"/>
              <w:jc w:val="center"/>
              <w:rPr>
                <w:rFonts w:eastAsia="Times New Roman"/>
                <w:b/>
                <w:sz w:val="20"/>
              </w:rPr>
            </w:pPr>
            <w:r w:rsidRPr="00B76110">
              <w:rPr>
                <w:rFonts w:eastAsia="Times New Roman"/>
                <w:b/>
                <w:sz w:val="20"/>
              </w:rPr>
              <w:t>Source of data</w:t>
            </w:r>
          </w:p>
        </w:tc>
        <w:tc>
          <w:tcPr>
            <w:tcW w:w="715" w:type="pct"/>
          </w:tcPr>
          <w:p w:rsidR="00FB701A" w:rsidRPr="00B76110" w:rsidRDefault="00FB701A" w:rsidP="00D17A3D">
            <w:pPr>
              <w:spacing w:after="240"/>
              <w:jc w:val="center"/>
              <w:rPr>
                <w:rFonts w:eastAsia="Times New Roman"/>
                <w:b/>
                <w:sz w:val="20"/>
              </w:rPr>
            </w:pPr>
            <w:r w:rsidRPr="00B76110">
              <w:rPr>
                <w:rFonts w:eastAsia="Times New Roman"/>
                <w:b/>
                <w:sz w:val="20"/>
              </w:rPr>
              <w:t>Frequency of reporting</w:t>
            </w:r>
          </w:p>
        </w:tc>
      </w:tr>
      <w:tr w:rsidR="00723219" w:rsidRPr="00B76110" w:rsidTr="0037732C">
        <w:trPr>
          <w:trHeight w:val="79"/>
          <w:jc w:val="center"/>
        </w:trPr>
        <w:tc>
          <w:tcPr>
            <w:tcW w:w="326" w:type="pct"/>
          </w:tcPr>
          <w:p w:rsidR="00723219" w:rsidRPr="00374A8C" w:rsidRDefault="00723219" w:rsidP="00D90211">
            <w:pPr>
              <w:spacing w:after="0"/>
              <w:rPr>
                <w:rFonts w:eastAsia="Times New Roman"/>
                <w:sz w:val="22"/>
                <w:szCs w:val="22"/>
              </w:rPr>
            </w:pPr>
            <w:r w:rsidRPr="00374A8C">
              <w:rPr>
                <w:rFonts w:eastAsia="Times New Roman"/>
                <w:sz w:val="22"/>
                <w:szCs w:val="22"/>
              </w:rPr>
              <w:t xml:space="preserve">PA 1 </w:t>
            </w:r>
          </w:p>
        </w:tc>
        <w:tc>
          <w:tcPr>
            <w:tcW w:w="1976" w:type="pct"/>
            <w:shd w:val="clear" w:color="auto" w:fill="auto"/>
            <w:vAlign w:val="bottom"/>
          </w:tcPr>
          <w:p w:rsidR="00723219" w:rsidRPr="00723219" w:rsidRDefault="00D809D1">
            <w:pPr>
              <w:rPr>
                <w:sz w:val="22"/>
                <w:szCs w:val="22"/>
              </w:rPr>
            </w:pPr>
            <w:r w:rsidRPr="00D809D1">
              <w:rPr>
                <w:sz w:val="22"/>
                <w:szCs w:val="22"/>
              </w:rPr>
              <w:t>Number of jointly developed and/or implemented tools /services/pilot projects that enable better quality of health and/or social care services</w:t>
            </w:r>
          </w:p>
        </w:tc>
        <w:tc>
          <w:tcPr>
            <w:tcW w:w="661" w:type="pct"/>
            <w:shd w:val="clear" w:color="auto" w:fill="auto"/>
          </w:tcPr>
          <w:p w:rsidR="00723219" w:rsidRPr="00374A8C" w:rsidRDefault="00D809D1" w:rsidP="00D90211">
            <w:pPr>
              <w:spacing w:after="0"/>
              <w:rPr>
                <w:rFonts w:eastAsia="Times New Roman"/>
                <w:sz w:val="22"/>
                <w:szCs w:val="22"/>
              </w:rPr>
            </w:pPr>
            <w:r w:rsidRPr="00D809D1">
              <w:rPr>
                <w:rFonts w:eastAsia="Times New Roman"/>
                <w:sz w:val="22"/>
                <w:szCs w:val="22"/>
              </w:rPr>
              <w:t>Number</w:t>
            </w:r>
          </w:p>
        </w:tc>
        <w:tc>
          <w:tcPr>
            <w:tcW w:w="472" w:type="pct"/>
            <w:shd w:val="clear" w:color="auto" w:fill="auto"/>
          </w:tcPr>
          <w:p w:rsidR="00723219" w:rsidRPr="0095222A" w:rsidRDefault="00D809D1" w:rsidP="00723219">
            <w:pPr>
              <w:jc w:val="center"/>
            </w:pPr>
            <w:r>
              <w:t>11</w:t>
            </w:r>
          </w:p>
        </w:tc>
        <w:tc>
          <w:tcPr>
            <w:tcW w:w="850" w:type="pct"/>
            <w:shd w:val="clear" w:color="auto" w:fill="auto"/>
          </w:tcPr>
          <w:p w:rsidR="00723219" w:rsidRPr="00374A8C" w:rsidRDefault="00723219" w:rsidP="00D90211">
            <w:pPr>
              <w:spacing w:after="0"/>
              <w:rPr>
                <w:rFonts w:eastAsia="Times New Roman"/>
                <w:sz w:val="22"/>
                <w:szCs w:val="22"/>
              </w:rPr>
            </w:pPr>
            <w:r w:rsidRPr="00374A8C">
              <w:rPr>
                <w:rFonts w:eastAsia="Times New Roman"/>
                <w:sz w:val="22"/>
                <w:szCs w:val="22"/>
              </w:rPr>
              <w:t>Monitoring of operations (progress reports)</w:t>
            </w:r>
          </w:p>
        </w:tc>
        <w:tc>
          <w:tcPr>
            <w:tcW w:w="715" w:type="pct"/>
          </w:tcPr>
          <w:p w:rsidR="00723219" w:rsidRPr="00374A8C" w:rsidRDefault="00723219" w:rsidP="00D90211">
            <w:pPr>
              <w:spacing w:after="0"/>
              <w:rPr>
                <w:rFonts w:eastAsia="Times New Roman"/>
                <w:sz w:val="22"/>
                <w:szCs w:val="22"/>
              </w:rPr>
            </w:pPr>
            <w:r w:rsidRPr="00374A8C">
              <w:rPr>
                <w:rFonts w:eastAsia="Times New Roman"/>
                <w:sz w:val="22"/>
                <w:szCs w:val="22"/>
              </w:rPr>
              <w:t>Annually</w:t>
            </w:r>
          </w:p>
        </w:tc>
      </w:tr>
      <w:tr w:rsidR="00D809D1" w:rsidRPr="00414803" w:rsidTr="0037732C">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D809D1" w:rsidRPr="00374A8C" w:rsidRDefault="00D809D1" w:rsidP="00D90211">
            <w:pPr>
              <w:spacing w:after="0"/>
              <w:rPr>
                <w:sz w:val="22"/>
                <w:szCs w:val="22"/>
              </w:rPr>
            </w:pPr>
            <w:r w:rsidRPr="00374A8C">
              <w:rPr>
                <w:rFonts w:eastAsia="Times New Roman"/>
                <w:sz w:val="22"/>
                <w:szCs w:val="22"/>
              </w:rPr>
              <w:t xml:space="preserve">PA 1 </w:t>
            </w:r>
          </w:p>
        </w:tc>
        <w:tc>
          <w:tcPr>
            <w:tcW w:w="19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D809D1" w:rsidRPr="00723219" w:rsidRDefault="00D809D1">
            <w:pPr>
              <w:rPr>
                <w:sz w:val="22"/>
                <w:szCs w:val="22"/>
              </w:rPr>
            </w:pPr>
            <w:r w:rsidRPr="00D809D1">
              <w:rPr>
                <w:sz w:val="22"/>
                <w:szCs w:val="22"/>
              </w:rPr>
              <w:t>Number of participants in joint education and training schemes on health and/or social care</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rsidR="00D809D1" w:rsidRPr="00374A8C" w:rsidRDefault="00D809D1" w:rsidP="00D90211">
            <w:pPr>
              <w:spacing w:after="0"/>
              <w:rPr>
                <w:sz w:val="22"/>
                <w:szCs w:val="22"/>
              </w:rPr>
            </w:pPr>
            <w:r w:rsidRPr="00D809D1">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D809D1" w:rsidRPr="0095222A" w:rsidRDefault="00D809D1" w:rsidP="00723219">
            <w:pPr>
              <w:jc w:val="center"/>
            </w:pPr>
            <w:r>
              <w:t>343</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rsidR="00D809D1" w:rsidRPr="00374A8C" w:rsidRDefault="00D809D1" w:rsidP="00B85FF7">
            <w:pPr>
              <w:spacing w:after="0"/>
              <w:rPr>
                <w:rFonts w:eastAsia="Times New Roman"/>
                <w:sz w:val="22"/>
                <w:szCs w:val="22"/>
              </w:rPr>
            </w:pPr>
            <w:r w:rsidRPr="00374A8C">
              <w:rPr>
                <w:rFonts w:eastAsia="Times New Roman"/>
                <w:sz w:val="22"/>
                <w:szCs w:val="22"/>
              </w:rPr>
              <w:t>Monitoring of operations (progress reports)</w:t>
            </w:r>
          </w:p>
        </w:tc>
        <w:tc>
          <w:tcPr>
            <w:tcW w:w="715" w:type="pct"/>
            <w:tcBorders>
              <w:top w:val="single" w:sz="4" w:space="0" w:color="000000"/>
              <w:left w:val="single" w:sz="4" w:space="0" w:color="000000"/>
              <w:bottom w:val="single" w:sz="4" w:space="0" w:color="000000"/>
              <w:right w:val="single" w:sz="4" w:space="0" w:color="000000"/>
            </w:tcBorders>
          </w:tcPr>
          <w:p w:rsidR="00D809D1" w:rsidRPr="00374A8C" w:rsidRDefault="00D809D1">
            <w:pPr>
              <w:rPr>
                <w:sz w:val="22"/>
                <w:szCs w:val="22"/>
              </w:rPr>
            </w:pPr>
            <w:r w:rsidRPr="00374A8C">
              <w:rPr>
                <w:rFonts w:eastAsia="Times New Roman"/>
                <w:sz w:val="22"/>
                <w:szCs w:val="22"/>
              </w:rPr>
              <w:t>Annually</w:t>
            </w:r>
          </w:p>
        </w:tc>
      </w:tr>
      <w:tr w:rsidR="00D809D1" w:rsidRPr="00414803" w:rsidTr="0037732C">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D809D1" w:rsidRPr="00374A8C" w:rsidRDefault="00D809D1" w:rsidP="00D90211">
            <w:pPr>
              <w:spacing w:after="0"/>
              <w:rPr>
                <w:sz w:val="22"/>
                <w:szCs w:val="22"/>
              </w:rPr>
            </w:pPr>
            <w:r w:rsidRPr="00374A8C">
              <w:rPr>
                <w:rFonts w:eastAsia="Times New Roman"/>
                <w:sz w:val="22"/>
                <w:szCs w:val="22"/>
              </w:rPr>
              <w:t xml:space="preserve">PA 1 </w:t>
            </w:r>
          </w:p>
        </w:tc>
        <w:tc>
          <w:tcPr>
            <w:tcW w:w="19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D809D1" w:rsidRPr="00723219" w:rsidRDefault="00D809D1">
            <w:pPr>
              <w:rPr>
                <w:sz w:val="22"/>
                <w:szCs w:val="22"/>
              </w:rPr>
            </w:pPr>
            <w:r w:rsidRPr="00D809D1">
              <w:rPr>
                <w:sz w:val="22"/>
                <w:szCs w:val="22"/>
              </w:rPr>
              <w:t>Population covered with improved health and/or social care services (CI)</w:t>
            </w:r>
            <w:r>
              <w:rPr>
                <w:sz w:val="22"/>
                <w:szCs w:val="22"/>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rsidR="00D809D1" w:rsidRPr="00374A8C" w:rsidRDefault="00D809D1" w:rsidP="00D90211">
            <w:pPr>
              <w:spacing w:after="0"/>
              <w:rPr>
                <w:sz w:val="22"/>
                <w:szCs w:val="22"/>
              </w:rPr>
            </w:pPr>
            <w:r w:rsidRPr="00D809D1">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D809D1" w:rsidRPr="0095222A" w:rsidRDefault="00D809D1" w:rsidP="00723219">
            <w:pPr>
              <w:jc w:val="center"/>
            </w:pPr>
            <w:r>
              <w:t>300.000</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rsidR="00D809D1" w:rsidRPr="00374A8C" w:rsidRDefault="00D809D1" w:rsidP="00B85FF7">
            <w:pPr>
              <w:spacing w:after="0"/>
              <w:rPr>
                <w:rFonts w:eastAsia="Times New Roman"/>
                <w:sz w:val="22"/>
                <w:szCs w:val="22"/>
              </w:rPr>
            </w:pPr>
            <w:r w:rsidRPr="00374A8C">
              <w:rPr>
                <w:rFonts w:eastAsia="Times New Roman"/>
                <w:sz w:val="22"/>
                <w:szCs w:val="22"/>
              </w:rPr>
              <w:t>Monitoring of operations (progress reports)</w:t>
            </w:r>
          </w:p>
        </w:tc>
        <w:tc>
          <w:tcPr>
            <w:tcW w:w="715" w:type="pct"/>
            <w:tcBorders>
              <w:top w:val="single" w:sz="4" w:space="0" w:color="000000"/>
              <w:left w:val="single" w:sz="4" w:space="0" w:color="000000"/>
              <w:bottom w:val="single" w:sz="4" w:space="0" w:color="000000"/>
              <w:right w:val="single" w:sz="4" w:space="0" w:color="000000"/>
            </w:tcBorders>
          </w:tcPr>
          <w:p w:rsidR="00D809D1" w:rsidRPr="00374A8C" w:rsidRDefault="00D809D1">
            <w:pPr>
              <w:rPr>
                <w:sz w:val="22"/>
                <w:szCs w:val="22"/>
              </w:rPr>
            </w:pPr>
            <w:r w:rsidRPr="00374A8C">
              <w:rPr>
                <w:rFonts w:eastAsia="Times New Roman"/>
                <w:sz w:val="22"/>
                <w:szCs w:val="22"/>
              </w:rPr>
              <w:t>Annually</w:t>
            </w:r>
          </w:p>
        </w:tc>
      </w:tr>
    </w:tbl>
    <w:p w:rsidR="00FB701A" w:rsidRPr="00B76110" w:rsidRDefault="00FB701A" w:rsidP="00D17A3D">
      <w:pPr>
        <w:rPr>
          <w:rFonts w:eastAsia="Times New Roman"/>
          <w:b/>
        </w:rPr>
      </w:pPr>
    </w:p>
    <w:p w:rsidR="00FB701A" w:rsidRPr="00B76110" w:rsidRDefault="002A4646" w:rsidP="00D17A3D">
      <w:pPr>
        <w:ind w:left="283"/>
        <w:rPr>
          <w:rFonts w:eastAsia="Times New Roman"/>
        </w:rPr>
      </w:pPr>
      <w:r>
        <w:rPr>
          <w:rFonts w:eastAsia="Times New Roman"/>
        </w:rPr>
        <w:t>*Common output indicator</w:t>
      </w:r>
    </w:p>
    <w:p w:rsidR="00FB701A" w:rsidRPr="00B76110" w:rsidRDefault="00FB701A" w:rsidP="00D17A3D">
      <w:pPr>
        <w:suppressAutoHyphens/>
        <w:spacing w:after="240"/>
        <w:rPr>
          <w:rFonts w:eastAsia="Times New Roman"/>
          <w:b/>
        </w:rPr>
      </w:pPr>
    </w:p>
    <w:p w:rsidR="00FB701A" w:rsidRPr="00B76110" w:rsidRDefault="00FB701A" w:rsidP="00D17A3D">
      <w:pPr>
        <w:suppressAutoHyphens/>
        <w:spacing w:after="240"/>
        <w:rPr>
          <w:rFonts w:eastAsia="Times New Roman"/>
          <w:b/>
        </w:rPr>
        <w:sectPr w:rsidR="00FB701A" w:rsidRPr="00B76110" w:rsidSect="006A4BDD">
          <w:pgSz w:w="16838" w:h="11906" w:orient="landscape"/>
          <w:pgMar w:top="1418" w:right="1021" w:bottom="1418" w:left="1021" w:header="601" w:footer="1077" w:gutter="0"/>
          <w:cols w:space="720"/>
          <w:docGrid w:linePitch="326"/>
        </w:sectPr>
      </w:pPr>
    </w:p>
    <w:p w:rsidR="0033565E" w:rsidRDefault="00FB701A" w:rsidP="00D17A3D">
      <w:pPr>
        <w:suppressAutoHyphens/>
        <w:spacing w:after="240"/>
        <w:rPr>
          <w:rFonts w:eastAsia="Times New Roman"/>
          <w:b/>
        </w:rPr>
      </w:pPr>
      <w:r w:rsidRPr="00B76110">
        <w:rPr>
          <w:rFonts w:eastAsia="Times New Roman"/>
          <w:b/>
        </w:rPr>
        <w:lastRenderedPageBreak/>
        <w:t>2.</w:t>
      </w:r>
      <w:r w:rsidR="00EC0786">
        <w:rPr>
          <w:rFonts w:eastAsia="Times New Roman"/>
          <w:b/>
        </w:rPr>
        <w:t>1</w:t>
      </w:r>
      <w:r w:rsidRPr="00B76110">
        <w:rPr>
          <w:rFonts w:eastAsia="Times New Roman"/>
          <w:b/>
        </w:rPr>
        <w:t>.</w:t>
      </w:r>
      <w:r w:rsidR="00EC0786">
        <w:rPr>
          <w:rFonts w:eastAsia="Times New Roman"/>
          <w:b/>
        </w:rPr>
        <w:t>7</w:t>
      </w:r>
      <w:r w:rsidRPr="00B76110">
        <w:rPr>
          <w:rFonts w:eastAsia="Times New Roman"/>
          <w:b/>
        </w:rPr>
        <w:t xml:space="preserve">. Categories of intervention </w:t>
      </w:r>
    </w:p>
    <w:p w:rsidR="00FB701A" w:rsidRPr="00567F19" w:rsidRDefault="00FB701A" w:rsidP="00567F19">
      <w:r w:rsidRPr="00567F19">
        <w:t>(</w:t>
      </w:r>
      <w:r w:rsidR="0033565E" w:rsidRPr="00567F19">
        <w:t xml:space="preserve">Reference: </w:t>
      </w:r>
      <w:r w:rsidR="00C0542A">
        <w:t xml:space="preserve">point (b)(vii) of </w:t>
      </w:r>
      <w:r w:rsidRPr="00567F19">
        <w:t xml:space="preserve">Article </w:t>
      </w:r>
      <w:r w:rsidR="002A1819" w:rsidRPr="00567F19">
        <w:t>8</w:t>
      </w:r>
      <w:r w:rsidRPr="00567F19">
        <w:t xml:space="preserve">(2) </w:t>
      </w:r>
      <w:r w:rsidR="00965678" w:rsidRPr="00567F19">
        <w:t>of Regulation (EU) No 1299/2013</w:t>
      </w:r>
      <w:r w:rsidRPr="00567F19">
        <w:t>)</w:t>
      </w:r>
    </w:p>
    <w:p w:rsidR="00EC0786" w:rsidRDefault="00FB701A" w:rsidP="00D17A3D">
      <w:pPr>
        <w:suppressAutoHyphens/>
        <w:spacing w:after="240"/>
        <w:rPr>
          <w:rFonts w:eastAsia="Times New Roman"/>
        </w:rPr>
      </w:pPr>
      <w:r w:rsidRPr="00B76110">
        <w:rPr>
          <w:rFonts w:eastAsia="Times New Roman"/>
        </w:rPr>
        <w:t>Categories of intervention corresponding to the content of the priority axis, based on a nomenclature adopted by the Commission, and indicat</w:t>
      </w:r>
      <w:r w:rsidR="0070516B">
        <w:rPr>
          <w:rFonts w:eastAsia="Times New Roman"/>
        </w:rPr>
        <w:t xml:space="preserve">ive breakdown of Union support </w:t>
      </w:r>
    </w:p>
    <w:p w:rsidR="0070516B" w:rsidRPr="0070516B" w:rsidRDefault="0070516B" w:rsidP="00D17A3D">
      <w:pPr>
        <w:suppressAutoHyphens/>
        <w:spacing w:after="240"/>
        <w:rPr>
          <w:rFonts w:eastAsia="Times New Roman"/>
        </w:rPr>
      </w:pPr>
    </w:p>
    <w:p w:rsidR="00FB701A" w:rsidRPr="00B76110" w:rsidRDefault="00FB701A" w:rsidP="00D17A3D">
      <w:pPr>
        <w:suppressAutoHyphens/>
        <w:spacing w:after="240"/>
        <w:rPr>
          <w:rFonts w:eastAsia="Times New Roman"/>
          <w:szCs w:val="24"/>
        </w:rPr>
      </w:pPr>
      <w:r w:rsidRPr="00B76110">
        <w:rPr>
          <w:rFonts w:eastAsia="Times New Roman"/>
          <w:b/>
          <w:szCs w:val="24"/>
        </w:rPr>
        <w:t xml:space="preserve">Tables </w:t>
      </w:r>
      <w:r w:rsidR="00EC0786">
        <w:rPr>
          <w:rFonts w:eastAsia="Times New Roman"/>
          <w:b/>
          <w:szCs w:val="24"/>
        </w:rPr>
        <w:t>5</w:t>
      </w:r>
      <w:r w:rsidRPr="00B76110">
        <w:rPr>
          <w:rFonts w:eastAsia="Times New Roman"/>
          <w:b/>
          <w:szCs w:val="24"/>
        </w:rPr>
        <w:t>-</w:t>
      </w:r>
      <w:r w:rsidR="00EC0786">
        <w:rPr>
          <w:rFonts w:eastAsia="Times New Roman"/>
          <w:b/>
          <w:szCs w:val="24"/>
        </w:rPr>
        <w:t>8</w:t>
      </w:r>
      <w:r w:rsidRPr="00B76110">
        <w:rPr>
          <w:rFonts w:eastAsia="Times New Roman"/>
          <w:b/>
          <w:szCs w:val="24"/>
        </w:rPr>
        <w:t>: Categories of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394"/>
        <w:gridCol w:w="2552"/>
      </w:tblGrid>
      <w:tr w:rsidR="00FB701A" w:rsidRPr="00014013" w:rsidTr="00D17A3D">
        <w:trPr>
          <w:trHeight w:val="364"/>
        </w:trPr>
        <w:tc>
          <w:tcPr>
            <w:tcW w:w="8472" w:type="dxa"/>
            <w:gridSpan w:val="3"/>
            <w:shd w:val="clear" w:color="auto" w:fill="auto"/>
          </w:tcPr>
          <w:p w:rsidR="00FB701A" w:rsidRPr="00014013" w:rsidRDefault="00FB701A" w:rsidP="00EC0786">
            <w:pPr>
              <w:autoSpaceDE w:val="0"/>
              <w:autoSpaceDN w:val="0"/>
              <w:adjustRightInd w:val="0"/>
              <w:spacing w:after="0"/>
              <w:rPr>
                <w:rFonts w:eastAsia="Times New Roman"/>
                <w:b/>
                <w:color w:val="000000"/>
                <w:sz w:val="20"/>
              </w:rPr>
            </w:pPr>
            <w:r w:rsidRPr="00014013">
              <w:rPr>
                <w:rFonts w:eastAsia="Times New Roman"/>
                <w:b/>
                <w:bCs/>
                <w:color w:val="000000"/>
                <w:sz w:val="20"/>
              </w:rPr>
              <w:t xml:space="preserve">Table </w:t>
            </w:r>
            <w:r w:rsidR="00EC0786" w:rsidRPr="00014013">
              <w:rPr>
                <w:rFonts w:eastAsia="Times New Roman"/>
                <w:b/>
                <w:bCs/>
                <w:color w:val="000000"/>
                <w:sz w:val="20"/>
              </w:rPr>
              <w:t>5</w:t>
            </w:r>
            <w:r w:rsidRPr="00014013">
              <w:rPr>
                <w:rFonts w:eastAsia="Times New Roman"/>
                <w:b/>
                <w:bCs/>
                <w:color w:val="000000"/>
                <w:sz w:val="20"/>
              </w:rPr>
              <w:t xml:space="preserve">: Dimension 1 </w:t>
            </w:r>
            <w:r w:rsidRPr="00014013">
              <w:rPr>
                <w:rFonts w:eastAsia="Times New Roman"/>
                <w:b/>
                <w:color w:val="000000"/>
                <w:sz w:val="20"/>
              </w:rPr>
              <w:t>Intervention field</w:t>
            </w:r>
          </w:p>
        </w:tc>
      </w:tr>
      <w:tr w:rsidR="00FB701A" w:rsidRPr="00014013" w:rsidTr="00B750ED">
        <w:trPr>
          <w:trHeight w:val="267"/>
        </w:trPr>
        <w:tc>
          <w:tcPr>
            <w:tcW w:w="1526" w:type="dxa"/>
            <w:shd w:val="clear" w:color="auto" w:fill="auto"/>
          </w:tcPr>
          <w:p w:rsidR="00FB701A" w:rsidRPr="00014013" w:rsidRDefault="00FB701A" w:rsidP="00D17A3D">
            <w:pPr>
              <w:spacing w:after="240"/>
              <w:jc w:val="center"/>
              <w:rPr>
                <w:rFonts w:eastAsia="Times New Roman"/>
                <w:b/>
                <w:sz w:val="20"/>
              </w:rPr>
            </w:pPr>
            <w:r w:rsidRPr="00014013">
              <w:rPr>
                <w:rFonts w:eastAsia="Times New Roman"/>
                <w:b/>
                <w:sz w:val="20"/>
              </w:rPr>
              <w:t xml:space="preserve">Priority </w:t>
            </w:r>
            <w:r w:rsidR="00AB05A1" w:rsidRPr="00014013">
              <w:rPr>
                <w:rFonts w:eastAsia="Times New Roman"/>
                <w:b/>
                <w:sz w:val="20"/>
              </w:rPr>
              <w:t>a</w:t>
            </w:r>
            <w:r w:rsidRPr="00014013">
              <w:rPr>
                <w:rFonts w:eastAsia="Times New Roman"/>
                <w:b/>
                <w:sz w:val="20"/>
              </w:rPr>
              <w:t>xis</w:t>
            </w:r>
          </w:p>
        </w:tc>
        <w:tc>
          <w:tcPr>
            <w:tcW w:w="4394" w:type="dxa"/>
            <w:shd w:val="clear" w:color="auto" w:fill="auto"/>
          </w:tcPr>
          <w:p w:rsidR="00FB701A" w:rsidRPr="00014013" w:rsidRDefault="00FB701A" w:rsidP="00D17A3D">
            <w:pPr>
              <w:spacing w:after="240"/>
              <w:jc w:val="center"/>
              <w:rPr>
                <w:rFonts w:eastAsia="Times New Roman"/>
                <w:sz w:val="20"/>
              </w:rPr>
            </w:pPr>
            <w:r w:rsidRPr="00014013">
              <w:rPr>
                <w:rFonts w:eastAsia="Times New Roman"/>
                <w:b/>
                <w:sz w:val="20"/>
              </w:rPr>
              <w:t>Code</w:t>
            </w:r>
          </w:p>
        </w:tc>
        <w:tc>
          <w:tcPr>
            <w:tcW w:w="2552" w:type="dxa"/>
            <w:shd w:val="clear" w:color="auto" w:fill="auto"/>
          </w:tcPr>
          <w:p w:rsidR="00FB701A" w:rsidRPr="00014013" w:rsidRDefault="002A1819" w:rsidP="008F41E8">
            <w:pPr>
              <w:spacing w:after="240"/>
              <w:jc w:val="center"/>
              <w:rPr>
                <w:rFonts w:eastAsia="Times New Roman"/>
                <w:sz w:val="20"/>
              </w:rPr>
            </w:pPr>
            <w:r w:rsidRPr="00014013">
              <w:rPr>
                <w:b/>
                <w:sz w:val="20"/>
              </w:rPr>
              <w:t>Amount (</w:t>
            </w:r>
            <w:r w:rsidR="008F41E8" w:rsidRPr="00014013">
              <w:rPr>
                <w:b/>
                <w:sz w:val="20"/>
              </w:rPr>
              <w:t>EUR</w:t>
            </w:r>
            <w:r w:rsidRPr="00014013">
              <w:rPr>
                <w:b/>
                <w:sz w:val="20"/>
              </w:rPr>
              <w:t>)</w:t>
            </w:r>
          </w:p>
        </w:tc>
      </w:tr>
      <w:tr w:rsidR="00FB701A" w:rsidRPr="00014013" w:rsidTr="00B750ED">
        <w:tc>
          <w:tcPr>
            <w:tcW w:w="1526" w:type="dxa"/>
            <w:shd w:val="clear" w:color="auto" w:fill="auto"/>
          </w:tcPr>
          <w:p w:rsidR="00FB701A" w:rsidRPr="00014013" w:rsidRDefault="00BA1176" w:rsidP="009501D7">
            <w:pPr>
              <w:spacing w:after="0"/>
              <w:rPr>
                <w:rFonts w:eastAsia="Times New Roman"/>
                <w:sz w:val="20"/>
              </w:rPr>
            </w:pPr>
            <w:r w:rsidRPr="00014013">
              <w:rPr>
                <w:rFonts w:eastAsia="Times New Roman"/>
                <w:sz w:val="20"/>
              </w:rPr>
              <w:t>PA 1</w:t>
            </w:r>
          </w:p>
        </w:tc>
        <w:tc>
          <w:tcPr>
            <w:tcW w:w="4394" w:type="dxa"/>
            <w:shd w:val="clear" w:color="auto" w:fill="auto"/>
          </w:tcPr>
          <w:p w:rsidR="00FB701A" w:rsidRPr="00014013" w:rsidRDefault="00001263" w:rsidP="009501D7">
            <w:pPr>
              <w:spacing w:after="0"/>
              <w:rPr>
                <w:rFonts w:eastAsia="Times New Roman"/>
                <w:sz w:val="20"/>
              </w:rPr>
            </w:pPr>
            <w:r w:rsidRPr="00014013">
              <w:rPr>
                <w:rFonts w:eastAsia="Times New Roman"/>
                <w:sz w:val="20"/>
              </w:rPr>
              <w:t>080</w:t>
            </w:r>
            <w:r w:rsidRPr="00014013">
              <w:rPr>
                <w:sz w:val="20"/>
              </w:rPr>
              <w:t xml:space="preserve"> </w:t>
            </w:r>
            <w:r w:rsidRPr="00014013">
              <w:rPr>
                <w:rFonts w:eastAsia="Times New Roman"/>
                <w:sz w:val="20"/>
              </w:rPr>
              <w:t>e-Inclusion, e-Accessibility, e-Learning and e-Education services and applications, digital literacy</w:t>
            </w:r>
          </w:p>
        </w:tc>
        <w:tc>
          <w:tcPr>
            <w:tcW w:w="2552" w:type="dxa"/>
            <w:shd w:val="clear" w:color="auto" w:fill="auto"/>
          </w:tcPr>
          <w:p w:rsidR="00FB701A" w:rsidRPr="00014013" w:rsidRDefault="006171E8" w:rsidP="00971E8A">
            <w:pPr>
              <w:spacing w:after="0"/>
              <w:rPr>
                <w:rFonts w:eastAsia="Times New Roman"/>
                <w:sz w:val="20"/>
              </w:rPr>
            </w:pPr>
            <w:r w:rsidRPr="00014013">
              <w:rPr>
                <w:rFonts w:eastAsia="Times New Roman"/>
                <w:sz w:val="20"/>
              </w:rPr>
              <w:t>1.224.756,77</w:t>
            </w:r>
          </w:p>
        </w:tc>
      </w:tr>
      <w:tr w:rsidR="006171E8" w:rsidRPr="00014013" w:rsidTr="00B750ED">
        <w:trPr>
          <w:trHeight w:val="233"/>
        </w:trPr>
        <w:tc>
          <w:tcPr>
            <w:tcW w:w="1526" w:type="dxa"/>
            <w:shd w:val="clear" w:color="auto" w:fill="auto"/>
          </w:tcPr>
          <w:p w:rsidR="006171E8" w:rsidRPr="00014013" w:rsidRDefault="006171E8" w:rsidP="009501D7">
            <w:pPr>
              <w:spacing w:after="0"/>
              <w:rPr>
                <w:sz w:val="20"/>
              </w:rPr>
            </w:pPr>
            <w:r w:rsidRPr="00014013">
              <w:rPr>
                <w:rFonts w:eastAsia="Times New Roman"/>
                <w:sz w:val="20"/>
              </w:rPr>
              <w:t>PA 1</w:t>
            </w:r>
          </w:p>
        </w:tc>
        <w:tc>
          <w:tcPr>
            <w:tcW w:w="4394" w:type="dxa"/>
            <w:shd w:val="clear" w:color="auto" w:fill="auto"/>
          </w:tcPr>
          <w:p w:rsidR="006171E8" w:rsidRPr="00014013" w:rsidRDefault="006171E8" w:rsidP="009501D7">
            <w:pPr>
              <w:spacing w:after="0"/>
              <w:rPr>
                <w:rFonts w:eastAsia="Times New Roman"/>
                <w:sz w:val="20"/>
              </w:rPr>
            </w:pPr>
            <w:r w:rsidRPr="00014013">
              <w:rPr>
                <w:rFonts w:eastAsia="Times New Roman"/>
                <w:sz w:val="20"/>
              </w:rPr>
              <w:t>081 ICT solutions addressing the healthy active ageing challenge and e-Health services and applications (including e-Care and ambient assisted living)</w:t>
            </w:r>
          </w:p>
        </w:tc>
        <w:tc>
          <w:tcPr>
            <w:tcW w:w="2552" w:type="dxa"/>
            <w:shd w:val="clear" w:color="auto" w:fill="auto"/>
          </w:tcPr>
          <w:p w:rsidR="006171E8" w:rsidRPr="00014013" w:rsidRDefault="006171E8" w:rsidP="00971E8A">
            <w:pPr>
              <w:spacing w:after="0"/>
              <w:rPr>
                <w:rFonts w:eastAsia="Times New Roman"/>
                <w:sz w:val="20"/>
              </w:rPr>
            </w:pPr>
            <w:r w:rsidRPr="00014013">
              <w:rPr>
                <w:rFonts w:eastAsia="Times New Roman"/>
                <w:sz w:val="20"/>
              </w:rPr>
              <w:t>1.224.756,77</w:t>
            </w:r>
          </w:p>
        </w:tc>
      </w:tr>
      <w:tr w:rsidR="006171E8" w:rsidRPr="00014013" w:rsidTr="00B750ED">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501D7">
            <w:pPr>
              <w:spacing w:after="0"/>
              <w:rPr>
                <w:sz w:val="20"/>
              </w:rPr>
            </w:pPr>
            <w:r w:rsidRPr="00014013">
              <w:rPr>
                <w:rFonts w:eastAsia="Times New Roman"/>
                <w:sz w:val="20"/>
              </w:rPr>
              <w:t>PA 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501D7">
            <w:pPr>
              <w:spacing w:after="0"/>
              <w:rPr>
                <w:rFonts w:eastAsia="Times New Roman"/>
                <w:sz w:val="20"/>
              </w:rPr>
            </w:pPr>
            <w:r w:rsidRPr="00014013">
              <w:rPr>
                <w:rFonts w:eastAsia="Times New Roman"/>
                <w:sz w:val="20"/>
              </w:rPr>
              <w:t>107 Active and healthy ageing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71E8A">
            <w:pPr>
              <w:spacing w:after="0"/>
              <w:rPr>
                <w:rFonts w:eastAsia="Times New Roman"/>
                <w:sz w:val="20"/>
              </w:rPr>
            </w:pPr>
            <w:r w:rsidRPr="00014013">
              <w:rPr>
                <w:rFonts w:eastAsia="Times New Roman"/>
                <w:sz w:val="20"/>
              </w:rPr>
              <w:t>1.224.756,77</w:t>
            </w:r>
          </w:p>
        </w:tc>
      </w:tr>
      <w:tr w:rsidR="006171E8" w:rsidRPr="00014013" w:rsidTr="00B750ED">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501D7">
            <w:pPr>
              <w:spacing w:after="0"/>
              <w:rPr>
                <w:sz w:val="20"/>
              </w:rPr>
            </w:pPr>
            <w:r w:rsidRPr="00014013">
              <w:rPr>
                <w:rFonts w:eastAsia="Times New Roman"/>
                <w:sz w:val="20"/>
              </w:rPr>
              <w:t>PA 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501D7">
            <w:pPr>
              <w:spacing w:after="0"/>
              <w:rPr>
                <w:rFonts w:eastAsia="Times New Roman"/>
                <w:sz w:val="20"/>
              </w:rPr>
            </w:pPr>
            <w:r w:rsidRPr="00014013">
              <w:rPr>
                <w:rFonts w:eastAsia="Times New Roman"/>
                <w:sz w:val="20"/>
              </w:rPr>
              <w:t>110 Socio-economic integration of marginalised communities such as the Roma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71E8A">
            <w:pPr>
              <w:spacing w:after="0"/>
              <w:rPr>
                <w:rFonts w:eastAsia="Times New Roman"/>
                <w:sz w:val="20"/>
              </w:rPr>
            </w:pPr>
            <w:r w:rsidRPr="00014013">
              <w:rPr>
                <w:rFonts w:eastAsia="Times New Roman"/>
                <w:sz w:val="20"/>
              </w:rPr>
              <w:t>1.224.756,77</w:t>
            </w:r>
          </w:p>
        </w:tc>
      </w:tr>
      <w:tr w:rsidR="006171E8" w:rsidRPr="00014013" w:rsidTr="00B750ED">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501D7">
            <w:pPr>
              <w:spacing w:after="0"/>
              <w:rPr>
                <w:sz w:val="20"/>
              </w:rPr>
            </w:pPr>
            <w:r w:rsidRPr="00014013">
              <w:rPr>
                <w:rFonts w:eastAsia="Times New Roman"/>
                <w:sz w:val="20"/>
              </w:rPr>
              <w:t>PA 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501D7">
            <w:pPr>
              <w:spacing w:after="0"/>
              <w:rPr>
                <w:rFonts w:eastAsia="Times New Roman"/>
                <w:sz w:val="20"/>
              </w:rPr>
            </w:pPr>
            <w:r w:rsidRPr="00014013">
              <w:rPr>
                <w:rFonts w:eastAsia="Times New Roman"/>
                <w:sz w:val="20"/>
              </w:rPr>
              <w:t>111 Combating all forms of discrimination and promoting equal opportunities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71E8A">
            <w:pPr>
              <w:spacing w:after="0"/>
              <w:rPr>
                <w:rFonts w:eastAsia="Times New Roman"/>
                <w:sz w:val="20"/>
              </w:rPr>
            </w:pPr>
            <w:r w:rsidRPr="00014013">
              <w:rPr>
                <w:rFonts w:eastAsia="Times New Roman"/>
                <w:sz w:val="20"/>
              </w:rPr>
              <w:t>1.224.756,77</w:t>
            </w:r>
          </w:p>
        </w:tc>
      </w:tr>
      <w:tr w:rsidR="006171E8" w:rsidRPr="00014013" w:rsidTr="00B750ED">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501D7">
            <w:pPr>
              <w:spacing w:after="0"/>
              <w:rPr>
                <w:sz w:val="20"/>
              </w:rPr>
            </w:pPr>
            <w:r w:rsidRPr="00014013">
              <w:rPr>
                <w:rFonts w:eastAsia="Times New Roman"/>
                <w:sz w:val="20"/>
              </w:rPr>
              <w:t>PA 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501D7">
            <w:pPr>
              <w:spacing w:after="0"/>
              <w:rPr>
                <w:rFonts w:eastAsia="Times New Roman"/>
                <w:sz w:val="20"/>
              </w:rPr>
            </w:pPr>
            <w:r w:rsidRPr="00014013">
              <w:rPr>
                <w:rFonts w:eastAsia="Times New Roman"/>
                <w:sz w:val="20"/>
              </w:rPr>
              <w:t>112 Enhancing access to affordable, sustainable and high-quality services, including health care and social services of general interest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71E8A">
            <w:pPr>
              <w:spacing w:after="0"/>
              <w:rPr>
                <w:rFonts w:eastAsia="Times New Roman"/>
                <w:sz w:val="20"/>
              </w:rPr>
            </w:pPr>
            <w:r w:rsidRPr="00014013">
              <w:rPr>
                <w:rFonts w:eastAsia="Times New Roman"/>
                <w:sz w:val="20"/>
              </w:rPr>
              <w:t>1.224.756,77</w:t>
            </w:r>
          </w:p>
        </w:tc>
      </w:tr>
      <w:tr w:rsidR="006171E8" w:rsidRPr="00014013" w:rsidTr="007C5D57">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A11F92">
            <w:pPr>
              <w:spacing w:after="0"/>
              <w:rPr>
                <w:rFonts w:eastAsia="Times New Roman"/>
                <w:sz w:val="20"/>
              </w:rPr>
            </w:pPr>
            <w:r w:rsidRPr="00014013">
              <w:rPr>
                <w:rFonts w:eastAsia="Times New Roman"/>
                <w:sz w:val="20"/>
              </w:rPr>
              <w:t>PA 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A11F92">
            <w:pPr>
              <w:spacing w:after="0"/>
              <w:rPr>
                <w:rFonts w:eastAsia="Times New Roman"/>
                <w:sz w:val="20"/>
              </w:rPr>
            </w:pPr>
            <w:r w:rsidRPr="00014013">
              <w:rPr>
                <w:rFonts w:eastAsia="Times New Roman"/>
                <w:sz w:val="20"/>
              </w:rPr>
              <w:t>118 Improving the labour market relevance of education and training systems, facilitating the transition from education to work, and strengthening vocational education and training systems and their quality, including through mechanisms for skills anticipation, adaptation of curricula and the establishment and development of work-based learning systems, including dual learning systems and apprenticeship schemes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171E8" w:rsidRPr="00014013" w:rsidRDefault="006171E8" w:rsidP="00971E8A">
            <w:pPr>
              <w:spacing w:after="0"/>
              <w:rPr>
                <w:rFonts w:eastAsia="Times New Roman"/>
                <w:sz w:val="20"/>
              </w:rPr>
            </w:pPr>
            <w:r w:rsidRPr="00014013">
              <w:rPr>
                <w:rFonts w:eastAsia="Times New Roman"/>
                <w:sz w:val="20"/>
              </w:rPr>
              <w:t>1.224.756,77</w:t>
            </w:r>
          </w:p>
        </w:tc>
      </w:tr>
    </w:tbl>
    <w:p w:rsidR="00FB701A" w:rsidRPr="00B76110" w:rsidRDefault="00FB701A" w:rsidP="00D17A3D">
      <w:pPr>
        <w:suppressAutoHyphens/>
        <w:spacing w:after="240"/>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B701A" w:rsidRPr="00014013" w:rsidTr="00D17A3D">
        <w:trPr>
          <w:trHeight w:val="364"/>
        </w:trPr>
        <w:tc>
          <w:tcPr>
            <w:tcW w:w="8472" w:type="dxa"/>
            <w:gridSpan w:val="3"/>
            <w:shd w:val="clear" w:color="auto" w:fill="auto"/>
          </w:tcPr>
          <w:p w:rsidR="00FB701A" w:rsidRPr="00014013" w:rsidRDefault="00FB701A" w:rsidP="00962A75">
            <w:pPr>
              <w:autoSpaceDE w:val="0"/>
              <w:autoSpaceDN w:val="0"/>
              <w:adjustRightInd w:val="0"/>
              <w:spacing w:after="0"/>
              <w:rPr>
                <w:rFonts w:eastAsia="Times New Roman"/>
                <w:b/>
                <w:color w:val="000000"/>
                <w:sz w:val="20"/>
              </w:rPr>
            </w:pPr>
            <w:r w:rsidRPr="00014013">
              <w:rPr>
                <w:rFonts w:eastAsia="Times New Roman"/>
                <w:b/>
                <w:bCs/>
                <w:color w:val="000000"/>
                <w:sz w:val="20"/>
              </w:rPr>
              <w:t xml:space="preserve">Table </w:t>
            </w:r>
            <w:r w:rsidR="00EC0786" w:rsidRPr="00014013">
              <w:rPr>
                <w:rFonts w:eastAsia="Times New Roman"/>
                <w:b/>
                <w:bCs/>
                <w:color w:val="000000"/>
                <w:sz w:val="20"/>
              </w:rPr>
              <w:t>6</w:t>
            </w:r>
            <w:r w:rsidRPr="00014013">
              <w:rPr>
                <w:rFonts w:eastAsia="Times New Roman"/>
                <w:b/>
                <w:bCs/>
                <w:color w:val="000000"/>
                <w:sz w:val="20"/>
              </w:rPr>
              <w:t xml:space="preserve">: Dimension 2 </w:t>
            </w:r>
            <w:r w:rsidRPr="00014013">
              <w:rPr>
                <w:rFonts w:eastAsia="Times New Roman"/>
                <w:b/>
                <w:color w:val="000000"/>
                <w:sz w:val="20"/>
              </w:rPr>
              <w:t>Form of finance</w:t>
            </w:r>
          </w:p>
        </w:tc>
      </w:tr>
      <w:tr w:rsidR="00FB701A" w:rsidRPr="00014013" w:rsidTr="00D17A3D">
        <w:trPr>
          <w:trHeight w:val="267"/>
        </w:trPr>
        <w:tc>
          <w:tcPr>
            <w:tcW w:w="2802" w:type="dxa"/>
            <w:shd w:val="clear" w:color="auto" w:fill="auto"/>
          </w:tcPr>
          <w:p w:rsidR="00FB701A" w:rsidRPr="00014013" w:rsidRDefault="00AB05A1" w:rsidP="00D17A3D">
            <w:pPr>
              <w:spacing w:after="240"/>
              <w:jc w:val="center"/>
              <w:rPr>
                <w:rFonts w:eastAsia="Times New Roman"/>
                <w:b/>
                <w:sz w:val="20"/>
              </w:rPr>
            </w:pPr>
            <w:r w:rsidRPr="00014013">
              <w:rPr>
                <w:rFonts w:eastAsia="Times New Roman"/>
                <w:b/>
                <w:sz w:val="20"/>
              </w:rPr>
              <w:t>Priority axis</w:t>
            </w:r>
          </w:p>
        </w:tc>
        <w:tc>
          <w:tcPr>
            <w:tcW w:w="2693" w:type="dxa"/>
            <w:shd w:val="clear" w:color="auto" w:fill="auto"/>
          </w:tcPr>
          <w:p w:rsidR="00FB701A" w:rsidRPr="00014013" w:rsidRDefault="00FB701A" w:rsidP="00D17A3D">
            <w:pPr>
              <w:spacing w:after="240"/>
              <w:jc w:val="center"/>
              <w:rPr>
                <w:rFonts w:eastAsia="Times New Roman"/>
                <w:sz w:val="20"/>
              </w:rPr>
            </w:pPr>
            <w:r w:rsidRPr="00014013">
              <w:rPr>
                <w:rFonts w:eastAsia="Times New Roman"/>
                <w:b/>
                <w:sz w:val="20"/>
              </w:rPr>
              <w:t>Code</w:t>
            </w:r>
          </w:p>
        </w:tc>
        <w:tc>
          <w:tcPr>
            <w:tcW w:w="2977" w:type="dxa"/>
            <w:shd w:val="clear" w:color="auto" w:fill="auto"/>
          </w:tcPr>
          <w:p w:rsidR="00FB701A" w:rsidRPr="00014013" w:rsidRDefault="002A1819" w:rsidP="008F41E8">
            <w:pPr>
              <w:spacing w:after="240"/>
              <w:jc w:val="center"/>
              <w:rPr>
                <w:rFonts w:eastAsia="Times New Roman"/>
                <w:sz w:val="20"/>
              </w:rPr>
            </w:pPr>
            <w:r w:rsidRPr="00014013">
              <w:rPr>
                <w:b/>
                <w:sz w:val="20"/>
              </w:rPr>
              <w:t>Amount (</w:t>
            </w:r>
            <w:r w:rsidR="008F41E8" w:rsidRPr="00014013">
              <w:rPr>
                <w:b/>
                <w:sz w:val="20"/>
              </w:rPr>
              <w:t>EUR</w:t>
            </w:r>
            <w:r w:rsidRPr="00014013">
              <w:rPr>
                <w:b/>
                <w:sz w:val="20"/>
              </w:rPr>
              <w:t>)</w:t>
            </w:r>
          </w:p>
        </w:tc>
      </w:tr>
      <w:tr w:rsidR="00FB701A" w:rsidRPr="00014013" w:rsidTr="00D17A3D">
        <w:tc>
          <w:tcPr>
            <w:tcW w:w="2802" w:type="dxa"/>
            <w:shd w:val="clear" w:color="auto" w:fill="auto"/>
          </w:tcPr>
          <w:p w:rsidR="00FB701A" w:rsidRPr="00014013" w:rsidRDefault="00E92B0F" w:rsidP="00D17A3D">
            <w:pPr>
              <w:spacing w:after="240"/>
              <w:rPr>
                <w:rFonts w:eastAsia="Times New Roman"/>
                <w:sz w:val="20"/>
              </w:rPr>
            </w:pPr>
            <w:r w:rsidRPr="00014013">
              <w:rPr>
                <w:rFonts w:eastAsia="Times New Roman"/>
                <w:sz w:val="20"/>
              </w:rPr>
              <w:t>PA 1</w:t>
            </w:r>
          </w:p>
        </w:tc>
        <w:tc>
          <w:tcPr>
            <w:tcW w:w="2693" w:type="dxa"/>
            <w:shd w:val="clear" w:color="auto" w:fill="auto"/>
          </w:tcPr>
          <w:p w:rsidR="00FB701A" w:rsidRPr="00014013" w:rsidRDefault="00E92B0F" w:rsidP="00E92B0F">
            <w:pPr>
              <w:suppressAutoHyphens/>
              <w:spacing w:after="0"/>
              <w:rPr>
                <w:rFonts w:eastAsia="Times New Roman"/>
                <w:sz w:val="20"/>
              </w:rPr>
            </w:pPr>
            <w:r w:rsidRPr="00014013">
              <w:rPr>
                <w:rFonts w:eastAsia="Times New Roman"/>
                <w:sz w:val="20"/>
              </w:rPr>
              <w:t>01 Non-repayable grant</w:t>
            </w:r>
          </w:p>
        </w:tc>
        <w:tc>
          <w:tcPr>
            <w:tcW w:w="2977" w:type="dxa"/>
            <w:shd w:val="clear" w:color="auto" w:fill="auto"/>
          </w:tcPr>
          <w:p w:rsidR="00FB701A" w:rsidRPr="00014013" w:rsidRDefault="00C400CF" w:rsidP="006171E8">
            <w:pPr>
              <w:spacing w:after="240"/>
              <w:jc w:val="left"/>
              <w:rPr>
                <w:rFonts w:eastAsia="Times New Roman"/>
                <w:sz w:val="20"/>
              </w:rPr>
            </w:pPr>
            <w:r w:rsidRPr="00014013">
              <w:rPr>
                <w:rFonts w:eastAsia="Times New Roman"/>
                <w:sz w:val="20"/>
              </w:rPr>
              <w:t>8.</w:t>
            </w:r>
            <w:r w:rsidR="00852F68" w:rsidRPr="00014013">
              <w:rPr>
                <w:rFonts w:eastAsia="Times New Roman"/>
                <w:sz w:val="20"/>
              </w:rPr>
              <w:t>573</w:t>
            </w:r>
            <w:r w:rsidR="004621D8" w:rsidRPr="00014013">
              <w:rPr>
                <w:rFonts w:eastAsia="Times New Roman"/>
                <w:sz w:val="20"/>
              </w:rPr>
              <w:t>.</w:t>
            </w:r>
            <w:r w:rsidR="00852F68" w:rsidRPr="00014013">
              <w:rPr>
                <w:rFonts w:eastAsia="Times New Roman"/>
                <w:sz w:val="20"/>
              </w:rPr>
              <w:t>297</w:t>
            </w:r>
            <w:r w:rsidR="004621D8" w:rsidRPr="00014013">
              <w:rPr>
                <w:rFonts w:eastAsia="Times New Roman"/>
                <w:sz w:val="20"/>
              </w:rPr>
              <w:t>,</w:t>
            </w:r>
            <w:r w:rsidR="006171E8" w:rsidRPr="00014013">
              <w:rPr>
                <w:rFonts w:eastAsia="Times New Roman"/>
                <w:sz w:val="20"/>
              </w:rPr>
              <w:t>40</w:t>
            </w:r>
          </w:p>
        </w:tc>
      </w:tr>
    </w:tbl>
    <w:p w:rsidR="00BF6086" w:rsidRPr="00BF6086" w:rsidRDefault="00BF6086" w:rsidP="00BF6086">
      <w:pPr>
        <w:suppressAutoHyphens/>
        <w:spacing w:after="0"/>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B701A" w:rsidRPr="00014013" w:rsidTr="00D17A3D">
        <w:trPr>
          <w:trHeight w:val="364"/>
        </w:trPr>
        <w:tc>
          <w:tcPr>
            <w:tcW w:w="8472" w:type="dxa"/>
            <w:gridSpan w:val="3"/>
            <w:shd w:val="clear" w:color="auto" w:fill="auto"/>
          </w:tcPr>
          <w:p w:rsidR="00FB701A" w:rsidRPr="00014013" w:rsidRDefault="00FB701A" w:rsidP="00962A75">
            <w:pPr>
              <w:autoSpaceDE w:val="0"/>
              <w:autoSpaceDN w:val="0"/>
              <w:adjustRightInd w:val="0"/>
              <w:spacing w:after="0"/>
              <w:rPr>
                <w:rFonts w:eastAsia="Times New Roman"/>
                <w:b/>
                <w:color w:val="000000"/>
                <w:sz w:val="20"/>
              </w:rPr>
            </w:pPr>
            <w:r w:rsidRPr="00014013">
              <w:rPr>
                <w:rFonts w:eastAsia="Times New Roman"/>
                <w:b/>
                <w:bCs/>
                <w:color w:val="000000"/>
                <w:sz w:val="20"/>
              </w:rPr>
              <w:t xml:space="preserve">Table </w:t>
            </w:r>
            <w:r w:rsidR="00EC0786" w:rsidRPr="00014013">
              <w:rPr>
                <w:rFonts w:eastAsia="Times New Roman"/>
                <w:b/>
                <w:bCs/>
                <w:color w:val="000000"/>
                <w:sz w:val="20"/>
              </w:rPr>
              <w:t>7</w:t>
            </w:r>
            <w:r w:rsidRPr="00014013">
              <w:rPr>
                <w:rFonts w:eastAsia="Times New Roman"/>
                <w:b/>
                <w:bCs/>
                <w:color w:val="000000"/>
                <w:sz w:val="20"/>
              </w:rPr>
              <w:t xml:space="preserve">: Dimension 3 </w:t>
            </w:r>
            <w:r w:rsidRPr="00014013">
              <w:rPr>
                <w:rFonts w:eastAsia="Times New Roman"/>
                <w:b/>
                <w:color w:val="000000"/>
                <w:sz w:val="20"/>
              </w:rPr>
              <w:t>Territory</w:t>
            </w:r>
            <w:r w:rsidR="008F41E8" w:rsidRPr="00014013">
              <w:rPr>
                <w:rFonts w:eastAsia="Times New Roman"/>
                <w:b/>
                <w:color w:val="000000"/>
                <w:sz w:val="20"/>
              </w:rPr>
              <w:t xml:space="preserve"> type</w:t>
            </w:r>
          </w:p>
        </w:tc>
      </w:tr>
      <w:tr w:rsidR="00FB701A" w:rsidRPr="00014013" w:rsidTr="00D17A3D">
        <w:trPr>
          <w:trHeight w:val="267"/>
        </w:trPr>
        <w:tc>
          <w:tcPr>
            <w:tcW w:w="2802" w:type="dxa"/>
            <w:shd w:val="clear" w:color="auto" w:fill="auto"/>
          </w:tcPr>
          <w:p w:rsidR="00FB701A" w:rsidRPr="00014013" w:rsidRDefault="00AB05A1" w:rsidP="00D17A3D">
            <w:pPr>
              <w:spacing w:after="240"/>
              <w:jc w:val="center"/>
              <w:rPr>
                <w:rFonts w:eastAsia="Times New Roman"/>
                <w:b/>
                <w:sz w:val="20"/>
              </w:rPr>
            </w:pPr>
            <w:r w:rsidRPr="00014013">
              <w:rPr>
                <w:rFonts w:eastAsia="Times New Roman"/>
                <w:b/>
                <w:sz w:val="20"/>
              </w:rPr>
              <w:t>Priority axis</w:t>
            </w:r>
          </w:p>
        </w:tc>
        <w:tc>
          <w:tcPr>
            <w:tcW w:w="2693" w:type="dxa"/>
            <w:shd w:val="clear" w:color="auto" w:fill="auto"/>
          </w:tcPr>
          <w:p w:rsidR="00FB701A" w:rsidRPr="00014013" w:rsidRDefault="00FB701A" w:rsidP="00D17A3D">
            <w:pPr>
              <w:spacing w:after="240"/>
              <w:jc w:val="center"/>
              <w:rPr>
                <w:rFonts w:eastAsia="Times New Roman"/>
                <w:sz w:val="20"/>
              </w:rPr>
            </w:pPr>
            <w:r w:rsidRPr="00014013">
              <w:rPr>
                <w:rFonts w:eastAsia="Times New Roman"/>
                <w:b/>
                <w:sz w:val="20"/>
              </w:rPr>
              <w:t>Code</w:t>
            </w:r>
          </w:p>
        </w:tc>
        <w:tc>
          <w:tcPr>
            <w:tcW w:w="2977" w:type="dxa"/>
            <w:shd w:val="clear" w:color="auto" w:fill="auto"/>
          </w:tcPr>
          <w:p w:rsidR="00FB701A" w:rsidRPr="00014013" w:rsidRDefault="002A1819" w:rsidP="008F41E8">
            <w:pPr>
              <w:spacing w:after="240"/>
              <w:jc w:val="center"/>
              <w:rPr>
                <w:rFonts w:eastAsia="Times New Roman"/>
                <w:sz w:val="20"/>
              </w:rPr>
            </w:pPr>
            <w:r w:rsidRPr="00014013">
              <w:rPr>
                <w:b/>
                <w:sz w:val="20"/>
              </w:rPr>
              <w:t>Amount (</w:t>
            </w:r>
            <w:r w:rsidR="008F41E8" w:rsidRPr="00014013">
              <w:rPr>
                <w:b/>
                <w:sz w:val="20"/>
              </w:rPr>
              <w:t>EUR</w:t>
            </w:r>
            <w:r w:rsidRPr="00014013">
              <w:rPr>
                <w:b/>
                <w:sz w:val="20"/>
              </w:rPr>
              <w:t>)</w:t>
            </w:r>
          </w:p>
        </w:tc>
      </w:tr>
      <w:tr w:rsidR="006171E8" w:rsidRPr="00014013" w:rsidTr="00D17A3D">
        <w:tc>
          <w:tcPr>
            <w:tcW w:w="2802" w:type="dxa"/>
            <w:shd w:val="clear" w:color="auto" w:fill="auto"/>
          </w:tcPr>
          <w:p w:rsidR="006171E8" w:rsidRPr="00014013" w:rsidRDefault="006171E8" w:rsidP="00D17A3D">
            <w:pPr>
              <w:spacing w:after="240"/>
              <w:rPr>
                <w:rFonts w:eastAsia="Times New Roman"/>
                <w:sz w:val="20"/>
              </w:rPr>
            </w:pPr>
            <w:r w:rsidRPr="00014013">
              <w:rPr>
                <w:rFonts w:eastAsia="Times New Roman"/>
                <w:sz w:val="20"/>
              </w:rPr>
              <w:lastRenderedPageBreak/>
              <w:t>PA 1</w:t>
            </w:r>
          </w:p>
        </w:tc>
        <w:tc>
          <w:tcPr>
            <w:tcW w:w="2693" w:type="dxa"/>
            <w:shd w:val="clear" w:color="auto" w:fill="auto"/>
          </w:tcPr>
          <w:p w:rsidR="006171E8" w:rsidRPr="00014013" w:rsidRDefault="006171E8" w:rsidP="003A5757">
            <w:pPr>
              <w:suppressAutoHyphens/>
              <w:spacing w:after="0"/>
              <w:rPr>
                <w:rFonts w:eastAsia="Times New Roman"/>
                <w:sz w:val="20"/>
              </w:rPr>
            </w:pPr>
            <w:r w:rsidRPr="00014013">
              <w:rPr>
                <w:rFonts w:eastAsia="Times New Roman"/>
                <w:sz w:val="20"/>
              </w:rPr>
              <w:t>01 Large Urban areas (densely populated &gt; 50 000 population)</w:t>
            </w:r>
          </w:p>
        </w:tc>
        <w:tc>
          <w:tcPr>
            <w:tcW w:w="2977" w:type="dxa"/>
            <w:shd w:val="clear" w:color="auto" w:fill="auto"/>
          </w:tcPr>
          <w:p w:rsidR="006171E8" w:rsidRPr="00014013" w:rsidRDefault="006171E8" w:rsidP="00B57F1C">
            <w:pPr>
              <w:spacing w:after="240"/>
              <w:jc w:val="left"/>
              <w:rPr>
                <w:rFonts w:eastAsia="Times New Roman"/>
                <w:sz w:val="20"/>
              </w:rPr>
            </w:pPr>
            <w:r w:rsidRPr="00014013">
              <w:rPr>
                <w:rFonts w:eastAsia="Times New Roman"/>
                <w:sz w:val="20"/>
              </w:rPr>
              <w:t>2.857.765,80</w:t>
            </w:r>
          </w:p>
        </w:tc>
      </w:tr>
      <w:tr w:rsidR="006171E8" w:rsidRPr="00014013" w:rsidTr="00D17A3D">
        <w:tc>
          <w:tcPr>
            <w:tcW w:w="2802" w:type="dxa"/>
            <w:shd w:val="clear" w:color="auto" w:fill="auto"/>
          </w:tcPr>
          <w:p w:rsidR="006171E8" w:rsidRPr="00014013" w:rsidRDefault="006171E8" w:rsidP="00D17A3D">
            <w:pPr>
              <w:spacing w:after="240"/>
              <w:rPr>
                <w:rFonts w:eastAsia="Times New Roman"/>
                <w:sz w:val="20"/>
              </w:rPr>
            </w:pPr>
            <w:r w:rsidRPr="00014013">
              <w:rPr>
                <w:rFonts w:eastAsia="Times New Roman"/>
                <w:sz w:val="20"/>
              </w:rPr>
              <w:t>PA 1</w:t>
            </w:r>
          </w:p>
        </w:tc>
        <w:tc>
          <w:tcPr>
            <w:tcW w:w="2693" w:type="dxa"/>
            <w:shd w:val="clear" w:color="auto" w:fill="auto"/>
          </w:tcPr>
          <w:p w:rsidR="006171E8" w:rsidRPr="00014013" w:rsidRDefault="006171E8" w:rsidP="003A5757">
            <w:pPr>
              <w:suppressAutoHyphens/>
              <w:spacing w:after="0"/>
              <w:rPr>
                <w:rFonts w:eastAsia="Times New Roman"/>
                <w:sz w:val="20"/>
              </w:rPr>
            </w:pPr>
            <w:r w:rsidRPr="00014013">
              <w:rPr>
                <w:rFonts w:eastAsia="Times New Roman"/>
                <w:sz w:val="20"/>
              </w:rPr>
              <w:t>02 Small Urban areas (intermediate density &gt; 5 000 population)</w:t>
            </w:r>
          </w:p>
        </w:tc>
        <w:tc>
          <w:tcPr>
            <w:tcW w:w="2977" w:type="dxa"/>
            <w:shd w:val="clear" w:color="auto" w:fill="auto"/>
          </w:tcPr>
          <w:p w:rsidR="006171E8" w:rsidRPr="00014013" w:rsidRDefault="006171E8" w:rsidP="00B57F1C">
            <w:pPr>
              <w:spacing w:after="240"/>
              <w:jc w:val="left"/>
              <w:rPr>
                <w:rFonts w:eastAsia="Times New Roman"/>
                <w:sz w:val="20"/>
              </w:rPr>
            </w:pPr>
            <w:r w:rsidRPr="00014013">
              <w:rPr>
                <w:rFonts w:eastAsia="Times New Roman"/>
                <w:sz w:val="20"/>
              </w:rPr>
              <w:t>2.857.765,80</w:t>
            </w:r>
          </w:p>
        </w:tc>
      </w:tr>
      <w:tr w:rsidR="00930CE6" w:rsidRPr="00014013" w:rsidTr="00D17A3D">
        <w:tc>
          <w:tcPr>
            <w:tcW w:w="2802" w:type="dxa"/>
            <w:shd w:val="clear" w:color="auto" w:fill="auto"/>
          </w:tcPr>
          <w:p w:rsidR="00930CE6" w:rsidRPr="00014013" w:rsidRDefault="00930CE6" w:rsidP="00D17A3D">
            <w:pPr>
              <w:spacing w:after="240"/>
              <w:rPr>
                <w:rFonts w:eastAsia="Times New Roman"/>
                <w:sz w:val="20"/>
              </w:rPr>
            </w:pPr>
            <w:r w:rsidRPr="00014013">
              <w:rPr>
                <w:rFonts w:eastAsia="Times New Roman"/>
                <w:sz w:val="20"/>
              </w:rPr>
              <w:t>PA 1</w:t>
            </w:r>
          </w:p>
        </w:tc>
        <w:tc>
          <w:tcPr>
            <w:tcW w:w="2693" w:type="dxa"/>
            <w:shd w:val="clear" w:color="auto" w:fill="auto"/>
          </w:tcPr>
          <w:p w:rsidR="00930CE6" w:rsidRPr="00014013" w:rsidRDefault="00930CE6" w:rsidP="003A5757">
            <w:pPr>
              <w:suppressAutoHyphens/>
              <w:spacing w:after="0"/>
              <w:rPr>
                <w:rFonts w:eastAsia="Times New Roman"/>
                <w:sz w:val="20"/>
              </w:rPr>
            </w:pPr>
            <w:r w:rsidRPr="00014013">
              <w:rPr>
                <w:rFonts w:eastAsia="Times New Roman"/>
                <w:sz w:val="20"/>
              </w:rPr>
              <w:t>03 Rural areas (thinly populated)</w:t>
            </w:r>
          </w:p>
        </w:tc>
        <w:tc>
          <w:tcPr>
            <w:tcW w:w="2977" w:type="dxa"/>
            <w:shd w:val="clear" w:color="auto" w:fill="auto"/>
          </w:tcPr>
          <w:p w:rsidR="00930CE6" w:rsidRPr="00014013" w:rsidRDefault="00B57F1C" w:rsidP="006171E8">
            <w:pPr>
              <w:spacing w:after="240"/>
              <w:jc w:val="left"/>
              <w:rPr>
                <w:rFonts w:eastAsia="Times New Roman"/>
                <w:sz w:val="20"/>
              </w:rPr>
            </w:pPr>
            <w:r w:rsidRPr="00014013">
              <w:rPr>
                <w:rFonts w:eastAsia="Times New Roman"/>
                <w:sz w:val="20"/>
              </w:rPr>
              <w:t>2.857.765,</w:t>
            </w:r>
            <w:r w:rsidR="006171E8" w:rsidRPr="00014013">
              <w:rPr>
                <w:rFonts w:eastAsia="Times New Roman"/>
                <w:sz w:val="20"/>
              </w:rPr>
              <w:t>80</w:t>
            </w:r>
          </w:p>
        </w:tc>
      </w:tr>
    </w:tbl>
    <w:p w:rsidR="00C216AE" w:rsidRPr="00B76110" w:rsidRDefault="00C216AE" w:rsidP="00D17A3D">
      <w:pPr>
        <w:suppressAutoHyphens/>
        <w:spacing w:after="240"/>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B701A" w:rsidRPr="00014013" w:rsidTr="00D17A3D">
        <w:trPr>
          <w:trHeight w:val="364"/>
        </w:trPr>
        <w:tc>
          <w:tcPr>
            <w:tcW w:w="8472" w:type="dxa"/>
            <w:gridSpan w:val="3"/>
            <w:shd w:val="clear" w:color="auto" w:fill="auto"/>
          </w:tcPr>
          <w:p w:rsidR="00FB701A" w:rsidRPr="00014013" w:rsidRDefault="00FB701A" w:rsidP="00962A75">
            <w:pPr>
              <w:autoSpaceDE w:val="0"/>
              <w:autoSpaceDN w:val="0"/>
              <w:adjustRightInd w:val="0"/>
              <w:spacing w:after="0"/>
              <w:rPr>
                <w:rFonts w:eastAsia="Times New Roman"/>
                <w:b/>
                <w:color w:val="000000"/>
                <w:sz w:val="20"/>
              </w:rPr>
            </w:pPr>
            <w:r w:rsidRPr="00014013">
              <w:rPr>
                <w:rFonts w:eastAsia="Times New Roman"/>
                <w:b/>
                <w:bCs/>
                <w:color w:val="000000"/>
                <w:sz w:val="20"/>
              </w:rPr>
              <w:t xml:space="preserve">Table </w:t>
            </w:r>
            <w:r w:rsidR="00EC0786" w:rsidRPr="00014013">
              <w:rPr>
                <w:rFonts w:eastAsia="Times New Roman"/>
                <w:b/>
                <w:bCs/>
                <w:color w:val="000000"/>
                <w:sz w:val="20"/>
              </w:rPr>
              <w:t>8</w:t>
            </w:r>
            <w:r w:rsidRPr="00014013">
              <w:rPr>
                <w:rFonts w:eastAsia="Times New Roman"/>
                <w:b/>
                <w:bCs/>
                <w:color w:val="000000"/>
                <w:sz w:val="20"/>
              </w:rPr>
              <w:t xml:space="preserve">: Dimension 6 </w:t>
            </w:r>
            <w:r w:rsidRPr="00014013">
              <w:rPr>
                <w:rFonts w:eastAsia="Times New Roman"/>
                <w:b/>
                <w:color w:val="000000"/>
                <w:sz w:val="20"/>
              </w:rPr>
              <w:t>Territorial delivery mechanisms</w:t>
            </w:r>
          </w:p>
        </w:tc>
      </w:tr>
      <w:tr w:rsidR="00FB701A" w:rsidRPr="00014013" w:rsidTr="00D17A3D">
        <w:trPr>
          <w:trHeight w:val="267"/>
        </w:trPr>
        <w:tc>
          <w:tcPr>
            <w:tcW w:w="2802" w:type="dxa"/>
            <w:shd w:val="clear" w:color="auto" w:fill="auto"/>
          </w:tcPr>
          <w:p w:rsidR="00FB701A" w:rsidRPr="00014013" w:rsidRDefault="00AB05A1" w:rsidP="00D17A3D">
            <w:pPr>
              <w:spacing w:after="240"/>
              <w:jc w:val="center"/>
              <w:rPr>
                <w:rFonts w:eastAsia="Times New Roman"/>
                <w:b/>
                <w:sz w:val="20"/>
              </w:rPr>
            </w:pPr>
            <w:r w:rsidRPr="00014013">
              <w:rPr>
                <w:rFonts w:eastAsia="Times New Roman"/>
                <w:b/>
                <w:sz w:val="20"/>
              </w:rPr>
              <w:t>Priority axis</w:t>
            </w:r>
          </w:p>
        </w:tc>
        <w:tc>
          <w:tcPr>
            <w:tcW w:w="2693" w:type="dxa"/>
            <w:shd w:val="clear" w:color="auto" w:fill="auto"/>
          </w:tcPr>
          <w:p w:rsidR="00FB701A" w:rsidRPr="00014013" w:rsidRDefault="00FB701A" w:rsidP="00D17A3D">
            <w:pPr>
              <w:spacing w:after="240"/>
              <w:jc w:val="center"/>
              <w:rPr>
                <w:rFonts w:eastAsia="Times New Roman"/>
                <w:sz w:val="20"/>
              </w:rPr>
            </w:pPr>
            <w:r w:rsidRPr="00014013">
              <w:rPr>
                <w:rFonts w:eastAsia="Times New Roman"/>
                <w:b/>
                <w:sz w:val="20"/>
              </w:rPr>
              <w:t>Code</w:t>
            </w:r>
          </w:p>
        </w:tc>
        <w:tc>
          <w:tcPr>
            <w:tcW w:w="2977" w:type="dxa"/>
            <w:shd w:val="clear" w:color="auto" w:fill="auto"/>
          </w:tcPr>
          <w:p w:rsidR="00FB701A" w:rsidRPr="00014013" w:rsidRDefault="002A1819" w:rsidP="008F41E8">
            <w:pPr>
              <w:spacing w:after="240"/>
              <w:jc w:val="center"/>
              <w:rPr>
                <w:rFonts w:eastAsia="Times New Roman"/>
                <w:sz w:val="20"/>
              </w:rPr>
            </w:pPr>
            <w:r w:rsidRPr="00014013">
              <w:rPr>
                <w:b/>
                <w:sz w:val="20"/>
              </w:rPr>
              <w:t>Amount (</w:t>
            </w:r>
            <w:r w:rsidR="008F41E8" w:rsidRPr="00014013">
              <w:rPr>
                <w:b/>
                <w:sz w:val="20"/>
              </w:rPr>
              <w:t>EUR</w:t>
            </w:r>
            <w:r w:rsidRPr="00014013">
              <w:rPr>
                <w:b/>
                <w:sz w:val="20"/>
              </w:rPr>
              <w:t>)</w:t>
            </w:r>
          </w:p>
        </w:tc>
      </w:tr>
      <w:tr w:rsidR="00FB701A" w:rsidRPr="00014013" w:rsidTr="00D17A3D">
        <w:tc>
          <w:tcPr>
            <w:tcW w:w="2802" w:type="dxa"/>
            <w:shd w:val="clear" w:color="auto" w:fill="auto"/>
          </w:tcPr>
          <w:p w:rsidR="00FB701A" w:rsidRPr="00014013" w:rsidRDefault="00040DBE" w:rsidP="00D17A3D">
            <w:pPr>
              <w:spacing w:after="240"/>
              <w:rPr>
                <w:rFonts w:eastAsia="Times New Roman"/>
                <w:sz w:val="20"/>
              </w:rPr>
            </w:pPr>
            <w:r w:rsidRPr="00014013">
              <w:rPr>
                <w:rFonts w:eastAsia="Times New Roman"/>
                <w:sz w:val="20"/>
              </w:rPr>
              <w:t>PA 1</w:t>
            </w:r>
          </w:p>
        </w:tc>
        <w:tc>
          <w:tcPr>
            <w:tcW w:w="2693" w:type="dxa"/>
            <w:shd w:val="clear" w:color="auto" w:fill="auto"/>
          </w:tcPr>
          <w:p w:rsidR="00FB701A" w:rsidRPr="00014013" w:rsidRDefault="00040DBE" w:rsidP="00006FB1">
            <w:pPr>
              <w:spacing w:after="0"/>
              <w:rPr>
                <w:rFonts w:eastAsia="Times New Roman"/>
                <w:sz w:val="20"/>
              </w:rPr>
            </w:pPr>
            <w:r w:rsidRPr="00014013">
              <w:rPr>
                <w:rFonts w:eastAsia="Times New Roman"/>
                <w:sz w:val="20"/>
              </w:rPr>
              <w:t>07 Not applicable</w:t>
            </w:r>
          </w:p>
        </w:tc>
        <w:tc>
          <w:tcPr>
            <w:tcW w:w="2977" w:type="dxa"/>
            <w:shd w:val="clear" w:color="auto" w:fill="auto"/>
          </w:tcPr>
          <w:p w:rsidR="00FB701A" w:rsidRPr="00014013" w:rsidRDefault="00FB701A" w:rsidP="00D17A3D">
            <w:pPr>
              <w:spacing w:after="240"/>
              <w:jc w:val="right"/>
              <w:rPr>
                <w:rFonts w:eastAsia="Times New Roman"/>
                <w:sz w:val="20"/>
              </w:rPr>
            </w:pPr>
          </w:p>
        </w:tc>
      </w:tr>
    </w:tbl>
    <w:p w:rsidR="00040DBE" w:rsidRDefault="00040DBE" w:rsidP="007D1A20">
      <w:pPr>
        <w:spacing w:after="240"/>
        <w:rPr>
          <w:rFonts w:eastAsia="Times New Roman"/>
          <w:b/>
        </w:rPr>
      </w:pPr>
    </w:p>
    <w:p w:rsidR="00330891" w:rsidRPr="00567F19" w:rsidRDefault="00FB701A" w:rsidP="00630EA9">
      <w:pPr>
        <w:spacing w:after="240"/>
        <w:ind w:left="709" w:hanging="709"/>
      </w:pPr>
      <w:r w:rsidRPr="00B76110">
        <w:rPr>
          <w:rFonts w:eastAsia="Times New Roman"/>
          <w:b/>
        </w:rPr>
        <w:t>2.</w:t>
      </w:r>
      <w:r w:rsidR="00630EA9">
        <w:rPr>
          <w:rFonts w:eastAsia="Times New Roman"/>
          <w:b/>
        </w:rPr>
        <w:t>1</w:t>
      </w:r>
      <w:r w:rsidRPr="00B76110">
        <w:rPr>
          <w:rFonts w:eastAsia="Times New Roman"/>
          <w:b/>
        </w:rPr>
        <w:t>.</w:t>
      </w:r>
      <w:r w:rsidR="00630EA9">
        <w:rPr>
          <w:rFonts w:eastAsia="Times New Roman"/>
          <w:b/>
        </w:rPr>
        <w:t>8</w:t>
      </w:r>
      <w:r w:rsidRPr="00B76110">
        <w:rPr>
          <w:rFonts w:eastAsia="Times New Roman"/>
          <w:b/>
        </w:rPr>
        <w:t xml:space="preserve">. A summary of the planned use of technical assistance including, where necessary, actions to reinforce the administrative capacity of authorities involved in the management and control of the programmes and beneficiaries and, where necessary, actions for </w:t>
      </w:r>
      <w:r w:rsidR="002A1819">
        <w:rPr>
          <w:rFonts w:eastAsia="Times New Roman"/>
          <w:b/>
        </w:rPr>
        <w:t xml:space="preserve">to enhance </w:t>
      </w:r>
      <w:r w:rsidRPr="00B76110">
        <w:rPr>
          <w:rFonts w:eastAsia="Times New Roman"/>
          <w:b/>
        </w:rPr>
        <w:t xml:space="preserve">the administrative capacity of relevant partners to participate in the implementation of programmes </w:t>
      </w:r>
      <w:r w:rsidR="00AB05A1">
        <w:t xml:space="preserve"> </w:t>
      </w:r>
      <w:r w:rsidR="00330891" w:rsidRPr="00567F19">
        <w:t>(where appropriate)</w:t>
      </w:r>
    </w:p>
    <w:p w:rsidR="00FB701A" w:rsidRPr="00567F19" w:rsidRDefault="00FB701A" w:rsidP="00567F19">
      <w:r w:rsidRPr="00567F19">
        <w:t>(</w:t>
      </w:r>
      <w:r w:rsidR="00330891" w:rsidRPr="00567F19">
        <w:t xml:space="preserve">Reference: </w:t>
      </w:r>
      <w:r w:rsidR="00C0542A">
        <w:t xml:space="preserve">point (b)(vi) of </w:t>
      </w:r>
      <w:r w:rsidRPr="00567F19">
        <w:t xml:space="preserve">Article </w:t>
      </w:r>
      <w:r w:rsidR="002A1819" w:rsidRPr="00567F19">
        <w:t>8</w:t>
      </w:r>
      <w:r w:rsidRPr="00567F19">
        <w:t xml:space="preserve">(2) </w:t>
      </w:r>
      <w:r w:rsidR="00965678" w:rsidRPr="00567F19">
        <w:t>of Regulation (EU) No 1299/2013</w:t>
      </w:r>
      <w:r w:rsidRPr="00567F19">
        <w:t>)</w:t>
      </w:r>
    </w:p>
    <w:p w:rsidR="002A1819" w:rsidRPr="00FA3CE3" w:rsidRDefault="002A1819" w:rsidP="00D17A3D">
      <w:pPr>
        <w:spacing w:after="240"/>
        <w:rPr>
          <w:rFonts w:eastAsia="Times New Roman"/>
          <w:b/>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FB701A" w:rsidRPr="00014013" w:rsidTr="00D17A3D">
        <w:trPr>
          <w:trHeight w:val="518"/>
        </w:trPr>
        <w:tc>
          <w:tcPr>
            <w:tcW w:w="2235" w:type="dxa"/>
            <w:shd w:val="clear" w:color="auto" w:fill="auto"/>
          </w:tcPr>
          <w:p w:rsidR="00FB701A" w:rsidRPr="00014013" w:rsidRDefault="00AB05A1" w:rsidP="00D17A3D">
            <w:pPr>
              <w:spacing w:after="240"/>
              <w:rPr>
                <w:rFonts w:eastAsia="Times New Roman"/>
                <w:i/>
                <w:color w:val="8DB3E2"/>
                <w:sz w:val="20"/>
              </w:rPr>
            </w:pPr>
            <w:r w:rsidRPr="00014013">
              <w:rPr>
                <w:rFonts w:eastAsia="Times New Roman"/>
                <w:i/>
                <w:sz w:val="20"/>
              </w:rPr>
              <w:t>Priority axis</w:t>
            </w:r>
          </w:p>
        </w:tc>
        <w:tc>
          <w:tcPr>
            <w:tcW w:w="6443" w:type="dxa"/>
            <w:shd w:val="clear" w:color="auto" w:fill="auto"/>
          </w:tcPr>
          <w:p w:rsidR="00FB701A" w:rsidRPr="00014013" w:rsidRDefault="009378A6" w:rsidP="00B76110">
            <w:pPr>
              <w:spacing w:after="240"/>
              <w:rPr>
                <w:rFonts w:eastAsia="Times New Roman"/>
                <w:color w:val="8DB3E2"/>
                <w:sz w:val="20"/>
              </w:rPr>
            </w:pPr>
            <w:r w:rsidRPr="00014013">
              <w:rPr>
                <w:rFonts w:eastAsia="Times New Roman"/>
                <w:sz w:val="20"/>
              </w:rPr>
              <w:t>PA 1</w:t>
            </w:r>
          </w:p>
        </w:tc>
      </w:tr>
      <w:tr w:rsidR="00FB701A" w:rsidRPr="00014013" w:rsidTr="009378A6">
        <w:trPr>
          <w:trHeight w:val="467"/>
        </w:trPr>
        <w:tc>
          <w:tcPr>
            <w:tcW w:w="8678" w:type="dxa"/>
            <w:gridSpan w:val="2"/>
            <w:shd w:val="clear" w:color="auto" w:fill="auto"/>
          </w:tcPr>
          <w:p w:rsidR="00FB701A" w:rsidRPr="00014013" w:rsidRDefault="009378A6" w:rsidP="009378A6">
            <w:pPr>
              <w:spacing w:after="240"/>
              <w:rPr>
                <w:rFonts w:eastAsia="Times New Roman"/>
                <w:sz w:val="20"/>
              </w:rPr>
            </w:pPr>
            <w:r w:rsidRPr="00014013">
              <w:rPr>
                <w:rFonts w:eastAsia="Times New Roman"/>
                <w:sz w:val="20"/>
              </w:rPr>
              <w:t>N/A</w:t>
            </w:r>
          </w:p>
        </w:tc>
      </w:tr>
    </w:tbl>
    <w:p w:rsidR="00FB701A" w:rsidRPr="00B76110" w:rsidRDefault="00FB701A" w:rsidP="00D17A3D">
      <w:pPr>
        <w:spacing w:after="240"/>
        <w:rPr>
          <w:rFonts w:eastAsia="Times New Roman"/>
        </w:rPr>
      </w:pPr>
    </w:p>
    <w:p w:rsidR="00014013" w:rsidRDefault="00014013">
      <w:pPr>
        <w:spacing w:before="0" w:after="0"/>
        <w:jc w:val="left"/>
        <w:rPr>
          <w:rFonts w:eastAsia="Times New Roman"/>
          <w:b/>
          <w:u w:val="single"/>
        </w:rPr>
      </w:pPr>
      <w:r>
        <w:rPr>
          <w:rFonts w:eastAsia="Times New Roman"/>
          <w:b/>
          <w:u w:val="single"/>
        </w:rPr>
        <w:br w:type="page"/>
      </w:r>
    </w:p>
    <w:p w:rsidR="00F10141" w:rsidRDefault="00F10141" w:rsidP="00014013"/>
    <w:p w:rsidR="00F10141" w:rsidRDefault="00F10141" w:rsidP="00F10141">
      <w:pPr>
        <w:spacing w:after="240"/>
        <w:rPr>
          <w:rFonts w:eastAsia="Times New Roman"/>
        </w:rPr>
      </w:pPr>
      <w:r>
        <w:rPr>
          <w:rFonts w:eastAsia="Times New Roman"/>
          <w:b/>
        </w:rPr>
        <w:t>2.</w:t>
      </w:r>
      <w:r w:rsidR="008A7F7E">
        <w:rPr>
          <w:rFonts w:eastAsia="Times New Roman"/>
          <w:b/>
        </w:rPr>
        <w:t>2</w:t>
      </w:r>
      <w:r w:rsidR="00014013">
        <w:rPr>
          <w:rFonts w:eastAsia="Times New Roman"/>
          <w:b/>
        </w:rPr>
        <w:t>.1 Description of P</w:t>
      </w:r>
      <w:r>
        <w:rPr>
          <w:rFonts w:eastAsia="Times New Roman"/>
          <w:b/>
        </w:rPr>
        <w:t>riority axis</w:t>
      </w:r>
      <w:r w:rsidRPr="00B76110">
        <w:rPr>
          <w:rFonts w:eastAsia="Times New Roman"/>
          <w:b/>
        </w:rPr>
        <w:t xml:space="preserve"> </w:t>
      </w:r>
      <w:r w:rsidR="00120DAE">
        <w:rPr>
          <w:rFonts w:eastAsia="Times New Roman"/>
          <w:b/>
        </w:rPr>
        <w:t>2</w:t>
      </w:r>
      <w:r>
        <w:rPr>
          <w:rFonts w:eastAsia="Times New Roman"/>
          <w:b/>
        </w:rPr>
        <w:t xml:space="preserve">  </w:t>
      </w:r>
    </w:p>
    <w:tbl>
      <w:tblPr>
        <w:tblpPr w:leftFromText="180" w:rightFromText="180" w:vertAnchor="text" w:horzAnchor="margin" w:tblpX="108"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F10141" w:rsidRPr="00CD6BE3" w:rsidTr="00014013">
        <w:trPr>
          <w:trHeight w:val="491"/>
        </w:trPr>
        <w:tc>
          <w:tcPr>
            <w:tcW w:w="3402" w:type="dxa"/>
            <w:shd w:val="clear" w:color="auto" w:fill="auto"/>
          </w:tcPr>
          <w:p w:rsidR="00F10141" w:rsidRPr="00B76110" w:rsidRDefault="00F10141" w:rsidP="00014013">
            <w:pPr>
              <w:spacing w:after="240"/>
              <w:rPr>
                <w:rFonts w:eastAsia="Times New Roman"/>
                <w:i/>
              </w:rPr>
            </w:pPr>
            <w:r w:rsidRPr="00B76110">
              <w:rPr>
                <w:rFonts w:eastAsia="Times New Roman"/>
                <w:i/>
              </w:rPr>
              <w:t>ID</w:t>
            </w:r>
            <w:r>
              <w:rPr>
                <w:rFonts w:eastAsia="Times New Roman"/>
                <w:i/>
              </w:rPr>
              <w:t xml:space="preserve"> of the priority axis</w:t>
            </w:r>
          </w:p>
        </w:tc>
        <w:tc>
          <w:tcPr>
            <w:tcW w:w="5529" w:type="dxa"/>
            <w:shd w:val="clear" w:color="auto" w:fill="auto"/>
          </w:tcPr>
          <w:p w:rsidR="00F10141" w:rsidRPr="00B66D0E" w:rsidRDefault="00F10141" w:rsidP="00014013">
            <w:pPr>
              <w:spacing w:after="240"/>
              <w:rPr>
                <w:rFonts w:eastAsia="Times New Roman"/>
                <w:color w:val="8DB3E2"/>
                <w:szCs w:val="24"/>
                <w:lang w:val="nb-NO"/>
              </w:rPr>
            </w:pPr>
            <w:r>
              <w:rPr>
                <w:rFonts w:eastAsia="Times New Roman"/>
                <w:szCs w:val="24"/>
                <w:lang w:val="nb-NO"/>
              </w:rPr>
              <w:t xml:space="preserve">PA </w:t>
            </w:r>
            <w:r w:rsidR="00B24C4F">
              <w:rPr>
                <w:rFonts w:eastAsia="Times New Roman"/>
                <w:szCs w:val="24"/>
                <w:lang w:val="nb-NO"/>
              </w:rPr>
              <w:t>2</w:t>
            </w:r>
          </w:p>
        </w:tc>
      </w:tr>
      <w:tr w:rsidR="00F10141" w:rsidRPr="00B76110" w:rsidTr="00014013">
        <w:trPr>
          <w:trHeight w:val="422"/>
        </w:trPr>
        <w:tc>
          <w:tcPr>
            <w:tcW w:w="3402" w:type="dxa"/>
            <w:shd w:val="clear" w:color="auto" w:fill="auto"/>
          </w:tcPr>
          <w:p w:rsidR="00F10141" w:rsidRPr="00B76110" w:rsidRDefault="00F10141" w:rsidP="00014013">
            <w:pPr>
              <w:spacing w:after="240"/>
              <w:rPr>
                <w:rFonts w:eastAsia="Times New Roman"/>
                <w:i/>
              </w:rPr>
            </w:pPr>
            <w:r w:rsidRPr="00B76110">
              <w:rPr>
                <w:rFonts w:eastAsia="Times New Roman"/>
                <w:i/>
              </w:rPr>
              <w:t>Title</w:t>
            </w:r>
            <w:r>
              <w:rPr>
                <w:rFonts w:eastAsia="Times New Roman"/>
                <w:i/>
              </w:rPr>
              <w:t xml:space="preserve"> of the priority axis </w:t>
            </w:r>
          </w:p>
        </w:tc>
        <w:tc>
          <w:tcPr>
            <w:tcW w:w="5529" w:type="dxa"/>
            <w:shd w:val="clear" w:color="auto" w:fill="auto"/>
          </w:tcPr>
          <w:p w:rsidR="00F10141" w:rsidRPr="00AA2937" w:rsidRDefault="00E701AA" w:rsidP="00014013">
            <w:pPr>
              <w:spacing w:after="0"/>
              <w:rPr>
                <w:rFonts w:eastAsia="Times New Roman"/>
                <w:b/>
                <w:szCs w:val="24"/>
              </w:rPr>
            </w:pPr>
            <w:r w:rsidRPr="00AA2937">
              <w:rPr>
                <w:rFonts w:eastAsia="Times New Roman"/>
                <w:b/>
                <w:szCs w:val="24"/>
              </w:rPr>
              <w:t>Protecting the environment</w:t>
            </w:r>
            <w:r w:rsidR="00262E17" w:rsidRPr="00AA2937">
              <w:rPr>
                <w:rFonts w:eastAsia="Times New Roman"/>
                <w:b/>
                <w:szCs w:val="24"/>
              </w:rPr>
              <w:t xml:space="preserve"> and nature</w:t>
            </w:r>
            <w:r w:rsidRPr="00AA2937">
              <w:rPr>
                <w:rFonts w:eastAsia="Times New Roman"/>
                <w:b/>
                <w:szCs w:val="24"/>
              </w:rPr>
              <w:t>, improving risk prevention and promoting sustainable energy and energy efficiency</w:t>
            </w:r>
          </w:p>
        </w:tc>
      </w:tr>
    </w:tbl>
    <w:p w:rsidR="00F10141" w:rsidRDefault="00F10141" w:rsidP="00F10141">
      <w:pPr>
        <w:keepNext/>
        <w:spacing w:before="360" w:after="240"/>
        <w:outlineLvl w:val="0"/>
        <w:rPr>
          <w:b/>
        </w:rPr>
      </w:pPr>
    </w:p>
    <w:p w:rsidR="00F10141" w:rsidRDefault="00F10141" w:rsidP="00F10141">
      <w:pPr>
        <w:keepNext/>
        <w:spacing w:before="360" w:after="240"/>
        <w:outlineLvl w:val="0"/>
        <w:rPr>
          <w:b/>
        </w:rPr>
      </w:pPr>
    </w:p>
    <w:tbl>
      <w:tblPr>
        <w:tblpPr w:leftFromText="180" w:rightFromText="180" w:vertAnchor="text" w:horzAnchor="margin" w:tblpX="108" w:tblpY="1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053"/>
      </w:tblGrid>
      <w:tr w:rsidR="00F10141" w:rsidRPr="00B76110" w:rsidTr="00014013">
        <w:tc>
          <w:tcPr>
            <w:tcW w:w="4878" w:type="dxa"/>
            <w:shd w:val="clear" w:color="auto" w:fill="auto"/>
          </w:tcPr>
          <w:p w:rsidR="00F10141" w:rsidRPr="002E0699" w:rsidRDefault="00F10141" w:rsidP="00014013">
            <w:pPr>
              <w:spacing w:after="240"/>
              <w:ind w:left="480" w:hanging="480"/>
              <w:rPr>
                <w:rFonts w:eastAsia="Times New Roman"/>
              </w:rPr>
            </w:pPr>
            <w:r w:rsidRPr="00C25270">
              <w:rPr>
                <w:rFonts w:eastAsia="Times New Roman"/>
              </w:rPr>
              <w:fldChar w:fldCharType="begin">
                <w:ffData>
                  <w:name w:val="Check1"/>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The entire priority axis will be implemented solely through financial instruments</w:t>
            </w:r>
          </w:p>
        </w:tc>
        <w:tc>
          <w:tcPr>
            <w:tcW w:w="4053" w:type="dxa"/>
            <w:shd w:val="clear" w:color="auto" w:fill="auto"/>
          </w:tcPr>
          <w:p w:rsidR="00F10141" w:rsidRPr="00B76110" w:rsidRDefault="00F10141" w:rsidP="00014013">
            <w:pPr>
              <w:tabs>
                <w:tab w:val="left" w:pos="2302"/>
              </w:tabs>
              <w:spacing w:after="240"/>
              <w:rPr>
                <w:rFonts w:eastAsia="Times New Roman"/>
              </w:rPr>
            </w:pPr>
          </w:p>
        </w:tc>
      </w:tr>
      <w:tr w:rsidR="00F10141" w:rsidRPr="00B76110" w:rsidTr="00014013">
        <w:tc>
          <w:tcPr>
            <w:tcW w:w="4878" w:type="dxa"/>
            <w:shd w:val="clear" w:color="auto" w:fill="auto"/>
          </w:tcPr>
          <w:p w:rsidR="00F10141" w:rsidRPr="002E0699" w:rsidRDefault="00F10141" w:rsidP="00014013">
            <w:pPr>
              <w:tabs>
                <w:tab w:val="left" w:pos="2302"/>
              </w:tabs>
              <w:spacing w:after="240"/>
              <w:ind w:left="480" w:hanging="480"/>
              <w:rPr>
                <w:rFonts w:eastAsia="Times New Roman"/>
              </w:rPr>
            </w:pPr>
            <w:r w:rsidRPr="00C25270">
              <w:rPr>
                <w:rFonts w:eastAsia="Times New Roman"/>
              </w:rPr>
              <w:fldChar w:fldCharType="begin">
                <w:ffData>
                  <w:name w:val="Check2"/>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The entire priority axis will be implemented solely though financial instruments set up at Union level</w:t>
            </w:r>
          </w:p>
        </w:tc>
        <w:tc>
          <w:tcPr>
            <w:tcW w:w="4053" w:type="dxa"/>
            <w:shd w:val="clear" w:color="auto" w:fill="auto"/>
          </w:tcPr>
          <w:p w:rsidR="00F10141" w:rsidRPr="00B76110" w:rsidRDefault="00F10141" w:rsidP="00014013">
            <w:pPr>
              <w:tabs>
                <w:tab w:val="left" w:pos="2302"/>
              </w:tabs>
              <w:spacing w:after="240"/>
              <w:rPr>
                <w:rFonts w:eastAsia="Times New Roman"/>
              </w:rPr>
            </w:pPr>
          </w:p>
        </w:tc>
      </w:tr>
      <w:tr w:rsidR="00F10141" w:rsidRPr="00B76110" w:rsidTr="00014013">
        <w:tc>
          <w:tcPr>
            <w:tcW w:w="4878" w:type="dxa"/>
            <w:shd w:val="clear" w:color="auto" w:fill="auto"/>
          </w:tcPr>
          <w:p w:rsidR="00F10141" w:rsidRPr="002E0699" w:rsidRDefault="00F10141" w:rsidP="00014013">
            <w:pPr>
              <w:tabs>
                <w:tab w:val="left" w:pos="2302"/>
              </w:tabs>
              <w:spacing w:after="240"/>
              <w:ind w:left="480" w:hanging="480"/>
              <w:rPr>
                <w:rFonts w:eastAsia="Times New Roman"/>
              </w:rPr>
            </w:pPr>
            <w:r w:rsidRPr="00C25270">
              <w:rPr>
                <w:rFonts w:eastAsia="Times New Roman"/>
              </w:rPr>
              <w:fldChar w:fldCharType="begin">
                <w:ffData>
                  <w:name w:val="Check3"/>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 xml:space="preserve">The entire priority axis will be implemented through community-led local development </w:t>
            </w:r>
          </w:p>
        </w:tc>
        <w:tc>
          <w:tcPr>
            <w:tcW w:w="4053" w:type="dxa"/>
            <w:shd w:val="clear" w:color="auto" w:fill="auto"/>
          </w:tcPr>
          <w:p w:rsidR="00F10141" w:rsidRPr="00B76110" w:rsidRDefault="00F10141" w:rsidP="00014013">
            <w:pPr>
              <w:tabs>
                <w:tab w:val="left" w:pos="2302"/>
              </w:tabs>
              <w:spacing w:after="240"/>
              <w:rPr>
                <w:rFonts w:eastAsia="Times New Roman"/>
              </w:rPr>
            </w:pPr>
          </w:p>
        </w:tc>
      </w:tr>
    </w:tbl>
    <w:p w:rsidR="00F10141" w:rsidRDefault="00F10141" w:rsidP="00F10141">
      <w:pPr>
        <w:keepNext/>
        <w:spacing w:before="360" w:after="0"/>
        <w:outlineLvl w:val="0"/>
        <w:rPr>
          <w:b/>
        </w:rPr>
      </w:pPr>
    </w:p>
    <w:p w:rsidR="00F10141" w:rsidRPr="00B76110" w:rsidRDefault="00F10141" w:rsidP="00F10141">
      <w:pPr>
        <w:spacing w:after="240"/>
        <w:rPr>
          <w:rFonts w:eastAsia="Times New Roman"/>
          <w:b/>
        </w:rPr>
      </w:pPr>
    </w:p>
    <w:p w:rsidR="00F10141" w:rsidRDefault="00F10141" w:rsidP="00F10141">
      <w:pPr>
        <w:rPr>
          <w:b/>
        </w:rPr>
      </w:pPr>
    </w:p>
    <w:p w:rsidR="00F10141" w:rsidRPr="00B76110" w:rsidRDefault="00F10141" w:rsidP="00F10141">
      <w:pPr>
        <w:rPr>
          <w:b/>
        </w:rPr>
      </w:pPr>
      <w:r>
        <w:rPr>
          <w:b/>
        </w:rPr>
        <w:t>2.</w:t>
      </w:r>
      <w:r w:rsidR="008A7F7E">
        <w:rPr>
          <w:b/>
        </w:rPr>
        <w:t>2</w:t>
      </w:r>
      <w:r>
        <w:rPr>
          <w:b/>
        </w:rPr>
        <w:t>.2 Fund, c</w:t>
      </w:r>
      <w:r w:rsidRPr="00B76110">
        <w:rPr>
          <w:b/>
        </w:rPr>
        <w:t>alculation basis for Union support</w:t>
      </w:r>
      <w:r>
        <w:rPr>
          <w:b/>
        </w:rPr>
        <w:t xml:space="preserve"> and justification of the calculation basis choice</w:t>
      </w:r>
    </w:p>
    <w:p w:rsidR="00F10141" w:rsidRPr="00B76110" w:rsidRDefault="00F10141" w:rsidP="00F1014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3980"/>
      </w:tblGrid>
      <w:tr w:rsidR="00F10141" w:rsidRPr="00B76110" w:rsidTr="00014013">
        <w:trPr>
          <w:jc w:val="center"/>
        </w:trPr>
        <w:tc>
          <w:tcPr>
            <w:tcW w:w="4835" w:type="dxa"/>
            <w:shd w:val="clear" w:color="auto" w:fill="auto"/>
          </w:tcPr>
          <w:p w:rsidR="00F10141" w:rsidRPr="00B76110" w:rsidRDefault="00F10141" w:rsidP="00B85FF7">
            <w:pPr>
              <w:spacing w:after="240"/>
              <w:rPr>
                <w:rFonts w:eastAsia="Times New Roman"/>
                <w:i/>
              </w:rPr>
            </w:pPr>
            <w:r>
              <w:rPr>
                <w:rFonts w:eastAsia="Times New Roman"/>
                <w:i/>
              </w:rPr>
              <w:t>Fund</w:t>
            </w:r>
          </w:p>
        </w:tc>
        <w:tc>
          <w:tcPr>
            <w:tcW w:w="3980" w:type="dxa"/>
            <w:shd w:val="clear" w:color="auto" w:fill="auto"/>
          </w:tcPr>
          <w:p w:rsidR="00F10141" w:rsidRPr="008D693C" w:rsidRDefault="00F10141" w:rsidP="00B85FF7">
            <w:pPr>
              <w:spacing w:after="240"/>
              <w:rPr>
                <w:rFonts w:eastAsia="Times New Roman"/>
                <w:szCs w:val="24"/>
              </w:rPr>
            </w:pPr>
            <w:r>
              <w:rPr>
                <w:rFonts w:eastAsia="Times New Roman"/>
                <w:szCs w:val="24"/>
              </w:rPr>
              <w:t>IPA</w:t>
            </w:r>
          </w:p>
        </w:tc>
      </w:tr>
      <w:tr w:rsidR="00F10141" w:rsidRPr="00B76110" w:rsidTr="00014013">
        <w:trPr>
          <w:jc w:val="center"/>
        </w:trPr>
        <w:tc>
          <w:tcPr>
            <w:tcW w:w="4835" w:type="dxa"/>
            <w:tcBorders>
              <w:top w:val="single" w:sz="4" w:space="0" w:color="auto"/>
              <w:left w:val="single" w:sz="4" w:space="0" w:color="auto"/>
              <w:bottom w:val="single" w:sz="4" w:space="0" w:color="auto"/>
              <w:right w:val="single" w:sz="4" w:space="0" w:color="auto"/>
            </w:tcBorders>
            <w:shd w:val="clear" w:color="auto" w:fill="auto"/>
          </w:tcPr>
          <w:p w:rsidR="00F10141" w:rsidRPr="00B76110" w:rsidRDefault="00F10141" w:rsidP="00B85FF7">
            <w:pPr>
              <w:spacing w:after="240"/>
              <w:rPr>
                <w:rFonts w:eastAsia="Times New Roman"/>
                <w:i/>
              </w:rPr>
            </w:pPr>
            <w:r w:rsidRPr="00B76110">
              <w:rPr>
                <w:rFonts w:eastAsia="Times New Roman"/>
                <w:i/>
              </w:rPr>
              <w:t xml:space="preserve">Calculation </w:t>
            </w:r>
            <w:r>
              <w:rPr>
                <w:rFonts w:eastAsia="Times New Roman"/>
                <w:i/>
              </w:rPr>
              <w:t>b</w:t>
            </w:r>
            <w:r w:rsidRPr="00B76110">
              <w:rPr>
                <w:rFonts w:eastAsia="Times New Roman"/>
                <w:i/>
              </w:rPr>
              <w:t>asis (total</w:t>
            </w:r>
            <w:r>
              <w:rPr>
                <w:rFonts w:eastAsia="Times New Roman"/>
                <w:i/>
              </w:rPr>
              <w:t xml:space="preserve"> eligible expenditure or public eligible expenditure</w:t>
            </w:r>
            <w:r w:rsidRPr="00B76110">
              <w:rPr>
                <w:rFonts w:eastAsia="Times New Roman"/>
                <w:i/>
              </w:rPr>
              <w:t>)</w:t>
            </w:r>
            <w:r w:rsidRPr="00B76110" w:rsidDel="00252DD5">
              <w:rPr>
                <w:rFonts w:eastAsia="Times New Roman"/>
                <w:i/>
              </w:rPr>
              <w:t xml:space="preserve"> </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F10141" w:rsidRPr="008D693C" w:rsidRDefault="00F10141" w:rsidP="00B85FF7">
            <w:pPr>
              <w:spacing w:after="240"/>
              <w:rPr>
                <w:rFonts w:eastAsia="Times New Roman"/>
                <w:szCs w:val="24"/>
              </w:rPr>
            </w:pPr>
            <w:r>
              <w:rPr>
                <w:rFonts w:eastAsia="Times New Roman"/>
                <w:szCs w:val="24"/>
              </w:rPr>
              <w:t>T</w:t>
            </w:r>
            <w:r w:rsidRPr="008D693C">
              <w:rPr>
                <w:rFonts w:eastAsia="Times New Roman"/>
                <w:szCs w:val="24"/>
              </w:rPr>
              <w:t>otal eligible expenditure</w:t>
            </w:r>
          </w:p>
        </w:tc>
      </w:tr>
      <w:tr w:rsidR="00F10141" w:rsidRPr="00B76110" w:rsidTr="00014013">
        <w:trPr>
          <w:jc w:val="center"/>
        </w:trPr>
        <w:tc>
          <w:tcPr>
            <w:tcW w:w="4835" w:type="dxa"/>
            <w:tcBorders>
              <w:top w:val="single" w:sz="4" w:space="0" w:color="auto"/>
              <w:left w:val="single" w:sz="4" w:space="0" w:color="auto"/>
              <w:bottom w:val="single" w:sz="4" w:space="0" w:color="auto"/>
              <w:right w:val="single" w:sz="4" w:space="0" w:color="auto"/>
            </w:tcBorders>
            <w:shd w:val="clear" w:color="auto" w:fill="auto"/>
          </w:tcPr>
          <w:p w:rsidR="00F10141" w:rsidRDefault="00F10141" w:rsidP="00B85FF7">
            <w:pPr>
              <w:spacing w:after="240"/>
              <w:rPr>
                <w:rFonts w:eastAsia="Times New Roman"/>
                <w:i/>
              </w:rPr>
            </w:pPr>
            <w:r>
              <w:rPr>
                <w:rFonts w:eastAsia="Times New Roman"/>
                <w:i/>
              </w:rPr>
              <w:t>J</w:t>
            </w:r>
            <w:r w:rsidRPr="00252DD5">
              <w:rPr>
                <w:rFonts w:eastAsia="Times New Roman"/>
                <w:i/>
              </w:rPr>
              <w:t>ustification of the calculation basis choice</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F10141" w:rsidRPr="00B76110" w:rsidRDefault="00F10141" w:rsidP="00B85FF7">
            <w:pPr>
              <w:spacing w:after="240"/>
              <w:rPr>
                <w:rFonts w:eastAsia="Times New Roman"/>
                <w:i/>
                <w:color w:val="8DB3E2"/>
                <w:sz w:val="18"/>
                <w:szCs w:val="18"/>
              </w:rPr>
            </w:pPr>
          </w:p>
        </w:tc>
      </w:tr>
    </w:tbl>
    <w:p w:rsidR="00F10141" w:rsidRDefault="00F10141" w:rsidP="00F10141">
      <w:pPr>
        <w:spacing w:after="240"/>
        <w:ind w:firstLine="720"/>
        <w:rPr>
          <w:rFonts w:eastAsia="Times New Roman"/>
          <w:b/>
        </w:rPr>
      </w:pPr>
    </w:p>
    <w:p w:rsidR="0051168D" w:rsidRDefault="0051168D" w:rsidP="00F10141">
      <w:pPr>
        <w:spacing w:after="240"/>
        <w:ind w:firstLine="720"/>
        <w:rPr>
          <w:rFonts w:eastAsia="Times New Roman"/>
          <w:b/>
        </w:rPr>
      </w:pPr>
    </w:p>
    <w:p w:rsidR="0051168D" w:rsidRPr="00B76110" w:rsidRDefault="0051168D" w:rsidP="00F10141">
      <w:pPr>
        <w:spacing w:after="240"/>
        <w:ind w:firstLine="720"/>
        <w:rPr>
          <w:rFonts w:eastAsia="Times New Roman"/>
          <w:b/>
        </w:rPr>
      </w:pPr>
    </w:p>
    <w:p w:rsidR="00F10141" w:rsidRDefault="00F10141" w:rsidP="00F10141">
      <w:pPr>
        <w:spacing w:after="240"/>
        <w:rPr>
          <w:rFonts w:eastAsia="Times New Roman"/>
          <w:b/>
        </w:rPr>
      </w:pPr>
      <w:r w:rsidRPr="00B76110">
        <w:rPr>
          <w:rFonts w:eastAsia="Times New Roman"/>
          <w:b/>
        </w:rPr>
        <w:t>2.</w:t>
      </w:r>
      <w:r w:rsidR="008A7F7E">
        <w:rPr>
          <w:rFonts w:eastAsia="Times New Roman"/>
          <w:b/>
        </w:rPr>
        <w:t>2</w:t>
      </w:r>
      <w:r w:rsidRPr="00B76110">
        <w:rPr>
          <w:rFonts w:eastAsia="Times New Roman"/>
          <w:b/>
        </w:rPr>
        <w:t>.</w:t>
      </w:r>
      <w:r>
        <w:rPr>
          <w:rFonts w:eastAsia="Times New Roman"/>
          <w:b/>
        </w:rPr>
        <w:t>3</w:t>
      </w:r>
      <w:r w:rsidRPr="00B76110">
        <w:rPr>
          <w:rFonts w:eastAsia="Times New Roman"/>
          <w:b/>
        </w:rPr>
        <w:t xml:space="preserve">. </w:t>
      </w:r>
      <w:r>
        <w:rPr>
          <w:rFonts w:eastAsia="Times New Roman"/>
          <w:b/>
        </w:rPr>
        <w:t>The s</w:t>
      </w:r>
      <w:r w:rsidRPr="00B76110">
        <w:rPr>
          <w:rFonts w:eastAsia="Times New Roman"/>
          <w:b/>
        </w:rPr>
        <w:t xml:space="preserve">pecific objectives </w:t>
      </w:r>
      <w:r>
        <w:rPr>
          <w:rFonts w:eastAsia="Times New Roman"/>
          <w:b/>
        </w:rPr>
        <w:t>of</w:t>
      </w:r>
      <w:r w:rsidRPr="00B76110">
        <w:rPr>
          <w:rFonts w:eastAsia="Times New Roman"/>
          <w:b/>
        </w:rPr>
        <w:t xml:space="preserve"> the </w:t>
      </w:r>
      <w:r>
        <w:rPr>
          <w:rFonts w:eastAsia="Times New Roman"/>
          <w:b/>
        </w:rPr>
        <w:t>thematic</w:t>
      </w:r>
      <w:r w:rsidRPr="00B76110">
        <w:rPr>
          <w:rFonts w:eastAsia="Times New Roman"/>
          <w:b/>
        </w:rPr>
        <w:t xml:space="preserve"> priority and expected results </w:t>
      </w:r>
    </w:p>
    <w:p w:rsidR="00F10141" w:rsidRPr="00B76110" w:rsidRDefault="00F10141" w:rsidP="00F10141">
      <w:r w:rsidRPr="00B76110" w:rsidDel="00E17367">
        <w:rPr>
          <w:rFonts w:eastAsia="Times New Roman"/>
        </w:rPr>
        <w:t xml:space="preserve"> </w:t>
      </w:r>
      <w:r w:rsidRPr="00B76110">
        <w:t>(</w:t>
      </w:r>
      <w:r>
        <w:t xml:space="preserve">Reference: points (b)(i) and (ii) of </w:t>
      </w:r>
      <w:r w:rsidRPr="00B76110">
        <w:t xml:space="preserve">Article </w:t>
      </w:r>
      <w:r>
        <w:t>8</w:t>
      </w:r>
      <w:r w:rsidRPr="00B76110">
        <w:t xml:space="preserve">(2) </w:t>
      </w:r>
      <w:r>
        <w:t>of Regulation (EU) No 1299/2013</w:t>
      </w:r>
      <w:r w:rsidRPr="00B76110">
        <w:t>)</w:t>
      </w:r>
    </w:p>
    <w:p w:rsidR="00F10141" w:rsidRPr="00B76110" w:rsidRDefault="00F10141" w:rsidP="00F10141">
      <w:pPr>
        <w:spacing w:after="240"/>
        <w:rPr>
          <w:rFonts w:eastAsia="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103"/>
      </w:tblGrid>
      <w:tr w:rsidR="00F10141" w:rsidRPr="00901CB6" w:rsidTr="00014013">
        <w:trPr>
          <w:trHeight w:val="491"/>
          <w:jc w:val="center"/>
        </w:trPr>
        <w:tc>
          <w:tcPr>
            <w:tcW w:w="3596" w:type="dxa"/>
            <w:shd w:val="clear" w:color="auto" w:fill="auto"/>
          </w:tcPr>
          <w:p w:rsidR="00F10141" w:rsidRPr="00B76110" w:rsidRDefault="00F10141" w:rsidP="00B85FF7">
            <w:pPr>
              <w:spacing w:after="240"/>
              <w:rPr>
                <w:rFonts w:eastAsia="Times New Roman"/>
                <w:i/>
              </w:rPr>
            </w:pPr>
            <w:r w:rsidRPr="00B76110">
              <w:rPr>
                <w:rFonts w:eastAsia="Times New Roman"/>
                <w:i/>
              </w:rPr>
              <w:t>ID</w:t>
            </w:r>
          </w:p>
        </w:tc>
        <w:tc>
          <w:tcPr>
            <w:tcW w:w="5103" w:type="dxa"/>
            <w:shd w:val="clear" w:color="auto" w:fill="auto"/>
          </w:tcPr>
          <w:p w:rsidR="00F10141" w:rsidRPr="00014013" w:rsidRDefault="00014013" w:rsidP="00C229D2">
            <w:pPr>
              <w:spacing w:after="240"/>
              <w:rPr>
                <w:rFonts w:eastAsia="Times New Roman"/>
                <w:szCs w:val="24"/>
                <w:lang w:val="nb-NO"/>
              </w:rPr>
            </w:pPr>
            <w:r w:rsidRPr="00014013">
              <w:rPr>
                <w:rFonts w:eastAsia="Times New Roman"/>
              </w:rPr>
              <w:t>2.1.</w:t>
            </w:r>
          </w:p>
        </w:tc>
      </w:tr>
      <w:tr w:rsidR="00F10141" w:rsidRPr="00B76110" w:rsidTr="00014013">
        <w:trPr>
          <w:trHeight w:val="360"/>
          <w:jc w:val="center"/>
        </w:trPr>
        <w:tc>
          <w:tcPr>
            <w:tcW w:w="3596" w:type="dxa"/>
            <w:shd w:val="clear" w:color="auto" w:fill="auto"/>
          </w:tcPr>
          <w:p w:rsidR="00F10141" w:rsidRPr="00B76110" w:rsidRDefault="00F10141" w:rsidP="00014013">
            <w:pPr>
              <w:spacing w:after="0"/>
              <w:rPr>
                <w:rFonts w:eastAsia="Times New Roman"/>
                <w:i/>
              </w:rPr>
            </w:pPr>
            <w:r w:rsidRPr="00B76110">
              <w:rPr>
                <w:rFonts w:eastAsia="Times New Roman"/>
                <w:i/>
              </w:rPr>
              <w:t xml:space="preserve">Specific objective </w:t>
            </w:r>
          </w:p>
        </w:tc>
        <w:tc>
          <w:tcPr>
            <w:tcW w:w="5103" w:type="dxa"/>
            <w:shd w:val="clear" w:color="auto" w:fill="auto"/>
          </w:tcPr>
          <w:p w:rsidR="00F10141" w:rsidRPr="00624028" w:rsidRDefault="00E92303" w:rsidP="00B85FF7">
            <w:pPr>
              <w:spacing w:after="0"/>
              <w:rPr>
                <w:rFonts w:eastAsia="Times New Roman"/>
                <w:szCs w:val="24"/>
              </w:rPr>
            </w:pPr>
            <w:r w:rsidRPr="00E92303">
              <w:rPr>
                <w:rFonts w:eastAsia="Times New Roman"/>
                <w:szCs w:val="24"/>
              </w:rPr>
              <w:t>To promote and improve environment and nature protection and management systems for risk prevention</w:t>
            </w:r>
          </w:p>
        </w:tc>
      </w:tr>
      <w:tr w:rsidR="00F10141" w:rsidRPr="00B76110" w:rsidTr="00014013">
        <w:trPr>
          <w:trHeight w:val="1351"/>
          <w:jc w:val="center"/>
        </w:trPr>
        <w:tc>
          <w:tcPr>
            <w:tcW w:w="3596" w:type="dxa"/>
            <w:shd w:val="clear" w:color="auto" w:fill="auto"/>
          </w:tcPr>
          <w:p w:rsidR="00F10141" w:rsidRPr="00B76110" w:rsidRDefault="00F10141" w:rsidP="00C229D2">
            <w:pPr>
              <w:spacing w:after="0"/>
              <w:rPr>
                <w:rFonts w:eastAsia="Times New Roman"/>
                <w:i/>
              </w:rPr>
            </w:pPr>
            <w:r w:rsidRPr="00B76110">
              <w:rPr>
                <w:rFonts w:eastAsia="Times New Roman"/>
                <w:i/>
              </w:rPr>
              <w:t xml:space="preserve">The results </w:t>
            </w:r>
            <w:r>
              <w:rPr>
                <w:rFonts w:eastAsia="Times New Roman"/>
                <w:i/>
              </w:rPr>
              <w:t xml:space="preserve">that </w:t>
            </w:r>
            <w:r w:rsidRPr="00B76110">
              <w:rPr>
                <w:rFonts w:eastAsia="Times New Roman"/>
                <w:i/>
              </w:rPr>
              <w:t xml:space="preserve">the </w:t>
            </w:r>
            <w:r>
              <w:rPr>
                <w:rFonts w:eastAsia="Times New Roman"/>
                <w:i/>
              </w:rPr>
              <w:t>partner</w:t>
            </w:r>
            <w:r w:rsidRPr="00B76110">
              <w:rPr>
                <w:rFonts w:eastAsia="Times New Roman"/>
                <w:i/>
              </w:rPr>
              <w:t xml:space="preserve"> States seek to achieve with </w:t>
            </w:r>
            <w:r>
              <w:rPr>
                <w:rFonts w:eastAsia="Times New Roman"/>
                <w:i/>
              </w:rPr>
              <w:t>Union</w:t>
            </w:r>
            <w:r w:rsidRPr="00B76110">
              <w:rPr>
                <w:rFonts w:eastAsia="Times New Roman"/>
                <w:i/>
              </w:rPr>
              <w:t xml:space="preserve"> support</w:t>
            </w:r>
          </w:p>
        </w:tc>
        <w:tc>
          <w:tcPr>
            <w:tcW w:w="5103" w:type="dxa"/>
            <w:shd w:val="clear" w:color="auto" w:fill="auto"/>
          </w:tcPr>
          <w:p w:rsidR="0061360C" w:rsidRPr="00573DD7" w:rsidRDefault="0061360C" w:rsidP="0061360C">
            <w:pPr>
              <w:spacing w:after="0"/>
              <w:rPr>
                <w:rFonts w:eastAsia="Times New Roman"/>
                <w:szCs w:val="24"/>
              </w:rPr>
            </w:pPr>
            <w:r w:rsidRPr="00573DD7">
              <w:rPr>
                <w:rFonts w:eastAsia="Times New Roman"/>
                <w:szCs w:val="24"/>
              </w:rPr>
              <w:t xml:space="preserve">The border region is rich in natural resources and has a vast protected area that needs to be further protected and valorised. Therefore, </w:t>
            </w:r>
            <w:r w:rsidR="003F0937">
              <w:rPr>
                <w:rFonts w:eastAsia="Times New Roman"/>
                <w:szCs w:val="24"/>
              </w:rPr>
              <w:t>under this specific objective, the P</w:t>
            </w:r>
            <w:r w:rsidRPr="00573DD7">
              <w:rPr>
                <w:rFonts w:eastAsia="Times New Roman"/>
                <w:szCs w:val="24"/>
              </w:rPr>
              <w:t xml:space="preserve">rogramme </w:t>
            </w:r>
            <w:r w:rsidR="003F0937">
              <w:rPr>
                <w:rFonts w:eastAsia="Times New Roman"/>
                <w:szCs w:val="24"/>
              </w:rPr>
              <w:t>will address the</w:t>
            </w:r>
            <w:r w:rsidRPr="00573DD7">
              <w:rPr>
                <w:rFonts w:eastAsia="Times New Roman"/>
                <w:szCs w:val="24"/>
              </w:rPr>
              <w:t>s</w:t>
            </w:r>
            <w:r w:rsidR="003F0937">
              <w:rPr>
                <w:rFonts w:eastAsia="Times New Roman"/>
                <w:szCs w:val="24"/>
              </w:rPr>
              <w:t>e</w:t>
            </w:r>
            <w:r w:rsidRPr="00573DD7">
              <w:rPr>
                <w:rFonts w:eastAsia="Times New Roman"/>
                <w:szCs w:val="24"/>
              </w:rPr>
              <w:t xml:space="preserve"> challenge</w:t>
            </w:r>
            <w:r w:rsidR="003F0937">
              <w:rPr>
                <w:rFonts w:eastAsia="Times New Roman"/>
                <w:szCs w:val="24"/>
              </w:rPr>
              <w:t>s and will aim to</w:t>
            </w:r>
            <w:r w:rsidRPr="00573DD7">
              <w:rPr>
                <w:rFonts w:eastAsia="Times New Roman"/>
                <w:szCs w:val="24"/>
              </w:rPr>
              <w:t xml:space="preserve"> strengthen the environmental </w:t>
            </w:r>
            <w:r w:rsidR="003F0937">
              <w:rPr>
                <w:rFonts w:eastAsia="Times New Roman"/>
                <w:szCs w:val="24"/>
              </w:rPr>
              <w:t xml:space="preserve">and nature </w:t>
            </w:r>
            <w:r w:rsidRPr="00573DD7">
              <w:rPr>
                <w:rFonts w:eastAsia="Times New Roman"/>
                <w:szCs w:val="24"/>
              </w:rPr>
              <w:t>management</w:t>
            </w:r>
            <w:r w:rsidR="008C2012">
              <w:rPr>
                <w:rFonts w:eastAsia="Times New Roman"/>
                <w:szCs w:val="24"/>
              </w:rPr>
              <w:t xml:space="preserve"> within</w:t>
            </w:r>
            <w:r w:rsidRPr="00573DD7">
              <w:rPr>
                <w:rFonts w:eastAsia="Times New Roman"/>
                <w:szCs w:val="24"/>
              </w:rPr>
              <w:t xml:space="preserve"> the programme area. </w:t>
            </w:r>
          </w:p>
          <w:p w:rsidR="008C2012" w:rsidRPr="00573DD7" w:rsidRDefault="008C2012" w:rsidP="00C229D2">
            <w:pPr>
              <w:spacing w:after="0"/>
              <w:rPr>
                <w:rFonts w:eastAsia="Times New Roman"/>
                <w:szCs w:val="24"/>
              </w:rPr>
            </w:pPr>
            <w:r>
              <w:rPr>
                <w:szCs w:val="24"/>
              </w:rPr>
              <w:t xml:space="preserve">Furthermore, the programme area </w:t>
            </w:r>
            <w:r w:rsidRPr="00D81E22">
              <w:rPr>
                <w:szCs w:val="24"/>
              </w:rPr>
              <w:t xml:space="preserve">is </w:t>
            </w:r>
            <w:r>
              <w:rPr>
                <w:szCs w:val="24"/>
              </w:rPr>
              <w:t xml:space="preserve">at </w:t>
            </w:r>
            <w:r w:rsidRPr="00D81E22">
              <w:rPr>
                <w:szCs w:val="24"/>
              </w:rPr>
              <w:t xml:space="preserve">high risk </w:t>
            </w:r>
            <w:r>
              <w:rPr>
                <w:szCs w:val="24"/>
              </w:rPr>
              <w:t>as regards to natural disasters, especially</w:t>
            </w:r>
            <w:r w:rsidRPr="00D81E22">
              <w:rPr>
                <w:szCs w:val="24"/>
              </w:rPr>
              <w:t xml:space="preserve"> flood</w:t>
            </w:r>
            <w:r>
              <w:rPr>
                <w:szCs w:val="24"/>
              </w:rPr>
              <w:t>s</w:t>
            </w:r>
            <w:r w:rsidRPr="00D81E22">
              <w:rPr>
                <w:szCs w:val="24"/>
              </w:rPr>
              <w:t>, droughts and fire</w:t>
            </w:r>
            <w:r>
              <w:rPr>
                <w:szCs w:val="24"/>
              </w:rPr>
              <w:t xml:space="preserve">s which is mainly due to the climate changes. </w:t>
            </w:r>
            <w:r>
              <w:rPr>
                <w:rFonts w:eastAsia="Times New Roman"/>
                <w:szCs w:val="24"/>
              </w:rPr>
              <w:t>Therefore, under this specific objective, the programme will aim to</w:t>
            </w:r>
            <w:r w:rsidR="0061360C" w:rsidRPr="00573DD7">
              <w:rPr>
                <w:rFonts w:eastAsia="Times New Roman"/>
                <w:szCs w:val="24"/>
              </w:rPr>
              <w:t xml:space="preserve"> establish new and improve the existing risk </w:t>
            </w:r>
            <w:r>
              <w:rPr>
                <w:rFonts w:eastAsia="Times New Roman"/>
                <w:szCs w:val="24"/>
              </w:rPr>
              <w:t xml:space="preserve">prevention </w:t>
            </w:r>
            <w:r w:rsidR="0061360C" w:rsidRPr="00573DD7">
              <w:rPr>
                <w:rFonts w:eastAsia="Times New Roman"/>
                <w:szCs w:val="24"/>
              </w:rPr>
              <w:t>systems in order to ensure the safety of the in</w:t>
            </w:r>
            <w:r>
              <w:rPr>
                <w:rFonts w:eastAsia="Times New Roman"/>
                <w:szCs w:val="24"/>
              </w:rPr>
              <w:t>habitants of the programme area.</w:t>
            </w:r>
          </w:p>
          <w:p w:rsidR="00F10141" w:rsidRPr="00573DD7" w:rsidRDefault="008C2012" w:rsidP="00C229D2">
            <w:pPr>
              <w:spacing w:after="0"/>
              <w:rPr>
                <w:rFonts w:eastAsia="Times New Roman"/>
                <w:szCs w:val="24"/>
              </w:rPr>
            </w:pPr>
            <w:r>
              <w:rPr>
                <w:rFonts w:eastAsia="Times New Roman"/>
                <w:szCs w:val="24"/>
              </w:rPr>
              <w:t xml:space="preserve">The following result is expected to be achieved within SO </w:t>
            </w:r>
            <w:r w:rsidR="008F0B2D" w:rsidRPr="00573DD7">
              <w:rPr>
                <w:rFonts w:eastAsia="Times New Roman"/>
                <w:szCs w:val="24"/>
              </w:rPr>
              <w:t>2.1.</w:t>
            </w:r>
            <w:r w:rsidR="00F10141" w:rsidRPr="00573DD7">
              <w:rPr>
                <w:rFonts w:eastAsia="Times New Roman"/>
                <w:szCs w:val="24"/>
              </w:rPr>
              <w:t>:</w:t>
            </w:r>
          </w:p>
          <w:p w:rsidR="00F10141" w:rsidRPr="00573DD7" w:rsidRDefault="00262E17" w:rsidP="00262E17">
            <w:pPr>
              <w:spacing w:after="0"/>
              <w:rPr>
                <w:rFonts w:eastAsia="Times New Roman"/>
                <w:szCs w:val="24"/>
              </w:rPr>
            </w:pPr>
            <w:r w:rsidRPr="00262E17">
              <w:rPr>
                <w:rFonts w:eastAsia="Times New Roman"/>
                <w:szCs w:val="24"/>
              </w:rPr>
              <w:t>Improved protection of environment and nature and management systems for risk prevention</w:t>
            </w:r>
          </w:p>
        </w:tc>
      </w:tr>
    </w:tbl>
    <w:p w:rsidR="00F10141" w:rsidRDefault="00F10141" w:rsidP="00F10141">
      <w:pPr>
        <w:spacing w:after="240"/>
        <w:rPr>
          <w:rFonts w:eastAsia="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03"/>
      </w:tblGrid>
      <w:tr w:rsidR="008F0B2D" w:rsidRPr="00901CB6" w:rsidTr="00B85FF7">
        <w:trPr>
          <w:trHeight w:val="491"/>
          <w:jc w:val="center"/>
        </w:trPr>
        <w:tc>
          <w:tcPr>
            <w:tcW w:w="3510" w:type="dxa"/>
            <w:shd w:val="clear" w:color="auto" w:fill="auto"/>
          </w:tcPr>
          <w:p w:rsidR="008F0B2D" w:rsidRPr="00B76110" w:rsidRDefault="008F0B2D" w:rsidP="00B85FF7">
            <w:pPr>
              <w:spacing w:after="240"/>
              <w:rPr>
                <w:rFonts w:eastAsia="Times New Roman"/>
                <w:i/>
              </w:rPr>
            </w:pPr>
            <w:r w:rsidRPr="00B76110">
              <w:rPr>
                <w:rFonts w:eastAsia="Times New Roman"/>
                <w:i/>
              </w:rPr>
              <w:t>ID</w:t>
            </w:r>
          </w:p>
        </w:tc>
        <w:tc>
          <w:tcPr>
            <w:tcW w:w="5103" w:type="dxa"/>
            <w:shd w:val="clear" w:color="auto" w:fill="auto"/>
          </w:tcPr>
          <w:p w:rsidR="008F0B2D" w:rsidRPr="00624028" w:rsidRDefault="008F0B2D" w:rsidP="00B85FF7">
            <w:pPr>
              <w:spacing w:after="240"/>
              <w:rPr>
                <w:rFonts w:eastAsia="Times New Roman"/>
                <w:szCs w:val="24"/>
                <w:lang w:val="nb-NO"/>
              </w:rPr>
            </w:pPr>
            <w:r>
              <w:rPr>
                <w:rFonts w:eastAsia="Times New Roman"/>
                <w:szCs w:val="24"/>
                <w:lang w:val="nb-NO"/>
              </w:rPr>
              <w:t>PA 2</w:t>
            </w:r>
          </w:p>
        </w:tc>
      </w:tr>
      <w:tr w:rsidR="008F0B2D" w:rsidRPr="00B76110" w:rsidTr="00B85FF7">
        <w:trPr>
          <w:trHeight w:val="360"/>
          <w:jc w:val="center"/>
        </w:trPr>
        <w:tc>
          <w:tcPr>
            <w:tcW w:w="3510" w:type="dxa"/>
            <w:shd w:val="clear" w:color="auto" w:fill="auto"/>
          </w:tcPr>
          <w:p w:rsidR="008F0B2D" w:rsidRPr="00B76110" w:rsidRDefault="008F0B2D" w:rsidP="008F0B2D">
            <w:pPr>
              <w:spacing w:after="0"/>
              <w:rPr>
                <w:rFonts w:eastAsia="Times New Roman"/>
                <w:i/>
              </w:rPr>
            </w:pPr>
            <w:r w:rsidRPr="00B76110">
              <w:rPr>
                <w:rFonts w:eastAsia="Times New Roman"/>
                <w:i/>
              </w:rPr>
              <w:t xml:space="preserve">Specific objective </w:t>
            </w:r>
            <w:r>
              <w:rPr>
                <w:rFonts w:eastAsia="Times New Roman"/>
                <w:i/>
              </w:rPr>
              <w:t>2.2.</w:t>
            </w:r>
          </w:p>
        </w:tc>
        <w:tc>
          <w:tcPr>
            <w:tcW w:w="5103" w:type="dxa"/>
            <w:shd w:val="clear" w:color="auto" w:fill="auto"/>
          </w:tcPr>
          <w:p w:rsidR="008F0B2D" w:rsidRPr="00624028" w:rsidRDefault="009F0BCB" w:rsidP="00B85FF7">
            <w:pPr>
              <w:spacing w:after="0"/>
              <w:rPr>
                <w:rFonts w:eastAsia="Times New Roman"/>
                <w:szCs w:val="24"/>
              </w:rPr>
            </w:pPr>
            <w:r w:rsidRPr="009F0BCB">
              <w:rPr>
                <w:rFonts w:eastAsia="Times New Roman"/>
                <w:szCs w:val="24"/>
              </w:rPr>
              <w:t>To promote utilization of renewable energy resources and energy efficiency</w:t>
            </w:r>
          </w:p>
        </w:tc>
      </w:tr>
      <w:tr w:rsidR="008F0B2D" w:rsidRPr="00B76110" w:rsidTr="00B85FF7">
        <w:trPr>
          <w:trHeight w:val="360"/>
          <w:jc w:val="center"/>
        </w:trPr>
        <w:tc>
          <w:tcPr>
            <w:tcW w:w="3510" w:type="dxa"/>
            <w:shd w:val="clear" w:color="auto" w:fill="auto"/>
          </w:tcPr>
          <w:p w:rsidR="008F0B2D" w:rsidRPr="00B76110" w:rsidRDefault="008F0B2D" w:rsidP="00B85FF7">
            <w:pPr>
              <w:spacing w:after="0"/>
              <w:rPr>
                <w:rFonts w:eastAsia="Times New Roman"/>
                <w:i/>
              </w:rPr>
            </w:pPr>
            <w:r w:rsidRPr="00B76110">
              <w:rPr>
                <w:rFonts w:eastAsia="Times New Roman"/>
                <w:i/>
              </w:rPr>
              <w:t xml:space="preserve">The results </w:t>
            </w:r>
            <w:r>
              <w:rPr>
                <w:rFonts w:eastAsia="Times New Roman"/>
                <w:i/>
              </w:rPr>
              <w:t xml:space="preserve">that </w:t>
            </w:r>
            <w:r w:rsidRPr="00B76110">
              <w:rPr>
                <w:rFonts w:eastAsia="Times New Roman"/>
                <w:i/>
              </w:rPr>
              <w:t xml:space="preserve">the </w:t>
            </w:r>
            <w:r>
              <w:rPr>
                <w:rFonts w:eastAsia="Times New Roman"/>
                <w:i/>
              </w:rPr>
              <w:t>partner</w:t>
            </w:r>
            <w:r w:rsidRPr="00B76110">
              <w:rPr>
                <w:rFonts w:eastAsia="Times New Roman"/>
                <w:i/>
              </w:rPr>
              <w:t xml:space="preserve"> States seek to achieve with </w:t>
            </w:r>
            <w:r>
              <w:rPr>
                <w:rFonts w:eastAsia="Times New Roman"/>
                <w:i/>
              </w:rPr>
              <w:t>Union</w:t>
            </w:r>
            <w:r w:rsidRPr="00B76110">
              <w:rPr>
                <w:rFonts w:eastAsia="Times New Roman"/>
                <w:i/>
              </w:rPr>
              <w:t xml:space="preserve"> support</w:t>
            </w:r>
          </w:p>
        </w:tc>
        <w:tc>
          <w:tcPr>
            <w:tcW w:w="5103" w:type="dxa"/>
            <w:shd w:val="clear" w:color="auto" w:fill="auto"/>
          </w:tcPr>
          <w:p w:rsidR="008C2012" w:rsidRDefault="00C72CA7" w:rsidP="008C2012">
            <w:pPr>
              <w:spacing w:after="0"/>
              <w:rPr>
                <w:rFonts w:eastAsia="Times New Roman"/>
                <w:szCs w:val="24"/>
              </w:rPr>
            </w:pPr>
            <w:r w:rsidRPr="00C72CA7">
              <w:rPr>
                <w:rFonts w:eastAsia="Times New Roman"/>
                <w:szCs w:val="24"/>
              </w:rPr>
              <w:t>Programme area has not only the potential but is also in need for improving the share of renewable energy in total energy consumption in order to meet the EU terms in that sector. Th</w:t>
            </w:r>
            <w:r w:rsidR="008C2012">
              <w:rPr>
                <w:rFonts w:eastAsia="Times New Roman"/>
                <w:szCs w:val="24"/>
              </w:rPr>
              <w:t xml:space="preserve">erefore, under this specific objective, the </w:t>
            </w:r>
            <w:r w:rsidRPr="00C72CA7">
              <w:rPr>
                <w:rFonts w:eastAsia="Times New Roman"/>
                <w:szCs w:val="24"/>
              </w:rPr>
              <w:t xml:space="preserve">Programme </w:t>
            </w:r>
            <w:r w:rsidR="008C2012">
              <w:rPr>
                <w:rFonts w:eastAsia="Times New Roman"/>
                <w:szCs w:val="24"/>
              </w:rPr>
              <w:t xml:space="preserve">aims to implement </w:t>
            </w:r>
            <w:r w:rsidR="008C2012">
              <w:rPr>
                <w:szCs w:val="24"/>
              </w:rPr>
              <w:t xml:space="preserve">joint cross-border initiatives in order to strengthen the use of sustainable energy, to improve the related planning and legal framework, </w:t>
            </w:r>
            <w:r w:rsidR="008C2012">
              <w:rPr>
                <w:szCs w:val="24"/>
              </w:rPr>
              <w:lastRenderedPageBreak/>
              <w:t>to strengthen awareness raising and to increase energy efficiency, especially in public buildings and housing sector.</w:t>
            </w:r>
          </w:p>
          <w:p w:rsidR="008F0B2D" w:rsidRDefault="008C2012" w:rsidP="00C72CA7">
            <w:pPr>
              <w:spacing w:after="0"/>
              <w:rPr>
                <w:rFonts w:eastAsia="Times New Roman"/>
                <w:szCs w:val="24"/>
              </w:rPr>
            </w:pPr>
            <w:r>
              <w:rPr>
                <w:rFonts w:eastAsia="Times New Roman"/>
                <w:szCs w:val="24"/>
              </w:rPr>
              <w:t xml:space="preserve">The following result is expected to be achieved within SO </w:t>
            </w:r>
            <w:r w:rsidR="008F0B2D">
              <w:rPr>
                <w:rFonts w:eastAsia="Times New Roman"/>
                <w:szCs w:val="24"/>
              </w:rPr>
              <w:t>2.2.:</w:t>
            </w:r>
          </w:p>
          <w:p w:rsidR="008F0B2D" w:rsidRPr="00C229D2" w:rsidRDefault="00000298" w:rsidP="00000298">
            <w:pPr>
              <w:spacing w:after="0"/>
              <w:rPr>
                <w:szCs w:val="24"/>
              </w:rPr>
            </w:pPr>
            <w:r w:rsidRPr="00000298">
              <w:rPr>
                <w:rFonts w:eastAsia="Times New Roman"/>
                <w:szCs w:val="24"/>
              </w:rPr>
              <w:t>Increased capacities and improved infrastructure for utilisation of renewable energy resources and energy efficiency</w:t>
            </w:r>
          </w:p>
        </w:tc>
      </w:tr>
    </w:tbl>
    <w:p w:rsidR="00F10141" w:rsidRDefault="00F10141" w:rsidP="00F10141">
      <w:pPr>
        <w:tabs>
          <w:tab w:val="left" w:pos="720"/>
        </w:tabs>
        <w:rPr>
          <w:rFonts w:eastAsia="Times New Roman"/>
          <w:b/>
        </w:rPr>
      </w:pPr>
    </w:p>
    <w:p w:rsidR="00F10141" w:rsidRDefault="00F10141" w:rsidP="00F10141">
      <w:pPr>
        <w:tabs>
          <w:tab w:val="left" w:pos="720"/>
        </w:tabs>
        <w:rPr>
          <w:rFonts w:eastAsia="Times New Roman"/>
          <w:b/>
        </w:rPr>
      </w:pPr>
      <w:r>
        <w:rPr>
          <w:rFonts w:eastAsia="Times New Roman"/>
          <w:b/>
        </w:rPr>
        <w:t>2.</w:t>
      </w:r>
      <w:r w:rsidR="008A7F7E">
        <w:rPr>
          <w:rFonts w:eastAsia="Times New Roman"/>
          <w:b/>
        </w:rPr>
        <w:t>2</w:t>
      </w:r>
      <w:r>
        <w:rPr>
          <w:rFonts w:eastAsia="Times New Roman"/>
          <w:b/>
        </w:rPr>
        <w:t>.4. Elements of other thematic priori</w:t>
      </w:r>
      <w:r w:rsidR="008C2012">
        <w:rPr>
          <w:rFonts w:eastAsia="Times New Roman"/>
          <w:b/>
        </w:rPr>
        <w:t>ties added to the priority axis</w:t>
      </w:r>
    </w:p>
    <w:p w:rsidR="00F10141" w:rsidRPr="008C2012" w:rsidRDefault="00F10141" w:rsidP="00F10141">
      <w:pPr>
        <w:tabs>
          <w:tab w:val="left" w:pos="720"/>
        </w:tabs>
        <w:rPr>
          <w:rFonts w:eastAsia="Times New Roman"/>
        </w:rPr>
      </w:pPr>
      <w:r w:rsidRPr="00A366E4">
        <w:rPr>
          <w:rFonts w:eastAsia="Times New Roman"/>
        </w:rPr>
        <w:t>(Reference: Article 35(1) of IPA II Implementing Regulation)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10141" w:rsidRPr="00901CB6" w:rsidTr="008C2012">
        <w:trPr>
          <w:trHeight w:val="491"/>
        </w:trPr>
        <w:tc>
          <w:tcPr>
            <w:tcW w:w="8897" w:type="dxa"/>
            <w:shd w:val="clear" w:color="auto" w:fill="auto"/>
          </w:tcPr>
          <w:p w:rsidR="00F10141" w:rsidRPr="00F13F0D" w:rsidRDefault="00F10141" w:rsidP="00B85FF7">
            <w:pPr>
              <w:spacing w:after="240"/>
              <w:rPr>
                <w:rFonts w:eastAsia="Times New Roman"/>
                <w:color w:val="8DB3E2"/>
                <w:szCs w:val="24"/>
                <w:lang w:val="nb-NO"/>
              </w:rPr>
            </w:pPr>
            <w:r>
              <w:rPr>
                <w:rFonts w:eastAsia="Times New Roman"/>
                <w:szCs w:val="24"/>
                <w:lang w:val="nb-NO"/>
              </w:rPr>
              <w:t>N/A</w:t>
            </w:r>
          </w:p>
        </w:tc>
      </w:tr>
    </w:tbl>
    <w:p w:rsidR="008C2012" w:rsidRDefault="008C2012" w:rsidP="00F10141">
      <w:pPr>
        <w:tabs>
          <w:tab w:val="left" w:pos="720"/>
        </w:tabs>
        <w:rPr>
          <w:rFonts w:eastAsia="Times New Roman"/>
          <w:b/>
        </w:rPr>
      </w:pPr>
    </w:p>
    <w:p w:rsidR="008C2012" w:rsidRDefault="008C2012" w:rsidP="008C2012">
      <w:r>
        <w:br w:type="page"/>
      </w:r>
    </w:p>
    <w:p w:rsidR="00F10141" w:rsidRPr="00B76110" w:rsidRDefault="00F10141" w:rsidP="00F10141">
      <w:pPr>
        <w:suppressAutoHyphens/>
        <w:spacing w:after="240"/>
        <w:rPr>
          <w:rFonts w:eastAsia="Times New Roman"/>
          <w:b/>
        </w:rPr>
      </w:pPr>
      <w:r>
        <w:rPr>
          <w:rFonts w:eastAsia="Times New Roman"/>
          <w:b/>
        </w:rPr>
        <w:lastRenderedPageBreak/>
        <w:t>2.</w:t>
      </w:r>
      <w:r w:rsidR="008A7F7E">
        <w:rPr>
          <w:rFonts w:eastAsia="Times New Roman"/>
          <w:b/>
        </w:rPr>
        <w:t>2</w:t>
      </w:r>
      <w:r w:rsidRPr="00B76110">
        <w:rPr>
          <w:rFonts w:eastAsia="Times New Roman"/>
          <w:b/>
        </w:rPr>
        <w:t>.</w:t>
      </w:r>
      <w:r>
        <w:rPr>
          <w:rFonts w:eastAsia="Times New Roman"/>
          <w:b/>
        </w:rPr>
        <w:t>5</w:t>
      </w:r>
      <w:r w:rsidRPr="00B76110">
        <w:rPr>
          <w:rFonts w:eastAsia="Times New Roman"/>
          <w:b/>
        </w:rPr>
        <w:t xml:space="preserve">. Actions to be supported under the </w:t>
      </w:r>
      <w:r>
        <w:rPr>
          <w:rFonts w:eastAsia="Times New Roman"/>
          <w:b/>
        </w:rPr>
        <w:t>thematic</w:t>
      </w:r>
      <w:r w:rsidRPr="00B76110">
        <w:rPr>
          <w:rFonts w:eastAsia="Times New Roman"/>
          <w:b/>
        </w:rPr>
        <w:t xml:space="preserve"> priority</w:t>
      </w:r>
      <w:r w:rsidRPr="00D372DE">
        <w:rPr>
          <w:rFonts w:eastAsia="Times New Roman"/>
          <w:b/>
        </w:rPr>
        <w:t xml:space="preserve"> </w:t>
      </w:r>
      <w:r w:rsidR="008110DD">
        <w:rPr>
          <w:rFonts w:eastAsia="Times New Roman"/>
          <w:b/>
        </w:rPr>
        <w:t>2</w:t>
      </w:r>
    </w:p>
    <w:p w:rsidR="00F10141" w:rsidRPr="00B76110" w:rsidRDefault="00F10141" w:rsidP="00F10141">
      <w:pPr>
        <w:keepNext/>
        <w:spacing w:after="240"/>
        <w:ind w:left="851" w:hanging="851"/>
        <w:outlineLvl w:val="2"/>
        <w:rPr>
          <w:rFonts w:eastAsia="Times New Roman"/>
          <w:b/>
          <w:i/>
        </w:rPr>
      </w:pPr>
      <w:r>
        <w:rPr>
          <w:rFonts w:eastAsia="Times New Roman"/>
          <w:b/>
          <w:i/>
        </w:rPr>
        <w:t>2.</w:t>
      </w:r>
      <w:r w:rsidR="008A7F7E">
        <w:rPr>
          <w:rFonts w:eastAsia="Times New Roman"/>
          <w:b/>
          <w:i/>
        </w:rPr>
        <w:t>2</w:t>
      </w:r>
      <w:r w:rsidRPr="00B76110">
        <w:rPr>
          <w:rFonts w:eastAsia="Times New Roman"/>
          <w:b/>
          <w:i/>
        </w:rPr>
        <w:t>.</w:t>
      </w:r>
      <w:r>
        <w:rPr>
          <w:rFonts w:eastAsia="Times New Roman"/>
          <w:b/>
          <w:i/>
        </w:rPr>
        <w:t>5</w:t>
      </w:r>
      <w:r w:rsidRPr="00B76110">
        <w:rPr>
          <w:rFonts w:eastAsia="Times New Roman"/>
          <w:b/>
          <w:i/>
        </w:rPr>
        <w:t xml:space="preserve">.1. A description of the type and examples of actions to be </w:t>
      </w:r>
      <w:r>
        <w:rPr>
          <w:rFonts w:eastAsia="Times New Roman"/>
          <w:b/>
          <w:i/>
        </w:rPr>
        <w:t>supported</w:t>
      </w:r>
      <w:r w:rsidRPr="00B76110">
        <w:rPr>
          <w:rFonts w:eastAsia="Times New Roman"/>
          <w:b/>
          <w:i/>
        </w:rPr>
        <w:t xml:space="preserve"> and their expected contribution to the specific objectives, including, where appropriate</w:t>
      </w:r>
      <w:r>
        <w:rPr>
          <w:rFonts w:eastAsia="Times New Roman"/>
          <w:b/>
          <w:i/>
        </w:rPr>
        <w:t>,</w:t>
      </w:r>
      <w:r w:rsidRPr="00B76110">
        <w:rPr>
          <w:rFonts w:eastAsia="Times New Roman"/>
          <w:b/>
          <w:i/>
        </w:rPr>
        <w:t xml:space="preserve"> identification of the main target groups, specific territories targeted and types of beneficiaries</w:t>
      </w:r>
    </w:p>
    <w:p w:rsidR="00F10141" w:rsidRPr="00567F19" w:rsidRDefault="00F10141" w:rsidP="00F10141">
      <w:r w:rsidRPr="00567F19">
        <w:t xml:space="preserve">(Reference: </w:t>
      </w:r>
      <w:r>
        <w:t xml:space="preserve">point (b)(iii)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F10141" w:rsidRPr="00823FED" w:rsidTr="006F17A4">
        <w:trPr>
          <w:trHeight w:val="766"/>
        </w:trPr>
        <w:tc>
          <w:tcPr>
            <w:tcW w:w="2235" w:type="dxa"/>
            <w:shd w:val="clear" w:color="auto" w:fill="auto"/>
          </w:tcPr>
          <w:p w:rsidR="00F10141" w:rsidRPr="00823FED" w:rsidRDefault="00F10141" w:rsidP="00B85FF7">
            <w:pPr>
              <w:spacing w:after="240"/>
              <w:rPr>
                <w:rFonts w:eastAsia="Times New Roman"/>
                <w:i/>
                <w:color w:val="8DB3E2"/>
                <w:szCs w:val="24"/>
              </w:rPr>
            </w:pPr>
            <w:r w:rsidRPr="00823FED">
              <w:rPr>
                <w:rFonts w:eastAsia="Times New Roman"/>
                <w:i/>
                <w:szCs w:val="24"/>
              </w:rPr>
              <w:t>Thematic Priority</w:t>
            </w:r>
          </w:p>
        </w:tc>
        <w:tc>
          <w:tcPr>
            <w:tcW w:w="6443" w:type="dxa"/>
            <w:shd w:val="clear" w:color="auto" w:fill="auto"/>
          </w:tcPr>
          <w:p w:rsidR="00F10141" w:rsidRPr="00823FED" w:rsidRDefault="00C475A0" w:rsidP="008C2012">
            <w:pPr>
              <w:rPr>
                <w:szCs w:val="24"/>
              </w:rPr>
            </w:pPr>
            <w:r w:rsidRPr="00823FED">
              <w:rPr>
                <w:rFonts w:eastAsia="Times New Roman"/>
                <w:szCs w:val="24"/>
              </w:rPr>
              <w:t xml:space="preserve">TP 2 </w:t>
            </w:r>
            <w:r w:rsidR="006F17A4" w:rsidRPr="00823FED">
              <w:rPr>
                <w:szCs w:val="24"/>
              </w:rPr>
              <w:t xml:space="preserve">Environment, </w:t>
            </w:r>
            <w:r w:rsidR="008C2012" w:rsidRPr="00823FED">
              <w:rPr>
                <w:szCs w:val="24"/>
              </w:rPr>
              <w:t>nature</w:t>
            </w:r>
            <w:r w:rsidR="006F17A4" w:rsidRPr="00823FED">
              <w:rPr>
                <w:szCs w:val="24"/>
              </w:rPr>
              <w:t xml:space="preserve">, </w:t>
            </w:r>
            <w:r w:rsidR="000E7F28" w:rsidRPr="00823FED">
              <w:rPr>
                <w:szCs w:val="24"/>
              </w:rPr>
              <w:t>r</w:t>
            </w:r>
            <w:r w:rsidR="006F17A4" w:rsidRPr="00823FED">
              <w:rPr>
                <w:szCs w:val="24"/>
              </w:rPr>
              <w:t xml:space="preserve">isk </w:t>
            </w:r>
            <w:r w:rsidR="000E7F28" w:rsidRPr="00823FED">
              <w:rPr>
                <w:szCs w:val="24"/>
              </w:rPr>
              <w:t>p</w:t>
            </w:r>
            <w:r w:rsidR="006F17A4" w:rsidRPr="00823FED">
              <w:rPr>
                <w:szCs w:val="24"/>
              </w:rPr>
              <w:t xml:space="preserve">revention, </w:t>
            </w:r>
            <w:r w:rsidR="000E7F28" w:rsidRPr="00823FED">
              <w:rPr>
                <w:szCs w:val="24"/>
              </w:rPr>
              <w:t>s</w:t>
            </w:r>
            <w:r w:rsidR="006F17A4" w:rsidRPr="00823FED">
              <w:rPr>
                <w:szCs w:val="24"/>
              </w:rPr>
              <w:t xml:space="preserve">ustainable </w:t>
            </w:r>
            <w:r w:rsidR="000E7F28" w:rsidRPr="00823FED">
              <w:rPr>
                <w:szCs w:val="24"/>
              </w:rPr>
              <w:t>e</w:t>
            </w:r>
            <w:r w:rsidR="006F17A4" w:rsidRPr="00823FED">
              <w:rPr>
                <w:szCs w:val="24"/>
              </w:rPr>
              <w:t xml:space="preserve">nergy  and </w:t>
            </w:r>
            <w:r w:rsidR="000E7F28" w:rsidRPr="00823FED">
              <w:rPr>
                <w:szCs w:val="24"/>
              </w:rPr>
              <w:t>e</w:t>
            </w:r>
            <w:r w:rsidR="006F17A4" w:rsidRPr="00823FED">
              <w:rPr>
                <w:szCs w:val="24"/>
              </w:rPr>
              <w:t xml:space="preserve">nergy </w:t>
            </w:r>
            <w:r w:rsidR="000E7F28" w:rsidRPr="00823FED">
              <w:rPr>
                <w:szCs w:val="24"/>
              </w:rPr>
              <w:t>e</w:t>
            </w:r>
            <w:r w:rsidR="006F17A4" w:rsidRPr="00823FED">
              <w:rPr>
                <w:szCs w:val="24"/>
              </w:rPr>
              <w:t>fficiency</w:t>
            </w:r>
          </w:p>
        </w:tc>
      </w:tr>
      <w:tr w:rsidR="00F10141" w:rsidRPr="00823FED" w:rsidTr="00CF165E">
        <w:trPr>
          <w:trHeight w:val="1266"/>
        </w:trPr>
        <w:tc>
          <w:tcPr>
            <w:tcW w:w="8678" w:type="dxa"/>
            <w:gridSpan w:val="2"/>
            <w:shd w:val="clear" w:color="auto" w:fill="auto"/>
          </w:tcPr>
          <w:p w:rsidR="00F10141" w:rsidRPr="00823FED" w:rsidRDefault="00F10141" w:rsidP="00B85FF7">
            <w:pPr>
              <w:spacing w:after="0" w:line="280" w:lineRule="atLeast"/>
              <w:contextualSpacing/>
              <w:rPr>
                <w:szCs w:val="24"/>
              </w:rPr>
            </w:pPr>
            <w:r w:rsidRPr="00823FED">
              <w:rPr>
                <w:szCs w:val="24"/>
              </w:rPr>
              <w:t xml:space="preserve">The supported actions under </w:t>
            </w:r>
            <w:r w:rsidR="00185E02" w:rsidRPr="00823FED">
              <w:rPr>
                <w:szCs w:val="24"/>
              </w:rPr>
              <w:t xml:space="preserve">priority </w:t>
            </w:r>
            <w:r w:rsidRPr="00823FED">
              <w:rPr>
                <w:szCs w:val="24"/>
              </w:rPr>
              <w:t xml:space="preserve">axis </w:t>
            </w:r>
            <w:r w:rsidR="0070516B" w:rsidRPr="00823FED">
              <w:rPr>
                <w:szCs w:val="24"/>
              </w:rPr>
              <w:t>2</w:t>
            </w:r>
            <w:r w:rsidRPr="00823FED">
              <w:rPr>
                <w:szCs w:val="24"/>
              </w:rPr>
              <w:t xml:space="preserve"> will contribute </w:t>
            </w:r>
            <w:r w:rsidR="00092A77" w:rsidRPr="00823FED">
              <w:rPr>
                <w:szCs w:val="24"/>
              </w:rPr>
              <w:t xml:space="preserve">to </w:t>
            </w:r>
            <w:r w:rsidR="008C2012" w:rsidRPr="00823FED">
              <w:rPr>
                <w:szCs w:val="24"/>
              </w:rPr>
              <w:t xml:space="preserve">the </w:t>
            </w:r>
            <w:r w:rsidR="00092A77" w:rsidRPr="00823FED">
              <w:rPr>
                <w:szCs w:val="24"/>
              </w:rPr>
              <w:t xml:space="preserve">environment </w:t>
            </w:r>
            <w:r w:rsidR="00E30DA6" w:rsidRPr="00823FED">
              <w:rPr>
                <w:szCs w:val="24"/>
              </w:rPr>
              <w:t xml:space="preserve">and nature </w:t>
            </w:r>
            <w:r w:rsidR="00092A77" w:rsidRPr="00823FED">
              <w:rPr>
                <w:szCs w:val="24"/>
              </w:rPr>
              <w:t xml:space="preserve">protection, risk prevention improvement and </w:t>
            </w:r>
            <w:r w:rsidR="008E4285" w:rsidRPr="00823FED">
              <w:rPr>
                <w:szCs w:val="24"/>
              </w:rPr>
              <w:t xml:space="preserve">to </w:t>
            </w:r>
            <w:r w:rsidR="00092A77" w:rsidRPr="00823FED">
              <w:rPr>
                <w:szCs w:val="24"/>
              </w:rPr>
              <w:t xml:space="preserve">strengthening the </w:t>
            </w:r>
            <w:r w:rsidR="007E42B2" w:rsidRPr="00823FED">
              <w:rPr>
                <w:szCs w:val="24"/>
              </w:rPr>
              <w:t>utilization</w:t>
            </w:r>
            <w:r w:rsidR="00092A77" w:rsidRPr="00823FED">
              <w:rPr>
                <w:szCs w:val="24"/>
              </w:rPr>
              <w:t xml:space="preserve"> of renewable energies and improving energy efficiency</w:t>
            </w:r>
            <w:r w:rsidR="00FF2FDE" w:rsidRPr="00823FED">
              <w:rPr>
                <w:szCs w:val="24"/>
              </w:rPr>
              <w:t>.</w:t>
            </w:r>
            <w:r w:rsidR="00092A77" w:rsidRPr="00823FED">
              <w:rPr>
                <w:szCs w:val="24"/>
              </w:rPr>
              <w:t xml:space="preserve"> </w:t>
            </w:r>
          </w:p>
          <w:p w:rsidR="00F10141" w:rsidRPr="00823FED" w:rsidRDefault="00F10141" w:rsidP="00B85FF7">
            <w:pPr>
              <w:spacing w:after="0" w:line="280" w:lineRule="atLeast"/>
              <w:contextualSpacing/>
              <w:rPr>
                <w:szCs w:val="24"/>
              </w:rPr>
            </w:pPr>
          </w:p>
          <w:p w:rsidR="00962A6D" w:rsidRPr="00823FED" w:rsidRDefault="00D37672" w:rsidP="00B85FF7">
            <w:pPr>
              <w:spacing w:after="0" w:line="280" w:lineRule="atLeast"/>
              <w:contextualSpacing/>
              <w:rPr>
                <w:szCs w:val="24"/>
              </w:rPr>
            </w:pPr>
            <w:r w:rsidRPr="00823FED">
              <w:rPr>
                <w:szCs w:val="24"/>
              </w:rPr>
              <w:t>A</w:t>
            </w:r>
            <w:r w:rsidR="00A464C7" w:rsidRPr="00823FED">
              <w:rPr>
                <w:szCs w:val="24"/>
              </w:rPr>
              <w:t xml:space="preserve">ctions shall be based on </w:t>
            </w:r>
            <w:r w:rsidRPr="00823FED">
              <w:rPr>
                <w:szCs w:val="24"/>
              </w:rPr>
              <w:t>cross-border cooperation in order to build competences and to develop and implement strategies and management approaches for environmental</w:t>
            </w:r>
            <w:r w:rsidR="008C2012" w:rsidRPr="00823FED">
              <w:rPr>
                <w:szCs w:val="24"/>
              </w:rPr>
              <w:t xml:space="preserve"> and nature</w:t>
            </w:r>
            <w:r w:rsidRPr="00823FED">
              <w:rPr>
                <w:szCs w:val="24"/>
              </w:rPr>
              <w:t xml:space="preserve"> resources protection and for improving energy efficiency. </w:t>
            </w:r>
            <w:r w:rsidR="0077405D" w:rsidRPr="00823FED">
              <w:rPr>
                <w:szCs w:val="24"/>
              </w:rPr>
              <w:t xml:space="preserve">In addition, </w:t>
            </w:r>
            <w:r w:rsidR="008C2012" w:rsidRPr="00823FED">
              <w:rPr>
                <w:szCs w:val="24"/>
              </w:rPr>
              <w:t xml:space="preserve">the </w:t>
            </w:r>
            <w:r w:rsidR="0077405D" w:rsidRPr="00823FED">
              <w:rPr>
                <w:szCs w:val="24"/>
              </w:rPr>
              <w:t>actions will focus on the aim to improve emergency preparedness and risk prevention systems that addresses existing as well as expected cross-border hazards</w:t>
            </w:r>
            <w:r w:rsidR="003363D0" w:rsidRPr="00823FED">
              <w:rPr>
                <w:szCs w:val="24"/>
              </w:rPr>
              <w:t xml:space="preserve"> as well on promoting utilisation of sustainable energy and energy efficiency</w:t>
            </w:r>
            <w:r w:rsidR="0025239F" w:rsidRPr="00823FED">
              <w:rPr>
                <w:szCs w:val="24"/>
              </w:rPr>
              <w:t>.</w:t>
            </w:r>
          </w:p>
          <w:p w:rsidR="00D37672" w:rsidRPr="00823FED" w:rsidRDefault="00D37672" w:rsidP="00B85FF7">
            <w:pPr>
              <w:spacing w:after="0" w:line="280" w:lineRule="atLeast"/>
              <w:contextualSpacing/>
              <w:rPr>
                <w:szCs w:val="24"/>
              </w:rPr>
            </w:pPr>
          </w:p>
          <w:p w:rsidR="00F10141" w:rsidRPr="00823FED" w:rsidRDefault="00F10141" w:rsidP="00B85FF7">
            <w:pPr>
              <w:spacing w:after="0" w:line="280" w:lineRule="atLeast"/>
              <w:contextualSpacing/>
              <w:rPr>
                <w:szCs w:val="24"/>
              </w:rPr>
            </w:pPr>
            <w:r w:rsidRPr="00823FED">
              <w:rPr>
                <w:szCs w:val="24"/>
              </w:rPr>
              <w:t xml:space="preserve">According to the </w:t>
            </w:r>
            <w:r w:rsidR="00E30DA6" w:rsidRPr="00823FED">
              <w:rPr>
                <w:szCs w:val="24"/>
              </w:rPr>
              <w:t xml:space="preserve">specific </w:t>
            </w:r>
            <w:r w:rsidRPr="00823FED">
              <w:rPr>
                <w:szCs w:val="24"/>
              </w:rPr>
              <w:t xml:space="preserve">objectives within </w:t>
            </w:r>
            <w:r w:rsidR="00E30DA6" w:rsidRPr="00823FED">
              <w:rPr>
                <w:szCs w:val="24"/>
              </w:rPr>
              <w:t xml:space="preserve">priority </w:t>
            </w:r>
            <w:r w:rsidRPr="00823FED">
              <w:rPr>
                <w:szCs w:val="24"/>
              </w:rPr>
              <w:t xml:space="preserve">axis </w:t>
            </w:r>
            <w:r w:rsidR="007C2AEA" w:rsidRPr="00823FED">
              <w:rPr>
                <w:szCs w:val="24"/>
              </w:rPr>
              <w:t>2</w:t>
            </w:r>
            <w:r w:rsidRPr="00823FED">
              <w:rPr>
                <w:szCs w:val="24"/>
              </w:rPr>
              <w:t>, two sets of actions will be supported:</w:t>
            </w:r>
          </w:p>
          <w:p w:rsidR="00F10141" w:rsidRPr="00823FED" w:rsidRDefault="00F10141" w:rsidP="00810D53">
            <w:pPr>
              <w:pStyle w:val="ListParagraph"/>
              <w:numPr>
                <w:ilvl w:val="0"/>
                <w:numId w:val="32"/>
              </w:numPr>
              <w:spacing w:after="0" w:line="280" w:lineRule="atLeast"/>
              <w:contextualSpacing/>
              <w:rPr>
                <w:rFonts w:cstheme="minorBidi"/>
                <w:szCs w:val="24"/>
                <w:lang w:val="en-US" w:eastAsia="ja-JP"/>
              </w:rPr>
            </w:pPr>
            <w:r w:rsidRPr="00823FED">
              <w:rPr>
                <w:szCs w:val="24"/>
              </w:rPr>
              <w:t xml:space="preserve">Actions </w:t>
            </w:r>
            <w:r w:rsidR="007E42B2" w:rsidRPr="00823FED">
              <w:rPr>
                <w:szCs w:val="24"/>
              </w:rPr>
              <w:t xml:space="preserve">to promote and improve environment and nature protection and management systems for risk prevention </w:t>
            </w:r>
            <w:r w:rsidRPr="00823FED">
              <w:rPr>
                <w:szCs w:val="24"/>
              </w:rPr>
              <w:t xml:space="preserve">(as per SO </w:t>
            </w:r>
            <w:r w:rsidR="007C2AEA" w:rsidRPr="00823FED">
              <w:rPr>
                <w:szCs w:val="24"/>
              </w:rPr>
              <w:t>2.1.</w:t>
            </w:r>
            <w:r w:rsidRPr="00823FED">
              <w:rPr>
                <w:szCs w:val="24"/>
              </w:rPr>
              <w:t xml:space="preserve"> - Expected result </w:t>
            </w:r>
            <w:r w:rsidR="007C2AEA" w:rsidRPr="00823FED">
              <w:rPr>
                <w:szCs w:val="24"/>
              </w:rPr>
              <w:t>2</w:t>
            </w:r>
            <w:r w:rsidRPr="00823FED">
              <w:rPr>
                <w:szCs w:val="24"/>
              </w:rPr>
              <w:t>.1.)</w:t>
            </w:r>
          </w:p>
          <w:p w:rsidR="00657A33" w:rsidRPr="00823FED" w:rsidRDefault="00F10141" w:rsidP="00810D53">
            <w:pPr>
              <w:pStyle w:val="ListParagraph"/>
              <w:numPr>
                <w:ilvl w:val="0"/>
                <w:numId w:val="32"/>
              </w:numPr>
              <w:spacing w:after="0" w:line="280" w:lineRule="atLeast"/>
              <w:contextualSpacing/>
              <w:rPr>
                <w:rFonts w:cstheme="minorBidi"/>
                <w:szCs w:val="24"/>
                <w:lang w:val="en-US" w:eastAsia="ja-JP"/>
              </w:rPr>
            </w:pPr>
            <w:r w:rsidRPr="00823FED">
              <w:rPr>
                <w:szCs w:val="24"/>
              </w:rPr>
              <w:t xml:space="preserve">Actions </w:t>
            </w:r>
            <w:r w:rsidR="007E42B2" w:rsidRPr="00823FED">
              <w:rPr>
                <w:szCs w:val="24"/>
              </w:rPr>
              <w:t xml:space="preserve">to promote utilization of renewable energy resources and energy efficiency </w:t>
            </w:r>
            <w:r w:rsidRPr="00823FED">
              <w:rPr>
                <w:szCs w:val="24"/>
              </w:rPr>
              <w:t>(as per SO 2</w:t>
            </w:r>
            <w:r w:rsidR="007C2AEA" w:rsidRPr="00823FED">
              <w:rPr>
                <w:szCs w:val="24"/>
              </w:rPr>
              <w:t>.2.</w:t>
            </w:r>
            <w:r w:rsidRPr="00823FED">
              <w:rPr>
                <w:szCs w:val="24"/>
              </w:rPr>
              <w:t xml:space="preserve"> - Expected result </w:t>
            </w:r>
            <w:r w:rsidR="007C2AEA" w:rsidRPr="00823FED">
              <w:rPr>
                <w:szCs w:val="24"/>
              </w:rPr>
              <w:t>2</w:t>
            </w:r>
            <w:r w:rsidRPr="00823FED">
              <w:rPr>
                <w:szCs w:val="24"/>
              </w:rPr>
              <w:t>.2.)</w:t>
            </w:r>
          </w:p>
          <w:p w:rsidR="00A317FA" w:rsidRPr="00823FED" w:rsidRDefault="00A317FA" w:rsidP="00B85FF7">
            <w:pPr>
              <w:spacing w:after="0" w:line="280" w:lineRule="atLeast"/>
              <w:contextualSpacing/>
              <w:rPr>
                <w:szCs w:val="24"/>
              </w:rPr>
            </w:pPr>
          </w:p>
          <w:p w:rsidR="00B85FF7" w:rsidRPr="00823FED" w:rsidRDefault="00A317FA" w:rsidP="00B85FF7">
            <w:pPr>
              <w:spacing w:after="0" w:line="280" w:lineRule="atLeast"/>
              <w:contextualSpacing/>
              <w:rPr>
                <w:b/>
                <w:szCs w:val="24"/>
              </w:rPr>
            </w:pPr>
            <w:r w:rsidRPr="00823FED">
              <w:rPr>
                <w:b/>
                <w:szCs w:val="24"/>
              </w:rPr>
              <w:t>Actions to promote and improve environment and nature protection and management systems for risk prevention</w:t>
            </w:r>
          </w:p>
          <w:p w:rsidR="00657A33" w:rsidRPr="00823FED" w:rsidRDefault="00657A33" w:rsidP="00B85FF7">
            <w:pPr>
              <w:spacing w:after="0" w:line="280" w:lineRule="atLeast"/>
              <w:contextualSpacing/>
              <w:rPr>
                <w:i/>
                <w:szCs w:val="24"/>
              </w:rPr>
            </w:pPr>
          </w:p>
          <w:p w:rsidR="00F10141" w:rsidRPr="00823FED" w:rsidRDefault="00F10141" w:rsidP="00B85FF7">
            <w:pPr>
              <w:spacing w:after="0" w:line="280" w:lineRule="atLeast"/>
              <w:contextualSpacing/>
              <w:rPr>
                <w:i/>
                <w:szCs w:val="24"/>
              </w:rPr>
            </w:pPr>
            <w:r w:rsidRPr="00823FED">
              <w:rPr>
                <w:i/>
                <w:szCs w:val="24"/>
              </w:rPr>
              <w:t xml:space="preserve">Examples of actions supported within SO </w:t>
            </w:r>
            <w:r w:rsidR="00092A77" w:rsidRPr="00823FED">
              <w:rPr>
                <w:i/>
                <w:szCs w:val="24"/>
              </w:rPr>
              <w:t>2.1.</w:t>
            </w:r>
            <w:r w:rsidRPr="00823FED">
              <w:rPr>
                <w:i/>
                <w:szCs w:val="24"/>
              </w:rPr>
              <w:t xml:space="preserve"> are:</w:t>
            </w:r>
          </w:p>
          <w:p w:rsidR="00F10141" w:rsidRPr="00823FED" w:rsidRDefault="00F10141" w:rsidP="00B85FF7">
            <w:pPr>
              <w:spacing w:after="0" w:line="280" w:lineRule="atLeast"/>
              <w:contextualSpacing/>
              <w:rPr>
                <w:szCs w:val="24"/>
              </w:rPr>
            </w:pPr>
          </w:p>
          <w:p w:rsidR="00185E02" w:rsidRPr="00823FED" w:rsidRDefault="00185E02" w:rsidP="00810D53">
            <w:pPr>
              <w:numPr>
                <w:ilvl w:val="0"/>
                <w:numId w:val="44"/>
              </w:numPr>
              <w:spacing w:after="0" w:line="280" w:lineRule="atLeast"/>
              <w:contextualSpacing/>
              <w:rPr>
                <w:szCs w:val="24"/>
              </w:rPr>
            </w:pPr>
            <w:r w:rsidRPr="00823FED">
              <w:rPr>
                <w:szCs w:val="24"/>
              </w:rPr>
              <w:t>Developing and implementing joint environmental management initiatives. (e.g. monitoring and exchange of data, biodiversity and geo-diversity maps, implementing joint initiatives for designation of cross-border habitats and ecosystems with high biodiversity value, management plans for nature protected areas of cross-border interest, marine protected areas, maritime spatial planning and integrated coastal management for cross-border areas, protection and restoration of coastal wetland areas and karst fields relevant for the Adriatic Flyway, etc.)</w:t>
            </w:r>
          </w:p>
          <w:p w:rsidR="00185E02" w:rsidRPr="00823FED" w:rsidRDefault="00185E02" w:rsidP="00810D53">
            <w:pPr>
              <w:numPr>
                <w:ilvl w:val="0"/>
                <w:numId w:val="44"/>
              </w:numPr>
              <w:spacing w:after="0" w:line="280" w:lineRule="atLeast"/>
              <w:contextualSpacing/>
              <w:rPr>
                <w:szCs w:val="24"/>
              </w:rPr>
            </w:pPr>
            <w:r w:rsidRPr="00823FED">
              <w:rPr>
                <w:szCs w:val="24"/>
              </w:rPr>
              <w:t xml:space="preserve">Awareness raising activities, information campaigns and education and training concerning environmental and nature protection. </w:t>
            </w:r>
          </w:p>
          <w:p w:rsidR="00185E02" w:rsidRPr="00823FED" w:rsidRDefault="00185E02" w:rsidP="00810D53">
            <w:pPr>
              <w:numPr>
                <w:ilvl w:val="0"/>
                <w:numId w:val="44"/>
              </w:numPr>
              <w:spacing w:after="0" w:line="280" w:lineRule="atLeast"/>
              <w:contextualSpacing/>
              <w:rPr>
                <w:szCs w:val="24"/>
              </w:rPr>
            </w:pPr>
            <w:r w:rsidRPr="00823FED">
              <w:rPr>
                <w:szCs w:val="24"/>
              </w:rPr>
              <w:t xml:space="preserve">Improving emergency preparedness and risk prevention systems that addresses existing as well as expected cross-border hazards (fires, floods, draughts, hazardous pollution events and other natural disasters) through, for example: adopting comprehensive multi-hazard framework to risk management  and communication, harmonizing information about risks  using internationally </w:t>
            </w:r>
            <w:r w:rsidRPr="00823FED">
              <w:rPr>
                <w:szCs w:val="24"/>
              </w:rPr>
              <w:lastRenderedPageBreak/>
              <w:t>accepted definitions and guidelines, addressing priority gaps and needs for exchanging available data, developing and/or implementing plans that specify operational matters on local level (who, what, when, how and with whom)  based on higher level initiatives for disaster management).</w:t>
            </w:r>
          </w:p>
          <w:p w:rsidR="00185E02" w:rsidRPr="00823FED" w:rsidRDefault="00185E02" w:rsidP="00810D53">
            <w:pPr>
              <w:numPr>
                <w:ilvl w:val="0"/>
                <w:numId w:val="44"/>
              </w:numPr>
              <w:spacing w:after="0" w:line="280" w:lineRule="atLeast"/>
              <w:contextualSpacing/>
              <w:rPr>
                <w:szCs w:val="24"/>
              </w:rPr>
            </w:pPr>
            <w:r w:rsidRPr="00823FED">
              <w:rPr>
                <w:szCs w:val="24"/>
              </w:rPr>
              <w:t>Cross-border measures and tools for reducing or mitigating environmental problems and risks, including small-scale infrastructure and equipment.</w:t>
            </w:r>
          </w:p>
          <w:p w:rsidR="007E42B2" w:rsidRPr="00823FED" w:rsidRDefault="00185E02" w:rsidP="00810D53">
            <w:pPr>
              <w:numPr>
                <w:ilvl w:val="0"/>
                <w:numId w:val="44"/>
              </w:numPr>
              <w:spacing w:after="0" w:line="280" w:lineRule="atLeast"/>
              <w:contextualSpacing/>
              <w:rPr>
                <w:szCs w:val="24"/>
              </w:rPr>
            </w:pPr>
            <w:r w:rsidRPr="00823FED">
              <w:rPr>
                <w:szCs w:val="24"/>
              </w:rPr>
              <w:t>Implementing joint interventions in case of accidents and natural disasters and establishment of joint emergency centres, including small-scale infrastructure and equipment.</w:t>
            </w:r>
          </w:p>
          <w:p w:rsidR="0025239F" w:rsidRPr="00823FED" w:rsidRDefault="0025239F" w:rsidP="00B85FF7">
            <w:pPr>
              <w:spacing w:after="0" w:line="280" w:lineRule="atLeast"/>
              <w:contextualSpacing/>
              <w:rPr>
                <w:b/>
                <w:szCs w:val="24"/>
              </w:rPr>
            </w:pPr>
          </w:p>
          <w:p w:rsidR="00FF00A6" w:rsidRPr="00823FED" w:rsidRDefault="00A317FA" w:rsidP="00B85FF7">
            <w:pPr>
              <w:spacing w:after="0" w:line="280" w:lineRule="atLeast"/>
              <w:contextualSpacing/>
              <w:rPr>
                <w:b/>
                <w:szCs w:val="24"/>
              </w:rPr>
            </w:pPr>
            <w:r w:rsidRPr="00823FED">
              <w:rPr>
                <w:b/>
                <w:szCs w:val="24"/>
              </w:rPr>
              <w:t>Actions to promote utilization of renewable energy resources and energy efficiency</w:t>
            </w:r>
          </w:p>
          <w:p w:rsidR="00A317FA" w:rsidRPr="00823FED" w:rsidRDefault="00A317FA" w:rsidP="00B85FF7">
            <w:pPr>
              <w:spacing w:after="0" w:line="280" w:lineRule="atLeast"/>
              <w:contextualSpacing/>
              <w:rPr>
                <w:i/>
                <w:szCs w:val="24"/>
              </w:rPr>
            </w:pPr>
          </w:p>
          <w:p w:rsidR="00F10141" w:rsidRPr="00823FED" w:rsidRDefault="00F10141" w:rsidP="00B85FF7">
            <w:pPr>
              <w:spacing w:after="0" w:line="280" w:lineRule="atLeast"/>
              <w:contextualSpacing/>
              <w:rPr>
                <w:i/>
                <w:szCs w:val="24"/>
              </w:rPr>
            </w:pPr>
            <w:r w:rsidRPr="00823FED">
              <w:rPr>
                <w:i/>
                <w:szCs w:val="24"/>
              </w:rPr>
              <w:t>Examples of actions supported within SO 2</w:t>
            </w:r>
            <w:r w:rsidR="00DA1E8A" w:rsidRPr="00823FED">
              <w:rPr>
                <w:i/>
                <w:szCs w:val="24"/>
              </w:rPr>
              <w:t>.2.</w:t>
            </w:r>
            <w:r w:rsidRPr="00823FED">
              <w:rPr>
                <w:i/>
                <w:szCs w:val="24"/>
              </w:rPr>
              <w:t xml:space="preserve"> are:</w:t>
            </w:r>
          </w:p>
          <w:p w:rsidR="00F10141" w:rsidRPr="00823FED" w:rsidRDefault="00F10141" w:rsidP="00B85FF7">
            <w:pPr>
              <w:spacing w:after="0" w:line="280" w:lineRule="atLeast"/>
              <w:contextualSpacing/>
              <w:rPr>
                <w:szCs w:val="24"/>
              </w:rPr>
            </w:pPr>
          </w:p>
          <w:p w:rsidR="00810D53" w:rsidRPr="00823FED" w:rsidRDefault="00810D53" w:rsidP="00810D53">
            <w:pPr>
              <w:numPr>
                <w:ilvl w:val="0"/>
                <w:numId w:val="44"/>
              </w:numPr>
              <w:spacing w:after="0" w:line="280" w:lineRule="atLeast"/>
              <w:contextualSpacing/>
              <w:rPr>
                <w:szCs w:val="24"/>
                <w:lang w:val="en-US"/>
              </w:rPr>
            </w:pPr>
            <w:r w:rsidRPr="00823FED">
              <w:rPr>
                <w:szCs w:val="24"/>
                <w:lang w:val="en-US"/>
              </w:rPr>
              <w:t xml:space="preserve">Developing and implementing joint pilot and demonstration projects on innovative technologies and solutions in the field of energy efficiency and renewable energy resources. </w:t>
            </w:r>
          </w:p>
          <w:p w:rsidR="00810D53" w:rsidRPr="00823FED" w:rsidRDefault="00810D53" w:rsidP="00810D53">
            <w:pPr>
              <w:numPr>
                <w:ilvl w:val="0"/>
                <w:numId w:val="44"/>
              </w:numPr>
              <w:spacing w:after="0" w:line="280" w:lineRule="atLeast"/>
              <w:contextualSpacing/>
              <w:rPr>
                <w:szCs w:val="24"/>
                <w:lang w:val="en-US"/>
              </w:rPr>
            </w:pPr>
            <w:r w:rsidRPr="00823FED">
              <w:rPr>
                <w:szCs w:val="24"/>
                <w:lang w:val="en-US"/>
              </w:rPr>
              <w:t>Joint investing in public infrastructure on sustainable energy production and energy efficiency.</w:t>
            </w:r>
          </w:p>
          <w:p w:rsidR="00810D53" w:rsidRPr="00823FED" w:rsidRDefault="00810D53" w:rsidP="00810D53">
            <w:pPr>
              <w:numPr>
                <w:ilvl w:val="0"/>
                <w:numId w:val="44"/>
              </w:numPr>
              <w:spacing w:after="0" w:line="280" w:lineRule="atLeast"/>
              <w:contextualSpacing/>
              <w:rPr>
                <w:szCs w:val="24"/>
                <w:lang w:val="en-US"/>
              </w:rPr>
            </w:pPr>
            <w:r w:rsidRPr="00823FED">
              <w:rPr>
                <w:szCs w:val="24"/>
                <w:lang w:val="en-US"/>
              </w:rPr>
              <w:t xml:space="preserve">Joint incentives in order to improve planning and regulatory framework in the area of renewable energy resources and energy efficiency (e.g. analyses, comparisons, recommendation, local/regional action plans etc.). </w:t>
            </w:r>
          </w:p>
          <w:p w:rsidR="00810D53" w:rsidRPr="00823FED" w:rsidRDefault="00810D53" w:rsidP="00810D53">
            <w:pPr>
              <w:numPr>
                <w:ilvl w:val="0"/>
                <w:numId w:val="44"/>
              </w:numPr>
              <w:spacing w:after="0" w:line="280" w:lineRule="atLeast"/>
              <w:contextualSpacing/>
              <w:rPr>
                <w:szCs w:val="24"/>
                <w:lang w:val="en-US"/>
              </w:rPr>
            </w:pPr>
            <w:r w:rsidRPr="00823FED">
              <w:rPr>
                <w:szCs w:val="24"/>
                <w:lang w:val="en-US"/>
              </w:rPr>
              <w:t>Implementing transfer of knowledge (awareness rising), exchange of experience and capacity building on the utilization of renewable energy resources and energy efficiency.</w:t>
            </w:r>
          </w:p>
          <w:p w:rsidR="003302D6" w:rsidRPr="00823FED" w:rsidRDefault="00810D53" w:rsidP="00810D53">
            <w:pPr>
              <w:numPr>
                <w:ilvl w:val="0"/>
                <w:numId w:val="44"/>
              </w:numPr>
              <w:spacing w:after="0" w:line="280" w:lineRule="atLeast"/>
              <w:contextualSpacing/>
              <w:rPr>
                <w:szCs w:val="24"/>
                <w:lang w:val="en-US"/>
              </w:rPr>
            </w:pPr>
            <w:r w:rsidRPr="00823FED">
              <w:rPr>
                <w:szCs w:val="24"/>
                <w:lang w:val="en-US"/>
              </w:rPr>
              <w:t xml:space="preserve">Elaboration of joint studies and documentation on (the utilization of) renewable energy resources and energy efficiency. </w:t>
            </w:r>
          </w:p>
          <w:p w:rsidR="00810D53" w:rsidRPr="00823FED" w:rsidRDefault="00810D53" w:rsidP="00B85FF7">
            <w:pPr>
              <w:spacing w:after="0" w:line="280" w:lineRule="atLeast"/>
              <w:contextualSpacing/>
              <w:rPr>
                <w:szCs w:val="24"/>
              </w:rPr>
            </w:pPr>
          </w:p>
          <w:p w:rsidR="00F10141" w:rsidRPr="00823FED" w:rsidRDefault="00F10141" w:rsidP="00B85FF7">
            <w:pPr>
              <w:spacing w:after="0" w:line="280" w:lineRule="atLeast"/>
              <w:contextualSpacing/>
              <w:rPr>
                <w:szCs w:val="24"/>
              </w:rPr>
            </w:pPr>
            <w:r w:rsidRPr="00823FED">
              <w:rPr>
                <w:i/>
                <w:szCs w:val="24"/>
              </w:rPr>
              <w:t>Main target groups and types of beneficiaries</w:t>
            </w:r>
          </w:p>
          <w:p w:rsidR="00F10141" w:rsidRPr="00823FED" w:rsidRDefault="00F10141" w:rsidP="00B85FF7">
            <w:pPr>
              <w:spacing w:after="0" w:line="280" w:lineRule="atLeast"/>
              <w:contextualSpacing/>
              <w:rPr>
                <w:szCs w:val="24"/>
              </w:rPr>
            </w:pPr>
            <w:r w:rsidRPr="00823FED">
              <w:rPr>
                <w:szCs w:val="24"/>
              </w:rPr>
              <w:t xml:space="preserve">The main target groups to be understood as those individuals and/or organisations positively affected by the activities and results of an operation, though not necessarily being directly involved in the operation. They include private, public and civil sector, such as enterprises, policy makers and planners, organisations dealing with </w:t>
            </w:r>
            <w:r w:rsidR="005824D8" w:rsidRPr="00823FED">
              <w:rPr>
                <w:szCs w:val="24"/>
              </w:rPr>
              <w:t xml:space="preserve">environment and risk prevention </w:t>
            </w:r>
            <w:r w:rsidRPr="00823FED">
              <w:rPr>
                <w:szCs w:val="24"/>
              </w:rPr>
              <w:t>as well as all population groups which are affected by the issue.</w:t>
            </w:r>
          </w:p>
          <w:p w:rsidR="00F10141" w:rsidRPr="00823FED" w:rsidRDefault="00F10141" w:rsidP="00B85FF7">
            <w:pPr>
              <w:spacing w:after="0" w:line="280" w:lineRule="atLeast"/>
              <w:contextualSpacing/>
              <w:rPr>
                <w:szCs w:val="24"/>
              </w:rPr>
            </w:pPr>
            <w:r w:rsidRPr="00823FED">
              <w:rPr>
                <w:szCs w:val="24"/>
              </w:rPr>
              <w:t xml:space="preserve">Beneficiaries to be understood as project partners benefitting from programme funds and implementing activities within the operation are all legal personalities that can contribute to improving </w:t>
            </w:r>
            <w:r w:rsidR="00E54D42" w:rsidRPr="00823FED">
              <w:rPr>
                <w:szCs w:val="24"/>
              </w:rPr>
              <w:t>in the area of natural resources, management systems for risk prevention,</w:t>
            </w:r>
            <w:r w:rsidRPr="00823FED">
              <w:rPr>
                <w:szCs w:val="24"/>
              </w:rPr>
              <w:t xml:space="preserve"> </w:t>
            </w:r>
            <w:r w:rsidR="00E54D42" w:rsidRPr="00823FED">
              <w:rPr>
                <w:szCs w:val="24"/>
              </w:rPr>
              <w:t xml:space="preserve">energy production and energy efficiency </w:t>
            </w:r>
            <w:r w:rsidRPr="00823FED">
              <w:rPr>
                <w:szCs w:val="24"/>
              </w:rPr>
              <w:t>throughout the programme area. They comprise amongst others:</w:t>
            </w:r>
            <w:r w:rsidR="008A7CB8" w:rsidRPr="00823FED">
              <w:rPr>
                <w:szCs w:val="24"/>
              </w:rPr>
              <w:t xml:space="preserve"> </w:t>
            </w:r>
            <w:r w:rsidR="006F449C" w:rsidRPr="00823FED">
              <w:rPr>
                <w:szCs w:val="24"/>
              </w:rPr>
              <w:t>NGO’s, p</w:t>
            </w:r>
            <w:r w:rsidR="008A7CB8" w:rsidRPr="00823FED">
              <w:rPr>
                <w:szCs w:val="24"/>
              </w:rPr>
              <w:t>ublic companies (</w:t>
            </w:r>
            <w:r w:rsidR="006F449C" w:rsidRPr="00823FED">
              <w:rPr>
                <w:szCs w:val="24"/>
              </w:rPr>
              <w:t>e.g.</w:t>
            </w:r>
            <w:r w:rsidR="000F24A7" w:rsidRPr="00823FED">
              <w:rPr>
                <w:szCs w:val="24"/>
              </w:rPr>
              <w:t xml:space="preserve"> water management companies,</w:t>
            </w:r>
            <w:r w:rsidR="008A7CB8" w:rsidRPr="00823FED">
              <w:rPr>
                <w:szCs w:val="24"/>
              </w:rPr>
              <w:t xml:space="preserve"> public electrical companies, etc</w:t>
            </w:r>
            <w:r w:rsidR="005B17B2" w:rsidRPr="00823FED">
              <w:rPr>
                <w:szCs w:val="24"/>
              </w:rPr>
              <w:t>.</w:t>
            </w:r>
            <w:r w:rsidR="008A7CB8" w:rsidRPr="00823FED">
              <w:rPr>
                <w:szCs w:val="24"/>
              </w:rPr>
              <w:t xml:space="preserve">), </w:t>
            </w:r>
            <w:r w:rsidR="006F449C" w:rsidRPr="00823FED">
              <w:rPr>
                <w:szCs w:val="24"/>
              </w:rPr>
              <w:t>p</w:t>
            </w:r>
            <w:r w:rsidR="008A7CB8" w:rsidRPr="00823FED">
              <w:rPr>
                <w:szCs w:val="24"/>
              </w:rPr>
              <w:t xml:space="preserve">ublic energy agencies, </w:t>
            </w:r>
            <w:r w:rsidR="006F449C" w:rsidRPr="00823FED">
              <w:rPr>
                <w:szCs w:val="24"/>
              </w:rPr>
              <w:t>p</w:t>
            </w:r>
            <w:r w:rsidR="008A7CB8" w:rsidRPr="00823FED">
              <w:rPr>
                <w:szCs w:val="24"/>
              </w:rPr>
              <w:t>ublic institutions (</w:t>
            </w:r>
            <w:r w:rsidR="006F449C" w:rsidRPr="00823FED">
              <w:rPr>
                <w:szCs w:val="24"/>
              </w:rPr>
              <w:t>e.g.</w:t>
            </w:r>
            <w:r w:rsidR="008A7CB8" w:rsidRPr="00823FED">
              <w:rPr>
                <w:szCs w:val="24"/>
              </w:rPr>
              <w:t xml:space="preserve"> institutes and other research organisations, development agencies national/regional/local institutions responsible for environment and nature, etc.), </w:t>
            </w:r>
            <w:r w:rsidR="006F449C" w:rsidRPr="00823FED">
              <w:rPr>
                <w:szCs w:val="24"/>
              </w:rPr>
              <w:t>e</w:t>
            </w:r>
            <w:r w:rsidR="008A7CB8" w:rsidRPr="00823FED">
              <w:rPr>
                <w:szCs w:val="24"/>
              </w:rPr>
              <w:t>ducational institutions (for example universities, faculties, open universities, adult education institutions, prima</w:t>
            </w:r>
            <w:r w:rsidR="006F449C" w:rsidRPr="00823FED">
              <w:rPr>
                <w:szCs w:val="24"/>
              </w:rPr>
              <w:t>ry and secondary schools etc.), l</w:t>
            </w:r>
            <w:r w:rsidR="008A7CB8" w:rsidRPr="00823FED">
              <w:rPr>
                <w:szCs w:val="24"/>
              </w:rPr>
              <w:t xml:space="preserve">ocal and regional authorities, </w:t>
            </w:r>
            <w:r w:rsidR="006F449C" w:rsidRPr="00823FED">
              <w:rPr>
                <w:szCs w:val="24"/>
              </w:rPr>
              <w:t>b</w:t>
            </w:r>
            <w:r w:rsidR="008A7CB8" w:rsidRPr="00823FED">
              <w:rPr>
                <w:szCs w:val="24"/>
              </w:rPr>
              <w:t>usiness supporting institutions, etc.</w:t>
            </w:r>
          </w:p>
          <w:p w:rsidR="00F10141" w:rsidRPr="00823FED" w:rsidRDefault="00F10141" w:rsidP="00B85FF7">
            <w:pPr>
              <w:spacing w:after="0" w:line="280" w:lineRule="atLeast"/>
              <w:contextualSpacing/>
              <w:rPr>
                <w:szCs w:val="24"/>
              </w:rPr>
            </w:pPr>
          </w:p>
          <w:p w:rsidR="00F10141" w:rsidRPr="00823FED" w:rsidRDefault="00F10141" w:rsidP="00B85FF7">
            <w:pPr>
              <w:spacing w:after="0" w:line="280" w:lineRule="atLeast"/>
              <w:contextualSpacing/>
              <w:rPr>
                <w:i/>
                <w:szCs w:val="24"/>
              </w:rPr>
            </w:pPr>
            <w:r w:rsidRPr="00823FED">
              <w:rPr>
                <w:i/>
                <w:szCs w:val="24"/>
              </w:rPr>
              <w:t>Specific territories targeted</w:t>
            </w:r>
          </w:p>
          <w:p w:rsidR="00F10141" w:rsidRPr="00823FED" w:rsidRDefault="00F10141" w:rsidP="00B85FF7">
            <w:pPr>
              <w:spacing w:after="0" w:line="280" w:lineRule="atLeast"/>
              <w:contextualSpacing/>
              <w:rPr>
                <w:szCs w:val="24"/>
              </w:rPr>
            </w:pPr>
            <w:r w:rsidRPr="00823FED">
              <w:rPr>
                <w:szCs w:val="24"/>
              </w:rPr>
              <w:t xml:space="preserve">Taking into account that common potentials and challenges have been identified </w:t>
            </w:r>
            <w:r w:rsidRPr="00823FED">
              <w:rPr>
                <w:szCs w:val="24"/>
              </w:rPr>
              <w:lastRenderedPageBreak/>
              <w:t xml:space="preserve">throughout the whole programme area, no specific territories will be targeted under the Priority axes </w:t>
            </w:r>
            <w:r w:rsidR="0037347F" w:rsidRPr="00823FED">
              <w:rPr>
                <w:szCs w:val="24"/>
              </w:rPr>
              <w:t>2</w:t>
            </w:r>
            <w:r w:rsidRPr="00823FED">
              <w:rPr>
                <w:szCs w:val="24"/>
              </w:rPr>
              <w:t xml:space="preserve">. </w:t>
            </w:r>
          </w:p>
          <w:p w:rsidR="00F10141" w:rsidRPr="00823FED" w:rsidRDefault="00F10141" w:rsidP="0070516B">
            <w:pPr>
              <w:spacing w:after="0" w:line="280" w:lineRule="atLeast"/>
              <w:contextualSpacing/>
              <w:rPr>
                <w:szCs w:val="24"/>
              </w:rPr>
            </w:pPr>
            <w:r w:rsidRPr="00823FED">
              <w:rPr>
                <w:szCs w:val="24"/>
              </w:rPr>
              <w:t>Therefore, the supported actions can be implemented throughout the whole programme area.</w:t>
            </w:r>
          </w:p>
        </w:tc>
      </w:tr>
    </w:tbl>
    <w:p w:rsidR="009136B8" w:rsidRDefault="009136B8" w:rsidP="00D461FD">
      <w:pPr>
        <w:keepNext/>
        <w:spacing w:after="240"/>
        <w:outlineLvl w:val="2"/>
        <w:rPr>
          <w:rFonts w:eastAsia="Times New Roman"/>
          <w:b/>
          <w:i/>
        </w:rPr>
      </w:pPr>
    </w:p>
    <w:p w:rsidR="00F10141" w:rsidRDefault="00F10141" w:rsidP="00D461FD">
      <w:pPr>
        <w:keepNext/>
        <w:spacing w:after="240"/>
        <w:outlineLvl w:val="2"/>
        <w:rPr>
          <w:rFonts w:eastAsia="Times New Roman"/>
          <w:b/>
          <w:i/>
        </w:rPr>
      </w:pPr>
      <w:r>
        <w:rPr>
          <w:rFonts w:eastAsia="Times New Roman"/>
          <w:b/>
          <w:i/>
        </w:rPr>
        <w:t>2.</w:t>
      </w:r>
      <w:r w:rsidR="008A7F7E">
        <w:rPr>
          <w:rFonts w:eastAsia="Times New Roman"/>
          <w:b/>
          <w:i/>
        </w:rPr>
        <w:t>2</w:t>
      </w:r>
      <w:r w:rsidRPr="00B76110">
        <w:rPr>
          <w:rFonts w:eastAsia="Times New Roman"/>
          <w:b/>
          <w:i/>
        </w:rPr>
        <w:t>.</w:t>
      </w:r>
      <w:r>
        <w:rPr>
          <w:rFonts w:eastAsia="Times New Roman"/>
          <w:b/>
          <w:i/>
        </w:rPr>
        <w:t>5</w:t>
      </w:r>
      <w:r w:rsidRPr="00B76110">
        <w:rPr>
          <w:rFonts w:eastAsia="Times New Roman"/>
          <w:b/>
          <w:i/>
        </w:rPr>
        <w:t>.2.</w:t>
      </w:r>
      <w:r>
        <w:rPr>
          <w:rFonts w:eastAsia="Times New Roman"/>
          <w:b/>
          <w:i/>
        </w:rPr>
        <w:t xml:space="preserve"> G</w:t>
      </w:r>
      <w:r w:rsidRPr="00B76110">
        <w:rPr>
          <w:rFonts w:eastAsia="Times New Roman"/>
          <w:b/>
          <w:i/>
        </w:rPr>
        <w:t>uiding principles for</w:t>
      </w:r>
      <w:r>
        <w:rPr>
          <w:rFonts w:eastAsia="Times New Roman"/>
          <w:b/>
          <w:i/>
        </w:rPr>
        <w:t xml:space="preserve"> </w:t>
      </w:r>
      <w:r w:rsidRPr="00B76110">
        <w:rPr>
          <w:rFonts w:eastAsia="Times New Roman"/>
          <w:b/>
          <w:i/>
        </w:rPr>
        <w:t xml:space="preserve">the selection of operations </w:t>
      </w:r>
    </w:p>
    <w:p w:rsidR="00F10141" w:rsidRPr="00567F19" w:rsidRDefault="00F10141" w:rsidP="00F10141">
      <w:r w:rsidRPr="00567F19">
        <w:t xml:space="preserve">(Reference: </w:t>
      </w:r>
      <w:r>
        <w:t xml:space="preserve">point (b) (iii)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F10141" w:rsidRPr="00682003" w:rsidTr="00B85FF7">
        <w:trPr>
          <w:trHeight w:val="518"/>
        </w:trPr>
        <w:tc>
          <w:tcPr>
            <w:tcW w:w="2235" w:type="dxa"/>
            <w:shd w:val="clear" w:color="auto" w:fill="auto"/>
          </w:tcPr>
          <w:p w:rsidR="00F10141" w:rsidRPr="00682003" w:rsidRDefault="00F10141" w:rsidP="00B85FF7">
            <w:pPr>
              <w:spacing w:after="0"/>
              <w:rPr>
                <w:rFonts w:eastAsia="Times New Roman"/>
                <w:i/>
                <w:color w:val="8DB3E2"/>
                <w:szCs w:val="24"/>
              </w:rPr>
            </w:pPr>
            <w:r w:rsidRPr="00682003">
              <w:rPr>
                <w:rFonts w:eastAsia="Times New Roman"/>
                <w:i/>
                <w:szCs w:val="24"/>
              </w:rPr>
              <w:t>Thematic priority</w:t>
            </w:r>
          </w:p>
        </w:tc>
        <w:tc>
          <w:tcPr>
            <w:tcW w:w="6443" w:type="dxa"/>
            <w:shd w:val="clear" w:color="auto" w:fill="auto"/>
          </w:tcPr>
          <w:p w:rsidR="00F10141" w:rsidRPr="00682003" w:rsidRDefault="00F10141" w:rsidP="00682003">
            <w:pPr>
              <w:spacing w:after="0"/>
              <w:rPr>
                <w:rFonts w:eastAsia="Times New Roman"/>
                <w:szCs w:val="24"/>
              </w:rPr>
            </w:pPr>
            <w:r w:rsidRPr="00682003">
              <w:rPr>
                <w:rFonts w:eastAsia="Times New Roman"/>
                <w:szCs w:val="24"/>
              </w:rPr>
              <w:t xml:space="preserve">TP </w:t>
            </w:r>
            <w:r w:rsidR="00C475A0" w:rsidRPr="00682003">
              <w:rPr>
                <w:rFonts w:eastAsia="Times New Roman"/>
                <w:szCs w:val="24"/>
              </w:rPr>
              <w:t>2</w:t>
            </w:r>
            <w:r w:rsidRPr="00682003">
              <w:rPr>
                <w:rFonts w:eastAsia="Times New Roman"/>
                <w:szCs w:val="24"/>
              </w:rPr>
              <w:t xml:space="preserve"> </w:t>
            </w:r>
            <w:r w:rsidR="004C2A1D" w:rsidRPr="00682003">
              <w:rPr>
                <w:rFonts w:eastAsia="Times New Roman"/>
                <w:szCs w:val="24"/>
              </w:rPr>
              <w:t xml:space="preserve">Environment, </w:t>
            </w:r>
            <w:r w:rsidR="00682003" w:rsidRPr="00682003">
              <w:rPr>
                <w:rFonts w:eastAsia="Times New Roman"/>
                <w:szCs w:val="24"/>
              </w:rPr>
              <w:t>nature</w:t>
            </w:r>
            <w:r w:rsidR="004C2A1D" w:rsidRPr="00682003">
              <w:rPr>
                <w:rFonts w:eastAsia="Times New Roman"/>
                <w:szCs w:val="24"/>
              </w:rPr>
              <w:t>, risk prevention, sustainable energy  and energy efficiency</w:t>
            </w:r>
          </w:p>
        </w:tc>
      </w:tr>
      <w:tr w:rsidR="00F10141" w:rsidRPr="00682003" w:rsidTr="00B85FF7">
        <w:trPr>
          <w:trHeight w:val="1088"/>
        </w:trPr>
        <w:tc>
          <w:tcPr>
            <w:tcW w:w="8678" w:type="dxa"/>
            <w:gridSpan w:val="2"/>
            <w:shd w:val="clear" w:color="auto" w:fill="auto"/>
          </w:tcPr>
          <w:p w:rsidR="00F10141" w:rsidRPr="00682003" w:rsidRDefault="00682003" w:rsidP="00274FD1">
            <w:pPr>
              <w:spacing w:after="0"/>
              <w:rPr>
                <w:rFonts w:eastAsia="Times New Roman"/>
                <w:szCs w:val="24"/>
              </w:rPr>
            </w:pPr>
            <w:r w:rsidRPr="00682003">
              <w:rPr>
                <w:szCs w:val="24"/>
              </w:rPr>
              <w:t xml:space="preserve">The selection of operations will be carried out following the guiding principles and the methodological framework as outlined in Section </w:t>
            </w:r>
            <w:r w:rsidR="00A57B52">
              <w:rPr>
                <w:szCs w:val="24"/>
              </w:rPr>
              <w:t>2.1</w:t>
            </w:r>
            <w:r w:rsidRPr="00682003">
              <w:rPr>
                <w:szCs w:val="24"/>
              </w:rPr>
              <w:t>.5.2. referring to Priority axis 1.</w:t>
            </w:r>
          </w:p>
        </w:tc>
      </w:tr>
    </w:tbl>
    <w:p w:rsidR="003D47A4" w:rsidRDefault="003D47A4" w:rsidP="00F10141">
      <w:pPr>
        <w:rPr>
          <w:rFonts w:eastAsia="Times New Roman"/>
          <w:b/>
          <w:i/>
        </w:rPr>
      </w:pPr>
    </w:p>
    <w:p w:rsidR="009136B8" w:rsidRDefault="009136B8" w:rsidP="00F10141">
      <w:pPr>
        <w:rPr>
          <w:rFonts w:eastAsia="Times New Roman"/>
          <w:b/>
          <w:i/>
        </w:rPr>
      </w:pPr>
    </w:p>
    <w:p w:rsidR="00F10141" w:rsidRDefault="00F10141" w:rsidP="00F10141">
      <w:r>
        <w:rPr>
          <w:rFonts w:eastAsia="Times New Roman"/>
          <w:b/>
          <w:i/>
        </w:rPr>
        <w:t>2.</w:t>
      </w:r>
      <w:r w:rsidR="008A7F7E">
        <w:rPr>
          <w:rFonts w:eastAsia="Times New Roman"/>
          <w:b/>
          <w:i/>
        </w:rPr>
        <w:t>2</w:t>
      </w:r>
      <w:r w:rsidRPr="00B76110">
        <w:rPr>
          <w:rFonts w:eastAsia="Times New Roman"/>
          <w:b/>
          <w:i/>
        </w:rPr>
        <w:t>.</w:t>
      </w:r>
      <w:r>
        <w:rPr>
          <w:rFonts w:eastAsia="Times New Roman"/>
          <w:b/>
          <w:i/>
        </w:rPr>
        <w:t>5</w:t>
      </w:r>
      <w:r w:rsidRPr="00B76110">
        <w:rPr>
          <w:rFonts w:eastAsia="Times New Roman"/>
          <w:b/>
          <w:i/>
        </w:rPr>
        <w:t xml:space="preserve">.3. </w:t>
      </w:r>
      <w:r>
        <w:rPr>
          <w:rFonts w:eastAsia="Times New Roman"/>
          <w:b/>
          <w:i/>
        </w:rPr>
        <w:t>P</w:t>
      </w:r>
      <w:r w:rsidRPr="00B76110">
        <w:rPr>
          <w:rFonts w:eastAsia="Times New Roman"/>
          <w:b/>
          <w:i/>
        </w:rPr>
        <w:t xml:space="preserve">lanned use of financial instruments </w:t>
      </w:r>
      <w:r>
        <w:t xml:space="preserve">(where appropriate) </w:t>
      </w:r>
    </w:p>
    <w:p w:rsidR="00F10141" w:rsidRPr="00567F19" w:rsidRDefault="00F10141" w:rsidP="00F10141">
      <w:r w:rsidRPr="00567F19">
        <w:t xml:space="preserve">(Reference: </w:t>
      </w:r>
      <w:r>
        <w:t xml:space="preserve">point (b) (iii)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F10141" w:rsidRPr="00B76110" w:rsidTr="00B85FF7">
        <w:trPr>
          <w:trHeight w:val="518"/>
        </w:trPr>
        <w:tc>
          <w:tcPr>
            <w:tcW w:w="4339" w:type="dxa"/>
            <w:shd w:val="clear" w:color="auto" w:fill="auto"/>
          </w:tcPr>
          <w:p w:rsidR="00F10141" w:rsidRPr="00B76110" w:rsidRDefault="00F10141" w:rsidP="00B85FF7">
            <w:pPr>
              <w:spacing w:after="240"/>
              <w:rPr>
                <w:rFonts w:eastAsia="Times New Roman"/>
                <w:i/>
                <w:color w:val="8DB3E2"/>
                <w:sz w:val="18"/>
                <w:szCs w:val="18"/>
              </w:rPr>
            </w:pPr>
            <w:r>
              <w:rPr>
                <w:rFonts w:eastAsia="Times New Roman"/>
                <w:i/>
              </w:rPr>
              <w:t>Thematic</w:t>
            </w:r>
            <w:r w:rsidRPr="00B76110">
              <w:rPr>
                <w:rFonts w:eastAsia="Times New Roman"/>
                <w:i/>
              </w:rPr>
              <w:t xml:space="preserve"> </w:t>
            </w:r>
            <w:r>
              <w:rPr>
                <w:rFonts w:eastAsia="Times New Roman"/>
                <w:i/>
              </w:rPr>
              <w:t>p</w:t>
            </w:r>
            <w:r w:rsidRPr="00B76110">
              <w:rPr>
                <w:rFonts w:eastAsia="Times New Roman"/>
                <w:i/>
              </w:rPr>
              <w:t>riority</w:t>
            </w:r>
          </w:p>
        </w:tc>
        <w:tc>
          <w:tcPr>
            <w:tcW w:w="4339" w:type="dxa"/>
            <w:shd w:val="clear" w:color="auto" w:fill="auto"/>
          </w:tcPr>
          <w:p w:rsidR="00F10141" w:rsidRPr="004C25B4" w:rsidRDefault="00F10141" w:rsidP="00682003">
            <w:pPr>
              <w:rPr>
                <w:szCs w:val="24"/>
              </w:rPr>
            </w:pPr>
            <w:r>
              <w:rPr>
                <w:rFonts w:eastAsia="Times New Roman"/>
                <w:szCs w:val="24"/>
              </w:rPr>
              <w:t xml:space="preserve">TP </w:t>
            </w:r>
            <w:r w:rsidR="00DB2F5F">
              <w:rPr>
                <w:rFonts w:eastAsia="Times New Roman"/>
                <w:szCs w:val="24"/>
              </w:rPr>
              <w:t>2</w:t>
            </w:r>
            <w:r>
              <w:rPr>
                <w:rFonts w:eastAsia="Times New Roman"/>
                <w:szCs w:val="24"/>
              </w:rPr>
              <w:t xml:space="preserve"> </w:t>
            </w:r>
            <w:r w:rsidR="004C25B4" w:rsidRPr="00CF63D8">
              <w:rPr>
                <w:szCs w:val="24"/>
              </w:rPr>
              <w:t xml:space="preserve">Environment, </w:t>
            </w:r>
            <w:r w:rsidR="00682003">
              <w:rPr>
                <w:szCs w:val="24"/>
              </w:rPr>
              <w:t>nature</w:t>
            </w:r>
            <w:r w:rsidR="004C25B4" w:rsidRPr="00CF63D8">
              <w:rPr>
                <w:szCs w:val="24"/>
              </w:rPr>
              <w:t xml:space="preserve">, </w:t>
            </w:r>
            <w:r w:rsidR="004C25B4">
              <w:rPr>
                <w:szCs w:val="24"/>
              </w:rPr>
              <w:t>r</w:t>
            </w:r>
            <w:r w:rsidR="004C25B4" w:rsidRPr="00CF63D8">
              <w:rPr>
                <w:szCs w:val="24"/>
              </w:rPr>
              <w:t xml:space="preserve">isk </w:t>
            </w:r>
            <w:r w:rsidR="004C25B4">
              <w:rPr>
                <w:szCs w:val="24"/>
              </w:rPr>
              <w:t>p</w:t>
            </w:r>
            <w:r w:rsidR="004C25B4" w:rsidRPr="00CF63D8">
              <w:rPr>
                <w:szCs w:val="24"/>
              </w:rPr>
              <w:t xml:space="preserve">revention, </w:t>
            </w:r>
            <w:r w:rsidR="004C25B4">
              <w:rPr>
                <w:szCs w:val="24"/>
              </w:rPr>
              <w:t>s</w:t>
            </w:r>
            <w:r w:rsidR="004C25B4" w:rsidRPr="00CF63D8">
              <w:rPr>
                <w:szCs w:val="24"/>
              </w:rPr>
              <w:t xml:space="preserve">ustainable </w:t>
            </w:r>
            <w:r w:rsidR="004C25B4">
              <w:rPr>
                <w:szCs w:val="24"/>
              </w:rPr>
              <w:t>e</w:t>
            </w:r>
            <w:r w:rsidR="004C25B4" w:rsidRPr="00CF63D8">
              <w:rPr>
                <w:szCs w:val="24"/>
              </w:rPr>
              <w:t xml:space="preserve">nergy  and </w:t>
            </w:r>
            <w:r w:rsidR="004C25B4">
              <w:rPr>
                <w:szCs w:val="24"/>
              </w:rPr>
              <w:t>e</w:t>
            </w:r>
            <w:r w:rsidR="004C25B4" w:rsidRPr="00CF63D8">
              <w:rPr>
                <w:szCs w:val="24"/>
              </w:rPr>
              <w:t xml:space="preserve">nergy </w:t>
            </w:r>
            <w:r w:rsidR="004C25B4">
              <w:rPr>
                <w:szCs w:val="24"/>
              </w:rPr>
              <w:t>e</w:t>
            </w:r>
            <w:r w:rsidR="004C25B4" w:rsidRPr="00CF63D8">
              <w:rPr>
                <w:szCs w:val="24"/>
              </w:rPr>
              <w:t>fficiency</w:t>
            </w:r>
          </w:p>
        </w:tc>
      </w:tr>
      <w:tr w:rsidR="00F10141" w:rsidRPr="00B76110" w:rsidTr="00B85FF7">
        <w:trPr>
          <w:trHeight w:val="379"/>
        </w:trPr>
        <w:tc>
          <w:tcPr>
            <w:tcW w:w="4339" w:type="dxa"/>
            <w:shd w:val="clear" w:color="auto" w:fill="auto"/>
          </w:tcPr>
          <w:p w:rsidR="00F10141" w:rsidRPr="00B76110" w:rsidRDefault="00F10141" w:rsidP="00B85FF7">
            <w:pPr>
              <w:spacing w:after="240"/>
              <w:rPr>
                <w:rFonts w:eastAsia="Times New Roman"/>
                <w:i/>
                <w:color w:val="8DB3E2"/>
                <w:sz w:val="18"/>
                <w:szCs w:val="18"/>
              </w:rPr>
            </w:pPr>
            <w:r w:rsidRPr="00B76110">
              <w:rPr>
                <w:rFonts w:eastAsia="Times New Roman"/>
                <w:i/>
              </w:rPr>
              <w:t>Planned use of financial instruments</w:t>
            </w:r>
          </w:p>
        </w:tc>
        <w:tc>
          <w:tcPr>
            <w:tcW w:w="4339" w:type="dxa"/>
            <w:shd w:val="clear" w:color="auto" w:fill="auto"/>
          </w:tcPr>
          <w:p w:rsidR="00F10141" w:rsidRPr="00DE0643" w:rsidRDefault="00F10141" w:rsidP="00B85FF7">
            <w:pPr>
              <w:spacing w:after="240"/>
              <w:rPr>
                <w:rFonts w:eastAsia="Times New Roman"/>
                <w:color w:val="8DB3E2"/>
                <w:szCs w:val="24"/>
              </w:rPr>
            </w:pPr>
            <w:r>
              <w:rPr>
                <w:rFonts w:eastAsia="Times New Roman"/>
                <w:szCs w:val="24"/>
              </w:rPr>
              <w:t>N/A</w:t>
            </w:r>
          </w:p>
        </w:tc>
      </w:tr>
      <w:tr w:rsidR="00F10141" w:rsidRPr="00B76110" w:rsidTr="00B85FF7">
        <w:trPr>
          <w:trHeight w:val="476"/>
        </w:trPr>
        <w:tc>
          <w:tcPr>
            <w:tcW w:w="8678" w:type="dxa"/>
            <w:gridSpan w:val="2"/>
            <w:shd w:val="clear" w:color="auto" w:fill="auto"/>
          </w:tcPr>
          <w:p w:rsidR="00F10141" w:rsidRPr="0041684A" w:rsidRDefault="00F10141" w:rsidP="00B85FF7">
            <w:pPr>
              <w:spacing w:after="0"/>
              <w:rPr>
                <w:rFonts w:eastAsia="Times New Roman"/>
                <w:szCs w:val="24"/>
              </w:rPr>
            </w:pPr>
            <w:r w:rsidRPr="00400D63">
              <w:rPr>
                <w:rFonts w:eastAsia="Times New Roman"/>
                <w:szCs w:val="24"/>
              </w:rPr>
              <w:t>N/A</w:t>
            </w:r>
          </w:p>
        </w:tc>
      </w:tr>
    </w:tbl>
    <w:p w:rsidR="00F10141" w:rsidRDefault="00F10141" w:rsidP="00F10141">
      <w:pPr>
        <w:keepNext/>
        <w:spacing w:after="240"/>
        <w:ind w:left="851" w:hanging="851"/>
        <w:outlineLvl w:val="2"/>
        <w:rPr>
          <w:rFonts w:eastAsia="Times New Roman"/>
          <w:b/>
          <w:i/>
        </w:rPr>
      </w:pPr>
    </w:p>
    <w:p w:rsidR="00F10141" w:rsidRPr="00B76110" w:rsidRDefault="00F10141" w:rsidP="00F10141">
      <w:pPr>
        <w:tabs>
          <w:tab w:val="left" w:pos="720"/>
        </w:tabs>
        <w:rPr>
          <w:rFonts w:eastAsia="Times New Roman"/>
          <w:b/>
        </w:rPr>
        <w:sectPr w:rsidR="00F10141" w:rsidRPr="00B76110" w:rsidSect="006A4BDD">
          <w:headerReference w:type="default" r:id="rId23"/>
          <w:footerReference w:type="default" r:id="rId24"/>
          <w:headerReference w:type="first" r:id="rId25"/>
          <w:footerReference w:type="first" r:id="rId26"/>
          <w:pgSz w:w="11906" w:h="16838"/>
          <w:pgMar w:top="1021" w:right="1418" w:bottom="1021" w:left="1418" w:header="601" w:footer="1077" w:gutter="0"/>
          <w:cols w:space="720"/>
          <w:docGrid w:linePitch="326"/>
        </w:sectPr>
      </w:pPr>
    </w:p>
    <w:p w:rsidR="00F10141" w:rsidRDefault="00F10141" w:rsidP="00F10141">
      <w:pPr>
        <w:rPr>
          <w:b/>
        </w:rPr>
      </w:pPr>
      <w:r>
        <w:rPr>
          <w:b/>
        </w:rPr>
        <w:lastRenderedPageBreak/>
        <w:t>2.</w:t>
      </w:r>
      <w:r w:rsidR="008A7F7E">
        <w:rPr>
          <w:b/>
        </w:rPr>
        <w:t>2</w:t>
      </w:r>
      <w:r>
        <w:rPr>
          <w:b/>
        </w:rPr>
        <w:t xml:space="preserve">.6 Common and programme specific indicators </w:t>
      </w:r>
    </w:p>
    <w:p w:rsidR="00F10141" w:rsidRPr="00567F19" w:rsidRDefault="00F10141" w:rsidP="00F10141">
      <w:r w:rsidRPr="00567F19">
        <w:t>(</w:t>
      </w:r>
      <w:r w:rsidRPr="00FE0561">
        <w:t xml:space="preserve">Reference: point (b)(ii) </w:t>
      </w:r>
      <w:r>
        <w:t>and (b)</w:t>
      </w:r>
      <w:r w:rsidRPr="00EC0786">
        <w:t xml:space="preserve">(iv) </w:t>
      </w:r>
      <w:r w:rsidRPr="00FE0561">
        <w:t>of Article 8(2) of Regulation (EU) No 1299/2013</w:t>
      </w:r>
      <w:r>
        <w:t xml:space="preserve"> and Article 2(2) of IPA II Implementing Regulation</w:t>
      </w:r>
      <w:r w:rsidRPr="00567F19">
        <w:t>)</w:t>
      </w:r>
    </w:p>
    <w:p w:rsidR="00F10141" w:rsidRDefault="00F10141" w:rsidP="00F10141">
      <w:pPr>
        <w:rPr>
          <w:b/>
          <w:i/>
        </w:rPr>
      </w:pPr>
    </w:p>
    <w:p w:rsidR="00F10141" w:rsidRPr="00A366E4" w:rsidRDefault="00F10141" w:rsidP="00F10141">
      <w:pPr>
        <w:rPr>
          <w:b/>
          <w:i/>
        </w:rPr>
      </w:pPr>
      <w:r w:rsidRPr="00A366E4">
        <w:rPr>
          <w:b/>
          <w:i/>
        </w:rPr>
        <w:t>2.</w:t>
      </w:r>
      <w:r w:rsidR="008A7F7E">
        <w:rPr>
          <w:b/>
          <w:i/>
        </w:rPr>
        <w:t>2</w:t>
      </w:r>
      <w:r w:rsidRPr="00A366E4">
        <w:rPr>
          <w:b/>
          <w:i/>
        </w:rPr>
        <w:t xml:space="preserve">.6.1 Priority axis </w:t>
      </w:r>
      <w:r>
        <w:rPr>
          <w:b/>
          <w:i/>
        </w:rPr>
        <w:t>result</w:t>
      </w:r>
      <w:r w:rsidRPr="00A366E4">
        <w:rPr>
          <w:b/>
          <w:i/>
        </w:rPr>
        <w:t xml:space="preserve"> indicators (programme specific)</w:t>
      </w:r>
    </w:p>
    <w:p w:rsidR="00F10141" w:rsidRDefault="00F10141" w:rsidP="00F10141">
      <w:r w:rsidRPr="00567F19">
        <w:rPr>
          <w:b/>
        </w:rPr>
        <w:t>Table 3: Programme specific result indicators</w:t>
      </w:r>
      <w:r w:rsidRPr="00B76110">
        <w:t xml:space="preserve"> </w:t>
      </w:r>
    </w:p>
    <w:tbl>
      <w:tblPr>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2178"/>
        <w:gridCol w:w="2019"/>
        <w:gridCol w:w="1674"/>
        <w:gridCol w:w="1397"/>
        <w:gridCol w:w="2123"/>
        <w:gridCol w:w="1698"/>
        <w:gridCol w:w="1277"/>
      </w:tblGrid>
      <w:tr w:rsidR="00F10141" w:rsidRPr="00B76110" w:rsidTr="00DA1612">
        <w:trPr>
          <w:trHeight w:val="531"/>
        </w:trPr>
        <w:tc>
          <w:tcPr>
            <w:tcW w:w="486" w:type="pct"/>
            <w:tcBorders>
              <w:top w:val="single" w:sz="4" w:space="0" w:color="auto"/>
              <w:left w:val="single" w:sz="4" w:space="0" w:color="auto"/>
              <w:bottom w:val="single" w:sz="4" w:space="0" w:color="auto"/>
              <w:right w:val="single" w:sz="4" w:space="0" w:color="auto"/>
            </w:tcBorders>
          </w:tcPr>
          <w:p w:rsidR="00F10141" w:rsidRPr="00B76110" w:rsidRDefault="00F10141" w:rsidP="00B85FF7">
            <w:pPr>
              <w:tabs>
                <w:tab w:val="left" w:pos="720"/>
              </w:tabs>
              <w:rPr>
                <w:rFonts w:eastAsia="Times New Roman"/>
                <w:b/>
                <w:sz w:val="18"/>
                <w:szCs w:val="18"/>
              </w:rPr>
            </w:pPr>
            <w:r w:rsidRPr="00B76110">
              <w:rPr>
                <w:rFonts w:eastAsia="Times New Roman"/>
                <w:b/>
                <w:sz w:val="18"/>
                <w:szCs w:val="18"/>
              </w:rPr>
              <w:t>ID</w:t>
            </w:r>
          </w:p>
        </w:tc>
        <w:tc>
          <w:tcPr>
            <w:tcW w:w="795" w:type="pct"/>
            <w:tcBorders>
              <w:top w:val="single" w:sz="4" w:space="0" w:color="auto"/>
              <w:left w:val="single" w:sz="4" w:space="0" w:color="auto"/>
              <w:bottom w:val="single" w:sz="4" w:space="0" w:color="auto"/>
              <w:right w:val="single" w:sz="4" w:space="0" w:color="auto"/>
            </w:tcBorders>
            <w:hideMark/>
          </w:tcPr>
          <w:p w:rsidR="00F10141" w:rsidRPr="00B76110" w:rsidRDefault="00F10141" w:rsidP="00B85FF7">
            <w:pPr>
              <w:tabs>
                <w:tab w:val="left" w:pos="720"/>
              </w:tabs>
              <w:rPr>
                <w:rFonts w:eastAsia="Times New Roman"/>
                <w:b/>
                <w:sz w:val="18"/>
                <w:szCs w:val="18"/>
              </w:rPr>
            </w:pPr>
            <w:r w:rsidRPr="00B76110">
              <w:rPr>
                <w:rFonts w:eastAsia="Times New Roman"/>
                <w:b/>
                <w:sz w:val="18"/>
                <w:szCs w:val="18"/>
              </w:rPr>
              <w:t xml:space="preserve">Indicator </w:t>
            </w:r>
          </w:p>
        </w:tc>
        <w:tc>
          <w:tcPr>
            <w:tcW w:w="737" w:type="pct"/>
            <w:tcBorders>
              <w:top w:val="single" w:sz="4" w:space="0" w:color="auto"/>
              <w:left w:val="single" w:sz="4" w:space="0" w:color="auto"/>
              <w:bottom w:val="single" w:sz="4" w:space="0" w:color="auto"/>
              <w:right w:val="single" w:sz="4" w:space="0" w:color="auto"/>
            </w:tcBorders>
            <w:hideMark/>
          </w:tcPr>
          <w:p w:rsidR="00F10141" w:rsidRPr="00B76110" w:rsidRDefault="00F10141" w:rsidP="00B85FF7">
            <w:pPr>
              <w:snapToGrid w:val="0"/>
              <w:rPr>
                <w:rFonts w:eastAsia="Times New Roman"/>
                <w:b/>
                <w:sz w:val="18"/>
                <w:szCs w:val="18"/>
              </w:rPr>
            </w:pPr>
            <w:r w:rsidRPr="00B76110">
              <w:rPr>
                <w:rFonts w:eastAsia="Times New Roman"/>
                <w:b/>
                <w:sz w:val="18"/>
                <w:szCs w:val="18"/>
              </w:rPr>
              <w:t xml:space="preserve">Measurement </w:t>
            </w:r>
            <w:r>
              <w:rPr>
                <w:rFonts w:eastAsia="Times New Roman"/>
                <w:b/>
                <w:sz w:val="18"/>
                <w:szCs w:val="18"/>
              </w:rPr>
              <w:t>u</w:t>
            </w:r>
            <w:r w:rsidRPr="00B76110">
              <w:rPr>
                <w:rFonts w:eastAsia="Times New Roman"/>
                <w:b/>
                <w:sz w:val="18"/>
                <w:szCs w:val="18"/>
              </w:rPr>
              <w:t>nit</w:t>
            </w:r>
          </w:p>
        </w:tc>
        <w:tc>
          <w:tcPr>
            <w:tcW w:w="611" w:type="pct"/>
            <w:tcBorders>
              <w:top w:val="single" w:sz="4" w:space="0" w:color="auto"/>
              <w:left w:val="single" w:sz="4" w:space="0" w:color="auto"/>
              <w:bottom w:val="single" w:sz="4" w:space="0" w:color="auto"/>
              <w:right w:val="single" w:sz="4" w:space="0" w:color="auto"/>
            </w:tcBorders>
            <w:hideMark/>
          </w:tcPr>
          <w:p w:rsidR="00F10141" w:rsidRPr="00B76110" w:rsidRDefault="00F10141" w:rsidP="00B85FF7">
            <w:pPr>
              <w:tabs>
                <w:tab w:val="left" w:pos="720"/>
              </w:tabs>
              <w:rPr>
                <w:rFonts w:eastAsia="Times New Roman"/>
                <w:b/>
                <w:sz w:val="18"/>
                <w:szCs w:val="18"/>
              </w:rPr>
            </w:pPr>
            <w:r w:rsidRPr="00B76110">
              <w:rPr>
                <w:rFonts w:eastAsia="Times New Roman"/>
                <w:b/>
                <w:sz w:val="18"/>
                <w:szCs w:val="18"/>
              </w:rPr>
              <w:t xml:space="preserve">Baseline </w:t>
            </w:r>
            <w:r>
              <w:rPr>
                <w:rFonts w:eastAsia="Times New Roman"/>
                <w:b/>
                <w:sz w:val="18"/>
                <w:szCs w:val="18"/>
              </w:rPr>
              <w:t>v</w:t>
            </w:r>
            <w:r w:rsidRPr="00B76110">
              <w:rPr>
                <w:rFonts w:eastAsia="Times New Roman"/>
                <w:b/>
                <w:sz w:val="18"/>
                <w:szCs w:val="18"/>
              </w:rPr>
              <w:t xml:space="preserve">alue </w:t>
            </w:r>
          </w:p>
        </w:tc>
        <w:tc>
          <w:tcPr>
            <w:tcW w:w="510" w:type="pct"/>
            <w:tcBorders>
              <w:top w:val="single" w:sz="4" w:space="0" w:color="auto"/>
              <w:left w:val="single" w:sz="4" w:space="0" w:color="auto"/>
              <w:bottom w:val="single" w:sz="4" w:space="0" w:color="auto"/>
              <w:right w:val="single" w:sz="4" w:space="0" w:color="auto"/>
            </w:tcBorders>
            <w:hideMark/>
          </w:tcPr>
          <w:p w:rsidR="00F10141" w:rsidRPr="00B76110" w:rsidRDefault="00F10141" w:rsidP="00B85FF7">
            <w:pPr>
              <w:snapToGrid w:val="0"/>
              <w:rPr>
                <w:rFonts w:eastAsia="Times New Roman"/>
                <w:b/>
                <w:sz w:val="18"/>
                <w:szCs w:val="18"/>
              </w:rPr>
            </w:pPr>
            <w:r w:rsidRPr="00B76110">
              <w:rPr>
                <w:rFonts w:eastAsia="Times New Roman"/>
                <w:b/>
                <w:sz w:val="18"/>
                <w:szCs w:val="18"/>
              </w:rPr>
              <w:t xml:space="preserve">Baseline </w:t>
            </w:r>
            <w:r>
              <w:rPr>
                <w:rFonts w:eastAsia="Times New Roman"/>
                <w:b/>
                <w:sz w:val="18"/>
                <w:szCs w:val="18"/>
              </w:rPr>
              <w:t>y</w:t>
            </w:r>
            <w:r w:rsidRPr="00B76110">
              <w:rPr>
                <w:rFonts w:eastAsia="Times New Roman"/>
                <w:b/>
                <w:sz w:val="18"/>
                <w:szCs w:val="18"/>
              </w:rPr>
              <w:t>ear</w:t>
            </w:r>
          </w:p>
        </w:tc>
        <w:tc>
          <w:tcPr>
            <w:tcW w:w="775" w:type="pct"/>
            <w:tcBorders>
              <w:top w:val="single" w:sz="4" w:space="0" w:color="auto"/>
              <w:left w:val="single" w:sz="4" w:space="0" w:color="auto"/>
              <w:bottom w:val="single" w:sz="4" w:space="0" w:color="auto"/>
              <w:right w:val="single" w:sz="4" w:space="0" w:color="auto"/>
            </w:tcBorders>
            <w:hideMark/>
          </w:tcPr>
          <w:p w:rsidR="00F10141" w:rsidRPr="00B76110" w:rsidRDefault="00F10141" w:rsidP="00B85FF7">
            <w:pPr>
              <w:tabs>
                <w:tab w:val="left" w:pos="720"/>
              </w:tabs>
              <w:rPr>
                <w:rFonts w:eastAsia="Times New Roman"/>
                <w:b/>
                <w:sz w:val="18"/>
                <w:szCs w:val="18"/>
              </w:rPr>
            </w:pPr>
            <w:r w:rsidRPr="009A7987">
              <w:rPr>
                <w:rFonts w:eastAsia="Times New Roman"/>
                <w:b/>
                <w:sz w:val="18"/>
                <w:szCs w:val="18"/>
              </w:rPr>
              <w:t>Target value (2023)</w:t>
            </w:r>
            <w:r w:rsidRPr="009A7987">
              <w:rPr>
                <w:rStyle w:val="FootnoteReference"/>
                <w:rFonts w:eastAsia="Times New Roman"/>
                <w:b/>
                <w:sz w:val="18"/>
                <w:szCs w:val="18"/>
              </w:rPr>
              <w:footnoteReference w:id="2"/>
            </w:r>
            <w:r w:rsidRPr="00B76110">
              <w:rPr>
                <w:rFonts w:eastAsia="Times New Roman"/>
                <w:b/>
                <w:sz w:val="18"/>
                <w:szCs w:val="18"/>
              </w:rPr>
              <w:t xml:space="preserve"> </w:t>
            </w:r>
          </w:p>
        </w:tc>
        <w:tc>
          <w:tcPr>
            <w:tcW w:w="620" w:type="pct"/>
            <w:tcBorders>
              <w:top w:val="single" w:sz="4" w:space="0" w:color="auto"/>
              <w:left w:val="single" w:sz="4" w:space="0" w:color="auto"/>
              <w:bottom w:val="single" w:sz="4" w:space="0" w:color="auto"/>
              <w:right w:val="single" w:sz="4" w:space="0" w:color="auto"/>
            </w:tcBorders>
            <w:hideMark/>
          </w:tcPr>
          <w:p w:rsidR="00F10141" w:rsidRPr="00B76110" w:rsidRDefault="00F10141" w:rsidP="00B85FF7">
            <w:pPr>
              <w:tabs>
                <w:tab w:val="left" w:pos="720"/>
              </w:tabs>
              <w:rPr>
                <w:rFonts w:eastAsia="Times New Roman"/>
                <w:b/>
                <w:sz w:val="18"/>
                <w:szCs w:val="18"/>
              </w:rPr>
            </w:pPr>
            <w:r w:rsidRPr="00B76110">
              <w:rPr>
                <w:rFonts w:eastAsia="Times New Roman"/>
                <w:b/>
                <w:sz w:val="18"/>
                <w:szCs w:val="18"/>
              </w:rPr>
              <w:t xml:space="preserve">Source of </w:t>
            </w:r>
            <w:r>
              <w:rPr>
                <w:rFonts w:eastAsia="Times New Roman"/>
                <w:b/>
                <w:sz w:val="18"/>
                <w:szCs w:val="18"/>
              </w:rPr>
              <w:t>d</w:t>
            </w:r>
            <w:r w:rsidRPr="00B76110">
              <w:rPr>
                <w:rFonts w:eastAsia="Times New Roman"/>
                <w:b/>
                <w:sz w:val="18"/>
                <w:szCs w:val="18"/>
              </w:rPr>
              <w:t>ata</w:t>
            </w:r>
          </w:p>
        </w:tc>
        <w:tc>
          <w:tcPr>
            <w:tcW w:w="466" w:type="pct"/>
            <w:tcBorders>
              <w:top w:val="single" w:sz="4" w:space="0" w:color="auto"/>
              <w:left w:val="single" w:sz="4" w:space="0" w:color="auto"/>
              <w:bottom w:val="single" w:sz="4" w:space="0" w:color="auto"/>
              <w:right w:val="single" w:sz="4" w:space="0" w:color="auto"/>
            </w:tcBorders>
          </w:tcPr>
          <w:p w:rsidR="00F10141" w:rsidRPr="00B76110" w:rsidRDefault="00F10141" w:rsidP="00B85FF7">
            <w:pPr>
              <w:tabs>
                <w:tab w:val="left" w:pos="720"/>
              </w:tabs>
              <w:rPr>
                <w:rFonts w:eastAsia="Times New Roman"/>
                <w:b/>
                <w:sz w:val="18"/>
                <w:szCs w:val="18"/>
              </w:rPr>
            </w:pPr>
            <w:r w:rsidRPr="00B76110">
              <w:rPr>
                <w:rFonts w:eastAsia="Times New Roman"/>
                <w:b/>
                <w:sz w:val="18"/>
                <w:szCs w:val="18"/>
              </w:rPr>
              <w:t>Frequency of reporting</w:t>
            </w:r>
          </w:p>
        </w:tc>
      </w:tr>
      <w:tr w:rsidR="00F10141" w:rsidRPr="00C12589" w:rsidTr="00DA1612">
        <w:trPr>
          <w:trHeight w:val="870"/>
        </w:trPr>
        <w:tc>
          <w:tcPr>
            <w:tcW w:w="486" w:type="pct"/>
            <w:tcBorders>
              <w:top w:val="single" w:sz="4" w:space="0" w:color="auto"/>
              <w:left w:val="single" w:sz="4" w:space="0" w:color="auto"/>
              <w:bottom w:val="single" w:sz="4" w:space="0" w:color="auto"/>
              <w:right w:val="single" w:sz="4" w:space="0" w:color="auto"/>
            </w:tcBorders>
            <w:vAlign w:val="center"/>
          </w:tcPr>
          <w:p w:rsidR="00F10141" w:rsidRPr="00AB336D" w:rsidRDefault="00F10141" w:rsidP="00F82517">
            <w:pPr>
              <w:tabs>
                <w:tab w:val="left" w:pos="720"/>
              </w:tabs>
              <w:rPr>
                <w:rFonts w:eastAsia="Times New Roman"/>
                <w:sz w:val="20"/>
              </w:rPr>
            </w:pPr>
            <w:r w:rsidRPr="00AB336D">
              <w:rPr>
                <w:rFonts w:eastAsia="Times New Roman"/>
                <w:sz w:val="20"/>
              </w:rPr>
              <w:t xml:space="preserve">PA </w:t>
            </w:r>
            <w:r w:rsidR="00F82517">
              <w:rPr>
                <w:rFonts w:eastAsia="Times New Roman"/>
                <w:sz w:val="20"/>
              </w:rPr>
              <w:t>2</w:t>
            </w:r>
          </w:p>
        </w:tc>
        <w:tc>
          <w:tcPr>
            <w:tcW w:w="795" w:type="pct"/>
            <w:tcBorders>
              <w:top w:val="single" w:sz="4" w:space="0" w:color="auto"/>
              <w:left w:val="single" w:sz="4" w:space="0" w:color="auto"/>
              <w:bottom w:val="single" w:sz="4" w:space="0" w:color="auto"/>
              <w:right w:val="single" w:sz="4" w:space="0" w:color="auto"/>
            </w:tcBorders>
            <w:vAlign w:val="center"/>
          </w:tcPr>
          <w:p w:rsidR="00F10141" w:rsidRPr="00AB336D" w:rsidRDefault="00F82449" w:rsidP="00B85FF7">
            <w:pPr>
              <w:tabs>
                <w:tab w:val="left" w:pos="720"/>
              </w:tabs>
              <w:rPr>
                <w:rFonts w:eastAsia="Times New Roman"/>
                <w:sz w:val="20"/>
              </w:rPr>
            </w:pPr>
            <w:r w:rsidRPr="00F82449">
              <w:rPr>
                <w:rFonts w:eastAsia="Times New Roman"/>
                <w:sz w:val="20"/>
              </w:rPr>
              <w:t>Number of km2 covered by improved management systems for risk prevention in the programme area</w:t>
            </w:r>
          </w:p>
        </w:tc>
        <w:tc>
          <w:tcPr>
            <w:tcW w:w="737" w:type="pct"/>
            <w:tcBorders>
              <w:top w:val="single" w:sz="4" w:space="0" w:color="auto"/>
              <w:left w:val="single" w:sz="4" w:space="0" w:color="auto"/>
              <w:bottom w:val="single" w:sz="4" w:space="0" w:color="auto"/>
              <w:right w:val="single" w:sz="4" w:space="0" w:color="auto"/>
            </w:tcBorders>
            <w:vAlign w:val="center"/>
          </w:tcPr>
          <w:p w:rsidR="00F10141" w:rsidRPr="00AB336D" w:rsidRDefault="00F82449" w:rsidP="00B85FF7">
            <w:pPr>
              <w:snapToGrid w:val="0"/>
              <w:rPr>
                <w:rFonts w:eastAsia="Times New Roman"/>
                <w:sz w:val="20"/>
              </w:rPr>
            </w:pPr>
            <w:r>
              <w:rPr>
                <w:rFonts w:eastAsia="Times New Roman"/>
                <w:sz w:val="20"/>
              </w:rPr>
              <w:t>Number</w:t>
            </w:r>
          </w:p>
        </w:tc>
        <w:tc>
          <w:tcPr>
            <w:tcW w:w="611" w:type="pct"/>
            <w:tcBorders>
              <w:top w:val="single" w:sz="4" w:space="0" w:color="auto"/>
              <w:left w:val="single" w:sz="4" w:space="0" w:color="auto"/>
              <w:bottom w:val="single" w:sz="4" w:space="0" w:color="auto"/>
              <w:right w:val="single" w:sz="4" w:space="0" w:color="auto"/>
            </w:tcBorders>
            <w:vAlign w:val="center"/>
          </w:tcPr>
          <w:p w:rsidR="00F10141" w:rsidRPr="00AB336D" w:rsidRDefault="00654476" w:rsidP="00E36C23">
            <w:pPr>
              <w:snapToGrid w:val="0"/>
              <w:spacing w:after="240"/>
              <w:rPr>
                <w:rFonts w:eastAsia="Times New Roman"/>
                <w:sz w:val="20"/>
              </w:rPr>
            </w:pPr>
            <w:r w:rsidRPr="00654476">
              <w:rPr>
                <w:rFonts w:eastAsia="Times New Roman"/>
                <w:sz w:val="20"/>
              </w:rPr>
              <w:t>Data to be collected</w:t>
            </w:r>
            <w:r>
              <w:rPr>
                <w:rFonts w:eastAsia="Times New Roman"/>
                <w:sz w:val="20"/>
              </w:rPr>
              <w:t xml:space="preserve"> by survey </w:t>
            </w:r>
          </w:p>
        </w:tc>
        <w:tc>
          <w:tcPr>
            <w:tcW w:w="510" w:type="pct"/>
            <w:tcBorders>
              <w:top w:val="single" w:sz="4" w:space="0" w:color="auto"/>
              <w:left w:val="single" w:sz="4" w:space="0" w:color="auto"/>
              <w:bottom w:val="single" w:sz="4" w:space="0" w:color="auto"/>
              <w:right w:val="single" w:sz="4" w:space="0" w:color="auto"/>
            </w:tcBorders>
            <w:vAlign w:val="center"/>
          </w:tcPr>
          <w:p w:rsidR="00F10141" w:rsidRPr="00AB336D" w:rsidRDefault="00654476" w:rsidP="00B85FF7">
            <w:pPr>
              <w:snapToGrid w:val="0"/>
              <w:rPr>
                <w:rFonts w:eastAsia="Times New Roman"/>
                <w:sz w:val="20"/>
                <w:lang w:val="nb-NO"/>
              </w:rPr>
            </w:pPr>
            <w:r>
              <w:rPr>
                <w:rFonts w:eastAsia="Times New Roman"/>
                <w:sz w:val="20"/>
                <w:lang w:val="nb-NO"/>
              </w:rPr>
              <w:t>2015</w:t>
            </w:r>
          </w:p>
        </w:tc>
        <w:tc>
          <w:tcPr>
            <w:tcW w:w="775" w:type="pct"/>
            <w:tcBorders>
              <w:top w:val="single" w:sz="4" w:space="0" w:color="auto"/>
              <w:left w:val="single" w:sz="4" w:space="0" w:color="auto"/>
              <w:bottom w:val="single" w:sz="4" w:space="0" w:color="auto"/>
              <w:right w:val="single" w:sz="4" w:space="0" w:color="auto"/>
            </w:tcBorders>
            <w:vAlign w:val="center"/>
          </w:tcPr>
          <w:p w:rsidR="00F10141" w:rsidRPr="00AB336D" w:rsidRDefault="00CA6B2F" w:rsidP="00E36C23">
            <w:pPr>
              <w:tabs>
                <w:tab w:val="left" w:pos="720"/>
              </w:tabs>
              <w:rPr>
                <w:rFonts w:eastAsia="Times New Roman"/>
                <w:sz w:val="20"/>
              </w:rPr>
            </w:pPr>
            <w:r>
              <w:rPr>
                <w:rFonts w:eastAsia="Times New Roman"/>
                <w:sz w:val="20"/>
              </w:rPr>
              <w:t>3500</w:t>
            </w:r>
          </w:p>
        </w:tc>
        <w:tc>
          <w:tcPr>
            <w:tcW w:w="620" w:type="pct"/>
            <w:tcBorders>
              <w:top w:val="single" w:sz="4" w:space="0" w:color="auto"/>
              <w:left w:val="single" w:sz="4" w:space="0" w:color="auto"/>
              <w:bottom w:val="single" w:sz="4" w:space="0" w:color="auto"/>
              <w:right w:val="single" w:sz="4" w:space="0" w:color="auto"/>
            </w:tcBorders>
            <w:vAlign w:val="center"/>
          </w:tcPr>
          <w:p w:rsidR="00F10141" w:rsidRPr="00AB336D" w:rsidRDefault="00F10141" w:rsidP="00B85FF7">
            <w:pPr>
              <w:spacing w:after="240"/>
              <w:rPr>
                <w:rFonts w:eastAsia="Times New Roman"/>
                <w:sz w:val="20"/>
              </w:rPr>
            </w:pPr>
            <w:r w:rsidRPr="00B87B39">
              <w:rPr>
                <w:rFonts w:eastAsia="Times New Roman"/>
                <w:sz w:val="20"/>
              </w:rPr>
              <w:t>Monitoring of operations</w:t>
            </w:r>
            <w:r>
              <w:rPr>
                <w:rFonts w:eastAsia="Times New Roman"/>
                <w:sz w:val="20"/>
              </w:rPr>
              <w:t xml:space="preserve"> (progress reports)</w:t>
            </w:r>
          </w:p>
        </w:tc>
        <w:tc>
          <w:tcPr>
            <w:tcW w:w="466" w:type="pct"/>
            <w:tcBorders>
              <w:top w:val="single" w:sz="4" w:space="0" w:color="auto"/>
              <w:left w:val="single" w:sz="4" w:space="0" w:color="auto"/>
              <w:bottom w:val="single" w:sz="4" w:space="0" w:color="auto"/>
              <w:right w:val="single" w:sz="4" w:space="0" w:color="auto"/>
            </w:tcBorders>
            <w:vAlign w:val="center"/>
          </w:tcPr>
          <w:p w:rsidR="00F10141" w:rsidRPr="00AB336D" w:rsidRDefault="00F10141" w:rsidP="00B85FF7">
            <w:pPr>
              <w:spacing w:after="240"/>
              <w:rPr>
                <w:rFonts w:eastAsia="Times New Roman"/>
                <w:sz w:val="20"/>
              </w:rPr>
            </w:pPr>
            <w:r w:rsidRPr="00B87B39">
              <w:rPr>
                <w:rFonts w:eastAsia="Times New Roman"/>
                <w:sz w:val="20"/>
              </w:rPr>
              <w:t>Annually</w:t>
            </w:r>
          </w:p>
        </w:tc>
      </w:tr>
      <w:tr w:rsidR="00B15999" w:rsidRPr="00C12589" w:rsidTr="00DA1612">
        <w:trPr>
          <w:trHeight w:val="870"/>
        </w:trPr>
        <w:tc>
          <w:tcPr>
            <w:tcW w:w="486" w:type="pct"/>
            <w:tcBorders>
              <w:top w:val="single" w:sz="4" w:space="0" w:color="auto"/>
              <w:left w:val="single" w:sz="4" w:space="0" w:color="auto"/>
              <w:bottom w:val="single" w:sz="4" w:space="0" w:color="auto"/>
              <w:right w:val="single" w:sz="4" w:space="0" w:color="auto"/>
            </w:tcBorders>
            <w:vAlign w:val="center"/>
          </w:tcPr>
          <w:p w:rsidR="00B15999" w:rsidRPr="00AB336D" w:rsidRDefault="00B15999" w:rsidP="002701C9">
            <w:pPr>
              <w:tabs>
                <w:tab w:val="left" w:pos="720"/>
              </w:tabs>
              <w:rPr>
                <w:rFonts w:eastAsia="Times New Roman"/>
                <w:sz w:val="20"/>
              </w:rPr>
            </w:pPr>
            <w:r w:rsidRPr="00AB336D">
              <w:rPr>
                <w:rFonts w:eastAsia="Times New Roman"/>
                <w:sz w:val="20"/>
              </w:rPr>
              <w:t xml:space="preserve">PA </w:t>
            </w:r>
            <w:r>
              <w:rPr>
                <w:rFonts w:eastAsia="Times New Roman"/>
                <w:sz w:val="20"/>
              </w:rPr>
              <w:t>2</w:t>
            </w:r>
          </w:p>
        </w:tc>
        <w:tc>
          <w:tcPr>
            <w:tcW w:w="795" w:type="pct"/>
            <w:tcBorders>
              <w:top w:val="single" w:sz="4" w:space="0" w:color="auto"/>
              <w:left w:val="single" w:sz="4" w:space="0" w:color="auto"/>
              <w:bottom w:val="single" w:sz="4" w:space="0" w:color="auto"/>
              <w:right w:val="single" w:sz="4" w:space="0" w:color="auto"/>
            </w:tcBorders>
            <w:vAlign w:val="center"/>
          </w:tcPr>
          <w:p w:rsidR="00B15999" w:rsidRPr="00AB336D" w:rsidRDefault="00F82449" w:rsidP="002701C9">
            <w:pPr>
              <w:tabs>
                <w:tab w:val="left" w:pos="720"/>
              </w:tabs>
              <w:rPr>
                <w:rFonts w:eastAsia="Times New Roman"/>
                <w:sz w:val="20"/>
              </w:rPr>
            </w:pPr>
            <w:r w:rsidRPr="00F82449">
              <w:rPr>
                <w:rFonts w:eastAsia="Times New Roman"/>
                <w:sz w:val="20"/>
              </w:rPr>
              <w:t>Increase in percentage of energy saved in public buildings in the programme area</w:t>
            </w:r>
          </w:p>
        </w:tc>
        <w:tc>
          <w:tcPr>
            <w:tcW w:w="737" w:type="pct"/>
            <w:tcBorders>
              <w:top w:val="single" w:sz="4" w:space="0" w:color="auto"/>
              <w:left w:val="single" w:sz="4" w:space="0" w:color="auto"/>
              <w:bottom w:val="single" w:sz="4" w:space="0" w:color="auto"/>
              <w:right w:val="single" w:sz="4" w:space="0" w:color="auto"/>
            </w:tcBorders>
            <w:vAlign w:val="center"/>
          </w:tcPr>
          <w:p w:rsidR="00B15999" w:rsidRPr="00AB336D" w:rsidRDefault="00654476" w:rsidP="0025239F">
            <w:pPr>
              <w:snapToGrid w:val="0"/>
              <w:rPr>
                <w:rFonts w:eastAsia="Times New Roman"/>
                <w:sz w:val="20"/>
              </w:rPr>
            </w:pPr>
            <w:r>
              <w:rPr>
                <w:rFonts w:eastAsia="Times New Roman"/>
                <w:sz w:val="20"/>
              </w:rPr>
              <w:t>%</w:t>
            </w:r>
          </w:p>
        </w:tc>
        <w:tc>
          <w:tcPr>
            <w:tcW w:w="611" w:type="pct"/>
            <w:tcBorders>
              <w:top w:val="single" w:sz="4" w:space="0" w:color="auto"/>
              <w:left w:val="single" w:sz="4" w:space="0" w:color="auto"/>
              <w:bottom w:val="single" w:sz="4" w:space="0" w:color="auto"/>
              <w:right w:val="single" w:sz="4" w:space="0" w:color="auto"/>
            </w:tcBorders>
            <w:vAlign w:val="center"/>
          </w:tcPr>
          <w:p w:rsidR="00B15999" w:rsidRPr="00AB336D" w:rsidRDefault="00654476" w:rsidP="00654476">
            <w:pPr>
              <w:snapToGrid w:val="0"/>
              <w:spacing w:after="240"/>
              <w:rPr>
                <w:rFonts w:eastAsia="Times New Roman"/>
                <w:sz w:val="20"/>
              </w:rPr>
            </w:pPr>
            <w:r w:rsidRPr="00654476">
              <w:rPr>
                <w:rFonts w:eastAsia="Times New Roman"/>
                <w:sz w:val="20"/>
              </w:rPr>
              <w:t>Data to be collected</w:t>
            </w:r>
            <w:r>
              <w:rPr>
                <w:rFonts w:eastAsia="Times New Roman"/>
                <w:sz w:val="20"/>
              </w:rPr>
              <w:t xml:space="preserve"> by survey</w:t>
            </w:r>
          </w:p>
        </w:tc>
        <w:tc>
          <w:tcPr>
            <w:tcW w:w="510" w:type="pct"/>
            <w:tcBorders>
              <w:top w:val="single" w:sz="4" w:space="0" w:color="auto"/>
              <w:left w:val="single" w:sz="4" w:space="0" w:color="auto"/>
              <w:bottom w:val="single" w:sz="4" w:space="0" w:color="auto"/>
              <w:right w:val="single" w:sz="4" w:space="0" w:color="auto"/>
            </w:tcBorders>
            <w:vAlign w:val="center"/>
          </w:tcPr>
          <w:p w:rsidR="00B15999" w:rsidRPr="00AB336D" w:rsidRDefault="00654476" w:rsidP="00583800">
            <w:pPr>
              <w:snapToGrid w:val="0"/>
              <w:rPr>
                <w:rFonts w:eastAsia="Times New Roman"/>
                <w:sz w:val="20"/>
                <w:lang w:val="nb-NO"/>
              </w:rPr>
            </w:pPr>
            <w:r>
              <w:rPr>
                <w:rFonts w:eastAsia="Times New Roman"/>
                <w:sz w:val="20"/>
                <w:lang w:val="nb-NO"/>
              </w:rPr>
              <w:t>2015</w:t>
            </w:r>
          </w:p>
        </w:tc>
        <w:tc>
          <w:tcPr>
            <w:tcW w:w="775" w:type="pct"/>
            <w:tcBorders>
              <w:top w:val="single" w:sz="4" w:space="0" w:color="auto"/>
              <w:left w:val="single" w:sz="4" w:space="0" w:color="auto"/>
              <w:bottom w:val="single" w:sz="4" w:space="0" w:color="auto"/>
              <w:right w:val="single" w:sz="4" w:space="0" w:color="auto"/>
            </w:tcBorders>
            <w:vAlign w:val="center"/>
          </w:tcPr>
          <w:p w:rsidR="00B15999" w:rsidRPr="00AB336D" w:rsidRDefault="00CA6B2F" w:rsidP="002701C9">
            <w:pPr>
              <w:tabs>
                <w:tab w:val="left" w:pos="720"/>
              </w:tabs>
              <w:rPr>
                <w:rFonts w:eastAsia="Times New Roman"/>
                <w:sz w:val="20"/>
              </w:rPr>
            </w:pPr>
            <w:r>
              <w:rPr>
                <w:rFonts w:eastAsia="Times New Roman"/>
                <w:sz w:val="20"/>
              </w:rPr>
              <w:t>1%</w:t>
            </w:r>
          </w:p>
        </w:tc>
        <w:tc>
          <w:tcPr>
            <w:tcW w:w="620" w:type="pct"/>
            <w:tcBorders>
              <w:top w:val="single" w:sz="4" w:space="0" w:color="auto"/>
              <w:left w:val="single" w:sz="4" w:space="0" w:color="auto"/>
              <w:bottom w:val="single" w:sz="4" w:space="0" w:color="auto"/>
              <w:right w:val="single" w:sz="4" w:space="0" w:color="auto"/>
            </w:tcBorders>
            <w:vAlign w:val="center"/>
          </w:tcPr>
          <w:p w:rsidR="00B15999" w:rsidRPr="00AB336D" w:rsidRDefault="005F0EAB" w:rsidP="005F0EAB">
            <w:pPr>
              <w:spacing w:after="240"/>
              <w:rPr>
                <w:rFonts w:eastAsia="Times New Roman"/>
                <w:sz w:val="20"/>
              </w:rPr>
            </w:pPr>
            <w:r>
              <w:rPr>
                <w:rFonts w:eastAsia="Times New Roman"/>
                <w:sz w:val="20"/>
              </w:rPr>
              <w:t>S</w:t>
            </w:r>
            <w:r w:rsidRPr="00AB1D4B">
              <w:rPr>
                <w:rFonts w:eastAsia="Times New Roman"/>
                <w:sz w:val="20"/>
              </w:rPr>
              <w:t>tatistical offices</w:t>
            </w:r>
            <w:r w:rsidRPr="00B87B39">
              <w:rPr>
                <w:rFonts w:eastAsia="Times New Roman"/>
                <w:sz w:val="20"/>
              </w:rPr>
              <w:t xml:space="preserve"> </w:t>
            </w:r>
            <w:r>
              <w:rPr>
                <w:rFonts w:eastAsia="Times New Roman"/>
                <w:sz w:val="20"/>
              </w:rPr>
              <w:t>(Situation analysis)</w:t>
            </w:r>
          </w:p>
        </w:tc>
        <w:tc>
          <w:tcPr>
            <w:tcW w:w="466" w:type="pct"/>
            <w:tcBorders>
              <w:top w:val="single" w:sz="4" w:space="0" w:color="auto"/>
              <w:left w:val="single" w:sz="4" w:space="0" w:color="auto"/>
              <w:bottom w:val="single" w:sz="4" w:space="0" w:color="auto"/>
              <w:right w:val="single" w:sz="4" w:space="0" w:color="auto"/>
            </w:tcBorders>
            <w:vAlign w:val="center"/>
          </w:tcPr>
          <w:p w:rsidR="00B15999" w:rsidRPr="00AB336D" w:rsidRDefault="00B15999" w:rsidP="002701C9">
            <w:pPr>
              <w:spacing w:after="240"/>
              <w:rPr>
                <w:rFonts w:eastAsia="Times New Roman"/>
                <w:sz w:val="20"/>
              </w:rPr>
            </w:pPr>
            <w:r w:rsidRPr="00B87B39">
              <w:rPr>
                <w:rFonts w:eastAsia="Times New Roman"/>
                <w:sz w:val="20"/>
              </w:rPr>
              <w:t>Annually</w:t>
            </w:r>
          </w:p>
        </w:tc>
      </w:tr>
    </w:tbl>
    <w:p w:rsidR="00F10141" w:rsidRPr="00B76110" w:rsidRDefault="00F10141" w:rsidP="00F10141">
      <w:pPr>
        <w:suppressAutoHyphens/>
        <w:spacing w:after="240"/>
        <w:rPr>
          <w:rFonts w:eastAsia="Times New Roman"/>
          <w:b/>
        </w:rPr>
        <w:sectPr w:rsidR="00F10141" w:rsidRPr="00B76110" w:rsidSect="006A4BDD">
          <w:headerReference w:type="default" r:id="rId27"/>
          <w:footerReference w:type="default" r:id="rId28"/>
          <w:headerReference w:type="first" r:id="rId29"/>
          <w:footerReference w:type="first" r:id="rId30"/>
          <w:pgSz w:w="16838" w:h="11906" w:orient="landscape"/>
          <w:pgMar w:top="1418" w:right="1021" w:bottom="1418" w:left="1021" w:header="601" w:footer="1077" w:gutter="0"/>
          <w:cols w:space="720"/>
          <w:docGrid w:linePitch="326"/>
        </w:sectPr>
      </w:pPr>
    </w:p>
    <w:p w:rsidR="00F10141" w:rsidRDefault="00F10141" w:rsidP="00F10141">
      <w:pPr>
        <w:keepNext/>
        <w:spacing w:after="240"/>
        <w:ind w:left="851" w:hanging="851"/>
        <w:outlineLvl w:val="2"/>
        <w:rPr>
          <w:rFonts w:eastAsia="Times New Roman"/>
          <w:b/>
          <w:i/>
        </w:rPr>
      </w:pPr>
      <w:r w:rsidRPr="00B76110">
        <w:rPr>
          <w:rFonts w:eastAsia="Times New Roman"/>
          <w:b/>
          <w:i/>
        </w:rPr>
        <w:lastRenderedPageBreak/>
        <w:t>2.</w:t>
      </w:r>
      <w:r w:rsidR="008A7F7E">
        <w:rPr>
          <w:rFonts w:eastAsia="Times New Roman"/>
          <w:b/>
          <w:i/>
        </w:rPr>
        <w:t>2</w:t>
      </w:r>
      <w:r w:rsidRPr="00B76110">
        <w:rPr>
          <w:rFonts w:eastAsia="Times New Roman"/>
          <w:b/>
          <w:i/>
        </w:rPr>
        <w:t>.</w:t>
      </w:r>
      <w:r>
        <w:rPr>
          <w:rFonts w:eastAsia="Times New Roman"/>
          <w:b/>
          <w:i/>
        </w:rPr>
        <w:t>6</w:t>
      </w:r>
      <w:r w:rsidRPr="00B76110">
        <w:rPr>
          <w:rFonts w:eastAsia="Times New Roman"/>
          <w:b/>
          <w:i/>
        </w:rPr>
        <w:t>.</w:t>
      </w:r>
      <w:r>
        <w:rPr>
          <w:rFonts w:eastAsia="Times New Roman"/>
          <w:b/>
          <w:i/>
        </w:rPr>
        <w:t>2</w:t>
      </w:r>
      <w:r w:rsidRPr="00B76110">
        <w:rPr>
          <w:rFonts w:eastAsia="Times New Roman"/>
          <w:b/>
          <w:i/>
        </w:rPr>
        <w:t xml:space="preserve">. </w:t>
      </w:r>
      <w:r>
        <w:rPr>
          <w:rFonts w:eastAsia="Times New Roman"/>
          <w:b/>
          <w:i/>
        </w:rPr>
        <w:t>Priority axis o</w:t>
      </w:r>
      <w:r w:rsidRPr="00B76110">
        <w:rPr>
          <w:rFonts w:eastAsia="Times New Roman"/>
          <w:b/>
          <w:i/>
        </w:rPr>
        <w:t>utput indicator</w:t>
      </w:r>
      <w:r>
        <w:rPr>
          <w:rFonts w:eastAsia="Times New Roman"/>
          <w:b/>
          <w:i/>
        </w:rPr>
        <w:t>s (common or programme specific)</w:t>
      </w:r>
    </w:p>
    <w:p w:rsidR="00F10141" w:rsidRDefault="00F10141" w:rsidP="00F10141">
      <w:pPr>
        <w:spacing w:after="0"/>
        <w:rPr>
          <w:rFonts w:eastAsia="Times New Roman"/>
          <w:b/>
        </w:rPr>
      </w:pPr>
      <w:r w:rsidRPr="00B76110">
        <w:rPr>
          <w:rFonts w:eastAsia="Times New Roman"/>
          <w:b/>
        </w:rPr>
        <w:t xml:space="preserve">Table </w:t>
      </w:r>
      <w:r>
        <w:rPr>
          <w:rFonts w:eastAsia="Times New Roman"/>
          <w:b/>
        </w:rPr>
        <w:t>4</w:t>
      </w:r>
      <w:r w:rsidRPr="00B76110">
        <w:rPr>
          <w:rFonts w:eastAsia="Times New Roman"/>
          <w:b/>
        </w:rPr>
        <w:t xml:space="preserve">: </w:t>
      </w:r>
      <w:r>
        <w:rPr>
          <w:rFonts w:eastAsia="Times New Roman"/>
          <w:b/>
        </w:rPr>
        <w:t>P</w:t>
      </w:r>
      <w:r w:rsidRPr="00B76110">
        <w:rPr>
          <w:rFonts w:eastAsia="Times New Roman"/>
          <w:b/>
        </w:rPr>
        <w:t>rogra</w:t>
      </w:r>
      <w:r>
        <w:rPr>
          <w:rFonts w:eastAsia="Times New Roman"/>
          <w:b/>
        </w:rPr>
        <w:t xml:space="preserve">mme </w:t>
      </w:r>
      <w:r w:rsidR="00152A5C">
        <w:rPr>
          <w:rFonts w:eastAsia="Times New Roman"/>
          <w:b/>
        </w:rPr>
        <w:t xml:space="preserve">common* and </w:t>
      </w:r>
      <w:r>
        <w:rPr>
          <w:rFonts w:eastAsia="Times New Roman"/>
          <w:b/>
        </w:rPr>
        <w:t xml:space="preserve">specific output indicators </w:t>
      </w:r>
    </w:p>
    <w:p w:rsidR="00F10141" w:rsidRPr="00B76110" w:rsidRDefault="00F10141" w:rsidP="00F10141">
      <w:pPr>
        <w:spacing w:after="0"/>
        <w:rPr>
          <w:rFonts w:eastAsia="Times New Roman"/>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8"/>
        <w:gridCol w:w="5933"/>
        <w:gridCol w:w="1985"/>
        <w:gridCol w:w="1417"/>
        <w:gridCol w:w="2552"/>
        <w:gridCol w:w="2147"/>
      </w:tblGrid>
      <w:tr w:rsidR="00F10141" w:rsidRPr="00B76110" w:rsidTr="00B85FF7">
        <w:trPr>
          <w:trHeight w:val="706"/>
          <w:jc w:val="center"/>
        </w:trPr>
        <w:tc>
          <w:tcPr>
            <w:tcW w:w="326" w:type="pct"/>
          </w:tcPr>
          <w:p w:rsidR="00F10141" w:rsidRPr="00B76110" w:rsidRDefault="00F10141" w:rsidP="00B85FF7">
            <w:pPr>
              <w:spacing w:after="240"/>
              <w:ind w:left="283" w:hanging="283"/>
              <w:jc w:val="center"/>
              <w:rPr>
                <w:rFonts w:eastAsia="Times New Roman"/>
                <w:b/>
                <w:sz w:val="20"/>
              </w:rPr>
            </w:pPr>
            <w:r w:rsidRPr="00B76110">
              <w:rPr>
                <w:rFonts w:eastAsia="Times New Roman"/>
                <w:b/>
                <w:sz w:val="20"/>
              </w:rPr>
              <w:t>ID</w:t>
            </w:r>
          </w:p>
        </w:tc>
        <w:tc>
          <w:tcPr>
            <w:tcW w:w="1976" w:type="pct"/>
            <w:shd w:val="clear" w:color="auto" w:fill="auto"/>
          </w:tcPr>
          <w:p w:rsidR="00F10141" w:rsidRPr="00B76110" w:rsidRDefault="00F10141" w:rsidP="00B85FF7">
            <w:pPr>
              <w:spacing w:after="240"/>
              <w:ind w:left="283" w:hanging="283"/>
              <w:jc w:val="center"/>
              <w:rPr>
                <w:rFonts w:eastAsia="Times New Roman"/>
                <w:b/>
                <w:sz w:val="20"/>
              </w:rPr>
            </w:pPr>
            <w:r w:rsidRPr="00B76110">
              <w:rPr>
                <w:rFonts w:eastAsia="Times New Roman"/>
                <w:b/>
                <w:sz w:val="20"/>
              </w:rPr>
              <w:t xml:space="preserve">Indicator </w:t>
            </w:r>
            <w:r w:rsidRPr="00B76110">
              <w:rPr>
                <w:rFonts w:eastAsia="Times New Roman"/>
                <w:b/>
                <w:i/>
                <w:sz w:val="20"/>
              </w:rPr>
              <w:t>(name of indicator)</w:t>
            </w:r>
          </w:p>
        </w:tc>
        <w:tc>
          <w:tcPr>
            <w:tcW w:w="661" w:type="pct"/>
            <w:shd w:val="clear" w:color="auto" w:fill="auto"/>
          </w:tcPr>
          <w:p w:rsidR="00F10141" w:rsidRPr="00B76110" w:rsidRDefault="00F10141" w:rsidP="00B85FF7">
            <w:pPr>
              <w:spacing w:after="240"/>
              <w:jc w:val="center"/>
              <w:rPr>
                <w:rFonts w:eastAsia="Times New Roman"/>
                <w:b/>
                <w:sz w:val="20"/>
              </w:rPr>
            </w:pPr>
            <w:r w:rsidRPr="00B76110">
              <w:rPr>
                <w:rFonts w:eastAsia="Times New Roman"/>
                <w:b/>
                <w:sz w:val="20"/>
              </w:rPr>
              <w:t>Measurement unit</w:t>
            </w:r>
          </w:p>
        </w:tc>
        <w:tc>
          <w:tcPr>
            <w:tcW w:w="472" w:type="pct"/>
            <w:shd w:val="clear" w:color="auto" w:fill="auto"/>
          </w:tcPr>
          <w:p w:rsidR="00F10141" w:rsidRPr="00B76110" w:rsidRDefault="00F10141" w:rsidP="00B85FF7">
            <w:pPr>
              <w:spacing w:after="240"/>
              <w:jc w:val="center"/>
              <w:rPr>
                <w:rFonts w:eastAsia="Times New Roman"/>
                <w:b/>
                <w:sz w:val="20"/>
              </w:rPr>
            </w:pPr>
            <w:r w:rsidRPr="00B76110">
              <w:rPr>
                <w:rFonts w:eastAsia="Times New Roman"/>
                <w:b/>
                <w:sz w:val="20"/>
              </w:rPr>
              <w:t>Target value (2023)</w:t>
            </w:r>
          </w:p>
        </w:tc>
        <w:tc>
          <w:tcPr>
            <w:tcW w:w="850" w:type="pct"/>
            <w:shd w:val="clear" w:color="auto" w:fill="auto"/>
          </w:tcPr>
          <w:p w:rsidR="00F10141" w:rsidRPr="00B76110" w:rsidRDefault="00F10141" w:rsidP="00B85FF7">
            <w:pPr>
              <w:spacing w:after="240"/>
              <w:jc w:val="center"/>
              <w:rPr>
                <w:rFonts w:eastAsia="Times New Roman"/>
                <w:b/>
                <w:sz w:val="20"/>
              </w:rPr>
            </w:pPr>
            <w:r w:rsidRPr="00B76110">
              <w:rPr>
                <w:rFonts w:eastAsia="Times New Roman"/>
                <w:b/>
                <w:sz w:val="20"/>
              </w:rPr>
              <w:t>Source of data</w:t>
            </w:r>
          </w:p>
        </w:tc>
        <w:tc>
          <w:tcPr>
            <w:tcW w:w="715" w:type="pct"/>
          </w:tcPr>
          <w:p w:rsidR="00F10141" w:rsidRPr="00B76110" w:rsidRDefault="00F10141" w:rsidP="00B85FF7">
            <w:pPr>
              <w:spacing w:after="240"/>
              <w:jc w:val="center"/>
              <w:rPr>
                <w:rFonts w:eastAsia="Times New Roman"/>
                <w:b/>
                <w:sz w:val="20"/>
              </w:rPr>
            </w:pPr>
            <w:r w:rsidRPr="00B76110">
              <w:rPr>
                <w:rFonts w:eastAsia="Times New Roman"/>
                <w:b/>
                <w:sz w:val="20"/>
              </w:rPr>
              <w:t>Frequency of reporting</w:t>
            </w:r>
          </w:p>
        </w:tc>
      </w:tr>
      <w:tr w:rsidR="00CD593E" w:rsidRPr="00B76110" w:rsidTr="00E929AF">
        <w:trPr>
          <w:trHeight w:val="79"/>
          <w:jc w:val="center"/>
        </w:trPr>
        <w:tc>
          <w:tcPr>
            <w:tcW w:w="326" w:type="pct"/>
          </w:tcPr>
          <w:p w:rsidR="00CD593E" w:rsidRPr="00374A8C" w:rsidRDefault="00CD593E" w:rsidP="00B85FF7">
            <w:pPr>
              <w:spacing w:after="0"/>
              <w:rPr>
                <w:rFonts w:eastAsia="Times New Roman"/>
                <w:sz w:val="22"/>
                <w:szCs w:val="22"/>
              </w:rPr>
            </w:pPr>
            <w:r>
              <w:rPr>
                <w:rFonts w:eastAsia="Times New Roman"/>
                <w:sz w:val="22"/>
                <w:szCs w:val="22"/>
              </w:rPr>
              <w:t>PA 2</w:t>
            </w:r>
            <w:r w:rsidRPr="00374A8C">
              <w:rPr>
                <w:rFonts w:eastAsia="Times New Roman"/>
                <w:sz w:val="22"/>
                <w:szCs w:val="22"/>
              </w:rPr>
              <w:t xml:space="preserve"> </w:t>
            </w:r>
          </w:p>
        </w:tc>
        <w:tc>
          <w:tcPr>
            <w:tcW w:w="1976" w:type="pct"/>
            <w:shd w:val="clear" w:color="auto" w:fill="auto"/>
          </w:tcPr>
          <w:p w:rsidR="00CD593E" w:rsidRPr="00F30025" w:rsidRDefault="00AE3758" w:rsidP="0037732C">
            <w:r w:rsidRPr="00AE3758">
              <w:t>Surface area of habitats supported in order to attain a better conservation status (ha) (CI)</w:t>
            </w:r>
            <w:r>
              <w:t>*</w:t>
            </w:r>
          </w:p>
        </w:tc>
        <w:tc>
          <w:tcPr>
            <w:tcW w:w="661" w:type="pct"/>
            <w:shd w:val="clear" w:color="auto" w:fill="auto"/>
          </w:tcPr>
          <w:p w:rsidR="00CD593E" w:rsidRPr="00374A8C" w:rsidRDefault="008E7488" w:rsidP="00B85FF7">
            <w:pPr>
              <w:spacing w:after="0"/>
              <w:rPr>
                <w:rFonts w:eastAsia="Times New Roman"/>
                <w:sz w:val="22"/>
                <w:szCs w:val="22"/>
              </w:rPr>
            </w:pPr>
            <w:r>
              <w:rPr>
                <w:rFonts w:eastAsia="Times New Roman"/>
                <w:sz w:val="22"/>
                <w:szCs w:val="22"/>
              </w:rPr>
              <w:t>ha</w:t>
            </w:r>
          </w:p>
        </w:tc>
        <w:tc>
          <w:tcPr>
            <w:tcW w:w="472" w:type="pct"/>
            <w:shd w:val="clear" w:color="auto" w:fill="auto"/>
          </w:tcPr>
          <w:p w:rsidR="00CD593E" w:rsidRPr="00B35006" w:rsidRDefault="008E7488" w:rsidP="00CD593E">
            <w:pPr>
              <w:jc w:val="center"/>
            </w:pPr>
            <w:r>
              <w:t>14</w:t>
            </w:r>
          </w:p>
        </w:tc>
        <w:tc>
          <w:tcPr>
            <w:tcW w:w="850" w:type="pct"/>
            <w:shd w:val="clear" w:color="auto" w:fill="auto"/>
          </w:tcPr>
          <w:p w:rsidR="00CD593E" w:rsidRPr="00374A8C" w:rsidRDefault="00CD593E" w:rsidP="00B85FF7">
            <w:pPr>
              <w:spacing w:after="0"/>
              <w:rPr>
                <w:rFonts w:eastAsia="Times New Roman"/>
                <w:sz w:val="22"/>
                <w:szCs w:val="22"/>
              </w:rPr>
            </w:pPr>
            <w:r w:rsidRPr="00374A8C">
              <w:rPr>
                <w:rFonts w:eastAsia="Times New Roman"/>
                <w:sz w:val="22"/>
                <w:szCs w:val="22"/>
              </w:rPr>
              <w:t>Monitoring of operations (progress reports)</w:t>
            </w:r>
          </w:p>
        </w:tc>
        <w:tc>
          <w:tcPr>
            <w:tcW w:w="715" w:type="pct"/>
          </w:tcPr>
          <w:p w:rsidR="00CD593E" w:rsidRPr="00374A8C" w:rsidRDefault="00CD593E" w:rsidP="00B85FF7">
            <w:pPr>
              <w:spacing w:after="0"/>
              <w:rPr>
                <w:rFonts w:eastAsia="Times New Roman"/>
                <w:sz w:val="22"/>
                <w:szCs w:val="22"/>
              </w:rPr>
            </w:pPr>
            <w:r w:rsidRPr="00374A8C">
              <w:rPr>
                <w:rFonts w:eastAsia="Times New Roman"/>
                <w:sz w:val="22"/>
                <w:szCs w:val="22"/>
              </w:rPr>
              <w:t>Annually</w:t>
            </w:r>
          </w:p>
        </w:tc>
      </w:tr>
      <w:tr w:rsidR="00CD593E" w:rsidRPr="00414803" w:rsidTr="00E929AF">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CD593E" w:rsidRDefault="00CD593E">
            <w:r w:rsidRPr="0046775D">
              <w:rPr>
                <w:rFonts w:eastAsia="Times New Roman"/>
                <w:sz w:val="22"/>
                <w:szCs w:val="22"/>
              </w:rPr>
              <w:t xml:space="preserve">PA 2 </w:t>
            </w:r>
          </w:p>
        </w:tc>
        <w:tc>
          <w:tcPr>
            <w:tcW w:w="1976" w:type="pct"/>
            <w:tcBorders>
              <w:top w:val="single" w:sz="4" w:space="0" w:color="000000"/>
              <w:left w:val="single" w:sz="4" w:space="0" w:color="000000"/>
              <w:bottom w:val="single" w:sz="4" w:space="0" w:color="000000"/>
              <w:right w:val="single" w:sz="4" w:space="0" w:color="000000"/>
            </w:tcBorders>
            <w:shd w:val="clear" w:color="auto" w:fill="auto"/>
          </w:tcPr>
          <w:p w:rsidR="00CD593E" w:rsidRPr="00F30025" w:rsidRDefault="00AE3758" w:rsidP="0037732C">
            <w:r w:rsidRPr="00AE3758">
              <w:t>Area covered by improved emergency preparedness and risk prevention systems (km2)</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rsidR="00CD593E" w:rsidRPr="00374A8C" w:rsidRDefault="008E7488" w:rsidP="00B85FF7">
            <w:pPr>
              <w:spacing w:after="0"/>
              <w:rPr>
                <w:sz w:val="22"/>
                <w:szCs w:val="22"/>
              </w:rPr>
            </w:pPr>
            <w:r>
              <w:rPr>
                <w:sz w:val="22"/>
                <w:szCs w:val="22"/>
              </w:rPr>
              <w:t>km2</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CD593E" w:rsidRPr="00B35006" w:rsidRDefault="008E7488" w:rsidP="00CD593E">
            <w:pPr>
              <w:jc w:val="center"/>
            </w:pPr>
            <w:r>
              <w:t>17</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rsidR="00CD593E" w:rsidRPr="00374A8C" w:rsidRDefault="00CD593E" w:rsidP="00B85FF7">
            <w:pPr>
              <w:spacing w:after="0"/>
              <w:rPr>
                <w:rFonts w:eastAsia="Times New Roman"/>
                <w:sz w:val="22"/>
                <w:szCs w:val="22"/>
              </w:rPr>
            </w:pPr>
            <w:r w:rsidRPr="00374A8C">
              <w:rPr>
                <w:rFonts w:eastAsia="Times New Roman"/>
                <w:sz w:val="22"/>
                <w:szCs w:val="22"/>
              </w:rPr>
              <w:t>Monitoring of operations (progress reports)</w:t>
            </w:r>
          </w:p>
        </w:tc>
        <w:tc>
          <w:tcPr>
            <w:tcW w:w="715" w:type="pct"/>
            <w:tcBorders>
              <w:top w:val="single" w:sz="4" w:space="0" w:color="000000"/>
              <w:left w:val="single" w:sz="4" w:space="0" w:color="000000"/>
              <w:bottom w:val="single" w:sz="4" w:space="0" w:color="000000"/>
              <w:right w:val="single" w:sz="4" w:space="0" w:color="000000"/>
            </w:tcBorders>
          </w:tcPr>
          <w:p w:rsidR="00CD593E" w:rsidRPr="00374A8C" w:rsidRDefault="00CD593E" w:rsidP="00B85FF7">
            <w:pPr>
              <w:rPr>
                <w:sz w:val="22"/>
                <w:szCs w:val="22"/>
              </w:rPr>
            </w:pPr>
            <w:r w:rsidRPr="00374A8C">
              <w:rPr>
                <w:rFonts w:eastAsia="Times New Roman"/>
                <w:sz w:val="22"/>
                <w:szCs w:val="22"/>
              </w:rPr>
              <w:t>Annually</w:t>
            </w:r>
          </w:p>
        </w:tc>
      </w:tr>
      <w:tr w:rsidR="00CD593E" w:rsidRPr="00414803" w:rsidTr="00E929AF">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CD593E" w:rsidRDefault="00CD593E">
            <w:r w:rsidRPr="0046775D">
              <w:rPr>
                <w:rFonts w:eastAsia="Times New Roman"/>
                <w:sz w:val="22"/>
                <w:szCs w:val="22"/>
              </w:rPr>
              <w:t xml:space="preserve">PA 2 </w:t>
            </w:r>
          </w:p>
        </w:tc>
        <w:tc>
          <w:tcPr>
            <w:tcW w:w="1976" w:type="pct"/>
            <w:tcBorders>
              <w:top w:val="single" w:sz="4" w:space="0" w:color="000000"/>
              <w:left w:val="single" w:sz="4" w:space="0" w:color="000000"/>
              <w:bottom w:val="single" w:sz="4" w:space="0" w:color="000000"/>
              <w:right w:val="single" w:sz="4" w:space="0" w:color="000000"/>
            </w:tcBorders>
            <w:shd w:val="clear" w:color="auto" w:fill="auto"/>
          </w:tcPr>
          <w:p w:rsidR="00CD593E" w:rsidRPr="00F30025" w:rsidRDefault="00AE3758" w:rsidP="0037732C">
            <w:r w:rsidRPr="00AE3758">
              <w:t>Number of pilot and demonstration projects on risk prevention and mitigation implemented</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rsidR="00CD593E" w:rsidRPr="00374A8C" w:rsidRDefault="008E7488" w:rsidP="00AE3758">
            <w:pPr>
              <w:spacing w:after="0"/>
              <w:rPr>
                <w:sz w:val="22"/>
                <w:szCs w:val="22"/>
              </w:rPr>
            </w:pPr>
            <w:r>
              <w:rPr>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CD593E" w:rsidRPr="00B35006" w:rsidRDefault="008E7488" w:rsidP="00CD593E">
            <w:pPr>
              <w:jc w:val="center"/>
            </w:pPr>
            <w:r>
              <w:t>4</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rsidR="00CD593E" w:rsidRPr="00374A8C" w:rsidRDefault="00CD593E" w:rsidP="00B85FF7">
            <w:pPr>
              <w:spacing w:after="0"/>
              <w:rPr>
                <w:rFonts w:eastAsia="Times New Roman"/>
                <w:sz w:val="22"/>
                <w:szCs w:val="22"/>
              </w:rPr>
            </w:pPr>
            <w:r w:rsidRPr="00374A8C">
              <w:rPr>
                <w:rFonts w:eastAsia="Times New Roman"/>
                <w:sz w:val="22"/>
                <w:szCs w:val="22"/>
              </w:rPr>
              <w:t>Monitoring of operations (progress reports)</w:t>
            </w:r>
          </w:p>
        </w:tc>
        <w:tc>
          <w:tcPr>
            <w:tcW w:w="715" w:type="pct"/>
            <w:tcBorders>
              <w:top w:val="single" w:sz="4" w:space="0" w:color="000000"/>
              <w:left w:val="single" w:sz="4" w:space="0" w:color="000000"/>
              <w:bottom w:val="single" w:sz="4" w:space="0" w:color="000000"/>
              <w:right w:val="single" w:sz="4" w:space="0" w:color="000000"/>
            </w:tcBorders>
          </w:tcPr>
          <w:p w:rsidR="00CD593E" w:rsidRPr="00374A8C" w:rsidRDefault="00CD593E" w:rsidP="00B85FF7">
            <w:pPr>
              <w:rPr>
                <w:sz w:val="22"/>
                <w:szCs w:val="22"/>
              </w:rPr>
            </w:pPr>
            <w:r w:rsidRPr="00374A8C">
              <w:rPr>
                <w:rFonts w:eastAsia="Times New Roman"/>
                <w:sz w:val="22"/>
                <w:szCs w:val="22"/>
              </w:rPr>
              <w:t>Annually</w:t>
            </w:r>
          </w:p>
        </w:tc>
      </w:tr>
      <w:tr w:rsidR="00CD593E" w:rsidRPr="00414803" w:rsidTr="00E929AF">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CD593E" w:rsidRDefault="00CD593E">
            <w:r w:rsidRPr="0046775D">
              <w:rPr>
                <w:rFonts w:eastAsia="Times New Roman"/>
                <w:sz w:val="22"/>
                <w:szCs w:val="22"/>
              </w:rPr>
              <w:t xml:space="preserve">PA 2 </w:t>
            </w:r>
          </w:p>
        </w:tc>
        <w:tc>
          <w:tcPr>
            <w:tcW w:w="1976" w:type="pct"/>
            <w:tcBorders>
              <w:top w:val="single" w:sz="4" w:space="0" w:color="000000"/>
              <w:left w:val="single" w:sz="4" w:space="0" w:color="000000"/>
              <w:bottom w:val="single" w:sz="4" w:space="0" w:color="000000"/>
              <w:right w:val="single" w:sz="4" w:space="0" w:color="000000"/>
            </w:tcBorders>
            <w:shd w:val="clear" w:color="auto" w:fill="auto"/>
          </w:tcPr>
          <w:p w:rsidR="00CD593E" w:rsidRPr="00F30025" w:rsidRDefault="00AE3758" w:rsidP="0037732C">
            <w:r w:rsidRPr="00AE3758">
              <w:t>Population benefiting from flood protection measures (CI)</w:t>
            </w:r>
            <w: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rsidR="00CD593E" w:rsidRPr="00374A8C" w:rsidRDefault="008E7488" w:rsidP="00B85FF7">
            <w:pPr>
              <w:spacing w:after="0"/>
              <w:rPr>
                <w:sz w:val="22"/>
                <w:szCs w:val="22"/>
              </w:rPr>
            </w:pPr>
            <w:r>
              <w:rPr>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CD593E" w:rsidRPr="00B35006" w:rsidRDefault="008E7488" w:rsidP="00CD593E">
            <w:pPr>
              <w:jc w:val="center"/>
            </w:pPr>
            <w:r>
              <w:t>150.000</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rsidR="00CD593E" w:rsidRPr="00374A8C" w:rsidRDefault="00CD593E" w:rsidP="00B85FF7">
            <w:pPr>
              <w:spacing w:after="0"/>
              <w:rPr>
                <w:rFonts w:eastAsia="Times New Roman"/>
                <w:sz w:val="22"/>
                <w:szCs w:val="22"/>
              </w:rPr>
            </w:pPr>
            <w:r w:rsidRPr="00374A8C">
              <w:rPr>
                <w:rFonts w:eastAsia="Times New Roman"/>
                <w:sz w:val="22"/>
                <w:szCs w:val="22"/>
              </w:rPr>
              <w:t>Monitoring of operations (progress reports)</w:t>
            </w:r>
          </w:p>
        </w:tc>
        <w:tc>
          <w:tcPr>
            <w:tcW w:w="715" w:type="pct"/>
            <w:tcBorders>
              <w:top w:val="single" w:sz="4" w:space="0" w:color="000000"/>
              <w:left w:val="single" w:sz="4" w:space="0" w:color="000000"/>
              <w:bottom w:val="single" w:sz="4" w:space="0" w:color="000000"/>
              <w:right w:val="single" w:sz="4" w:space="0" w:color="000000"/>
            </w:tcBorders>
          </w:tcPr>
          <w:p w:rsidR="00CD593E" w:rsidRPr="00374A8C" w:rsidRDefault="00CD593E" w:rsidP="00B85FF7">
            <w:pPr>
              <w:rPr>
                <w:sz w:val="22"/>
                <w:szCs w:val="22"/>
              </w:rPr>
            </w:pPr>
            <w:r w:rsidRPr="00374A8C">
              <w:rPr>
                <w:rFonts w:eastAsia="Times New Roman"/>
                <w:sz w:val="22"/>
                <w:szCs w:val="22"/>
              </w:rPr>
              <w:t>Annually</w:t>
            </w:r>
          </w:p>
        </w:tc>
      </w:tr>
      <w:tr w:rsidR="00CD593E" w:rsidRPr="00414803" w:rsidTr="00E929AF">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CD593E" w:rsidRDefault="00CD593E">
            <w:r w:rsidRPr="0046775D">
              <w:rPr>
                <w:rFonts w:eastAsia="Times New Roman"/>
                <w:sz w:val="22"/>
                <w:szCs w:val="22"/>
              </w:rPr>
              <w:t xml:space="preserve">PA 2 </w:t>
            </w:r>
          </w:p>
        </w:tc>
        <w:tc>
          <w:tcPr>
            <w:tcW w:w="1976" w:type="pct"/>
            <w:tcBorders>
              <w:top w:val="single" w:sz="4" w:space="0" w:color="000000"/>
              <w:left w:val="single" w:sz="4" w:space="0" w:color="000000"/>
              <w:bottom w:val="single" w:sz="4" w:space="0" w:color="000000"/>
              <w:right w:val="single" w:sz="4" w:space="0" w:color="000000"/>
            </w:tcBorders>
            <w:shd w:val="clear" w:color="auto" w:fill="auto"/>
          </w:tcPr>
          <w:p w:rsidR="00CD593E" w:rsidRPr="00F30025" w:rsidRDefault="00AE3758" w:rsidP="0037732C">
            <w:r w:rsidRPr="00AE3758">
              <w:t>Number of joint pilot projects implemented in the areas of sustainable energy and energy efficiency</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rsidR="00CD593E" w:rsidRPr="00374A8C" w:rsidRDefault="008E7488" w:rsidP="00B85FF7">
            <w:pPr>
              <w:spacing w:after="0"/>
              <w:rPr>
                <w:sz w:val="22"/>
                <w:szCs w:val="22"/>
              </w:rPr>
            </w:pPr>
            <w:r>
              <w:rPr>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CD593E" w:rsidRPr="00B35006" w:rsidRDefault="008E7488" w:rsidP="00CD593E">
            <w:pPr>
              <w:jc w:val="center"/>
            </w:pPr>
            <w:r>
              <w:t>18</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rsidR="00CD593E" w:rsidRPr="00374A8C" w:rsidRDefault="00CD593E" w:rsidP="00B85FF7">
            <w:pPr>
              <w:spacing w:after="0"/>
              <w:rPr>
                <w:rFonts w:eastAsia="Times New Roman"/>
                <w:sz w:val="22"/>
                <w:szCs w:val="22"/>
              </w:rPr>
            </w:pPr>
            <w:r w:rsidRPr="00374A8C">
              <w:rPr>
                <w:rFonts w:eastAsia="Times New Roman"/>
                <w:sz w:val="22"/>
                <w:szCs w:val="22"/>
              </w:rPr>
              <w:t>Monitoring of operations (progress reports)</w:t>
            </w:r>
          </w:p>
        </w:tc>
        <w:tc>
          <w:tcPr>
            <w:tcW w:w="715" w:type="pct"/>
            <w:tcBorders>
              <w:top w:val="single" w:sz="4" w:space="0" w:color="000000"/>
              <w:left w:val="single" w:sz="4" w:space="0" w:color="000000"/>
              <w:bottom w:val="single" w:sz="4" w:space="0" w:color="000000"/>
              <w:right w:val="single" w:sz="4" w:space="0" w:color="000000"/>
            </w:tcBorders>
          </w:tcPr>
          <w:p w:rsidR="00CD593E" w:rsidRPr="00374A8C" w:rsidRDefault="00CD593E" w:rsidP="00B85FF7">
            <w:pPr>
              <w:rPr>
                <w:sz w:val="22"/>
                <w:szCs w:val="22"/>
              </w:rPr>
            </w:pPr>
            <w:r w:rsidRPr="00374A8C">
              <w:rPr>
                <w:rFonts w:eastAsia="Times New Roman"/>
                <w:sz w:val="22"/>
                <w:szCs w:val="22"/>
              </w:rPr>
              <w:t>Annually</w:t>
            </w:r>
          </w:p>
        </w:tc>
      </w:tr>
      <w:tr w:rsidR="00CD593E" w:rsidRPr="00414803" w:rsidTr="00E929AF">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CD593E" w:rsidRDefault="00CD593E">
            <w:r w:rsidRPr="0046775D">
              <w:rPr>
                <w:rFonts w:eastAsia="Times New Roman"/>
                <w:sz w:val="22"/>
                <w:szCs w:val="22"/>
              </w:rPr>
              <w:t xml:space="preserve">PA 2 </w:t>
            </w:r>
          </w:p>
        </w:tc>
        <w:tc>
          <w:tcPr>
            <w:tcW w:w="1976" w:type="pct"/>
            <w:tcBorders>
              <w:top w:val="single" w:sz="4" w:space="0" w:color="000000"/>
              <w:left w:val="single" w:sz="4" w:space="0" w:color="000000"/>
              <w:bottom w:val="single" w:sz="4" w:space="0" w:color="000000"/>
              <w:right w:val="single" w:sz="4" w:space="0" w:color="000000"/>
            </w:tcBorders>
            <w:shd w:val="clear" w:color="auto" w:fill="auto"/>
          </w:tcPr>
          <w:p w:rsidR="00CD593E" w:rsidRPr="00F30025" w:rsidRDefault="00AE3758" w:rsidP="0037732C">
            <w:r w:rsidRPr="00AE3758">
              <w:t>Additional capacity of renewable energy production (MW)</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rsidR="00CD593E" w:rsidRPr="00374A8C" w:rsidRDefault="008E7488" w:rsidP="00B85FF7">
            <w:pPr>
              <w:spacing w:after="0"/>
              <w:rPr>
                <w:sz w:val="22"/>
                <w:szCs w:val="22"/>
              </w:rPr>
            </w:pPr>
            <w:r>
              <w:rPr>
                <w:sz w:val="22"/>
                <w:szCs w:val="22"/>
              </w:rPr>
              <w:t>MW</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CD593E" w:rsidRPr="00B35006" w:rsidRDefault="008E7488" w:rsidP="00CD593E">
            <w:pPr>
              <w:jc w:val="center"/>
            </w:pPr>
            <w:r>
              <w:t>32</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rsidR="00CD593E" w:rsidRPr="00374A8C" w:rsidRDefault="00CD593E" w:rsidP="00B85FF7">
            <w:pPr>
              <w:spacing w:after="0"/>
              <w:rPr>
                <w:rFonts w:eastAsia="Times New Roman"/>
                <w:sz w:val="22"/>
                <w:szCs w:val="22"/>
              </w:rPr>
            </w:pPr>
            <w:r w:rsidRPr="00374A8C">
              <w:rPr>
                <w:rFonts w:eastAsia="Times New Roman"/>
                <w:sz w:val="22"/>
                <w:szCs w:val="22"/>
              </w:rPr>
              <w:t>Monitoring of operations (progress reports)</w:t>
            </w:r>
          </w:p>
        </w:tc>
        <w:tc>
          <w:tcPr>
            <w:tcW w:w="715" w:type="pct"/>
            <w:tcBorders>
              <w:top w:val="single" w:sz="4" w:space="0" w:color="000000"/>
              <w:left w:val="single" w:sz="4" w:space="0" w:color="000000"/>
              <w:bottom w:val="single" w:sz="4" w:space="0" w:color="000000"/>
              <w:right w:val="single" w:sz="4" w:space="0" w:color="000000"/>
            </w:tcBorders>
          </w:tcPr>
          <w:p w:rsidR="00CD593E" w:rsidRPr="00374A8C" w:rsidRDefault="00CD593E" w:rsidP="00B85FF7">
            <w:pPr>
              <w:rPr>
                <w:sz w:val="22"/>
                <w:szCs w:val="22"/>
              </w:rPr>
            </w:pPr>
            <w:r w:rsidRPr="00374A8C">
              <w:rPr>
                <w:rFonts w:eastAsia="Times New Roman"/>
                <w:sz w:val="22"/>
                <w:szCs w:val="22"/>
              </w:rPr>
              <w:t>Annually</w:t>
            </w:r>
          </w:p>
        </w:tc>
      </w:tr>
    </w:tbl>
    <w:p w:rsidR="00F10141" w:rsidRPr="00B76110" w:rsidRDefault="00F10141" w:rsidP="00F10141">
      <w:pPr>
        <w:rPr>
          <w:rFonts w:eastAsia="Times New Roman"/>
          <w:b/>
        </w:rPr>
      </w:pPr>
    </w:p>
    <w:p w:rsidR="00F10141" w:rsidRPr="00B76110" w:rsidRDefault="00AE3758" w:rsidP="00F10141">
      <w:pPr>
        <w:ind w:left="283"/>
        <w:rPr>
          <w:rFonts w:eastAsia="Times New Roman"/>
        </w:rPr>
      </w:pPr>
      <w:r>
        <w:rPr>
          <w:rFonts w:eastAsia="Times New Roman"/>
        </w:rPr>
        <w:t>*Common output indicators</w:t>
      </w:r>
    </w:p>
    <w:p w:rsidR="00F10141" w:rsidRPr="00B76110" w:rsidRDefault="00F10141" w:rsidP="00F10141">
      <w:pPr>
        <w:suppressAutoHyphens/>
        <w:spacing w:after="240"/>
        <w:rPr>
          <w:rFonts w:eastAsia="Times New Roman"/>
          <w:b/>
        </w:rPr>
      </w:pPr>
    </w:p>
    <w:p w:rsidR="00F10141" w:rsidRPr="00B76110" w:rsidRDefault="00F10141" w:rsidP="00F10141">
      <w:pPr>
        <w:suppressAutoHyphens/>
        <w:spacing w:after="240"/>
        <w:rPr>
          <w:rFonts w:eastAsia="Times New Roman"/>
          <w:b/>
        </w:rPr>
        <w:sectPr w:rsidR="00F10141" w:rsidRPr="00B76110" w:rsidSect="006A4BDD">
          <w:pgSz w:w="16838" w:h="11906" w:orient="landscape"/>
          <w:pgMar w:top="1418" w:right="1021" w:bottom="1418" w:left="1021" w:header="601" w:footer="1077" w:gutter="0"/>
          <w:cols w:space="720"/>
          <w:docGrid w:linePitch="326"/>
        </w:sectPr>
      </w:pPr>
    </w:p>
    <w:p w:rsidR="00F10141" w:rsidRDefault="00F10141" w:rsidP="00F10141">
      <w:pPr>
        <w:suppressAutoHyphens/>
        <w:spacing w:after="240"/>
        <w:rPr>
          <w:rFonts w:eastAsia="Times New Roman"/>
          <w:b/>
        </w:rPr>
      </w:pPr>
      <w:r w:rsidRPr="00B76110">
        <w:rPr>
          <w:rFonts w:eastAsia="Times New Roman"/>
          <w:b/>
        </w:rPr>
        <w:lastRenderedPageBreak/>
        <w:t>2.</w:t>
      </w:r>
      <w:r w:rsidR="008A7F7E">
        <w:rPr>
          <w:rFonts w:eastAsia="Times New Roman"/>
          <w:b/>
        </w:rPr>
        <w:t>2</w:t>
      </w:r>
      <w:r w:rsidRPr="00B76110">
        <w:rPr>
          <w:rFonts w:eastAsia="Times New Roman"/>
          <w:b/>
        </w:rPr>
        <w:t>.</w:t>
      </w:r>
      <w:r>
        <w:rPr>
          <w:rFonts w:eastAsia="Times New Roman"/>
          <w:b/>
        </w:rPr>
        <w:t>7</w:t>
      </w:r>
      <w:r w:rsidRPr="00B76110">
        <w:rPr>
          <w:rFonts w:eastAsia="Times New Roman"/>
          <w:b/>
        </w:rPr>
        <w:t xml:space="preserve">. Categories of intervention </w:t>
      </w:r>
    </w:p>
    <w:p w:rsidR="00F10141" w:rsidRPr="00567F19" w:rsidRDefault="00F10141" w:rsidP="00F10141">
      <w:r w:rsidRPr="00567F19">
        <w:t xml:space="preserve">(Reference: </w:t>
      </w:r>
      <w:r>
        <w:t xml:space="preserve">point (b)(vii) of </w:t>
      </w:r>
      <w:r w:rsidRPr="00567F19">
        <w:t>Article 8(2) of Regulation (EU) No 1299/2013)</w:t>
      </w:r>
    </w:p>
    <w:p w:rsidR="00F10141" w:rsidRPr="008A7F7E" w:rsidRDefault="00F10141" w:rsidP="00F10141">
      <w:pPr>
        <w:suppressAutoHyphens/>
        <w:spacing w:after="240"/>
        <w:rPr>
          <w:rFonts w:eastAsia="Times New Roman"/>
        </w:rPr>
      </w:pPr>
      <w:r w:rsidRPr="00B76110">
        <w:rPr>
          <w:rFonts w:eastAsia="Times New Roman"/>
        </w:rPr>
        <w:t>Categories of intervention corresponding to the content of the priority axis, based on a nomenclature adopted by the Commission, and indicat</w:t>
      </w:r>
      <w:r w:rsidR="008A7F7E">
        <w:rPr>
          <w:rFonts w:eastAsia="Times New Roman"/>
        </w:rPr>
        <w:t xml:space="preserve">ive breakdown of Union support </w:t>
      </w:r>
    </w:p>
    <w:p w:rsidR="00F10141" w:rsidRPr="00B76110" w:rsidRDefault="00F10141" w:rsidP="00F10141">
      <w:pPr>
        <w:suppressAutoHyphens/>
        <w:spacing w:after="240"/>
        <w:rPr>
          <w:rFonts w:eastAsia="Times New Roman"/>
          <w:szCs w:val="24"/>
        </w:rPr>
      </w:pPr>
      <w:r w:rsidRPr="00B76110">
        <w:rPr>
          <w:rFonts w:eastAsia="Times New Roman"/>
          <w:b/>
          <w:szCs w:val="24"/>
        </w:rPr>
        <w:t xml:space="preserve">Tables </w:t>
      </w:r>
      <w:r>
        <w:rPr>
          <w:rFonts w:eastAsia="Times New Roman"/>
          <w:b/>
          <w:szCs w:val="24"/>
        </w:rPr>
        <w:t>5</w:t>
      </w:r>
      <w:r w:rsidRPr="00B76110">
        <w:rPr>
          <w:rFonts w:eastAsia="Times New Roman"/>
          <w:b/>
          <w:szCs w:val="24"/>
        </w:rPr>
        <w:t>-</w:t>
      </w:r>
      <w:r>
        <w:rPr>
          <w:rFonts w:eastAsia="Times New Roman"/>
          <w:b/>
          <w:szCs w:val="24"/>
        </w:rPr>
        <w:t>8</w:t>
      </w:r>
      <w:r w:rsidRPr="00B76110">
        <w:rPr>
          <w:rFonts w:eastAsia="Times New Roman"/>
          <w:b/>
          <w:szCs w:val="24"/>
        </w:rPr>
        <w:t>: Categories of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394"/>
        <w:gridCol w:w="2552"/>
      </w:tblGrid>
      <w:tr w:rsidR="00F10141" w:rsidRPr="00B43A19" w:rsidTr="00B85FF7">
        <w:trPr>
          <w:trHeight w:val="364"/>
        </w:trPr>
        <w:tc>
          <w:tcPr>
            <w:tcW w:w="8472" w:type="dxa"/>
            <w:gridSpan w:val="3"/>
            <w:shd w:val="clear" w:color="auto" w:fill="auto"/>
          </w:tcPr>
          <w:p w:rsidR="00F10141" w:rsidRPr="00B43A19" w:rsidRDefault="00F10141" w:rsidP="00B85FF7">
            <w:pPr>
              <w:autoSpaceDE w:val="0"/>
              <w:autoSpaceDN w:val="0"/>
              <w:adjustRightInd w:val="0"/>
              <w:spacing w:after="0"/>
              <w:rPr>
                <w:rFonts w:eastAsia="Times New Roman"/>
                <w:b/>
                <w:color w:val="000000"/>
                <w:sz w:val="20"/>
              </w:rPr>
            </w:pPr>
            <w:r w:rsidRPr="00B43A19">
              <w:rPr>
                <w:rFonts w:eastAsia="Times New Roman"/>
                <w:b/>
                <w:bCs/>
                <w:color w:val="000000"/>
                <w:sz w:val="20"/>
              </w:rPr>
              <w:t xml:space="preserve">Table 5: Dimension 1 </w:t>
            </w:r>
            <w:r w:rsidRPr="00B43A19">
              <w:rPr>
                <w:rFonts w:eastAsia="Times New Roman"/>
                <w:b/>
                <w:color w:val="000000"/>
                <w:sz w:val="20"/>
              </w:rPr>
              <w:t>Intervention field</w:t>
            </w:r>
          </w:p>
        </w:tc>
      </w:tr>
      <w:tr w:rsidR="00F10141" w:rsidRPr="00B43A19" w:rsidTr="00B85FF7">
        <w:trPr>
          <w:trHeight w:val="267"/>
        </w:trPr>
        <w:tc>
          <w:tcPr>
            <w:tcW w:w="1526" w:type="dxa"/>
            <w:shd w:val="clear" w:color="auto" w:fill="auto"/>
          </w:tcPr>
          <w:p w:rsidR="00F10141" w:rsidRPr="00B43A19" w:rsidRDefault="00F10141" w:rsidP="00B85FF7">
            <w:pPr>
              <w:spacing w:after="240"/>
              <w:jc w:val="center"/>
              <w:rPr>
                <w:rFonts w:eastAsia="Times New Roman"/>
                <w:b/>
                <w:sz w:val="20"/>
              </w:rPr>
            </w:pPr>
            <w:r w:rsidRPr="00B43A19">
              <w:rPr>
                <w:rFonts w:eastAsia="Times New Roman"/>
                <w:b/>
                <w:sz w:val="20"/>
              </w:rPr>
              <w:t>Priority axis</w:t>
            </w:r>
          </w:p>
        </w:tc>
        <w:tc>
          <w:tcPr>
            <w:tcW w:w="4394" w:type="dxa"/>
            <w:shd w:val="clear" w:color="auto" w:fill="auto"/>
          </w:tcPr>
          <w:p w:rsidR="00F10141" w:rsidRPr="00B43A19" w:rsidRDefault="00F10141" w:rsidP="00B85FF7">
            <w:pPr>
              <w:spacing w:after="240"/>
              <w:jc w:val="center"/>
              <w:rPr>
                <w:rFonts w:eastAsia="Times New Roman"/>
                <w:sz w:val="20"/>
              </w:rPr>
            </w:pPr>
            <w:r w:rsidRPr="00B43A19">
              <w:rPr>
                <w:rFonts w:eastAsia="Times New Roman"/>
                <w:b/>
                <w:sz w:val="20"/>
              </w:rPr>
              <w:t>Code</w:t>
            </w:r>
          </w:p>
        </w:tc>
        <w:tc>
          <w:tcPr>
            <w:tcW w:w="2552" w:type="dxa"/>
            <w:shd w:val="clear" w:color="auto" w:fill="auto"/>
          </w:tcPr>
          <w:p w:rsidR="00F10141" w:rsidRPr="00B43A19" w:rsidRDefault="00F10141" w:rsidP="00B85FF7">
            <w:pPr>
              <w:spacing w:after="240"/>
              <w:jc w:val="center"/>
              <w:rPr>
                <w:rFonts w:eastAsia="Times New Roman"/>
                <w:sz w:val="20"/>
              </w:rPr>
            </w:pPr>
            <w:r w:rsidRPr="00B43A19">
              <w:rPr>
                <w:b/>
                <w:sz w:val="20"/>
              </w:rPr>
              <w:t>Amount (EUR)</w:t>
            </w:r>
          </w:p>
        </w:tc>
      </w:tr>
      <w:tr w:rsidR="00441280" w:rsidRPr="00B43A19" w:rsidTr="00441280">
        <w:tc>
          <w:tcPr>
            <w:tcW w:w="1526" w:type="dxa"/>
            <w:shd w:val="clear" w:color="auto" w:fill="auto"/>
          </w:tcPr>
          <w:p w:rsidR="00441280" w:rsidRPr="00B43A19" w:rsidRDefault="00441280" w:rsidP="00441280">
            <w:pPr>
              <w:spacing w:after="0"/>
              <w:rPr>
                <w:rFonts w:eastAsia="Times New Roman"/>
                <w:sz w:val="20"/>
              </w:rPr>
            </w:pPr>
            <w:r w:rsidRPr="00B43A19">
              <w:rPr>
                <w:rFonts w:eastAsia="Times New Roman"/>
                <w:sz w:val="20"/>
              </w:rPr>
              <w:t>PA 2</w:t>
            </w:r>
          </w:p>
        </w:tc>
        <w:tc>
          <w:tcPr>
            <w:tcW w:w="4394" w:type="dxa"/>
            <w:shd w:val="clear" w:color="auto" w:fill="auto"/>
          </w:tcPr>
          <w:p w:rsidR="00441280" w:rsidRPr="00B43A19" w:rsidRDefault="00441280" w:rsidP="00441280">
            <w:pPr>
              <w:spacing w:after="0"/>
              <w:rPr>
                <w:rFonts w:eastAsia="Times New Roman"/>
                <w:sz w:val="20"/>
              </w:rPr>
            </w:pPr>
            <w:r w:rsidRPr="00B43A19">
              <w:rPr>
                <w:rFonts w:eastAsia="Times New Roman"/>
                <w:sz w:val="20"/>
              </w:rPr>
              <w:t>009 Renewable energy: wind</w:t>
            </w:r>
          </w:p>
        </w:tc>
        <w:tc>
          <w:tcPr>
            <w:tcW w:w="2552" w:type="dxa"/>
            <w:shd w:val="clear" w:color="auto" w:fill="auto"/>
            <w:vAlign w:val="bottom"/>
          </w:tcPr>
          <w:p w:rsidR="00441280" w:rsidRPr="00B43A19" w:rsidRDefault="00441280" w:rsidP="00441280">
            <w:pPr>
              <w:spacing w:after="0"/>
              <w:jc w:val="left"/>
              <w:rPr>
                <w:rFonts w:eastAsia="Times New Roman"/>
                <w:sz w:val="20"/>
              </w:rPr>
            </w:pPr>
            <w:r>
              <w:rPr>
                <w:rFonts w:ascii="Arial" w:hAnsi="Arial" w:cs="Arial"/>
                <w:color w:val="000000"/>
                <w:sz w:val="18"/>
                <w:szCs w:val="18"/>
              </w:rPr>
              <w:t>1.428.882,90</w:t>
            </w:r>
          </w:p>
        </w:tc>
      </w:tr>
      <w:tr w:rsidR="00441280" w:rsidRPr="00B43A19" w:rsidTr="00441280">
        <w:trPr>
          <w:trHeight w:val="233"/>
        </w:trPr>
        <w:tc>
          <w:tcPr>
            <w:tcW w:w="1526" w:type="dxa"/>
            <w:shd w:val="clear" w:color="auto" w:fill="auto"/>
          </w:tcPr>
          <w:p w:rsidR="00441280" w:rsidRPr="00B43A19" w:rsidRDefault="00441280" w:rsidP="00441280">
            <w:pPr>
              <w:rPr>
                <w:sz w:val="20"/>
              </w:rPr>
            </w:pPr>
            <w:r w:rsidRPr="00B43A19">
              <w:rPr>
                <w:rFonts w:eastAsia="Times New Roman"/>
                <w:sz w:val="20"/>
              </w:rPr>
              <w:t>PA 2</w:t>
            </w:r>
          </w:p>
        </w:tc>
        <w:tc>
          <w:tcPr>
            <w:tcW w:w="4394" w:type="dxa"/>
            <w:shd w:val="clear" w:color="auto" w:fill="auto"/>
          </w:tcPr>
          <w:p w:rsidR="00441280" w:rsidRPr="00B43A19" w:rsidRDefault="00441280" w:rsidP="00441280">
            <w:pPr>
              <w:spacing w:after="0"/>
              <w:rPr>
                <w:rFonts w:eastAsia="Times New Roman"/>
                <w:sz w:val="20"/>
              </w:rPr>
            </w:pPr>
            <w:r w:rsidRPr="00B43A19">
              <w:rPr>
                <w:rFonts w:eastAsia="Times New Roman"/>
                <w:sz w:val="20"/>
              </w:rPr>
              <w:t>010 Renewable energy: solar</w:t>
            </w:r>
          </w:p>
        </w:tc>
        <w:tc>
          <w:tcPr>
            <w:tcW w:w="2552" w:type="dxa"/>
            <w:shd w:val="clear" w:color="auto" w:fill="auto"/>
            <w:vAlign w:val="bottom"/>
          </w:tcPr>
          <w:p w:rsidR="00441280" w:rsidRPr="00B43A19" w:rsidRDefault="00441280" w:rsidP="00441280">
            <w:pPr>
              <w:spacing w:after="0"/>
              <w:jc w:val="left"/>
              <w:rPr>
                <w:rFonts w:eastAsia="Times New Roman"/>
                <w:sz w:val="20"/>
              </w:rPr>
            </w:pPr>
            <w:r>
              <w:rPr>
                <w:rFonts w:ascii="Arial" w:hAnsi="Arial" w:cs="Arial"/>
                <w:color w:val="000000"/>
                <w:sz w:val="18"/>
                <w:szCs w:val="18"/>
              </w:rPr>
              <w:t>1.428.882,90</w:t>
            </w:r>
          </w:p>
        </w:tc>
      </w:tr>
      <w:tr w:rsidR="00441280" w:rsidRPr="00B43A19" w:rsidTr="00441280">
        <w:trPr>
          <w:trHeight w:val="47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spacing w:after="0"/>
              <w:rPr>
                <w:sz w:val="20"/>
              </w:rPr>
            </w:pPr>
            <w:r w:rsidRPr="00B43A19">
              <w:rPr>
                <w:rFonts w:eastAsia="Times New Roman"/>
                <w:sz w:val="20"/>
              </w:rPr>
              <w:t>PA 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spacing w:after="0"/>
              <w:rPr>
                <w:rFonts w:eastAsia="Times New Roman"/>
                <w:sz w:val="20"/>
              </w:rPr>
            </w:pPr>
            <w:r w:rsidRPr="00B43A19">
              <w:rPr>
                <w:rFonts w:eastAsia="Times New Roman"/>
                <w:sz w:val="20"/>
              </w:rPr>
              <w:t>011 Renewable energy: biomass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B43A19" w:rsidRDefault="00441280" w:rsidP="00441280">
            <w:pPr>
              <w:spacing w:after="0"/>
              <w:jc w:val="left"/>
              <w:rPr>
                <w:rFonts w:eastAsia="Times New Roman"/>
                <w:sz w:val="20"/>
              </w:rPr>
            </w:pPr>
            <w:r>
              <w:rPr>
                <w:rFonts w:ascii="Arial" w:hAnsi="Arial" w:cs="Arial"/>
                <w:color w:val="000000"/>
                <w:sz w:val="18"/>
                <w:szCs w:val="18"/>
              </w:rPr>
              <w:t>1.428.882,90</w:t>
            </w:r>
          </w:p>
        </w:tc>
      </w:tr>
      <w:tr w:rsidR="00441280" w:rsidRPr="00B43A19" w:rsidTr="00441280">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rPr>
                <w:sz w:val="20"/>
              </w:rPr>
            </w:pPr>
            <w:r w:rsidRPr="00B43A19">
              <w:rPr>
                <w:rFonts w:eastAsia="Times New Roman"/>
                <w:sz w:val="20"/>
              </w:rPr>
              <w:t>PA 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spacing w:after="0"/>
              <w:rPr>
                <w:rFonts w:eastAsia="Times New Roman"/>
                <w:sz w:val="20"/>
              </w:rPr>
            </w:pPr>
            <w:r w:rsidRPr="00B43A19">
              <w:rPr>
                <w:rFonts w:eastAsia="Times New Roman"/>
                <w:sz w:val="20"/>
              </w:rPr>
              <w:t>012 Other renewable energy (including hydroelectric, geothermal and marine energy) and renewable energy integration (including storage, power to gas and renewable hydrogen infrastructure)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B43A19" w:rsidRDefault="00441280" w:rsidP="00441280">
            <w:pPr>
              <w:spacing w:after="0"/>
              <w:jc w:val="left"/>
              <w:rPr>
                <w:rFonts w:eastAsia="Times New Roman"/>
                <w:sz w:val="20"/>
              </w:rPr>
            </w:pPr>
            <w:r>
              <w:rPr>
                <w:rFonts w:ascii="Arial" w:hAnsi="Arial" w:cs="Arial"/>
                <w:color w:val="000000"/>
                <w:sz w:val="18"/>
                <w:szCs w:val="18"/>
              </w:rPr>
              <w:t>1.428.882,90</w:t>
            </w:r>
          </w:p>
        </w:tc>
      </w:tr>
      <w:tr w:rsidR="00441280" w:rsidRPr="00B43A19" w:rsidTr="00441280">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rPr>
                <w:sz w:val="20"/>
              </w:rPr>
            </w:pPr>
            <w:r w:rsidRPr="00B43A19">
              <w:rPr>
                <w:rFonts w:eastAsia="Times New Roman"/>
                <w:sz w:val="20"/>
              </w:rPr>
              <w:t>PA 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spacing w:after="0"/>
              <w:rPr>
                <w:rFonts w:eastAsia="Times New Roman"/>
                <w:sz w:val="20"/>
              </w:rPr>
            </w:pPr>
            <w:r w:rsidRPr="00B43A19">
              <w:rPr>
                <w:rFonts w:eastAsia="Times New Roman"/>
                <w:sz w:val="20"/>
              </w:rPr>
              <w:t>013 Energy efficiency renovation of public infrastructure, demonstration projects and supporting measures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B43A19" w:rsidRDefault="00441280" w:rsidP="00441280">
            <w:pPr>
              <w:spacing w:after="0"/>
              <w:jc w:val="left"/>
              <w:rPr>
                <w:rFonts w:eastAsia="Times New Roman"/>
                <w:sz w:val="20"/>
              </w:rPr>
            </w:pPr>
            <w:r>
              <w:rPr>
                <w:rFonts w:ascii="Arial" w:hAnsi="Arial" w:cs="Arial"/>
                <w:color w:val="000000"/>
                <w:sz w:val="18"/>
                <w:szCs w:val="18"/>
              </w:rPr>
              <w:t>1.428.882,90</w:t>
            </w:r>
          </w:p>
        </w:tc>
      </w:tr>
      <w:tr w:rsidR="00441280" w:rsidRPr="00B43A19" w:rsidTr="00441280">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rPr>
                <w:sz w:val="20"/>
              </w:rPr>
            </w:pPr>
            <w:r w:rsidRPr="00B43A19">
              <w:rPr>
                <w:rFonts w:eastAsia="Times New Roman"/>
                <w:sz w:val="20"/>
              </w:rPr>
              <w:t>PA 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spacing w:after="0"/>
              <w:rPr>
                <w:rFonts w:eastAsia="Times New Roman"/>
                <w:sz w:val="20"/>
              </w:rPr>
            </w:pPr>
            <w:r w:rsidRPr="00B43A19">
              <w:rPr>
                <w:rFonts w:eastAsia="Times New Roman"/>
                <w:sz w:val="20"/>
              </w:rPr>
              <w:t>014 Energy efficiency renovation of existing housing stock, demonstration projects and supporting measures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B43A19" w:rsidRDefault="00441280" w:rsidP="00441280">
            <w:pPr>
              <w:spacing w:after="0"/>
              <w:jc w:val="left"/>
              <w:rPr>
                <w:rFonts w:eastAsia="Times New Roman"/>
                <w:sz w:val="20"/>
              </w:rPr>
            </w:pPr>
            <w:r>
              <w:rPr>
                <w:rFonts w:ascii="Arial" w:hAnsi="Arial" w:cs="Arial"/>
                <w:color w:val="000000"/>
                <w:sz w:val="18"/>
                <w:szCs w:val="18"/>
              </w:rPr>
              <w:t>1.428.882,90</w:t>
            </w:r>
          </w:p>
        </w:tc>
      </w:tr>
      <w:tr w:rsidR="00441280" w:rsidRPr="00B43A19" w:rsidTr="00441280">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rPr>
                <w:rFonts w:eastAsia="Times New Roman"/>
                <w:sz w:val="20"/>
              </w:rPr>
            </w:pPr>
            <w:r w:rsidRPr="00B43A19">
              <w:rPr>
                <w:rFonts w:eastAsia="Times New Roman"/>
                <w:sz w:val="20"/>
              </w:rPr>
              <w:t>PA 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spacing w:after="0"/>
              <w:rPr>
                <w:rFonts w:eastAsia="Times New Roman"/>
                <w:sz w:val="20"/>
              </w:rPr>
            </w:pPr>
            <w:r w:rsidRPr="00B43A19">
              <w:rPr>
                <w:rFonts w:eastAsia="Times New Roman"/>
                <w:sz w:val="20"/>
              </w:rPr>
              <w:t>085</w:t>
            </w:r>
            <w:r w:rsidRPr="00B43A19">
              <w:rPr>
                <w:sz w:val="20"/>
              </w:rPr>
              <w:t xml:space="preserve"> </w:t>
            </w:r>
            <w:r w:rsidRPr="00B43A19">
              <w:rPr>
                <w:rFonts w:eastAsia="Times New Roman"/>
                <w:sz w:val="20"/>
              </w:rPr>
              <w:t>Protection and enhancement of biodiversity, nature protection and green infrastructure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B43A19" w:rsidRDefault="00441280" w:rsidP="00441280">
            <w:pPr>
              <w:spacing w:after="0"/>
              <w:jc w:val="left"/>
              <w:rPr>
                <w:rFonts w:eastAsia="Times New Roman"/>
                <w:sz w:val="20"/>
              </w:rPr>
            </w:pPr>
            <w:r>
              <w:rPr>
                <w:rFonts w:ascii="Arial" w:hAnsi="Arial" w:cs="Arial"/>
                <w:color w:val="000000"/>
                <w:sz w:val="18"/>
                <w:szCs w:val="18"/>
              </w:rPr>
              <w:t>1.428.882,90</w:t>
            </w:r>
          </w:p>
        </w:tc>
      </w:tr>
      <w:tr w:rsidR="00441280" w:rsidRPr="00B43A19" w:rsidTr="00441280">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rPr>
                <w:rFonts w:eastAsia="Times New Roman"/>
                <w:sz w:val="20"/>
              </w:rPr>
            </w:pPr>
            <w:r w:rsidRPr="00B43A19">
              <w:rPr>
                <w:rFonts w:eastAsia="Times New Roman"/>
                <w:sz w:val="20"/>
              </w:rPr>
              <w:t>PA 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spacing w:after="0"/>
              <w:rPr>
                <w:rFonts w:eastAsia="Times New Roman"/>
                <w:sz w:val="20"/>
              </w:rPr>
            </w:pPr>
            <w:r w:rsidRPr="00B43A19">
              <w:rPr>
                <w:rFonts w:eastAsia="Times New Roman"/>
                <w:sz w:val="20"/>
              </w:rPr>
              <w:t>087</w:t>
            </w:r>
            <w:r w:rsidRPr="00B43A19">
              <w:rPr>
                <w:sz w:val="20"/>
              </w:rPr>
              <w:t xml:space="preserve"> </w:t>
            </w:r>
            <w:r w:rsidRPr="00B43A19">
              <w:rPr>
                <w:rFonts w:eastAsia="Times New Roman"/>
                <w:sz w:val="20"/>
              </w:rPr>
              <w:t>Adaptation to climate change measures and prevention and management of climate related risks e.g. erosion, fires, flooding, storms and drought, including awareness raising, civil protection and disaster management systems and infrastructures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B43A19" w:rsidRDefault="00441280" w:rsidP="00441280">
            <w:pPr>
              <w:spacing w:after="0"/>
              <w:jc w:val="left"/>
              <w:rPr>
                <w:rFonts w:eastAsia="Times New Roman"/>
                <w:sz w:val="20"/>
              </w:rPr>
            </w:pPr>
            <w:r>
              <w:rPr>
                <w:rFonts w:ascii="Arial" w:hAnsi="Arial" w:cs="Arial"/>
                <w:color w:val="000000"/>
                <w:sz w:val="18"/>
                <w:szCs w:val="18"/>
              </w:rPr>
              <w:t>1.428.882,90</w:t>
            </w:r>
          </w:p>
        </w:tc>
      </w:tr>
      <w:tr w:rsidR="00441280" w:rsidRPr="00B43A19" w:rsidTr="00441280">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rPr>
                <w:rFonts w:eastAsia="Times New Roman"/>
                <w:sz w:val="20"/>
              </w:rPr>
            </w:pPr>
            <w:r w:rsidRPr="00B43A19">
              <w:rPr>
                <w:rFonts w:eastAsia="Times New Roman"/>
                <w:sz w:val="20"/>
              </w:rPr>
              <w:t>PA 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441280">
            <w:pPr>
              <w:spacing w:after="0"/>
              <w:rPr>
                <w:rFonts w:eastAsia="Times New Roman"/>
                <w:sz w:val="20"/>
              </w:rPr>
            </w:pPr>
            <w:r w:rsidRPr="00B43A19">
              <w:rPr>
                <w:rFonts w:eastAsia="Times New Roman"/>
                <w:sz w:val="20"/>
              </w:rPr>
              <w:t>088 Risk prevention and management of non-climate related natural risks (i.e. earthquakes) and risks linked to human activities (e.g. technological accidents), including awareness raising, civil protection and disaster management systems and infrastructures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B43A19" w:rsidRDefault="00441280" w:rsidP="00441280">
            <w:pPr>
              <w:spacing w:after="0"/>
              <w:jc w:val="left"/>
              <w:rPr>
                <w:rFonts w:eastAsia="Times New Roman"/>
                <w:sz w:val="20"/>
              </w:rPr>
            </w:pPr>
            <w:r>
              <w:rPr>
                <w:rFonts w:ascii="Arial" w:hAnsi="Arial" w:cs="Arial"/>
                <w:color w:val="000000"/>
                <w:sz w:val="18"/>
                <w:szCs w:val="18"/>
              </w:rPr>
              <w:t>1.428.882,90</w:t>
            </w:r>
          </w:p>
        </w:tc>
      </w:tr>
      <w:tr w:rsidR="002F7F90" w:rsidRPr="00B43A19" w:rsidTr="00B85FF7">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2F7F90" w:rsidRPr="00B43A19" w:rsidRDefault="002F7F90">
            <w:pPr>
              <w:rPr>
                <w:rFonts w:eastAsia="Times New Roman"/>
                <w:sz w:val="20"/>
              </w:rPr>
            </w:pPr>
            <w:r w:rsidRPr="00B43A19">
              <w:rPr>
                <w:rFonts w:eastAsia="Times New Roman"/>
                <w:sz w:val="20"/>
              </w:rPr>
              <w:t>PA 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F7F90" w:rsidRPr="00B43A19" w:rsidRDefault="002F7F90" w:rsidP="00AD6349">
            <w:pPr>
              <w:spacing w:after="0"/>
              <w:rPr>
                <w:rFonts w:eastAsia="Times New Roman"/>
                <w:sz w:val="20"/>
              </w:rPr>
            </w:pPr>
            <w:r w:rsidRPr="00B43A19">
              <w:rPr>
                <w:rFonts w:eastAsia="Times New Roman"/>
                <w:sz w:val="20"/>
              </w:rPr>
              <w:t>086 Protection, restoration and sustainable use of Natura 2000 sites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41280" w:rsidRPr="00B43A19" w:rsidRDefault="00441280" w:rsidP="00F55943">
            <w:pPr>
              <w:spacing w:after="0"/>
              <w:jc w:val="left"/>
              <w:rPr>
                <w:rFonts w:eastAsia="Times New Roman"/>
                <w:sz w:val="20"/>
              </w:rPr>
            </w:pPr>
          </w:p>
          <w:p w:rsidR="002F7F90" w:rsidRPr="00441280" w:rsidRDefault="00441280" w:rsidP="00441280">
            <w:pPr>
              <w:spacing w:before="0" w:after="0"/>
              <w:jc w:val="left"/>
              <w:rPr>
                <w:rFonts w:ascii="Arial" w:hAnsi="Arial" w:cs="Arial"/>
                <w:color w:val="000000"/>
                <w:sz w:val="18"/>
                <w:szCs w:val="18"/>
              </w:rPr>
            </w:pPr>
            <w:r>
              <w:rPr>
                <w:rFonts w:ascii="Arial" w:hAnsi="Arial" w:cs="Arial"/>
                <w:color w:val="000000"/>
                <w:sz w:val="18"/>
                <w:szCs w:val="18"/>
              </w:rPr>
              <w:t>1.428.882,90</w:t>
            </w:r>
          </w:p>
        </w:tc>
      </w:tr>
    </w:tbl>
    <w:p w:rsidR="0064234B" w:rsidRPr="00FA1C87" w:rsidRDefault="0064234B" w:rsidP="00F10141">
      <w:pPr>
        <w:suppressAutoHyphens/>
        <w:spacing w:after="240"/>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10141" w:rsidRPr="00B43A19" w:rsidTr="00B85FF7">
        <w:trPr>
          <w:trHeight w:val="364"/>
        </w:trPr>
        <w:tc>
          <w:tcPr>
            <w:tcW w:w="8472" w:type="dxa"/>
            <w:gridSpan w:val="3"/>
            <w:shd w:val="clear" w:color="auto" w:fill="auto"/>
          </w:tcPr>
          <w:p w:rsidR="00F10141" w:rsidRPr="00B43A19" w:rsidRDefault="00F10141" w:rsidP="00B85FF7">
            <w:pPr>
              <w:autoSpaceDE w:val="0"/>
              <w:autoSpaceDN w:val="0"/>
              <w:adjustRightInd w:val="0"/>
              <w:spacing w:after="0"/>
              <w:rPr>
                <w:rFonts w:eastAsia="Times New Roman"/>
                <w:b/>
                <w:color w:val="000000"/>
                <w:sz w:val="20"/>
              </w:rPr>
            </w:pPr>
            <w:r w:rsidRPr="00B43A19">
              <w:rPr>
                <w:rFonts w:eastAsia="Times New Roman"/>
                <w:b/>
                <w:bCs/>
                <w:color w:val="000000"/>
                <w:sz w:val="20"/>
              </w:rPr>
              <w:t xml:space="preserve">Table 6: Dimension 2 </w:t>
            </w:r>
            <w:r w:rsidRPr="00B43A19">
              <w:rPr>
                <w:rFonts w:eastAsia="Times New Roman"/>
                <w:b/>
                <w:color w:val="000000"/>
                <w:sz w:val="20"/>
              </w:rPr>
              <w:t>Form of finance</w:t>
            </w:r>
          </w:p>
        </w:tc>
      </w:tr>
      <w:tr w:rsidR="00F10141" w:rsidRPr="00B43A19" w:rsidTr="00B85FF7">
        <w:trPr>
          <w:trHeight w:val="267"/>
        </w:trPr>
        <w:tc>
          <w:tcPr>
            <w:tcW w:w="2802" w:type="dxa"/>
            <w:shd w:val="clear" w:color="auto" w:fill="auto"/>
          </w:tcPr>
          <w:p w:rsidR="00F10141" w:rsidRPr="00B43A19" w:rsidRDefault="00F10141" w:rsidP="00B85FF7">
            <w:pPr>
              <w:spacing w:after="240"/>
              <w:jc w:val="center"/>
              <w:rPr>
                <w:rFonts w:eastAsia="Times New Roman"/>
                <w:b/>
                <w:sz w:val="20"/>
              </w:rPr>
            </w:pPr>
            <w:r w:rsidRPr="00B43A19">
              <w:rPr>
                <w:rFonts w:eastAsia="Times New Roman"/>
                <w:b/>
                <w:sz w:val="20"/>
              </w:rPr>
              <w:t>Priority axis</w:t>
            </w:r>
          </w:p>
        </w:tc>
        <w:tc>
          <w:tcPr>
            <w:tcW w:w="2693" w:type="dxa"/>
            <w:shd w:val="clear" w:color="auto" w:fill="auto"/>
          </w:tcPr>
          <w:p w:rsidR="00F10141" w:rsidRPr="00B43A19" w:rsidRDefault="00F10141" w:rsidP="00B85FF7">
            <w:pPr>
              <w:spacing w:after="240"/>
              <w:jc w:val="center"/>
              <w:rPr>
                <w:rFonts w:eastAsia="Times New Roman"/>
                <w:sz w:val="20"/>
              </w:rPr>
            </w:pPr>
            <w:r w:rsidRPr="00B43A19">
              <w:rPr>
                <w:rFonts w:eastAsia="Times New Roman"/>
                <w:b/>
                <w:sz w:val="20"/>
              </w:rPr>
              <w:t>Code</w:t>
            </w:r>
          </w:p>
        </w:tc>
        <w:tc>
          <w:tcPr>
            <w:tcW w:w="2977" w:type="dxa"/>
            <w:shd w:val="clear" w:color="auto" w:fill="auto"/>
          </w:tcPr>
          <w:p w:rsidR="00F10141" w:rsidRPr="00B43A19" w:rsidRDefault="00F10141" w:rsidP="00B85FF7">
            <w:pPr>
              <w:spacing w:after="240"/>
              <w:jc w:val="center"/>
              <w:rPr>
                <w:rFonts w:eastAsia="Times New Roman"/>
                <w:sz w:val="20"/>
              </w:rPr>
            </w:pPr>
            <w:r w:rsidRPr="00B43A19">
              <w:rPr>
                <w:b/>
                <w:sz w:val="20"/>
              </w:rPr>
              <w:t>Amount (EUR)</w:t>
            </w:r>
          </w:p>
        </w:tc>
      </w:tr>
      <w:tr w:rsidR="00F10141" w:rsidRPr="00B43A19" w:rsidTr="00B85FF7">
        <w:tc>
          <w:tcPr>
            <w:tcW w:w="2802" w:type="dxa"/>
            <w:shd w:val="clear" w:color="auto" w:fill="auto"/>
          </w:tcPr>
          <w:p w:rsidR="00F10141" w:rsidRPr="00B43A19" w:rsidRDefault="00F10141" w:rsidP="008A7F7E">
            <w:pPr>
              <w:spacing w:after="240"/>
              <w:rPr>
                <w:rFonts w:eastAsia="Times New Roman"/>
                <w:sz w:val="20"/>
              </w:rPr>
            </w:pPr>
            <w:r w:rsidRPr="00B43A19">
              <w:rPr>
                <w:rFonts w:eastAsia="Times New Roman"/>
                <w:sz w:val="20"/>
              </w:rPr>
              <w:t xml:space="preserve">PA </w:t>
            </w:r>
            <w:r w:rsidR="008A7F7E" w:rsidRPr="00B43A19">
              <w:rPr>
                <w:rFonts w:eastAsia="Times New Roman"/>
                <w:sz w:val="20"/>
              </w:rPr>
              <w:t>2</w:t>
            </w:r>
          </w:p>
        </w:tc>
        <w:tc>
          <w:tcPr>
            <w:tcW w:w="2693" w:type="dxa"/>
            <w:shd w:val="clear" w:color="auto" w:fill="auto"/>
          </w:tcPr>
          <w:p w:rsidR="00F10141" w:rsidRPr="00B43A19" w:rsidRDefault="00F10141" w:rsidP="00B85FF7">
            <w:pPr>
              <w:suppressAutoHyphens/>
              <w:spacing w:after="0"/>
              <w:rPr>
                <w:rFonts w:eastAsia="Times New Roman"/>
                <w:sz w:val="20"/>
              </w:rPr>
            </w:pPr>
            <w:r w:rsidRPr="00B43A19">
              <w:rPr>
                <w:rFonts w:eastAsia="Times New Roman"/>
                <w:sz w:val="20"/>
              </w:rPr>
              <w:t>01 Non-repayable grant</w:t>
            </w:r>
          </w:p>
        </w:tc>
        <w:tc>
          <w:tcPr>
            <w:tcW w:w="2977" w:type="dxa"/>
            <w:shd w:val="clear" w:color="auto" w:fill="auto"/>
          </w:tcPr>
          <w:p w:rsidR="00F10141" w:rsidRPr="00B43A19" w:rsidRDefault="00A945D8" w:rsidP="009E0F20">
            <w:pPr>
              <w:spacing w:after="240"/>
              <w:jc w:val="left"/>
              <w:rPr>
                <w:rFonts w:eastAsia="Times New Roman"/>
                <w:sz w:val="20"/>
              </w:rPr>
            </w:pPr>
            <w:r w:rsidRPr="00B43A19">
              <w:rPr>
                <w:rFonts w:eastAsia="Times New Roman"/>
                <w:sz w:val="20"/>
              </w:rPr>
              <w:t>14.</w:t>
            </w:r>
            <w:r w:rsidR="009E0F20" w:rsidRPr="00B43A19">
              <w:rPr>
                <w:rFonts w:eastAsia="Times New Roman"/>
                <w:sz w:val="20"/>
              </w:rPr>
              <w:t>288</w:t>
            </w:r>
            <w:r w:rsidR="00094796" w:rsidRPr="00B43A19">
              <w:rPr>
                <w:rFonts w:eastAsia="Times New Roman"/>
                <w:sz w:val="20"/>
              </w:rPr>
              <w:t>.</w:t>
            </w:r>
            <w:r w:rsidR="009E0F20" w:rsidRPr="00B43A19">
              <w:rPr>
                <w:rFonts w:eastAsia="Times New Roman"/>
                <w:sz w:val="20"/>
              </w:rPr>
              <w:t>829</w:t>
            </w:r>
            <w:r w:rsidR="00094796" w:rsidRPr="00B43A19">
              <w:rPr>
                <w:rFonts w:eastAsia="Times New Roman"/>
                <w:sz w:val="20"/>
              </w:rPr>
              <w:t>,00</w:t>
            </w:r>
          </w:p>
        </w:tc>
      </w:tr>
    </w:tbl>
    <w:p w:rsidR="00F10141" w:rsidRPr="00BF6086" w:rsidRDefault="00F10141" w:rsidP="00F10141">
      <w:pPr>
        <w:suppressAutoHyphens/>
        <w:spacing w:after="0"/>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10141" w:rsidRPr="00B43A19" w:rsidTr="00B85FF7">
        <w:trPr>
          <w:trHeight w:val="364"/>
        </w:trPr>
        <w:tc>
          <w:tcPr>
            <w:tcW w:w="8472" w:type="dxa"/>
            <w:gridSpan w:val="3"/>
            <w:shd w:val="clear" w:color="auto" w:fill="auto"/>
          </w:tcPr>
          <w:p w:rsidR="00F10141" w:rsidRPr="00B43A19" w:rsidRDefault="00F10141" w:rsidP="00B85FF7">
            <w:pPr>
              <w:autoSpaceDE w:val="0"/>
              <w:autoSpaceDN w:val="0"/>
              <w:adjustRightInd w:val="0"/>
              <w:spacing w:after="0"/>
              <w:rPr>
                <w:rFonts w:eastAsia="Times New Roman"/>
                <w:b/>
                <w:color w:val="000000"/>
                <w:sz w:val="20"/>
              </w:rPr>
            </w:pPr>
            <w:r w:rsidRPr="00B43A19">
              <w:rPr>
                <w:rFonts w:eastAsia="Times New Roman"/>
                <w:b/>
                <w:bCs/>
                <w:color w:val="000000"/>
                <w:sz w:val="20"/>
              </w:rPr>
              <w:t xml:space="preserve">Table 7: Dimension 3 </w:t>
            </w:r>
            <w:r w:rsidRPr="00B43A19">
              <w:rPr>
                <w:rFonts w:eastAsia="Times New Roman"/>
                <w:b/>
                <w:color w:val="000000"/>
                <w:sz w:val="20"/>
              </w:rPr>
              <w:t>Territory type</w:t>
            </w:r>
          </w:p>
        </w:tc>
      </w:tr>
      <w:tr w:rsidR="00F10141" w:rsidRPr="00B43A19" w:rsidTr="00B85FF7">
        <w:trPr>
          <w:trHeight w:val="267"/>
        </w:trPr>
        <w:tc>
          <w:tcPr>
            <w:tcW w:w="2802" w:type="dxa"/>
            <w:shd w:val="clear" w:color="auto" w:fill="auto"/>
          </w:tcPr>
          <w:p w:rsidR="00F10141" w:rsidRPr="00B43A19" w:rsidRDefault="00F10141" w:rsidP="00B85FF7">
            <w:pPr>
              <w:spacing w:after="240"/>
              <w:jc w:val="center"/>
              <w:rPr>
                <w:rFonts w:eastAsia="Times New Roman"/>
                <w:b/>
                <w:sz w:val="20"/>
              </w:rPr>
            </w:pPr>
            <w:r w:rsidRPr="00B43A19">
              <w:rPr>
                <w:rFonts w:eastAsia="Times New Roman"/>
                <w:b/>
                <w:sz w:val="20"/>
              </w:rPr>
              <w:t>Priority axis</w:t>
            </w:r>
          </w:p>
        </w:tc>
        <w:tc>
          <w:tcPr>
            <w:tcW w:w="2693" w:type="dxa"/>
            <w:shd w:val="clear" w:color="auto" w:fill="auto"/>
          </w:tcPr>
          <w:p w:rsidR="00F10141" w:rsidRPr="00B43A19" w:rsidRDefault="00F10141" w:rsidP="00B85FF7">
            <w:pPr>
              <w:spacing w:after="240"/>
              <w:jc w:val="center"/>
              <w:rPr>
                <w:rFonts w:eastAsia="Times New Roman"/>
                <w:sz w:val="20"/>
              </w:rPr>
            </w:pPr>
            <w:r w:rsidRPr="00B43A19">
              <w:rPr>
                <w:rFonts w:eastAsia="Times New Roman"/>
                <w:b/>
                <w:sz w:val="20"/>
              </w:rPr>
              <w:t>Code</w:t>
            </w:r>
          </w:p>
        </w:tc>
        <w:tc>
          <w:tcPr>
            <w:tcW w:w="2977" w:type="dxa"/>
            <w:shd w:val="clear" w:color="auto" w:fill="auto"/>
          </w:tcPr>
          <w:p w:rsidR="00F10141" w:rsidRPr="00B43A19" w:rsidRDefault="00F10141" w:rsidP="00B85FF7">
            <w:pPr>
              <w:spacing w:after="240"/>
              <w:jc w:val="center"/>
              <w:rPr>
                <w:rFonts w:eastAsia="Times New Roman"/>
                <w:sz w:val="20"/>
              </w:rPr>
            </w:pPr>
            <w:r w:rsidRPr="00B43A19">
              <w:rPr>
                <w:b/>
                <w:sz w:val="20"/>
              </w:rPr>
              <w:t>Amount (EUR)</w:t>
            </w:r>
          </w:p>
        </w:tc>
      </w:tr>
      <w:tr w:rsidR="001C3724" w:rsidRPr="00B43A19" w:rsidTr="00B85FF7">
        <w:tc>
          <w:tcPr>
            <w:tcW w:w="2802" w:type="dxa"/>
            <w:shd w:val="clear" w:color="auto" w:fill="auto"/>
          </w:tcPr>
          <w:p w:rsidR="001C3724" w:rsidRPr="00B43A19" w:rsidRDefault="001C3724" w:rsidP="008A7F7E">
            <w:pPr>
              <w:spacing w:after="240"/>
              <w:rPr>
                <w:rFonts w:eastAsia="Times New Roman"/>
                <w:sz w:val="20"/>
              </w:rPr>
            </w:pPr>
            <w:r w:rsidRPr="00B43A19">
              <w:rPr>
                <w:rFonts w:eastAsia="Times New Roman"/>
                <w:sz w:val="20"/>
              </w:rPr>
              <w:t>PA 2</w:t>
            </w:r>
          </w:p>
        </w:tc>
        <w:tc>
          <w:tcPr>
            <w:tcW w:w="2693" w:type="dxa"/>
            <w:shd w:val="clear" w:color="auto" w:fill="auto"/>
          </w:tcPr>
          <w:p w:rsidR="001C3724" w:rsidRPr="00B43A19" w:rsidRDefault="001C3724" w:rsidP="00B8035B">
            <w:pPr>
              <w:suppressAutoHyphens/>
              <w:spacing w:after="0"/>
              <w:rPr>
                <w:rFonts w:eastAsia="Times New Roman"/>
                <w:sz w:val="20"/>
              </w:rPr>
            </w:pPr>
            <w:r w:rsidRPr="00B43A19">
              <w:rPr>
                <w:rFonts w:eastAsia="Times New Roman"/>
                <w:sz w:val="20"/>
              </w:rPr>
              <w:t>01 Large Urban areas (densely populated &gt; 50 000 population)</w:t>
            </w:r>
          </w:p>
        </w:tc>
        <w:tc>
          <w:tcPr>
            <w:tcW w:w="2977" w:type="dxa"/>
            <w:shd w:val="clear" w:color="auto" w:fill="auto"/>
          </w:tcPr>
          <w:p w:rsidR="001C3724" w:rsidRPr="00B43A19" w:rsidRDefault="00E35A6A" w:rsidP="00E35A6A">
            <w:pPr>
              <w:spacing w:after="240"/>
              <w:jc w:val="left"/>
              <w:rPr>
                <w:rFonts w:eastAsia="Times New Roman"/>
                <w:sz w:val="20"/>
              </w:rPr>
            </w:pPr>
            <w:r w:rsidRPr="00B43A19">
              <w:rPr>
                <w:rFonts w:eastAsia="Times New Roman"/>
                <w:sz w:val="20"/>
              </w:rPr>
              <w:t>4.762.943,00</w:t>
            </w:r>
          </w:p>
        </w:tc>
      </w:tr>
      <w:tr w:rsidR="00E35A6A" w:rsidRPr="00B43A19" w:rsidTr="00B85FF7">
        <w:tc>
          <w:tcPr>
            <w:tcW w:w="2802" w:type="dxa"/>
            <w:shd w:val="clear" w:color="auto" w:fill="auto"/>
          </w:tcPr>
          <w:p w:rsidR="00E35A6A" w:rsidRPr="00B43A19" w:rsidRDefault="00E35A6A" w:rsidP="008A7F7E">
            <w:pPr>
              <w:spacing w:after="240"/>
              <w:rPr>
                <w:rFonts w:eastAsia="Times New Roman"/>
                <w:sz w:val="20"/>
              </w:rPr>
            </w:pPr>
            <w:r w:rsidRPr="00B43A19">
              <w:rPr>
                <w:rFonts w:eastAsia="Times New Roman"/>
                <w:sz w:val="20"/>
              </w:rPr>
              <w:t>PA 2</w:t>
            </w:r>
          </w:p>
        </w:tc>
        <w:tc>
          <w:tcPr>
            <w:tcW w:w="2693" w:type="dxa"/>
            <w:shd w:val="clear" w:color="auto" w:fill="auto"/>
          </w:tcPr>
          <w:p w:rsidR="00E35A6A" w:rsidRPr="00B43A19" w:rsidRDefault="00E35A6A" w:rsidP="00B8035B">
            <w:pPr>
              <w:suppressAutoHyphens/>
              <w:spacing w:after="0"/>
              <w:rPr>
                <w:rFonts w:eastAsia="Times New Roman"/>
                <w:sz w:val="20"/>
              </w:rPr>
            </w:pPr>
            <w:r w:rsidRPr="00B43A19">
              <w:rPr>
                <w:rFonts w:eastAsia="Times New Roman"/>
                <w:sz w:val="20"/>
              </w:rPr>
              <w:t>02 Small Urban areas (intermediate density &gt; 5 000 population)</w:t>
            </w:r>
          </w:p>
        </w:tc>
        <w:tc>
          <w:tcPr>
            <w:tcW w:w="2977" w:type="dxa"/>
            <w:shd w:val="clear" w:color="auto" w:fill="auto"/>
          </w:tcPr>
          <w:p w:rsidR="00E35A6A" w:rsidRPr="00B43A19" w:rsidRDefault="00E35A6A" w:rsidP="00E35A6A">
            <w:pPr>
              <w:spacing w:after="240"/>
              <w:jc w:val="left"/>
              <w:rPr>
                <w:rFonts w:eastAsia="Times New Roman"/>
                <w:sz w:val="20"/>
              </w:rPr>
            </w:pPr>
            <w:r w:rsidRPr="00B43A19">
              <w:rPr>
                <w:rFonts w:eastAsia="Times New Roman"/>
                <w:sz w:val="20"/>
              </w:rPr>
              <w:t>4.762.943,00</w:t>
            </w:r>
          </w:p>
        </w:tc>
      </w:tr>
      <w:tr w:rsidR="00E35A6A" w:rsidRPr="00B43A19" w:rsidTr="00B85FF7">
        <w:tc>
          <w:tcPr>
            <w:tcW w:w="2802" w:type="dxa"/>
            <w:shd w:val="clear" w:color="auto" w:fill="auto"/>
          </w:tcPr>
          <w:p w:rsidR="00E35A6A" w:rsidRPr="00B43A19" w:rsidRDefault="00E35A6A" w:rsidP="008A7F7E">
            <w:pPr>
              <w:spacing w:after="240"/>
              <w:rPr>
                <w:rFonts w:eastAsia="Times New Roman"/>
                <w:sz w:val="20"/>
              </w:rPr>
            </w:pPr>
            <w:r w:rsidRPr="00B43A19">
              <w:rPr>
                <w:rFonts w:eastAsia="Times New Roman"/>
                <w:sz w:val="20"/>
              </w:rPr>
              <w:t>PA 2</w:t>
            </w:r>
          </w:p>
        </w:tc>
        <w:tc>
          <w:tcPr>
            <w:tcW w:w="2693" w:type="dxa"/>
            <w:shd w:val="clear" w:color="auto" w:fill="auto"/>
          </w:tcPr>
          <w:p w:rsidR="00E35A6A" w:rsidRPr="00B43A19" w:rsidRDefault="00E35A6A" w:rsidP="00B8035B">
            <w:pPr>
              <w:suppressAutoHyphens/>
              <w:spacing w:after="0"/>
              <w:rPr>
                <w:rFonts w:eastAsia="Times New Roman"/>
                <w:sz w:val="20"/>
              </w:rPr>
            </w:pPr>
            <w:r w:rsidRPr="00B43A19">
              <w:rPr>
                <w:rFonts w:eastAsia="Times New Roman"/>
                <w:sz w:val="20"/>
              </w:rPr>
              <w:t>03 Rural areas (thinly populated)</w:t>
            </w:r>
          </w:p>
        </w:tc>
        <w:tc>
          <w:tcPr>
            <w:tcW w:w="2977" w:type="dxa"/>
            <w:shd w:val="clear" w:color="auto" w:fill="auto"/>
          </w:tcPr>
          <w:p w:rsidR="00E35A6A" w:rsidRPr="00B43A19" w:rsidRDefault="00E35A6A" w:rsidP="00E35A6A">
            <w:pPr>
              <w:spacing w:after="240"/>
              <w:jc w:val="left"/>
              <w:rPr>
                <w:rFonts w:eastAsia="Times New Roman"/>
                <w:sz w:val="20"/>
              </w:rPr>
            </w:pPr>
            <w:r w:rsidRPr="00B43A19">
              <w:rPr>
                <w:rFonts w:eastAsia="Times New Roman"/>
                <w:sz w:val="20"/>
              </w:rPr>
              <w:t>4.762.943,00</w:t>
            </w:r>
          </w:p>
        </w:tc>
      </w:tr>
    </w:tbl>
    <w:p w:rsidR="00F10141" w:rsidRPr="00B76110" w:rsidRDefault="00F10141" w:rsidP="00F10141">
      <w:pPr>
        <w:suppressAutoHyphens/>
        <w:spacing w:after="240"/>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F10141" w:rsidRPr="00B43A19" w:rsidTr="00B85FF7">
        <w:trPr>
          <w:trHeight w:val="364"/>
        </w:trPr>
        <w:tc>
          <w:tcPr>
            <w:tcW w:w="8472" w:type="dxa"/>
            <w:gridSpan w:val="3"/>
            <w:shd w:val="clear" w:color="auto" w:fill="auto"/>
          </w:tcPr>
          <w:p w:rsidR="00F10141" w:rsidRPr="00B43A19" w:rsidRDefault="00F10141" w:rsidP="00B85FF7">
            <w:pPr>
              <w:autoSpaceDE w:val="0"/>
              <w:autoSpaceDN w:val="0"/>
              <w:adjustRightInd w:val="0"/>
              <w:spacing w:after="0"/>
              <w:rPr>
                <w:rFonts w:eastAsia="Times New Roman"/>
                <w:b/>
                <w:color w:val="000000"/>
                <w:sz w:val="20"/>
              </w:rPr>
            </w:pPr>
            <w:r w:rsidRPr="00B43A19">
              <w:rPr>
                <w:rFonts w:eastAsia="Times New Roman"/>
                <w:b/>
                <w:bCs/>
                <w:color w:val="000000"/>
                <w:sz w:val="20"/>
              </w:rPr>
              <w:t xml:space="preserve">Table 8: Dimension 6 </w:t>
            </w:r>
            <w:r w:rsidRPr="00B43A19">
              <w:rPr>
                <w:rFonts w:eastAsia="Times New Roman"/>
                <w:b/>
                <w:color w:val="000000"/>
                <w:sz w:val="20"/>
              </w:rPr>
              <w:t>Territorial delivery mechanisms</w:t>
            </w:r>
          </w:p>
        </w:tc>
      </w:tr>
      <w:tr w:rsidR="00F10141" w:rsidRPr="00B43A19" w:rsidTr="00B85FF7">
        <w:trPr>
          <w:trHeight w:val="267"/>
        </w:trPr>
        <w:tc>
          <w:tcPr>
            <w:tcW w:w="2802" w:type="dxa"/>
            <w:shd w:val="clear" w:color="auto" w:fill="auto"/>
          </w:tcPr>
          <w:p w:rsidR="00F10141" w:rsidRPr="00B43A19" w:rsidRDefault="00F10141" w:rsidP="00B85FF7">
            <w:pPr>
              <w:spacing w:after="240"/>
              <w:jc w:val="center"/>
              <w:rPr>
                <w:rFonts w:eastAsia="Times New Roman"/>
                <w:b/>
                <w:sz w:val="20"/>
              </w:rPr>
            </w:pPr>
            <w:r w:rsidRPr="00B43A19">
              <w:rPr>
                <w:rFonts w:eastAsia="Times New Roman"/>
                <w:b/>
                <w:sz w:val="20"/>
              </w:rPr>
              <w:t>Priority axis</w:t>
            </w:r>
          </w:p>
        </w:tc>
        <w:tc>
          <w:tcPr>
            <w:tcW w:w="2693" w:type="dxa"/>
            <w:shd w:val="clear" w:color="auto" w:fill="auto"/>
          </w:tcPr>
          <w:p w:rsidR="00F10141" w:rsidRPr="00B43A19" w:rsidRDefault="00F10141" w:rsidP="00B85FF7">
            <w:pPr>
              <w:spacing w:after="240"/>
              <w:jc w:val="center"/>
              <w:rPr>
                <w:rFonts w:eastAsia="Times New Roman"/>
                <w:sz w:val="20"/>
              </w:rPr>
            </w:pPr>
            <w:r w:rsidRPr="00B43A19">
              <w:rPr>
                <w:rFonts w:eastAsia="Times New Roman"/>
                <w:b/>
                <w:sz w:val="20"/>
              </w:rPr>
              <w:t>Code</w:t>
            </w:r>
          </w:p>
        </w:tc>
        <w:tc>
          <w:tcPr>
            <w:tcW w:w="2977" w:type="dxa"/>
            <w:shd w:val="clear" w:color="auto" w:fill="auto"/>
          </w:tcPr>
          <w:p w:rsidR="00F10141" w:rsidRPr="00B43A19" w:rsidRDefault="00F10141" w:rsidP="00B85FF7">
            <w:pPr>
              <w:spacing w:after="240"/>
              <w:jc w:val="center"/>
              <w:rPr>
                <w:rFonts w:eastAsia="Times New Roman"/>
                <w:sz w:val="20"/>
              </w:rPr>
            </w:pPr>
            <w:r w:rsidRPr="00B43A19">
              <w:rPr>
                <w:b/>
                <w:sz w:val="20"/>
              </w:rPr>
              <w:t>Amount (EUR)</w:t>
            </w:r>
          </w:p>
        </w:tc>
      </w:tr>
      <w:tr w:rsidR="00F10141" w:rsidRPr="00B43A19" w:rsidTr="00B85FF7">
        <w:tc>
          <w:tcPr>
            <w:tcW w:w="2802" w:type="dxa"/>
            <w:shd w:val="clear" w:color="auto" w:fill="auto"/>
          </w:tcPr>
          <w:p w:rsidR="00F10141" w:rsidRPr="00B43A19" w:rsidRDefault="00F10141" w:rsidP="008A7F7E">
            <w:pPr>
              <w:spacing w:after="240"/>
              <w:rPr>
                <w:rFonts w:eastAsia="Times New Roman"/>
                <w:sz w:val="20"/>
              </w:rPr>
            </w:pPr>
            <w:r w:rsidRPr="00B43A19">
              <w:rPr>
                <w:rFonts w:eastAsia="Times New Roman"/>
                <w:sz w:val="20"/>
              </w:rPr>
              <w:t xml:space="preserve">PA </w:t>
            </w:r>
            <w:r w:rsidR="008A7F7E" w:rsidRPr="00B43A19">
              <w:rPr>
                <w:rFonts w:eastAsia="Times New Roman"/>
                <w:sz w:val="20"/>
              </w:rPr>
              <w:t>2</w:t>
            </w:r>
          </w:p>
        </w:tc>
        <w:tc>
          <w:tcPr>
            <w:tcW w:w="2693" w:type="dxa"/>
            <w:shd w:val="clear" w:color="auto" w:fill="auto"/>
          </w:tcPr>
          <w:p w:rsidR="00F10141" w:rsidRPr="00B43A19" w:rsidRDefault="00F10141" w:rsidP="00B85FF7">
            <w:pPr>
              <w:spacing w:after="0"/>
              <w:rPr>
                <w:rFonts w:eastAsia="Times New Roman"/>
                <w:sz w:val="20"/>
              </w:rPr>
            </w:pPr>
            <w:r w:rsidRPr="00B43A19">
              <w:rPr>
                <w:rFonts w:eastAsia="Times New Roman"/>
                <w:sz w:val="20"/>
              </w:rPr>
              <w:t>07 Not applicable</w:t>
            </w:r>
          </w:p>
        </w:tc>
        <w:tc>
          <w:tcPr>
            <w:tcW w:w="2977" w:type="dxa"/>
            <w:shd w:val="clear" w:color="auto" w:fill="auto"/>
          </w:tcPr>
          <w:p w:rsidR="00F10141" w:rsidRPr="00B43A19" w:rsidRDefault="00F10141" w:rsidP="00B85FF7">
            <w:pPr>
              <w:spacing w:after="240"/>
              <w:jc w:val="right"/>
              <w:rPr>
                <w:rFonts w:eastAsia="Times New Roman"/>
                <w:sz w:val="20"/>
              </w:rPr>
            </w:pPr>
          </w:p>
        </w:tc>
      </w:tr>
    </w:tbl>
    <w:p w:rsidR="00F10141" w:rsidRDefault="00F10141" w:rsidP="0064234B">
      <w:pPr>
        <w:spacing w:after="240"/>
        <w:rPr>
          <w:rFonts w:eastAsia="Times New Roman"/>
          <w:b/>
        </w:rPr>
      </w:pPr>
    </w:p>
    <w:p w:rsidR="00F10141" w:rsidRPr="00567F19" w:rsidRDefault="00F10141" w:rsidP="00F10141">
      <w:pPr>
        <w:spacing w:after="240"/>
        <w:ind w:left="709" w:hanging="709"/>
      </w:pPr>
      <w:r w:rsidRPr="00B76110">
        <w:rPr>
          <w:rFonts w:eastAsia="Times New Roman"/>
          <w:b/>
        </w:rPr>
        <w:t>2.</w:t>
      </w:r>
      <w:r w:rsidR="008A7F7E">
        <w:rPr>
          <w:rFonts w:eastAsia="Times New Roman"/>
          <w:b/>
        </w:rPr>
        <w:t>2</w:t>
      </w:r>
      <w:r w:rsidRPr="00B76110">
        <w:rPr>
          <w:rFonts w:eastAsia="Times New Roman"/>
          <w:b/>
        </w:rPr>
        <w:t>.</w:t>
      </w:r>
      <w:r>
        <w:rPr>
          <w:rFonts w:eastAsia="Times New Roman"/>
          <w:b/>
        </w:rPr>
        <w:t>8</w:t>
      </w:r>
      <w:r w:rsidRPr="00B76110">
        <w:rPr>
          <w:rFonts w:eastAsia="Times New Roman"/>
          <w:b/>
        </w:rPr>
        <w:t xml:space="preserve">. A summary of the planned use of technical assistance including, where necessary, actions to reinforce the administrative capacity of authorities involved in the management and control of the programmes and beneficiaries and, where necessary, actions for </w:t>
      </w:r>
      <w:r>
        <w:rPr>
          <w:rFonts w:eastAsia="Times New Roman"/>
          <w:b/>
        </w:rPr>
        <w:t xml:space="preserve">to enhance </w:t>
      </w:r>
      <w:r w:rsidRPr="00B76110">
        <w:rPr>
          <w:rFonts w:eastAsia="Times New Roman"/>
          <w:b/>
        </w:rPr>
        <w:t xml:space="preserve">the administrative capacity of relevant partners to participate in the implementation of programmes </w:t>
      </w:r>
      <w:r>
        <w:t xml:space="preserve"> </w:t>
      </w:r>
      <w:r w:rsidRPr="00567F19">
        <w:t>(where appropriate)</w:t>
      </w:r>
    </w:p>
    <w:p w:rsidR="00F10141" w:rsidRPr="00567F19" w:rsidRDefault="00F10141" w:rsidP="00F10141">
      <w:r w:rsidRPr="00567F19">
        <w:t xml:space="preserve">(Reference: </w:t>
      </w:r>
      <w:r>
        <w:t xml:space="preserve">point (b)(vi) of </w:t>
      </w:r>
      <w:r w:rsidRPr="00567F19">
        <w:t>Article 8(2) of Regulation (EU) No 1299/2013)</w:t>
      </w:r>
    </w:p>
    <w:p w:rsidR="00F10141" w:rsidRPr="00FA3CE3" w:rsidRDefault="00F10141" w:rsidP="00F10141">
      <w:pPr>
        <w:spacing w:after="240"/>
        <w:rPr>
          <w:rFonts w:eastAsia="Times New Roman"/>
          <w:b/>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F10141" w:rsidRPr="00B43A19" w:rsidTr="00B85FF7">
        <w:trPr>
          <w:trHeight w:val="518"/>
        </w:trPr>
        <w:tc>
          <w:tcPr>
            <w:tcW w:w="2235" w:type="dxa"/>
            <w:shd w:val="clear" w:color="auto" w:fill="auto"/>
          </w:tcPr>
          <w:p w:rsidR="00F10141" w:rsidRPr="00B43A19" w:rsidRDefault="00F10141" w:rsidP="00B85FF7">
            <w:pPr>
              <w:spacing w:after="240"/>
              <w:rPr>
                <w:rFonts w:eastAsia="Times New Roman"/>
                <w:i/>
                <w:color w:val="8DB3E2"/>
                <w:sz w:val="20"/>
              </w:rPr>
            </w:pPr>
            <w:r w:rsidRPr="00B43A19">
              <w:rPr>
                <w:rFonts w:eastAsia="Times New Roman"/>
                <w:i/>
                <w:sz w:val="20"/>
              </w:rPr>
              <w:t>Priority axis</w:t>
            </w:r>
          </w:p>
        </w:tc>
        <w:tc>
          <w:tcPr>
            <w:tcW w:w="6443" w:type="dxa"/>
            <w:shd w:val="clear" w:color="auto" w:fill="auto"/>
          </w:tcPr>
          <w:p w:rsidR="00F10141" w:rsidRPr="00B43A19" w:rsidRDefault="00F10141" w:rsidP="008A7F7E">
            <w:pPr>
              <w:spacing w:after="240"/>
              <w:rPr>
                <w:rFonts w:eastAsia="Times New Roman"/>
                <w:color w:val="8DB3E2"/>
                <w:sz w:val="20"/>
              </w:rPr>
            </w:pPr>
            <w:r w:rsidRPr="00B43A19">
              <w:rPr>
                <w:rFonts w:eastAsia="Times New Roman"/>
                <w:sz w:val="20"/>
              </w:rPr>
              <w:t xml:space="preserve">PA </w:t>
            </w:r>
            <w:r w:rsidR="008A7F7E" w:rsidRPr="00B43A19">
              <w:rPr>
                <w:rFonts w:eastAsia="Times New Roman"/>
                <w:sz w:val="20"/>
              </w:rPr>
              <w:t>2</w:t>
            </w:r>
          </w:p>
        </w:tc>
      </w:tr>
      <w:tr w:rsidR="00F10141" w:rsidRPr="00B43A19" w:rsidTr="00B85FF7">
        <w:trPr>
          <w:trHeight w:val="467"/>
        </w:trPr>
        <w:tc>
          <w:tcPr>
            <w:tcW w:w="8678" w:type="dxa"/>
            <w:gridSpan w:val="2"/>
            <w:shd w:val="clear" w:color="auto" w:fill="auto"/>
          </w:tcPr>
          <w:p w:rsidR="00F10141" w:rsidRPr="00B43A19" w:rsidRDefault="00F10141" w:rsidP="00B85FF7">
            <w:pPr>
              <w:spacing w:after="240"/>
              <w:rPr>
                <w:rFonts w:eastAsia="Times New Roman"/>
                <w:sz w:val="20"/>
              </w:rPr>
            </w:pPr>
            <w:r w:rsidRPr="00B43A19">
              <w:rPr>
                <w:rFonts w:eastAsia="Times New Roman"/>
                <w:sz w:val="20"/>
              </w:rPr>
              <w:t>N/A</w:t>
            </w:r>
          </w:p>
        </w:tc>
      </w:tr>
    </w:tbl>
    <w:p w:rsidR="00B43A19" w:rsidRDefault="00B43A19" w:rsidP="0082645B"/>
    <w:p w:rsidR="00B43A19" w:rsidRDefault="00B43A19" w:rsidP="00B43A19">
      <w:r>
        <w:br w:type="page"/>
      </w:r>
    </w:p>
    <w:p w:rsidR="00E701AA" w:rsidRDefault="00E701AA" w:rsidP="0082645B"/>
    <w:p w:rsidR="002701C9" w:rsidRDefault="002701C9" w:rsidP="002701C9">
      <w:pPr>
        <w:spacing w:after="240"/>
        <w:rPr>
          <w:rFonts w:eastAsia="Times New Roman"/>
        </w:rPr>
      </w:pPr>
      <w:r>
        <w:rPr>
          <w:rFonts w:eastAsia="Times New Roman"/>
          <w:b/>
        </w:rPr>
        <w:t>2.</w:t>
      </w:r>
      <w:r w:rsidR="00BD697A">
        <w:rPr>
          <w:rFonts w:eastAsia="Times New Roman"/>
          <w:b/>
        </w:rPr>
        <w:t>3</w:t>
      </w:r>
      <w:r w:rsidR="00B43A19">
        <w:rPr>
          <w:rFonts w:eastAsia="Times New Roman"/>
          <w:b/>
        </w:rPr>
        <w:t>.1 Description of P</w:t>
      </w:r>
      <w:r>
        <w:rPr>
          <w:rFonts w:eastAsia="Times New Roman"/>
          <w:b/>
        </w:rPr>
        <w:t>riority axis</w:t>
      </w:r>
      <w:r w:rsidRPr="00B76110">
        <w:rPr>
          <w:rFonts w:eastAsia="Times New Roman"/>
          <w:b/>
        </w:rPr>
        <w:t xml:space="preserve"> </w:t>
      </w:r>
      <w:r w:rsidR="00BD697A">
        <w:rPr>
          <w:rFonts w:eastAsia="Times New Roman"/>
          <w:b/>
        </w:rPr>
        <w:t>3</w:t>
      </w:r>
      <w:r>
        <w:rPr>
          <w:rFonts w:eastAsia="Times New Roman"/>
          <w:b/>
        </w:rPr>
        <w:t xml:space="preserve">  </w: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387"/>
      </w:tblGrid>
      <w:tr w:rsidR="002701C9" w:rsidRPr="00CD6BE3" w:rsidTr="00B43A19">
        <w:trPr>
          <w:trHeight w:val="491"/>
        </w:trPr>
        <w:tc>
          <w:tcPr>
            <w:tcW w:w="3510" w:type="dxa"/>
            <w:shd w:val="clear" w:color="auto" w:fill="auto"/>
          </w:tcPr>
          <w:p w:rsidR="002701C9" w:rsidRPr="00B76110" w:rsidRDefault="002701C9" w:rsidP="002701C9">
            <w:pPr>
              <w:spacing w:after="240"/>
              <w:rPr>
                <w:rFonts w:eastAsia="Times New Roman"/>
                <w:i/>
              </w:rPr>
            </w:pPr>
            <w:r w:rsidRPr="00B76110">
              <w:rPr>
                <w:rFonts w:eastAsia="Times New Roman"/>
                <w:i/>
              </w:rPr>
              <w:t>ID</w:t>
            </w:r>
            <w:r>
              <w:rPr>
                <w:rFonts w:eastAsia="Times New Roman"/>
                <w:i/>
              </w:rPr>
              <w:t xml:space="preserve"> of the priority axis</w:t>
            </w:r>
          </w:p>
        </w:tc>
        <w:tc>
          <w:tcPr>
            <w:tcW w:w="5387" w:type="dxa"/>
            <w:shd w:val="clear" w:color="auto" w:fill="auto"/>
          </w:tcPr>
          <w:p w:rsidR="002701C9" w:rsidRPr="00B66D0E" w:rsidRDefault="008735E0" w:rsidP="002701C9">
            <w:pPr>
              <w:spacing w:after="240"/>
              <w:rPr>
                <w:rFonts w:eastAsia="Times New Roman"/>
                <w:color w:val="8DB3E2"/>
                <w:szCs w:val="24"/>
                <w:lang w:val="nb-NO"/>
              </w:rPr>
            </w:pPr>
            <w:r>
              <w:rPr>
                <w:rFonts w:eastAsia="Times New Roman"/>
                <w:szCs w:val="24"/>
                <w:lang w:val="nb-NO"/>
              </w:rPr>
              <w:t>PA 3</w:t>
            </w:r>
          </w:p>
        </w:tc>
      </w:tr>
      <w:tr w:rsidR="002701C9" w:rsidRPr="00B76110" w:rsidTr="00B43A19">
        <w:trPr>
          <w:trHeight w:val="422"/>
        </w:trPr>
        <w:tc>
          <w:tcPr>
            <w:tcW w:w="3510" w:type="dxa"/>
            <w:shd w:val="clear" w:color="auto" w:fill="auto"/>
          </w:tcPr>
          <w:p w:rsidR="002701C9" w:rsidRPr="00B76110" w:rsidRDefault="002701C9" w:rsidP="002701C9">
            <w:pPr>
              <w:spacing w:after="240"/>
              <w:rPr>
                <w:rFonts w:eastAsia="Times New Roman"/>
                <w:i/>
              </w:rPr>
            </w:pPr>
            <w:r w:rsidRPr="00B76110">
              <w:rPr>
                <w:rFonts w:eastAsia="Times New Roman"/>
                <w:i/>
              </w:rPr>
              <w:t>Title</w:t>
            </w:r>
            <w:r>
              <w:rPr>
                <w:rFonts w:eastAsia="Times New Roman"/>
                <w:i/>
              </w:rPr>
              <w:t xml:space="preserve"> of the priority axis </w:t>
            </w:r>
          </w:p>
        </w:tc>
        <w:tc>
          <w:tcPr>
            <w:tcW w:w="5387" w:type="dxa"/>
            <w:shd w:val="clear" w:color="auto" w:fill="auto"/>
          </w:tcPr>
          <w:p w:rsidR="002701C9" w:rsidRPr="00AA2937" w:rsidRDefault="00E701AA" w:rsidP="002701C9">
            <w:pPr>
              <w:spacing w:after="0"/>
              <w:rPr>
                <w:rFonts w:eastAsia="Times New Roman"/>
                <w:b/>
                <w:szCs w:val="24"/>
              </w:rPr>
            </w:pPr>
            <w:r w:rsidRPr="00AA2937">
              <w:rPr>
                <w:rFonts w:eastAsia="Times New Roman"/>
                <w:b/>
                <w:szCs w:val="24"/>
              </w:rPr>
              <w:t>Contributing to the development of tourism and preserving cultural and natural heritage</w:t>
            </w:r>
          </w:p>
        </w:tc>
      </w:tr>
    </w:tbl>
    <w:p w:rsidR="002701C9" w:rsidRDefault="002701C9" w:rsidP="002701C9">
      <w:pPr>
        <w:keepNext/>
        <w:spacing w:before="360" w:after="240"/>
        <w:outlineLvl w:val="0"/>
        <w:rPr>
          <w:b/>
        </w:rPr>
      </w:pPr>
    </w:p>
    <w:tbl>
      <w:tblPr>
        <w:tblpPr w:leftFromText="180" w:rightFromText="180" w:vertAnchor="text" w:horzAnchor="margin" w:tblpY="1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194"/>
      </w:tblGrid>
      <w:tr w:rsidR="002701C9" w:rsidRPr="00B76110" w:rsidTr="00D927C1">
        <w:tc>
          <w:tcPr>
            <w:tcW w:w="4986" w:type="dxa"/>
            <w:shd w:val="clear" w:color="auto" w:fill="auto"/>
          </w:tcPr>
          <w:p w:rsidR="002701C9" w:rsidRPr="002E0699" w:rsidRDefault="002701C9" w:rsidP="002701C9">
            <w:pPr>
              <w:spacing w:after="240"/>
              <w:ind w:left="480" w:hanging="480"/>
              <w:rPr>
                <w:rFonts w:eastAsia="Times New Roman"/>
              </w:rPr>
            </w:pPr>
            <w:r w:rsidRPr="00C25270">
              <w:rPr>
                <w:rFonts w:eastAsia="Times New Roman"/>
              </w:rPr>
              <w:fldChar w:fldCharType="begin">
                <w:ffData>
                  <w:name w:val="Check1"/>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The entire priority axis will be implemented solely through financial instruments</w:t>
            </w:r>
          </w:p>
        </w:tc>
        <w:tc>
          <w:tcPr>
            <w:tcW w:w="4194" w:type="dxa"/>
            <w:shd w:val="clear" w:color="auto" w:fill="auto"/>
          </w:tcPr>
          <w:p w:rsidR="002701C9" w:rsidRPr="00B76110" w:rsidRDefault="002701C9" w:rsidP="002701C9">
            <w:pPr>
              <w:tabs>
                <w:tab w:val="left" w:pos="2302"/>
              </w:tabs>
              <w:spacing w:after="240"/>
              <w:rPr>
                <w:rFonts w:eastAsia="Times New Roman"/>
              </w:rPr>
            </w:pPr>
          </w:p>
        </w:tc>
      </w:tr>
      <w:tr w:rsidR="002701C9" w:rsidRPr="00B76110" w:rsidTr="00D927C1">
        <w:tc>
          <w:tcPr>
            <w:tcW w:w="4986" w:type="dxa"/>
            <w:shd w:val="clear" w:color="auto" w:fill="auto"/>
          </w:tcPr>
          <w:p w:rsidR="002701C9" w:rsidRPr="002E0699" w:rsidRDefault="002701C9" w:rsidP="002701C9">
            <w:pPr>
              <w:tabs>
                <w:tab w:val="left" w:pos="2302"/>
              </w:tabs>
              <w:spacing w:after="240"/>
              <w:ind w:left="480" w:hanging="480"/>
              <w:rPr>
                <w:rFonts w:eastAsia="Times New Roman"/>
              </w:rPr>
            </w:pPr>
            <w:r w:rsidRPr="00C25270">
              <w:rPr>
                <w:rFonts w:eastAsia="Times New Roman"/>
              </w:rPr>
              <w:fldChar w:fldCharType="begin">
                <w:ffData>
                  <w:name w:val="Check2"/>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The entire priority axis will be implemented solely though financial instruments set up at Union level</w:t>
            </w:r>
          </w:p>
        </w:tc>
        <w:tc>
          <w:tcPr>
            <w:tcW w:w="4194" w:type="dxa"/>
            <w:shd w:val="clear" w:color="auto" w:fill="auto"/>
          </w:tcPr>
          <w:p w:rsidR="002701C9" w:rsidRPr="00B76110" w:rsidRDefault="002701C9" w:rsidP="002701C9">
            <w:pPr>
              <w:tabs>
                <w:tab w:val="left" w:pos="2302"/>
              </w:tabs>
              <w:spacing w:after="240"/>
              <w:rPr>
                <w:rFonts w:eastAsia="Times New Roman"/>
              </w:rPr>
            </w:pPr>
          </w:p>
        </w:tc>
      </w:tr>
      <w:tr w:rsidR="002701C9" w:rsidRPr="00B76110" w:rsidTr="00D927C1">
        <w:tc>
          <w:tcPr>
            <w:tcW w:w="4986" w:type="dxa"/>
            <w:shd w:val="clear" w:color="auto" w:fill="auto"/>
          </w:tcPr>
          <w:p w:rsidR="002701C9" w:rsidRPr="002E0699" w:rsidRDefault="002701C9" w:rsidP="002701C9">
            <w:pPr>
              <w:tabs>
                <w:tab w:val="left" w:pos="2302"/>
              </w:tabs>
              <w:spacing w:after="240"/>
              <w:ind w:left="480" w:hanging="480"/>
              <w:rPr>
                <w:rFonts w:eastAsia="Times New Roman"/>
              </w:rPr>
            </w:pPr>
            <w:r w:rsidRPr="00C25270">
              <w:rPr>
                <w:rFonts w:eastAsia="Times New Roman"/>
              </w:rPr>
              <w:fldChar w:fldCharType="begin">
                <w:ffData>
                  <w:name w:val="Check3"/>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 xml:space="preserve">The entire priority axis will be implemented through community-led local development </w:t>
            </w:r>
          </w:p>
        </w:tc>
        <w:tc>
          <w:tcPr>
            <w:tcW w:w="4194" w:type="dxa"/>
            <w:shd w:val="clear" w:color="auto" w:fill="auto"/>
          </w:tcPr>
          <w:p w:rsidR="002701C9" w:rsidRPr="00B76110" w:rsidRDefault="002701C9" w:rsidP="002701C9">
            <w:pPr>
              <w:tabs>
                <w:tab w:val="left" w:pos="2302"/>
              </w:tabs>
              <w:spacing w:after="240"/>
              <w:rPr>
                <w:rFonts w:eastAsia="Times New Roman"/>
              </w:rPr>
            </w:pPr>
          </w:p>
        </w:tc>
      </w:tr>
    </w:tbl>
    <w:p w:rsidR="002701C9" w:rsidRDefault="002701C9" w:rsidP="002701C9">
      <w:pPr>
        <w:spacing w:after="240"/>
        <w:rPr>
          <w:b/>
        </w:rPr>
      </w:pPr>
    </w:p>
    <w:p w:rsidR="00487D34" w:rsidRPr="00B76110" w:rsidRDefault="00487D34" w:rsidP="002701C9">
      <w:pPr>
        <w:spacing w:after="240"/>
        <w:rPr>
          <w:rFonts w:eastAsia="Times New Roman"/>
          <w:b/>
        </w:rPr>
      </w:pPr>
    </w:p>
    <w:p w:rsidR="002701C9" w:rsidRDefault="002701C9" w:rsidP="002701C9">
      <w:pPr>
        <w:rPr>
          <w:b/>
        </w:rPr>
      </w:pPr>
    </w:p>
    <w:p w:rsidR="002701C9" w:rsidRPr="00B76110" w:rsidRDefault="002701C9" w:rsidP="002701C9">
      <w:pPr>
        <w:rPr>
          <w:b/>
        </w:rPr>
      </w:pPr>
      <w:r>
        <w:rPr>
          <w:b/>
        </w:rPr>
        <w:t>2.</w:t>
      </w:r>
      <w:r w:rsidR="008735E0">
        <w:rPr>
          <w:b/>
        </w:rPr>
        <w:t>3</w:t>
      </w:r>
      <w:r>
        <w:rPr>
          <w:b/>
        </w:rPr>
        <w:t>.2 Fund, c</w:t>
      </w:r>
      <w:r w:rsidRPr="00B76110">
        <w:rPr>
          <w:b/>
        </w:rPr>
        <w:t>alculation basis for Union support</w:t>
      </w:r>
      <w:r>
        <w:rPr>
          <w:b/>
        </w:rPr>
        <w:t xml:space="preserve"> and justification of the calculation basis choice</w:t>
      </w:r>
    </w:p>
    <w:p w:rsidR="002701C9" w:rsidRPr="00B76110" w:rsidRDefault="002701C9" w:rsidP="002701C9">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298"/>
      </w:tblGrid>
      <w:tr w:rsidR="002701C9" w:rsidRPr="00B76110" w:rsidTr="00B43A19">
        <w:trPr>
          <w:jc w:val="center"/>
        </w:trPr>
        <w:tc>
          <w:tcPr>
            <w:tcW w:w="4868" w:type="dxa"/>
            <w:shd w:val="clear" w:color="auto" w:fill="auto"/>
          </w:tcPr>
          <w:p w:rsidR="002701C9" w:rsidRPr="00B76110" w:rsidRDefault="002701C9" w:rsidP="002701C9">
            <w:pPr>
              <w:spacing w:after="240"/>
              <w:rPr>
                <w:rFonts w:eastAsia="Times New Roman"/>
                <w:i/>
              </w:rPr>
            </w:pPr>
            <w:r>
              <w:rPr>
                <w:rFonts w:eastAsia="Times New Roman"/>
                <w:i/>
              </w:rPr>
              <w:t>Fund</w:t>
            </w:r>
          </w:p>
        </w:tc>
        <w:tc>
          <w:tcPr>
            <w:tcW w:w="4298" w:type="dxa"/>
            <w:shd w:val="clear" w:color="auto" w:fill="auto"/>
          </w:tcPr>
          <w:p w:rsidR="002701C9" w:rsidRPr="008D693C" w:rsidRDefault="002701C9" w:rsidP="002701C9">
            <w:pPr>
              <w:spacing w:after="240"/>
              <w:rPr>
                <w:rFonts w:eastAsia="Times New Roman"/>
                <w:szCs w:val="24"/>
              </w:rPr>
            </w:pPr>
            <w:r>
              <w:rPr>
                <w:rFonts w:eastAsia="Times New Roman"/>
                <w:szCs w:val="24"/>
              </w:rPr>
              <w:t>IPA</w:t>
            </w:r>
          </w:p>
        </w:tc>
      </w:tr>
      <w:tr w:rsidR="002701C9" w:rsidRPr="00B76110" w:rsidTr="00B43A19">
        <w:trPr>
          <w:jc w:val="center"/>
        </w:trPr>
        <w:tc>
          <w:tcPr>
            <w:tcW w:w="4868" w:type="dxa"/>
            <w:tcBorders>
              <w:top w:val="single" w:sz="4" w:space="0" w:color="auto"/>
              <w:left w:val="single" w:sz="4" w:space="0" w:color="auto"/>
              <w:bottom w:val="single" w:sz="4" w:space="0" w:color="auto"/>
              <w:right w:val="single" w:sz="4" w:space="0" w:color="auto"/>
            </w:tcBorders>
            <w:shd w:val="clear" w:color="auto" w:fill="auto"/>
          </w:tcPr>
          <w:p w:rsidR="002701C9" w:rsidRPr="00B76110" w:rsidRDefault="002701C9" w:rsidP="002701C9">
            <w:pPr>
              <w:spacing w:after="240"/>
              <w:rPr>
                <w:rFonts w:eastAsia="Times New Roman"/>
                <w:i/>
              </w:rPr>
            </w:pPr>
            <w:r w:rsidRPr="00B76110">
              <w:rPr>
                <w:rFonts w:eastAsia="Times New Roman"/>
                <w:i/>
              </w:rPr>
              <w:t xml:space="preserve">Calculation </w:t>
            </w:r>
            <w:r>
              <w:rPr>
                <w:rFonts w:eastAsia="Times New Roman"/>
                <w:i/>
              </w:rPr>
              <w:t>b</w:t>
            </w:r>
            <w:r w:rsidRPr="00B76110">
              <w:rPr>
                <w:rFonts w:eastAsia="Times New Roman"/>
                <w:i/>
              </w:rPr>
              <w:t>asis (total</w:t>
            </w:r>
            <w:r>
              <w:rPr>
                <w:rFonts w:eastAsia="Times New Roman"/>
                <w:i/>
              </w:rPr>
              <w:t xml:space="preserve"> eligible expenditure or public eligible expenditure</w:t>
            </w:r>
            <w:r w:rsidRPr="00B76110">
              <w:rPr>
                <w:rFonts w:eastAsia="Times New Roman"/>
                <w:i/>
              </w:rPr>
              <w:t>)</w:t>
            </w:r>
            <w:r w:rsidRPr="00B76110" w:rsidDel="00252DD5">
              <w:rPr>
                <w:rFonts w:eastAsia="Times New Roman"/>
                <w:i/>
              </w:rPr>
              <w:t xml:space="preserve"> </w:t>
            </w:r>
          </w:p>
        </w:tc>
        <w:tc>
          <w:tcPr>
            <w:tcW w:w="4298" w:type="dxa"/>
            <w:tcBorders>
              <w:top w:val="single" w:sz="4" w:space="0" w:color="auto"/>
              <w:left w:val="single" w:sz="4" w:space="0" w:color="auto"/>
              <w:bottom w:val="single" w:sz="4" w:space="0" w:color="auto"/>
              <w:right w:val="single" w:sz="4" w:space="0" w:color="auto"/>
            </w:tcBorders>
            <w:shd w:val="clear" w:color="auto" w:fill="auto"/>
          </w:tcPr>
          <w:p w:rsidR="002701C9" w:rsidRPr="008D693C" w:rsidRDefault="002701C9" w:rsidP="002701C9">
            <w:pPr>
              <w:spacing w:after="240"/>
              <w:rPr>
                <w:rFonts w:eastAsia="Times New Roman"/>
                <w:szCs w:val="24"/>
              </w:rPr>
            </w:pPr>
            <w:r>
              <w:rPr>
                <w:rFonts w:eastAsia="Times New Roman"/>
                <w:szCs w:val="24"/>
              </w:rPr>
              <w:t>T</w:t>
            </w:r>
            <w:r w:rsidRPr="008D693C">
              <w:rPr>
                <w:rFonts w:eastAsia="Times New Roman"/>
                <w:szCs w:val="24"/>
              </w:rPr>
              <w:t>otal eligible expenditure</w:t>
            </w:r>
          </w:p>
        </w:tc>
      </w:tr>
      <w:tr w:rsidR="002701C9" w:rsidRPr="00B76110" w:rsidTr="00B43A19">
        <w:trPr>
          <w:jc w:val="center"/>
        </w:trPr>
        <w:tc>
          <w:tcPr>
            <w:tcW w:w="4868" w:type="dxa"/>
            <w:tcBorders>
              <w:top w:val="single" w:sz="4" w:space="0" w:color="auto"/>
              <w:left w:val="single" w:sz="4" w:space="0" w:color="auto"/>
              <w:bottom w:val="single" w:sz="4" w:space="0" w:color="auto"/>
              <w:right w:val="single" w:sz="4" w:space="0" w:color="auto"/>
            </w:tcBorders>
            <w:shd w:val="clear" w:color="auto" w:fill="auto"/>
          </w:tcPr>
          <w:p w:rsidR="002701C9" w:rsidRDefault="002701C9" w:rsidP="002701C9">
            <w:pPr>
              <w:spacing w:after="240"/>
              <w:rPr>
                <w:rFonts w:eastAsia="Times New Roman"/>
                <w:i/>
              </w:rPr>
            </w:pPr>
            <w:r>
              <w:rPr>
                <w:rFonts w:eastAsia="Times New Roman"/>
                <w:i/>
              </w:rPr>
              <w:t>J</w:t>
            </w:r>
            <w:r w:rsidRPr="00252DD5">
              <w:rPr>
                <w:rFonts w:eastAsia="Times New Roman"/>
                <w:i/>
              </w:rPr>
              <w:t>ustification of the calculation basis choice</w:t>
            </w:r>
          </w:p>
        </w:tc>
        <w:tc>
          <w:tcPr>
            <w:tcW w:w="4298" w:type="dxa"/>
            <w:tcBorders>
              <w:top w:val="single" w:sz="4" w:space="0" w:color="auto"/>
              <w:left w:val="single" w:sz="4" w:space="0" w:color="auto"/>
              <w:bottom w:val="single" w:sz="4" w:space="0" w:color="auto"/>
              <w:right w:val="single" w:sz="4" w:space="0" w:color="auto"/>
            </w:tcBorders>
            <w:shd w:val="clear" w:color="auto" w:fill="auto"/>
          </w:tcPr>
          <w:p w:rsidR="002701C9" w:rsidRPr="00B76110" w:rsidRDefault="002701C9" w:rsidP="002701C9">
            <w:pPr>
              <w:spacing w:after="240"/>
              <w:rPr>
                <w:rFonts w:eastAsia="Times New Roman"/>
                <w:i/>
                <w:color w:val="8DB3E2"/>
                <w:sz w:val="18"/>
                <w:szCs w:val="18"/>
              </w:rPr>
            </w:pPr>
          </w:p>
        </w:tc>
      </w:tr>
    </w:tbl>
    <w:p w:rsidR="002701C9" w:rsidRPr="00B76110" w:rsidRDefault="002701C9" w:rsidP="002701C9">
      <w:pPr>
        <w:spacing w:after="240"/>
        <w:ind w:firstLine="720"/>
        <w:rPr>
          <w:rFonts w:eastAsia="Times New Roman"/>
          <w:b/>
        </w:rPr>
      </w:pPr>
    </w:p>
    <w:p w:rsidR="00AE59E5" w:rsidRDefault="00AE59E5" w:rsidP="002701C9">
      <w:pPr>
        <w:spacing w:after="240"/>
        <w:rPr>
          <w:rFonts w:eastAsia="Times New Roman"/>
          <w:b/>
        </w:rPr>
      </w:pPr>
    </w:p>
    <w:p w:rsidR="00AE59E5" w:rsidRDefault="00AE59E5" w:rsidP="002701C9">
      <w:pPr>
        <w:spacing w:after="240"/>
        <w:rPr>
          <w:rFonts w:eastAsia="Times New Roman"/>
          <w:b/>
        </w:rPr>
      </w:pPr>
    </w:p>
    <w:p w:rsidR="002D4B74" w:rsidRDefault="002D4B74" w:rsidP="002701C9">
      <w:pPr>
        <w:spacing w:after="240"/>
        <w:rPr>
          <w:rFonts w:eastAsia="Times New Roman"/>
          <w:b/>
        </w:rPr>
      </w:pPr>
    </w:p>
    <w:p w:rsidR="002701C9" w:rsidRDefault="002701C9" w:rsidP="002701C9">
      <w:pPr>
        <w:spacing w:after="240"/>
        <w:rPr>
          <w:rFonts w:eastAsia="Times New Roman"/>
          <w:b/>
        </w:rPr>
      </w:pPr>
      <w:r w:rsidRPr="00B76110">
        <w:rPr>
          <w:rFonts w:eastAsia="Times New Roman"/>
          <w:b/>
        </w:rPr>
        <w:lastRenderedPageBreak/>
        <w:t>2.</w:t>
      </w:r>
      <w:r w:rsidR="00AE59E5">
        <w:rPr>
          <w:rFonts w:eastAsia="Times New Roman"/>
          <w:b/>
        </w:rPr>
        <w:t>3</w:t>
      </w:r>
      <w:r w:rsidRPr="00B76110">
        <w:rPr>
          <w:rFonts w:eastAsia="Times New Roman"/>
          <w:b/>
        </w:rPr>
        <w:t>.</w:t>
      </w:r>
      <w:r>
        <w:rPr>
          <w:rFonts w:eastAsia="Times New Roman"/>
          <w:b/>
        </w:rPr>
        <w:t>3</w:t>
      </w:r>
      <w:r w:rsidRPr="00B76110">
        <w:rPr>
          <w:rFonts w:eastAsia="Times New Roman"/>
          <w:b/>
        </w:rPr>
        <w:t xml:space="preserve">. </w:t>
      </w:r>
      <w:r>
        <w:rPr>
          <w:rFonts w:eastAsia="Times New Roman"/>
          <w:b/>
        </w:rPr>
        <w:t>The s</w:t>
      </w:r>
      <w:r w:rsidRPr="00B76110">
        <w:rPr>
          <w:rFonts w:eastAsia="Times New Roman"/>
          <w:b/>
        </w:rPr>
        <w:t xml:space="preserve">pecific objectives </w:t>
      </w:r>
      <w:r>
        <w:rPr>
          <w:rFonts w:eastAsia="Times New Roman"/>
          <w:b/>
        </w:rPr>
        <w:t>of</w:t>
      </w:r>
      <w:r w:rsidRPr="00B76110">
        <w:rPr>
          <w:rFonts w:eastAsia="Times New Roman"/>
          <w:b/>
        </w:rPr>
        <w:t xml:space="preserve"> the </w:t>
      </w:r>
      <w:r>
        <w:rPr>
          <w:rFonts w:eastAsia="Times New Roman"/>
          <w:b/>
        </w:rPr>
        <w:t>thematic</w:t>
      </w:r>
      <w:r w:rsidRPr="00B76110">
        <w:rPr>
          <w:rFonts w:eastAsia="Times New Roman"/>
          <w:b/>
        </w:rPr>
        <w:t xml:space="preserve"> priority and expected results </w:t>
      </w:r>
    </w:p>
    <w:p w:rsidR="002701C9" w:rsidRPr="00B76110" w:rsidRDefault="002701C9" w:rsidP="002701C9">
      <w:r w:rsidRPr="00B76110" w:rsidDel="00E17367">
        <w:rPr>
          <w:rFonts w:eastAsia="Times New Roman"/>
        </w:rPr>
        <w:t xml:space="preserve"> </w:t>
      </w:r>
      <w:r w:rsidRPr="00B76110">
        <w:t>(</w:t>
      </w:r>
      <w:r>
        <w:t xml:space="preserve">Reference: points (b)(i) and (ii) of </w:t>
      </w:r>
      <w:r w:rsidRPr="00B76110">
        <w:t xml:space="preserve">Article </w:t>
      </w:r>
      <w:r>
        <w:t>8</w:t>
      </w:r>
      <w:r w:rsidRPr="00B76110">
        <w:t xml:space="preserve">(2) </w:t>
      </w:r>
      <w:r>
        <w:t>of Regulation (EU) No 1299/2013</w:t>
      </w:r>
      <w:r w:rsidRPr="00B76110">
        <w:t>)</w:t>
      </w:r>
    </w:p>
    <w:p w:rsidR="002701C9" w:rsidRPr="00B76110" w:rsidRDefault="002701C9" w:rsidP="002701C9">
      <w:pPr>
        <w:spacing w:after="240"/>
        <w:rPr>
          <w:rFonts w:eastAsia="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103"/>
      </w:tblGrid>
      <w:tr w:rsidR="002701C9" w:rsidRPr="00901CB6" w:rsidTr="006D0F18">
        <w:trPr>
          <w:trHeight w:val="491"/>
          <w:jc w:val="center"/>
        </w:trPr>
        <w:tc>
          <w:tcPr>
            <w:tcW w:w="3596" w:type="dxa"/>
            <w:shd w:val="clear" w:color="auto" w:fill="auto"/>
          </w:tcPr>
          <w:p w:rsidR="002701C9" w:rsidRPr="00B76110" w:rsidRDefault="002701C9" w:rsidP="002701C9">
            <w:pPr>
              <w:spacing w:after="240"/>
              <w:rPr>
                <w:rFonts w:eastAsia="Times New Roman"/>
                <w:i/>
              </w:rPr>
            </w:pPr>
            <w:r w:rsidRPr="00B76110">
              <w:rPr>
                <w:rFonts w:eastAsia="Times New Roman"/>
                <w:i/>
              </w:rPr>
              <w:t>ID</w:t>
            </w:r>
          </w:p>
        </w:tc>
        <w:tc>
          <w:tcPr>
            <w:tcW w:w="5103" w:type="dxa"/>
            <w:shd w:val="clear" w:color="auto" w:fill="auto"/>
          </w:tcPr>
          <w:p w:rsidR="002701C9" w:rsidRPr="006D0F18" w:rsidRDefault="006D0F18" w:rsidP="00C85DAB">
            <w:pPr>
              <w:spacing w:after="240"/>
              <w:rPr>
                <w:rFonts w:eastAsia="Times New Roman"/>
                <w:szCs w:val="24"/>
                <w:lang w:val="nb-NO"/>
              </w:rPr>
            </w:pPr>
            <w:r w:rsidRPr="006D0F18">
              <w:rPr>
                <w:rFonts w:eastAsia="Times New Roman"/>
              </w:rPr>
              <w:t>3.1.</w:t>
            </w:r>
          </w:p>
        </w:tc>
      </w:tr>
      <w:tr w:rsidR="002701C9" w:rsidRPr="00B76110" w:rsidTr="006D0F18">
        <w:trPr>
          <w:trHeight w:val="360"/>
          <w:jc w:val="center"/>
        </w:trPr>
        <w:tc>
          <w:tcPr>
            <w:tcW w:w="3596" w:type="dxa"/>
            <w:shd w:val="clear" w:color="auto" w:fill="auto"/>
          </w:tcPr>
          <w:p w:rsidR="002701C9" w:rsidRPr="00B76110" w:rsidRDefault="006D0F18" w:rsidP="006D0F18">
            <w:pPr>
              <w:spacing w:after="0"/>
              <w:rPr>
                <w:rFonts w:eastAsia="Times New Roman"/>
                <w:i/>
              </w:rPr>
            </w:pPr>
            <w:r>
              <w:rPr>
                <w:rFonts w:eastAsia="Times New Roman"/>
                <w:i/>
              </w:rPr>
              <w:t>Specific objective</w:t>
            </w:r>
          </w:p>
        </w:tc>
        <w:tc>
          <w:tcPr>
            <w:tcW w:w="5103" w:type="dxa"/>
            <w:shd w:val="clear" w:color="auto" w:fill="auto"/>
          </w:tcPr>
          <w:p w:rsidR="002701C9" w:rsidRPr="00624028" w:rsidRDefault="00C85DAB" w:rsidP="002701C9">
            <w:pPr>
              <w:spacing w:after="0"/>
              <w:rPr>
                <w:rFonts w:eastAsia="Times New Roman"/>
                <w:szCs w:val="24"/>
              </w:rPr>
            </w:pPr>
            <w:r w:rsidRPr="00C85DAB">
              <w:rPr>
                <w:rFonts w:eastAsia="Times New Roman"/>
                <w:szCs w:val="24"/>
              </w:rPr>
              <w:t>To strengthen and diversify the tourism offer</w:t>
            </w:r>
            <w:r w:rsidR="005C5A97">
              <w:t xml:space="preserve"> </w:t>
            </w:r>
            <w:r w:rsidR="005C5A97" w:rsidRPr="005C5A97">
              <w:rPr>
                <w:rFonts w:eastAsia="Times New Roman"/>
                <w:szCs w:val="24"/>
              </w:rPr>
              <w:t>through cross border approaches</w:t>
            </w:r>
          </w:p>
        </w:tc>
      </w:tr>
      <w:tr w:rsidR="002701C9" w:rsidRPr="00B76110" w:rsidTr="006D0F18">
        <w:trPr>
          <w:trHeight w:val="360"/>
          <w:jc w:val="center"/>
        </w:trPr>
        <w:tc>
          <w:tcPr>
            <w:tcW w:w="3596" w:type="dxa"/>
            <w:shd w:val="clear" w:color="auto" w:fill="auto"/>
          </w:tcPr>
          <w:p w:rsidR="002701C9" w:rsidRPr="00B76110" w:rsidRDefault="002701C9" w:rsidP="002701C9">
            <w:pPr>
              <w:spacing w:after="0"/>
              <w:rPr>
                <w:rFonts w:eastAsia="Times New Roman"/>
                <w:i/>
              </w:rPr>
            </w:pPr>
            <w:r w:rsidRPr="00B76110">
              <w:rPr>
                <w:rFonts w:eastAsia="Times New Roman"/>
                <w:i/>
              </w:rPr>
              <w:t xml:space="preserve">The results </w:t>
            </w:r>
            <w:r>
              <w:rPr>
                <w:rFonts w:eastAsia="Times New Roman"/>
                <w:i/>
              </w:rPr>
              <w:t xml:space="preserve">that </w:t>
            </w:r>
            <w:r w:rsidRPr="00B76110">
              <w:rPr>
                <w:rFonts w:eastAsia="Times New Roman"/>
                <w:i/>
              </w:rPr>
              <w:t xml:space="preserve">the </w:t>
            </w:r>
            <w:r>
              <w:rPr>
                <w:rFonts w:eastAsia="Times New Roman"/>
                <w:i/>
              </w:rPr>
              <w:t>partner</w:t>
            </w:r>
            <w:r w:rsidRPr="00B76110">
              <w:rPr>
                <w:rFonts w:eastAsia="Times New Roman"/>
                <w:i/>
              </w:rPr>
              <w:t xml:space="preserve"> States seek to achieve with </w:t>
            </w:r>
            <w:r>
              <w:rPr>
                <w:rFonts w:eastAsia="Times New Roman"/>
                <w:i/>
              </w:rPr>
              <w:t>Union</w:t>
            </w:r>
            <w:r w:rsidRPr="00B76110">
              <w:rPr>
                <w:rFonts w:eastAsia="Times New Roman"/>
                <w:i/>
              </w:rPr>
              <w:t xml:space="preserve"> support</w:t>
            </w:r>
          </w:p>
        </w:tc>
        <w:tc>
          <w:tcPr>
            <w:tcW w:w="5103" w:type="dxa"/>
            <w:shd w:val="clear" w:color="auto" w:fill="auto"/>
          </w:tcPr>
          <w:p w:rsidR="004343E7" w:rsidRPr="002B23B4" w:rsidRDefault="004343E7" w:rsidP="004343E7">
            <w:pPr>
              <w:spacing w:after="0"/>
              <w:rPr>
                <w:rFonts w:eastAsia="Times New Roman"/>
                <w:szCs w:val="24"/>
              </w:rPr>
            </w:pPr>
            <w:r w:rsidRPr="002B23B4">
              <w:rPr>
                <w:rFonts w:eastAsia="Times New Roman"/>
                <w:szCs w:val="24"/>
              </w:rPr>
              <w:t xml:space="preserve">Programme area is rich in cultural and natural resources and has the potential to use these advantages for the promotion of the tourism </w:t>
            </w:r>
            <w:r w:rsidR="005C5A97" w:rsidRPr="005C5A97">
              <w:rPr>
                <w:rFonts w:eastAsia="Times New Roman"/>
                <w:szCs w:val="24"/>
              </w:rPr>
              <w:t>through cross border approaches</w:t>
            </w:r>
            <w:r w:rsidR="005C5A97">
              <w:rPr>
                <w:rFonts w:eastAsia="Times New Roman"/>
                <w:szCs w:val="24"/>
              </w:rPr>
              <w:t xml:space="preserve"> </w:t>
            </w:r>
            <w:r w:rsidRPr="002B23B4">
              <w:rPr>
                <w:rFonts w:eastAsia="Times New Roman"/>
                <w:szCs w:val="24"/>
              </w:rPr>
              <w:t xml:space="preserve">as an attractive tourist destination. </w:t>
            </w:r>
            <w:r w:rsidR="002211BF">
              <w:rPr>
                <w:rFonts w:eastAsia="Times New Roman"/>
                <w:szCs w:val="24"/>
              </w:rPr>
              <w:t>T</w:t>
            </w:r>
            <w:r w:rsidR="002211BF" w:rsidRPr="00D56C8B">
              <w:rPr>
                <w:rFonts w:eastAsia="Times New Roman"/>
                <w:szCs w:val="24"/>
              </w:rPr>
              <w:t xml:space="preserve">here is </w:t>
            </w:r>
            <w:r w:rsidR="002211BF">
              <w:rPr>
                <w:rFonts w:eastAsia="Times New Roman"/>
                <w:szCs w:val="24"/>
              </w:rPr>
              <w:t xml:space="preserve">an </w:t>
            </w:r>
            <w:r w:rsidR="002211BF" w:rsidRPr="00D56C8B">
              <w:rPr>
                <w:rFonts w:eastAsia="Times New Roman"/>
                <w:szCs w:val="24"/>
              </w:rPr>
              <w:t xml:space="preserve">insufficient diversification of </w:t>
            </w:r>
            <w:r w:rsidR="002211BF">
              <w:rPr>
                <w:rFonts w:eastAsia="Times New Roman"/>
                <w:szCs w:val="24"/>
              </w:rPr>
              <w:t xml:space="preserve">tourism </w:t>
            </w:r>
            <w:r w:rsidR="002211BF" w:rsidRPr="00D56C8B">
              <w:rPr>
                <w:rFonts w:eastAsia="Times New Roman"/>
                <w:szCs w:val="24"/>
              </w:rPr>
              <w:t xml:space="preserve">services, </w:t>
            </w:r>
            <w:r w:rsidR="002211BF">
              <w:rPr>
                <w:rFonts w:eastAsia="Times New Roman"/>
                <w:szCs w:val="24"/>
              </w:rPr>
              <w:t xml:space="preserve">lack of joint cross-border touristic offer, </w:t>
            </w:r>
            <w:r w:rsidR="002211BF" w:rsidRPr="00D56C8B">
              <w:rPr>
                <w:rFonts w:eastAsia="Times New Roman"/>
                <w:szCs w:val="24"/>
              </w:rPr>
              <w:t xml:space="preserve">insufficient number </w:t>
            </w:r>
            <w:r w:rsidR="002211BF">
              <w:rPr>
                <w:rFonts w:eastAsia="Times New Roman"/>
                <w:szCs w:val="24"/>
              </w:rPr>
              <w:t>of globally branded destinations, lack of trained personnel and</w:t>
            </w:r>
            <w:r w:rsidR="002211BF" w:rsidRPr="00D56C8B">
              <w:rPr>
                <w:rFonts w:eastAsia="Times New Roman"/>
                <w:szCs w:val="24"/>
              </w:rPr>
              <w:t xml:space="preserve"> inadequate tourism infrastructure which needs </w:t>
            </w:r>
            <w:r w:rsidR="002211BF">
              <w:rPr>
                <w:rFonts w:eastAsia="Times New Roman"/>
                <w:szCs w:val="24"/>
              </w:rPr>
              <w:t>further improvement.</w:t>
            </w:r>
          </w:p>
          <w:p w:rsidR="00C72CA7" w:rsidRDefault="002211BF" w:rsidP="002701C9">
            <w:pPr>
              <w:spacing w:after="0"/>
              <w:rPr>
                <w:rFonts w:eastAsia="Times New Roman"/>
                <w:szCs w:val="24"/>
              </w:rPr>
            </w:pPr>
            <w:r>
              <w:rPr>
                <w:rFonts w:eastAsia="Times New Roman"/>
                <w:szCs w:val="24"/>
              </w:rPr>
              <w:t xml:space="preserve">Under this specific objective, </w:t>
            </w:r>
            <w:r w:rsidR="006C629A">
              <w:rPr>
                <w:rFonts w:eastAsia="Times New Roman"/>
                <w:szCs w:val="24"/>
              </w:rPr>
              <w:t>t</w:t>
            </w:r>
            <w:r>
              <w:rPr>
                <w:rFonts w:eastAsia="Times New Roman"/>
                <w:szCs w:val="24"/>
              </w:rPr>
              <w:t>he</w:t>
            </w:r>
            <w:r w:rsidR="004343E7" w:rsidRPr="002B23B4">
              <w:rPr>
                <w:rFonts w:eastAsia="Times New Roman"/>
                <w:szCs w:val="24"/>
              </w:rPr>
              <w:t xml:space="preserve"> Programme aims to support the development of new tourism niches and new tourism products jointly developed and promoted. </w:t>
            </w:r>
            <w:r>
              <w:rPr>
                <w:rFonts w:eastAsia="Times New Roman"/>
                <w:szCs w:val="24"/>
              </w:rPr>
              <w:t xml:space="preserve">Furthermore, it aims to </w:t>
            </w:r>
            <w:r w:rsidRPr="002B23B4">
              <w:rPr>
                <w:rFonts w:eastAsia="Times New Roman"/>
                <w:szCs w:val="24"/>
              </w:rPr>
              <w:t xml:space="preserve">address these challenges </w:t>
            </w:r>
            <w:r>
              <w:rPr>
                <w:rFonts w:eastAsia="Times New Roman"/>
                <w:szCs w:val="24"/>
              </w:rPr>
              <w:t xml:space="preserve">related to </w:t>
            </w:r>
            <w:r w:rsidR="004343E7" w:rsidRPr="002B23B4">
              <w:rPr>
                <w:rFonts w:eastAsia="Times New Roman"/>
                <w:szCs w:val="24"/>
              </w:rPr>
              <w:t xml:space="preserve">lack of tourism skills and management in the sector in order to ensure better quality of the </w:t>
            </w:r>
            <w:r>
              <w:rPr>
                <w:rFonts w:eastAsia="Times New Roman"/>
                <w:szCs w:val="24"/>
              </w:rPr>
              <w:t xml:space="preserve">public tourism </w:t>
            </w:r>
            <w:r w:rsidR="004343E7" w:rsidRPr="002B23B4">
              <w:rPr>
                <w:rFonts w:eastAsia="Times New Roman"/>
                <w:szCs w:val="24"/>
              </w:rPr>
              <w:t>services.</w:t>
            </w:r>
          </w:p>
          <w:p w:rsidR="002701C9" w:rsidRDefault="002211BF" w:rsidP="002701C9">
            <w:pPr>
              <w:spacing w:after="0"/>
              <w:rPr>
                <w:rFonts w:eastAsia="Times New Roman"/>
                <w:szCs w:val="24"/>
              </w:rPr>
            </w:pPr>
            <w:r>
              <w:rPr>
                <w:rFonts w:eastAsia="Times New Roman"/>
                <w:szCs w:val="24"/>
              </w:rPr>
              <w:t xml:space="preserve">The following result is expected to be achieved within SO </w:t>
            </w:r>
            <w:r w:rsidR="00C85DAB">
              <w:rPr>
                <w:rFonts w:eastAsia="Times New Roman"/>
                <w:szCs w:val="24"/>
              </w:rPr>
              <w:t>3</w:t>
            </w:r>
            <w:r w:rsidR="002701C9">
              <w:rPr>
                <w:rFonts w:eastAsia="Times New Roman"/>
                <w:szCs w:val="24"/>
              </w:rPr>
              <w:t>.1.:</w:t>
            </w:r>
          </w:p>
          <w:p w:rsidR="002701C9" w:rsidRPr="00C229D2" w:rsidRDefault="00E701AA" w:rsidP="00F653FC">
            <w:pPr>
              <w:spacing w:after="0"/>
              <w:rPr>
                <w:szCs w:val="24"/>
              </w:rPr>
            </w:pPr>
            <w:r w:rsidRPr="00F653FC">
              <w:rPr>
                <w:rFonts w:eastAsia="Times New Roman"/>
                <w:szCs w:val="24"/>
              </w:rPr>
              <w:t>Strengthened and diversified tourism offer in the programme area</w:t>
            </w:r>
          </w:p>
        </w:tc>
      </w:tr>
    </w:tbl>
    <w:p w:rsidR="002701C9" w:rsidRDefault="002701C9" w:rsidP="002701C9">
      <w:pPr>
        <w:spacing w:after="240"/>
        <w:rPr>
          <w:rFonts w:eastAsia="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03"/>
      </w:tblGrid>
      <w:tr w:rsidR="002701C9" w:rsidRPr="00901CB6" w:rsidTr="002701C9">
        <w:trPr>
          <w:trHeight w:val="491"/>
          <w:jc w:val="center"/>
        </w:trPr>
        <w:tc>
          <w:tcPr>
            <w:tcW w:w="3510" w:type="dxa"/>
            <w:shd w:val="clear" w:color="auto" w:fill="auto"/>
          </w:tcPr>
          <w:p w:rsidR="002701C9" w:rsidRPr="00B76110" w:rsidRDefault="002701C9" w:rsidP="002701C9">
            <w:pPr>
              <w:spacing w:after="240"/>
              <w:rPr>
                <w:rFonts w:eastAsia="Times New Roman"/>
                <w:i/>
              </w:rPr>
            </w:pPr>
            <w:r w:rsidRPr="00B76110">
              <w:rPr>
                <w:rFonts w:eastAsia="Times New Roman"/>
                <w:i/>
              </w:rPr>
              <w:t>ID</w:t>
            </w:r>
          </w:p>
        </w:tc>
        <w:tc>
          <w:tcPr>
            <w:tcW w:w="5103" w:type="dxa"/>
            <w:shd w:val="clear" w:color="auto" w:fill="auto"/>
          </w:tcPr>
          <w:p w:rsidR="002701C9" w:rsidRPr="00C5128D" w:rsidRDefault="00C5128D" w:rsidP="00C85DAB">
            <w:pPr>
              <w:spacing w:after="240"/>
              <w:rPr>
                <w:rFonts w:eastAsia="Times New Roman"/>
                <w:szCs w:val="24"/>
                <w:lang w:val="nb-NO"/>
              </w:rPr>
            </w:pPr>
            <w:r w:rsidRPr="00C5128D">
              <w:rPr>
                <w:rFonts w:eastAsia="Times New Roman"/>
              </w:rPr>
              <w:t>3.2.</w:t>
            </w:r>
          </w:p>
        </w:tc>
      </w:tr>
      <w:tr w:rsidR="002701C9" w:rsidRPr="00B76110" w:rsidTr="002701C9">
        <w:trPr>
          <w:trHeight w:val="360"/>
          <w:jc w:val="center"/>
        </w:trPr>
        <w:tc>
          <w:tcPr>
            <w:tcW w:w="3510" w:type="dxa"/>
            <w:shd w:val="clear" w:color="auto" w:fill="auto"/>
          </w:tcPr>
          <w:p w:rsidR="002701C9" w:rsidRPr="00B76110" w:rsidRDefault="002701C9" w:rsidP="00C5128D">
            <w:pPr>
              <w:spacing w:after="0"/>
              <w:rPr>
                <w:rFonts w:eastAsia="Times New Roman"/>
                <w:i/>
              </w:rPr>
            </w:pPr>
            <w:r w:rsidRPr="00B76110">
              <w:rPr>
                <w:rFonts w:eastAsia="Times New Roman"/>
                <w:i/>
              </w:rPr>
              <w:t xml:space="preserve">Specific objective </w:t>
            </w:r>
          </w:p>
        </w:tc>
        <w:tc>
          <w:tcPr>
            <w:tcW w:w="5103" w:type="dxa"/>
            <w:shd w:val="clear" w:color="auto" w:fill="auto"/>
          </w:tcPr>
          <w:p w:rsidR="002701C9" w:rsidRPr="00624028" w:rsidRDefault="00E701AA" w:rsidP="005C5A97">
            <w:pPr>
              <w:spacing w:after="0"/>
              <w:rPr>
                <w:rFonts w:eastAsia="Times New Roman"/>
                <w:szCs w:val="24"/>
              </w:rPr>
            </w:pPr>
            <w:r w:rsidRPr="00E701AA">
              <w:rPr>
                <w:rFonts w:eastAsia="Times New Roman"/>
                <w:szCs w:val="24"/>
              </w:rPr>
              <w:t>To enable a better management and sustainable use of cultural and natural heritage</w:t>
            </w:r>
          </w:p>
        </w:tc>
      </w:tr>
      <w:tr w:rsidR="002701C9" w:rsidRPr="00B76110" w:rsidTr="002701C9">
        <w:trPr>
          <w:trHeight w:val="360"/>
          <w:jc w:val="center"/>
        </w:trPr>
        <w:tc>
          <w:tcPr>
            <w:tcW w:w="3510" w:type="dxa"/>
            <w:shd w:val="clear" w:color="auto" w:fill="auto"/>
          </w:tcPr>
          <w:p w:rsidR="002701C9" w:rsidRPr="00B76110" w:rsidRDefault="002701C9" w:rsidP="002701C9">
            <w:pPr>
              <w:spacing w:after="0"/>
              <w:rPr>
                <w:rFonts w:eastAsia="Times New Roman"/>
                <w:i/>
              </w:rPr>
            </w:pPr>
            <w:r w:rsidRPr="00B76110">
              <w:rPr>
                <w:rFonts w:eastAsia="Times New Roman"/>
                <w:i/>
              </w:rPr>
              <w:t xml:space="preserve">The results </w:t>
            </w:r>
            <w:r>
              <w:rPr>
                <w:rFonts w:eastAsia="Times New Roman"/>
                <w:i/>
              </w:rPr>
              <w:t xml:space="preserve">that </w:t>
            </w:r>
            <w:r w:rsidRPr="00B76110">
              <w:rPr>
                <w:rFonts w:eastAsia="Times New Roman"/>
                <w:i/>
              </w:rPr>
              <w:t xml:space="preserve">the </w:t>
            </w:r>
            <w:r>
              <w:rPr>
                <w:rFonts w:eastAsia="Times New Roman"/>
                <w:i/>
              </w:rPr>
              <w:t>partner</w:t>
            </w:r>
            <w:r w:rsidRPr="00B76110">
              <w:rPr>
                <w:rFonts w:eastAsia="Times New Roman"/>
                <w:i/>
              </w:rPr>
              <w:t xml:space="preserve"> States seek to achieve with </w:t>
            </w:r>
            <w:r>
              <w:rPr>
                <w:rFonts w:eastAsia="Times New Roman"/>
                <w:i/>
              </w:rPr>
              <w:t>Union</w:t>
            </w:r>
            <w:r w:rsidRPr="00B76110">
              <w:rPr>
                <w:rFonts w:eastAsia="Times New Roman"/>
                <w:i/>
              </w:rPr>
              <w:t xml:space="preserve"> support</w:t>
            </w:r>
          </w:p>
        </w:tc>
        <w:tc>
          <w:tcPr>
            <w:tcW w:w="5103" w:type="dxa"/>
            <w:shd w:val="clear" w:color="auto" w:fill="auto"/>
          </w:tcPr>
          <w:p w:rsidR="007777ED" w:rsidRDefault="007777ED" w:rsidP="007777ED">
            <w:pPr>
              <w:spacing w:before="0"/>
              <w:contextualSpacing/>
              <w:rPr>
                <w:rFonts w:eastAsia="Times New Roman"/>
                <w:szCs w:val="24"/>
              </w:rPr>
            </w:pPr>
          </w:p>
          <w:p w:rsidR="00573DD7" w:rsidRDefault="007777ED" w:rsidP="007777ED">
            <w:pPr>
              <w:spacing w:before="0"/>
              <w:contextualSpacing/>
              <w:rPr>
                <w:rFonts w:eastAsia="Times New Roman"/>
                <w:szCs w:val="24"/>
              </w:rPr>
            </w:pPr>
            <w:r w:rsidRPr="00D81E22">
              <w:rPr>
                <w:rFonts w:eastAsia="Times New Roman"/>
                <w:szCs w:val="24"/>
              </w:rPr>
              <w:t xml:space="preserve">The programme area has rich natural </w:t>
            </w:r>
            <w:r>
              <w:rPr>
                <w:rFonts w:eastAsia="Times New Roman"/>
                <w:szCs w:val="24"/>
              </w:rPr>
              <w:t xml:space="preserve">and cultural heritage which reflects long and eventful history but also ethnic, natural and cultural diversity. Furthermore, Adriatic Sea coast is well-known for its </w:t>
            </w:r>
            <w:r w:rsidRPr="00D81E22">
              <w:rPr>
                <w:rFonts w:eastAsia="Times New Roman"/>
                <w:szCs w:val="24"/>
              </w:rPr>
              <w:t xml:space="preserve">beauty </w:t>
            </w:r>
            <w:r>
              <w:rPr>
                <w:rFonts w:eastAsia="Times New Roman"/>
                <w:szCs w:val="24"/>
              </w:rPr>
              <w:t xml:space="preserve">and diversity whereas the </w:t>
            </w:r>
            <w:r w:rsidRPr="00D81E22">
              <w:rPr>
                <w:rFonts w:eastAsia="Times New Roman"/>
                <w:szCs w:val="24"/>
              </w:rPr>
              <w:t xml:space="preserve">continental part </w:t>
            </w:r>
            <w:r>
              <w:rPr>
                <w:rFonts w:eastAsia="Times New Roman"/>
                <w:szCs w:val="24"/>
              </w:rPr>
              <w:t xml:space="preserve">of the programme area also shows great potential </w:t>
            </w:r>
            <w:r w:rsidRPr="00D81E22">
              <w:rPr>
                <w:rFonts w:eastAsia="Times New Roman"/>
                <w:szCs w:val="24"/>
              </w:rPr>
              <w:t>(thermal springs, castles, protected areas, mountains, rivers, etc.)</w:t>
            </w:r>
            <w:r>
              <w:rPr>
                <w:rFonts w:eastAsia="Times New Roman"/>
                <w:szCs w:val="24"/>
              </w:rPr>
              <w:t xml:space="preserve">. </w:t>
            </w:r>
            <w:r w:rsidRPr="00F130A2">
              <w:rPr>
                <w:rFonts w:eastAsia="Times New Roman"/>
                <w:szCs w:val="24"/>
              </w:rPr>
              <w:t>Th</w:t>
            </w:r>
            <w:r>
              <w:rPr>
                <w:rFonts w:eastAsia="Times New Roman"/>
                <w:szCs w:val="24"/>
              </w:rPr>
              <w:t xml:space="preserve">is programme will aim to preserve </w:t>
            </w:r>
            <w:r w:rsidRPr="00F130A2">
              <w:rPr>
                <w:rFonts w:eastAsia="Times New Roman"/>
                <w:szCs w:val="24"/>
              </w:rPr>
              <w:t xml:space="preserve">cultural and natural resources </w:t>
            </w:r>
            <w:r>
              <w:rPr>
                <w:rFonts w:eastAsia="Times New Roman"/>
                <w:szCs w:val="24"/>
              </w:rPr>
              <w:t xml:space="preserve">of the </w:t>
            </w:r>
            <w:r>
              <w:rPr>
                <w:rFonts w:eastAsia="Times New Roman"/>
                <w:szCs w:val="24"/>
              </w:rPr>
              <w:lastRenderedPageBreak/>
              <w:t>programme area by implem</w:t>
            </w:r>
            <w:r w:rsidR="002211BF">
              <w:rPr>
                <w:rFonts w:eastAsia="Times New Roman"/>
                <w:szCs w:val="24"/>
              </w:rPr>
              <w:t xml:space="preserve">enting cross-border initiatives </w:t>
            </w:r>
            <w:r>
              <w:rPr>
                <w:rFonts w:eastAsia="Times New Roman"/>
                <w:szCs w:val="24"/>
              </w:rPr>
              <w:t>in order to improve related management.</w:t>
            </w:r>
            <w:r w:rsidRPr="00F130A2">
              <w:rPr>
                <w:rFonts w:eastAsia="Times New Roman"/>
                <w:szCs w:val="24"/>
              </w:rPr>
              <w:t xml:space="preserve"> </w:t>
            </w:r>
            <w:r>
              <w:rPr>
                <w:rFonts w:eastAsia="Times New Roman"/>
                <w:szCs w:val="24"/>
              </w:rPr>
              <w:t xml:space="preserve">Furthermore, under this objective, the Programme will aim to include the </w:t>
            </w:r>
            <w:r w:rsidR="00D62E93" w:rsidRPr="00993CA6">
              <w:rPr>
                <w:rFonts w:eastAsia="Times New Roman"/>
                <w:szCs w:val="24"/>
                <w:lang w:eastAsia="de-DE"/>
              </w:rPr>
              <w:t>supported sites of cultural and natural heritage in</w:t>
            </w:r>
            <w:r>
              <w:rPr>
                <w:rFonts w:eastAsia="Times New Roman"/>
                <w:szCs w:val="24"/>
                <w:lang w:eastAsia="de-DE"/>
              </w:rPr>
              <w:t>to</w:t>
            </w:r>
            <w:r w:rsidR="00D62E93" w:rsidRPr="00993CA6">
              <w:rPr>
                <w:rFonts w:eastAsia="Times New Roman"/>
                <w:szCs w:val="24"/>
                <w:lang w:eastAsia="de-DE"/>
              </w:rPr>
              <w:t xml:space="preserve"> tourism offer thus </w:t>
            </w:r>
            <w:r>
              <w:rPr>
                <w:rFonts w:eastAsia="Times New Roman"/>
                <w:szCs w:val="24"/>
                <w:lang w:eastAsia="de-DE"/>
              </w:rPr>
              <w:t xml:space="preserve">enabling </w:t>
            </w:r>
            <w:r w:rsidR="00D62E93" w:rsidRPr="00993CA6">
              <w:rPr>
                <w:rFonts w:eastAsia="Times New Roman"/>
                <w:szCs w:val="24"/>
                <w:lang w:eastAsia="de-DE"/>
              </w:rPr>
              <w:t>their s</w:t>
            </w:r>
            <w:r w:rsidR="004E14E7" w:rsidRPr="00993CA6">
              <w:rPr>
                <w:rFonts w:eastAsia="Times New Roman"/>
                <w:szCs w:val="24"/>
                <w:lang w:eastAsia="de-DE"/>
              </w:rPr>
              <w:t xml:space="preserve">ustainable use </w:t>
            </w:r>
            <w:r>
              <w:rPr>
                <w:rFonts w:eastAsia="Times New Roman"/>
                <w:szCs w:val="24"/>
                <w:lang w:eastAsia="de-DE"/>
              </w:rPr>
              <w:t xml:space="preserve">and </w:t>
            </w:r>
            <w:r w:rsidR="004E14E7" w:rsidRPr="00993CA6">
              <w:rPr>
                <w:rFonts w:eastAsia="Times New Roman"/>
                <w:szCs w:val="24"/>
                <w:lang w:eastAsia="de-DE"/>
              </w:rPr>
              <w:t>further development.</w:t>
            </w:r>
          </w:p>
          <w:p w:rsidR="007777ED" w:rsidRDefault="007777ED" w:rsidP="002701C9">
            <w:pPr>
              <w:spacing w:after="0"/>
              <w:rPr>
                <w:rFonts w:eastAsia="Times New Roman"/>
                <w:szCs w:val="24"/>
              </w:rPr>
            </w:pPr>
          </w:p>
          <w:p w:rsidR="002701C9" w:rsidRDefault="002211BF" w:rsidP="002701C9">
            <w:pPr>
              <w:spacing w:after="0"/>
              <w:rPr>
                <w:rFonts w:eastAsia="Times New Roman"/>
                <w:szCs w:val="24"/>
              </w:rPr>
            </w:pPr>
            <w:r>
              <w:rPr>
                <w:rFonts w:eastAsia="Times New Roman"/>
                <w:szCs w:val="24"/>
              </w:rPr>
              <w:t xml:space="preserve">The following result is expected to be achieved within SO </w:t>
            </w:r>
            <w:r w:rsidR="00C85DAB">
              <w:rPr>
                <w:rFonts w:eastAsia="Times New Roman"/>
                <w:szCs w:val="24"/>
              </w:rPr>
              <w:t>3</w:t>
            </w:r>
            <w:r w:rsidR="002701C9">
              <w:rPr>
                <w:rFonts w:eastAsia="Times New Roman"/>
                <w:szCs w:val="24"/>
              </w:rPr>
              <w:t>.2.:</w:t>
            </w:r>
          </w:p>
          <w:p w:rsidR="002701C9" w:rsidRPr="00C229D2" w:rsidRDefault="00E701AA" w:rsidP="0085341B">
            <w:pPr>
              <w:spacing w:after="0"/>
              <w:rPr>
                <w:szCs w:val="24"/>
              </w:rPr>
            </w:pPr>
            <w:r w:rsidRPr="0085341B">
              <w:rPr>
                <w:rFonts w:eastAsia="Times New Roman"/>
                <w:szCs w:val="24"/>
              </w:rPr>
              <w:t>Improved management and sustainable use of cultural and natural heritage</w:t>
            </w:r>
          </w:p>
        </w:tc>
      </w:tr>
    </w:tbl>
    <w:p w:rsidR="002701C9" w:rsidRDefault="002701C9" w:rsidP="002701C9">
      <w:pPr>
        <w:tabs>
          <w:tab w:val="left" w:pos="720"/>
        </w:tabs>
        <w:rPr>
          <w:rFonts w:eastAsia="Times New Roman"/>
          <w:b/>
        </w:rPr>
      </w:pPr>
    </w:p>
    <w:p w:rsidR="002701C9" w:rsidRDefault="002701C9" w:rsidP="002701C9">
      <w:pPr>
        <w:tabs>
          <w:tab w:val="left" w:pos="720"/>
        </w:tabs>
        <w:rPr>
          <w:rFonts w:eastAsia="Times New Roman"/>
          <w:b/>
        </w:rPr>
      </w:pPr>
      <w:r>
        <w:rPr>
          <w:rFonts w:eastAsia="Times New Roman"/>
          <w:b/>
        </w:rPr>
        <w:t>2.</w:t>
      </w:r>
      <w:r w:rsidR="00380074">
        <w:rPr>
          <w:rFonts w:eastAsia="Times New Roman"/>
          <w:b/>
        </w:rPr>
        <w:t>3</w:t>
      </w:r>
      <w:r>
        <w:rPr>
          <w:rFonts w:eastAsia="Times New Roman"/>
          <w:b/>
        </w:rPr>
        <w:t>.4. Elements of other thematic priorities added to the priority axis</w:t>
      </w:r>
    </w:p>
    <w:p w:rsidR="002701C9" w:rsidRDefault="002701C9" w:rsidP="002701C9">
      <w:pPr>
        <w:tabs>
          <w:tab w:val="left" w:pos="720"/>
        </w:tabs>
        <w:rPr>
          <w:rFonts w:eastAsia="Times New Roman"/>
          <w:b/>
        </w:rPr>
      </w:pPr>
    </w:p>
    <w:p w:rsidR="002701C9" w:rsidRDefault="002701C9" w:rsidP="002701C9">
      <w:pPr>
        <w:tabs>
          <w:tab w:val="left" w:pos="720"/>
        </w:tabs>
        <w:rPr>
          <w:rFonts w:eastAsia="Times New Roman"/>
        </w:rPr>
      </w:pPr>
      <w:r w:rsidRPr="00A366E4">
        <w:rPr>
          <w:rFonts w:eastAsia="Times New Roman"/>
        </w:rPr>
        <w:t>(Reference: Article 35(1) of IPA II Implementing Regulation)</w:t>
      </w:r>
    </w:p>
    <w:p w:rsidR="002701C9" w:rsidRDefault="002701C9" w:rsidP="002701C9">
      <w:pPr>
        <w:tabs>
          <w:tab w:val="left" w:pos="720"/>
        </w:tabs>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2701C9" w:rsidRPr="00901CB6" w:rsidTr="00316477">
        <w:trPr>
          <w:trHeight w:val="491"/>
        </w:trPr>
        <w:tc>
          <w:tcPr>
            <w:tcW w:w="8897" w:type="dxa"/>
            <w:shd w:val="clear" w:color="auto" w:fill="auto"/>
          </w:tcPr>
          <w:p w:rsidR="002701C9" w:rsidRPr="00F13F0D" w:rsidRDefault="002701C9" w:rsidP="002701C9">
            <w:pPr>
              <w:spacing w:after="240"/>
              <w:rPr>
                <w:rFonts w:eastAsia="Times New Roman"/>
                <w:color w:val="8DB3E2"/>
                <w:szCs w:val="24"/>
                <w:lang w:val="nb-NO"/>
              </w:rPr>
            </w:pPr>
            <w:r>
              <w:rPr>
                <w:rFonts w:eastAsia="Times New Roman"/>
                <w:szCs w:val="24"/>
                <w:lang w:val="nb-NO"/>
              </w:rPr>
              <w:t>N/A</w:t>
            </w:r>
          </w:p>
        </w:tc>
      </w:tr>
    </w:tbl>
    <w:p w:rsidR="00AE59E5" w:rsidRDefault="00AE59E5" w:rsidP="002701C9">
      <w:pPr>
        <w:tabs>
          <w:tab w:val="left" w:pos="720"/>
        </w:tabs>
        <w:rPr>
          <w:rFonts w:eastAsia="Times New Roman"/>
          <w:b/>
        </w:rPr>
      </w:pPr>
    </w:p>
    <w:p w:rsidR="002701C9" w:rsidRPr="00B76110" w:rsidRDefault="002701C9" w:rsidP="002701C9">
      <w:pPr>
        <w:suppressAutoHyphens/>
        <w:spacing w:after="240"/>
        <w:rPr>
          <w:rFonts w:eastAsia="Times New Roman"/>
          <w:b/>
        </w:rPr>
      </w:pPr>
      <w:r>
        <w:rPr>
          <w:rFonts w:eastAsia="Times New Roman"/>
          <w:b/>
        </w:rPr>
        <w:t>2.</w:t>
      </w:r>
      <w:r w:rsidR="004E29F3">
        <w:rPr>
          <w:rFonts w:eastAsia="Times New Roman"/>
          <w:b/>
        </w:rPr>
        <w:t>3</w:t>
      </w:r>
      <w:r w:rsidRPr="00B76110">
        <w:rPr>
          <w:rFonts w:eastAsia="Times New Roman"/>
          <w:b/>
        </w:rPr>
        <w:t>.</w:t>
      </w:r>
      <w:r>
        <w:rPr>
          <w:rFonts w:eastAsia="Times New Roman"/>
          <w:b/>
        </w:rPr>
        <w:t>5</w:t>
      </w:r>
      <w:r w:rsidRPr="00B76110">
        <w:rPr>
          <w:rFonts w:eastAsia="Times New Roman"/>
          <w:b/>
        </w:rPr>
        <w:t xml:space="preserve">. Actions to be supported under the </w:t>
      </w:r>
      <w:r>
        <w:rPr>
          <w:rFonts w:eastAsia="Times New Roman"/>
          <w:b/>
        </w:rPr>
        <w:t>thematic</w:t>
      </w:r>
      <w:r w:rsidRPr="00B76110">
        <w:rPr>
          <w:rFonts w:eastAsia="Times New Roman"/>
          <w:b/>
        </w:rPr>
        <w:t xml:space="preserve"> priority</w:t>
      </w:r>
      <w:r w:rsidRPr="00D372DE">
        <w:rPr>
          <w:rFonts w:eastAsia="Times New Roman"/>
          <w:b/>
        </w:rPr>
        <w:t xml:space="preserve"> </w:t>
      </w:r>
      <w:r w:rsidR="00AE59E5">
        <w:rPr>
          <w:rFonts w:eastAsia="Times New Roman"/>
          <w:b/>
        </w:rPr>
        <w:t>3</w:t>
      </w:r>
    </w:p>
    <w:p w:rsidR="002701C9" w:rsidRPr="00B76110" w:rsidRDefault="002701C9" w:rsidP="002701C9">
      <w:pPr>
        <w:keepNext/>
        <w:spacing w:after="240"/>
        <w:ind w:left="851" w:hanging="851"/>
        <w:outlineLvl w:val="2"/>
        <w:rPr>
          <w:rFonts w:eastAsia="Times New Roman"/>
          <w:b/>
          <w:i/>
        </w:rPr>
      </w:pPr>
      <w:r>
        <w:rPr>
          <w:rFonts w:eastAsia="Times New Roman"/>
          <w:b/>
          <w:i/>
        </w:rPr>
        <w:t>2.</w:t>
      </w:r>
      <w:r w:rsidR="004E29F3">
        <w:rPr>
          <w:rFonts w:eastAsia="Times New Roman"/>
          <w:b/>
          <w:i/>
        </w:rPr>
        <w:t>3</w:t>
      </w:r>
      <w:r w:rsidRPr="00B76110">
        <w:rPr>
          <w:rFonts w:eastAsia="Times New Roman"/>
          <w:b/>
          <w:i/>
        </w:rPr>
        <w:t>.</w:t>
      </w:r>
      <w:r>
        <w:rPr>
          <w:rFonts w:eastAsia="Times New Roman"/>
          <w:b/>
          <w:i/>
        </w:rPr>
        <w:t>5</w:t>
      </w:r>
      <w:r w:rsidRPr="00B76110">
        <w:rPr>
          <w:rFonts w:eastAsia="Times New Roman"/>
          <w:b/>
          <w:i/>
        </w:rPr>
        <w:t xml:space="preserve">.1. A description of the type and examples of actions to be </w:t>
      </w:r>
      <w:r>
        <w:rPr>
          <w:rFonts w:eastAsia="Times New Roman"/>
          <w:b/>
          <w:i/>
        </w:rPr>
        <w:t>supported</w:t>
      </w:r>
      <w:r w:rsidRPr="00B76110">
        <w:rPr>
          <w:rFonts w:eastAsia="Times New Roman"/>
          <w:b/>
          <w:i/>
        </w:rPr>
        <w:t xml:space="preserve"> and their expected contribution to the specific objectives, including, where appropriate</w:t>
      </w:r>
      <w:r>
        <w:rPr>
          <w:rFonts w:eastAsia="Times New Roman"/>
          <w:b/>
          <w:i/>
        </w:rPr>
        <w:t>,</w:t>
      </w:r>
      <w:r w:rsidRPr="00B76110">
        <w:rPr>
          <w:rFonts w:eastAsia="Times New Roman"/>
          <w:b/>
          <w:i/>
        </w:rPr>
        <w:t xml:space="preserve"> identification of the main target groups, specific territories targeted and types of beneficiaries</w:t>
      </w:r>
    </w:p>
    <w:p w:rsidR="002701C9" w:rsidRPr="00567F19" w:rsidRDefault="002701C9" w:rsidP="002701C9">
      <w:r w:rsidRPr="00567F19">
        <w:t xml:space="preserve">(Reference: </w:t>
      </w:r>
      <w:r>
        <w:t xml:space="preserve">point (b)(iii) of </w:t>
      </w:r>
      <w:r w:rsidRPr="00567F19">
        <w:t>Article 8(2) of Regulation (EU) No 1299/2013)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2701C9" w:rsidRPr="00316477" w:rsidTr="00316477">
        <w:trPr>
          <w:trHeight w:val="518"/>
        </w:trPr>
        <w:tc>
          <w:tcPr>
            <w:tcW w:w="2235" w:type="dxa"/>
            <w:shd w:val="clear" w:color="auto" w:fill="auto"/>
          </w:tcPr>
          <w:p w:rsidR="002701C9" w:rsidRPr="00316477" w:rsidRDefault="002701C9" w:rsidP="002701C9">
            <w:pPr>
              <w:spacing w:after="240"/>
              <w:rPr>
                <w:rFonts w:eastAsia="Times New Roman"/>
                <w:i/>
                <w:color w:val="8DB3E2"/>
                <w:szCs w:val="24"/>
              </w:rPr>
            </w:pPr>
            <w:r w:rsidRPr="00316477">
              <w:rPr>
                <w:rFonts w:eastAsia="Times New Roman"/>
                <w:i/>
                <w:szCs w:val="24"/>
              </w:rPr>
              <w:t>Thematic Priority</w:t>
            </w:r>
          </w:p>
        </w:tc>
        <w:tc>
          <w:tcPr>
            <w:tcW w:w="6662" w:type="dxa"/>
            <w:shd w:val="clear" w:color="auto" w:fill="auto"/>
          </w:tcPr>
          <w:p w:rsidR="002701C9" w:rsidRPr="00316477" w:rsidRDefault="002701C9" w:rsidP="00C86B04">
            <w:pPr>
              <w:spacing w:after="240"/>
              <w:rPr>
                <w:rFonts w:eastAsia="Times New Roman"/>
                <w:color w:val="8DB3E2"/>
                <w:szCs w:val="24"/>
              </w:rPr>
            </w:pPr>
            <w:r w:rsidRPr="00316477">
              <w:rPr>
                <w:rFonts w:eastAsia="Times New Roman"/>
                <w:szCs w:val="24"/>
              </w:rPr>
              <w:t xml:space="preserve">TP </w:t>
            </w:r>
            <w:r w:rsidR="00AE59E5" w:rsidRPr="00316477">
              <w:rPr>
                <w:rFonts w:eastAsia="Times New Roman"/>
                <w:szCs w:val="24"/>
              </w:rPr>
              <w:t>4</w:t>
            </w:r>
            <w:r w:rsidRPr="00316477">
              <w:rPr>
                <w:rFonts w:eastAsia="Times New Roman"/>
                <w:szCs w:val="24"/>
              </w:rPr>
              <w:t xml:space="preserve"> </w:t>
            </w:r>
            <w:r w:rsidR="00C86B04" w:rsidRPr="00316477">
              <w:rPr>
                <w:rFonts w:eastAsia="Times New Roman"/>
                <w:szCs w:val="24"/>
              </w:rPr>
              <w:t>Tourism and cultural and natural heritage</w:t>
            </w:r>
          </w:p>
        </w:tc>
      </w:tr>
      <w:tr w:rsidR="002701C9" w:rsidRPr="00316477" w:rsidTr="00316477">
        <w:trPr>
          <w:trHeight w:val="416"/>
        </w:trPr>
        <w:tc>
          <w:tcPr>
            <w:tcW w:w="8897" w:type="dxa"/>
            <w:gridSpan w:val="2"/>
            <w:shd w:val="clear" w:color="auto" w:fill="auto"/>
          </w:tcPr>
          <w:p w:rsidR="002701C9" w:rsidRPr="00316477" w:rsidRDefault="002701C9" w:rsidP="002701C9">
            <w:pPr>
              <w:spacing w:after="0" w:line="280" w:lineRule="atLeast"/>
              <w:contextualSpacing/>
              <w:rPr>
                <w:szCs w:val="24"/>
              </w:rPr>
            </w:pPr>
            <w:r w:rsidRPr="00316477">
              <w:rPr>
                <w:szCs w:val="24"/>
              </w:rPr>
              <w:t xml:space="preserve">The supported actions under </w:t>
            </w:r>
            <w:r w:rsidR="001B1375" w:rsidRPr="00316477">
              <w:rPr>
                <w:szCs w:val="24"/>
              </w:rPr>
              <w:t xml:space="preserve">priority </w:t>
            </w:r>
            <w:r w:rsidRPr="00316477">
              <w:rPr>
                <w:szCs w:val="24"/>
              </w:rPr>
              <w:t xml:space="preserve">axis </w:t>
            </w:r>
            <w:r w:rsidR="006C6864" w:rsidRPr="00316477">
              <w:rPr>
                <w:szCs w:val="24"/>
              </w:rPr>
              <w:t>3</w:t>
            </w:r>
            <w:r w:rsidRPr="00316477">
              <w:rPr>
                <w:szCs w:val="24"/>
              </w:rPr>
              <w:t xml:space="preserve"> will contribute to </w:t>
            </w:r>
            <w:r w:rsidR="00FF2FDE" w:rsidRPr="00316477">
              <w:rPr>
                <w:szCs w:val="24"/>
              </w:rPr>
              <w:t>development and diversification of existing tourism potential and to protecti</w:t>
            </w:r>
            <w:r w:rsidR="009164F1">
              <w:rPr>
                <w:szCs w:val="24"/>
              </w:rPr>
              <w:t>ng and more sustainably using the</w:t>
            </w:r>
            <w:r w:rsidR="00FF2FDE" w:rsidRPr="00316477">
              <w:rPr>
                <w:szCs w:val="24"/>
              </w:rPr>
              <w:t xml:space="preserve"> </w:t>
            </w:r>
            <w:r w:rsidR="001B1375" w:rsidRPr="00316477">
              <w:rPr>
                <w:szCs w:val="24"/>
              </w:rPr>
              <w:t xml:space="preserve">cultural and </w:t>
            </w:r>
            <w:r w:rsidR="00FF2FDE" w:rsidRPr="00316477">
              <w:rPr>
                <w:szCs w:val="24"/>
              </w:rPr>
              <w:t>natural heritage</w:t>
            </w:r>
            <w:r w:rsidR="009164F1">
              <w:rPr>
                <w:szCs w:val="24"/>
              </w:rPr>
              <w:t xml:space="preserve"> assets</w:t>
            </w:r>
            <w:r w:rsidRPr="00316477">
              <w:rPr>
                <w:szCs w:val="24"/>
              </w:rPr>
              <w:t xml:space="preserve">. </w:t>
            </w:r>
          </w:p>
          <w:p w:rsidR="002701C9" w:rsidRPr="00316477" w:rsidRDefault="002701C9" w:rsidP="002701C9">
            <w:pPr>
              <w:spacing w:after="0" w:line="280" w:lineRule="atLeast"/>
              <w:contextualSpacing/>
              <w:rPr>
                <w:szCs w:val="24"/>
              </w:rPr>
            </w:pPr>
          </w:p>
          <w:p w:rsidR="00FB5AAF" w:rsidRPr="00316477" w:rsidRDefault="00FB5AAF" w:rsidP="002701C9">
            <w:pPr>
              <w:spacing w:after="0" w:line="280" w:lineRule="atLeast"/>
              <w:contextualSpacing/>
              <w:rPr>
                <w:szCs w:val="24"/>
              </w:rPr>
            </w:pPr>
            <w:r w:rsidRPr="00316477">
              <w:rPr>
                <w:szCs w:val="24"/>
              </w:rPr>
              <w:t xml:space="preserve">Cross-border cooperation can add value </w:t>
            </w:r>
            <w:r w:rsidR="00087EA3" w:rsidRPr="00316477">
              <w:rPr>
                <w:szCs w:val="24"/>
              </w:rPr>
              <w:t xml:space="preserve">through </w:t>
            </w:r>
            <w:r w:rsidR="004C15C5" w:rsidRPr="00316477">
              <w:rPr>
                <w:szCs w:val="24"/>
              </w:rPr>
              <w:t>building new joint products and services in tourism</w:t>
            </w:r>
            <w:r w:rsidR="00087EA3" w:rsidRPr="00316477">
              <w:rPr>
                <w:szCs w:val="24"/>
              </w:rPr>
              <w:t xml:space="preserve"> as well as</w:t>
            </w:r>
            <w:r w:rsidR="004C15C5" w:rsidRPr="00316477">
              <w:rPr>
                <w:szCs w:val="24"/>
              </w:rPr>
              <w:t xml:space="preserve"> </w:t>
            </w:r>
            <w:r w:rsidR="00087EA3" w:rsidRPr="00316477">
              <w:rPr>
                <w:szCs w:val="24"/>
              </w:rPr>
              <w:t xml:space="preserve">through improving skills and competences </w:t>
            </w:r>
            <w:r w:rsidRPr="00316477">
              <w:rPr>
                <w:szCs w:val="24"/>
              </w:rPr>
              <w:t xml:space="preserve">addressing stakeholders dealing with </w:t>
            </w:r>
            <w:r w:rsidR="004C15C5" w:rsidRPr="00316477">
              <w:rPr>
                <w:szCs w:val="24"/>
              </w:rPr>
              <w:t xml:space="preserve">tourism and </w:t>
            </w:r>
            <w:r w:rsidRPr="00316477">
              <w:rPr>
                <w:szCs w:val="24"/>
              </w:rPr>
              <w:t xml:space="preserve">the protection of cultural </w:t>
            </w:r>
            <w:r w:rsidR="00C834F2" w:rsidRPr="00316477">
              <w:rPr>
                <w:szCs w:val="24"/>
              </w:rPr>
              <w:t xml:space="preserve">and natural </w:t>
            </w:r>
            <w:r w:rsidRPr="00316477">
              <w:rPr>
                <w:szCs w:val="24"/>
              </w:rPr>
              <w:t>heritage and resour</w:t>
            </w:r>
            <w:r w:rsidR="004C15C5" w:rsidRPr="00316477">
              <w:rPr>
                <w:szCs w:val="24"/>
              </w:rPr>
              <w:t>ces</w:t>
            </w:r>
            <w:r w:rsidR="00D016F6" w:rsidRPr="00316477">
              <w:rPr>
                <w:szCs w:val="24"/>
              </w:rPr>
              <w:t>,</w:t>
            </w:r>
            <w:r w:rsidR="004C15C5" w:rsidRPr="00316477">
              <w:rPr>
                <w:szCs w:val="24"/>
              </w:rPr>
              <w:t xml:space="preserve"> in order to enable their sustainable management</w:t>
            </w:r>
            <w:r w:rsidRPr="00316477">
              <w:rPr>
                <w:szCs w:val="24"/>
              </w:rPr>
              <w:t xml:space="preserve">. </w:t>
            </w:r>
          </w:p>
          <w:p w:rsidR="00C834F2" w:rsidRPr="00316477" w:rsidRDefault="00C834F2" w:rsidP="002701C9">
            <w:pPr>
              <w:spacing w:after="0" w:line="280" w:lineRule="atLeast"/>
              <w:contextualSpacing/>
              <w:rPr>
                <w:szCs w:val="24"/>
              </w:rPr>
            </w:pPr>
          </w:p>
          <w:p w:rsidR="002701C9" w:rsidRPr="00316477" w:rsidRDefault="002701C9" w:rsidP="002701C9">
            <w:pPr>
              <w:spacing w:after="0" w:line="280" w:lineRule="atLeast"/>
              <w:contextualSpacing/>
              <w:rPr>
                <w:szCs w:val="24"/>
              </w:rPr>
            </w:pPr>
            <w:r w:rsidRPr="00316477">
              <w:rPr>
                <w:szCs w:val="24"/>
              </w:rPr>
              <w:t xml:space="preserve">According to the </w:t>
            </w:r>
            <w:r w:rsidR="001B1375" w:rsidRPr="00316477">
              <w:rPr>
                <w:szCs w:val="24"/>
              </w:rPr>
              <w:t xml:space="preserve">specific </w:t>
            </w:r>
            <w:r w:rsidRPr="00316477">
              <w:rPr>
                <w:szCs w:val="24"/>
              </w:rPr>
              <w:t xml:space="preserve">objectives within </w:t>
            </w:r>
            <w:r w:rsidR="001B1375" w:rsidRPr="00316477">
              <w:rPr>
                <w:szCs w:val="24"/>
              </w:rPr>
              <w:t xml:space="preserve">priority </w:t>
            </w:r>
            <w:r w:rsidRPr="00316477">
              <w:rPr>
                <w:szCs w:val="24"/>
              </w:rPr>
              <w:t xml:space="preserve">axis </w:t>
            </w:r>
            <w:r w:rsidR="006C6864" w:rsidRPr="00316477">
              <w:rPr>
                <w:szCs w:val="24"/>
              </w:rPr>
              <w:t>3</w:t>
            </w:r>
            <w:r w:rsidRPr="00316477">
              <w:rPr>
                <w:szCs w:val="24"/>
              </w:rPr>
              <w:t>, two sets of actions will be supported:</w:t>
            </w:r>
          </w:p>
          <w:p w:rsidR="002701C9" w:rsidRPr="00316477" w:rsidRDefault="002701C9" w:rsidP="00B77D2F">
            <w:pPr>
              <w:pStyle w:val="ListParagraph"/>
              <w:numPr>
                <w:ilvl w:val="0"/>
                <w:numId w:val="32"/>
              </w:numPr>
              <w:spacing w:after="0" w:line="280" w:lineRule="atLeast"/>
              <w:contextualSpacing/>
              <w:rPr>
                <w:rFonts w:cstheme="minorBidi"/>
                <w:szCs w:val="24"/>
                <w:lang w:val="en-US" w:eastAsia="ja-JP"/>
              </w:rPr>
            </w:pPr>
            <w:r w:rsidRPr="00316477">
              <w:rPr>
                <w:szCs w:val="24"/>
              </w:rPr>
              <w:t xml:space="preserve">Actions to </w:t>
            </w:r>
            <w:r w:rsidR="00BC6579" w:rsidRPr="00316477">
              <w:rPr>
                <w:szCs w:val="24"/>
              </w:rPr>
              <w:t>stren</w:t>
            </w:r>
            <w:r w:rsidR="004F7F97" w:rsidRPr="00316477">
              <w:rPr>
                <w:szCs w:val="24"/>
              </w:rPr>
              <w:t xml:space="preserve">gthen and diversify the tourism </w:t>
            </w:r>
            <w:r w:rsidR="00705693" w:rsidRPr="00316477">
              <w:rPr>
                <w:szCs w:val="24"/>
              </w:rPr>
              <w:t xml:space="preserve">offer </w:t>
            </w:r>
            <w:r w:rsidR="001B1375" w:rsidRPr="00316477">
              <w:rPr>
                <w:szCs w:val="24"/>
              </w:rPr>
              <w:t xml:space="preserve">through cross border approaches </w:t>
            </w:r>
            <w:r w:rsidR="00705693" w:rsidRPr="00316477">
              <w:rPr>
                <w:szCs w:val="24"/>
              </w:rPr>
              <w:t>(</w:t>
            </w:r>
            <w:r w:rsidRPr="00316477">
              <w:rPr>
                <w:szCs w:val="24"/>
              </w:rPr>
              <w:t xml:space="preserve">as per SO </w:t>
            </w:r>
            <w:r w:rsidR="006C6864" w:rsidRPr="00316477">
              <w:rPr>
                <w:szCs w:val="24"/>
              </w:rPr>
              <w:t>3</w:t>
            </w:r>
            <w:r w:rsidRPr="00316477">
              <w:rPr>
                <w:szCs w:val="24"/>
              </w:rPr>
              <w:t xml:space="preserve">.1. - </w:t>
            </w:r>
            <w:r w:rsidR="00ED29CA" w:rsidRPr="00316477">
              <w:rPr>
                <w:szCs w:val="24"/>
              </w:rPr>
              <w:t xml:space="preserve">expected </w:t>
            </w:r>
            <w:r w:rsidRPr="00316477">
              <w:rPr>
                <w:szCs w:val="24"/>
              </w:rPr>
              <w:t xml:space="preserve">result </w:t>
            </w:r>
            <w:r w:rsidR="006C6864" w:rsidRPr="00316477">
              <w:rPr>
                <w:szCs w:val="24"/>
              </w:rPr>
              <w:t>3</w:t>
            </w:r>
            <w:r w:rsidRPr="00316477">
              <w:rPr>
                <w:szCs w:val="24"/>
              </w:rPr>
              <w:t>.1.)</w:t>
            </w:r>
          </w:p>
          <w:p w:rsidR="002701C9" w:rsidRPr="00316477" w:rsidRDefault="002701C9" w:rsidP="00B77D2F">
            <w:pPr>
              <w:pStyle w:val="ListParagraph"/>
              <w:numPr>
                <w:ilvl w:val="0"/>
                <w:numId w:val="32"/>
              </w:numPr>
              <w:spacing w:after="0" w:line="280" w:lineRule="atLeast"/>
              <w:contextualSpacing/>
              <w:rPr>
                <w:rFonts w:cstheme="minorBidi"/>
                <w:szCs w:val="24"/>
                <w:lang w:val="en-US" w:eastAsia="ja-JP"/>
              </w:rPr>
            </w:pPr>
            <w:r w:rsidRPr="00316477">
              <w:rPr>
                <w:szCs w:val="24"/>
              </w:rPr>
              <w:t xml:space="preserve">Actions </w:t>
            </w:r>
            <w:r w:rsidR="000E0E41" w:rsidRPr="00316477">
              <w:rPr>
                <w:szCs w:val="24"/>
              </w:rPr>
              <w:t>t</w:t>
            </w:r>
            <w:r w:rsidR="00BC6579" w:rsidRPr="00316477">
              <w:rPr>
                <w:szCs w:val="24"/>
              </w:rPr>
              <w:t xml:space="preserve">o enable a better management and sustainable use of cultural and natural heritage </w:t>
            </w:r>
            <w:r w:rsidRPr="00316477">
              <w:rPr>
                <w:szCs w:val="24"/>
              </w:rPr>
              <w:t xml:space="preserve">(as per SO </w:t>
            </w:r>
            <w:r w:rsidR="006C6864" w:rsidRPr="00316477">
              <w:rPr>
                <w:szCs w:val="24"/>
              </w:rPr>
              <w:t>3</w:t>
            </w:r>
            <w:r w:rsidRPr="00316477">
              <w:rPr>
                <w:szCs w:val="24"/>
              </w:rPr>
              <w:t xml:space="preserve">.2. - </w:t>
            </w:r>
            <w:r w:rsidR="00ED29CA" w:rsidRPr="00316477">
              <w:rPr>
                <w:szCs w:val="24"/>
              </w:rPr>
              <w:t xml:space="preserve">expected </w:t>
            </w:r>
            <w:r w:rsidRPr="00316477">
              <w:rPr>
                <w:szCs w:val="24"/>
              </w:rPr>
              <w:t xml:space="preserve">result </w:t>
            </w:r>
            <w:r w:rsidR="006C6864" w:rsidRPr="00316477">
              <w:rPr>
                <w:szCs w:val="24"/>
              </w:rPr>
              <w:t>3</w:t>
            </w:r>
            <w:r w:rsidRPr="00316477">
              <w:rPr>
                <w:szCs w:val="24"/>
              </w:rPr>
              <w:t>.2.)</w:t>
            </w:r>
          </w:p>
          <w:p w:rsidR="002701C9" w:rsidRPr="00316477" w:rsidRDefault="00705693" w:rsidP="002701C9">
            <w:pPr>
              <w:spacing w:after="0" w:line="280" w:lineRule="atLeast"/>
              <w:contextualSpacing/>
              <w:rPr>
                <w:b/>
                <w:szCs w:val="24"/>
              </w:rPr>
            </w:pPr>
            <w:r w:rsidRPr="00316477">
              <w:rPr>
                <w:b/>
                <w:szCs w:val="24"/>
              </w:rPr>
              <w:lastRenderedPageBreak/>
              <w:t xml:space="preserve">Actions to strengthen and diversify the tourism offer </w:t>
            </w:r>
            <w:r w:rsidR="004565F0" w:rsidRPr="00316477">
              <w:rPr>
                <w:b/>
                <w:szCs w:val="24"/>
              </w:rPr>
              <w:t>through cross border approaches</w:t>
            </w:r>
          </w:p>
          <w:p w:rsidR="00705693" w:rsidRPr="00316477" w:rsidRDefault="00705693" w:rsidP="002701C9">
            <w:pPr>
              <w:spacing w:after="0" w:line="280" w:lineRule="atLeast"/>
              <w:contextualSpacing/>
              <w:rPr>
                <w:i/>
                <w:szCs w:val="24"/>
              </w:rPr>
            </w:pPr>
          </w:p>
          <w:p w:rsidR="002701C9" w:rsidRPr="00316477" w:rsidRDefault="002701C9" w:rsidP="002701C9">
            <w:pPr>
              <w:spacing w:after="0" w:line="280" w:lineRule="atLeast"/>
              <w:contextualSpacing/>
              <w:rPr>
                <w:i/>
                <w:szCs w:val="24"/>
              </w:rPr>
            </w:pPr>
            <w:r w:rsidRPr="00316477">
              <w:rPr>
                <w:i/>
                <w:szCs w:val="24"/>
              </w:rPr>
              <w:t xml:space="preserve">Examples of actions supported within SO </w:t>
            </w:r>
            <w:r w:rsidR="004F7F97" w:rsidRPr="00316477">
              <w:rPr>
                <w:i/>
                <w:szCs w:val="24"/>
              </w:rPr>
              <w:t>3</w:t>
            </w:r>
            <w:r w:rsidRPr="00316477">
              <w:rPr>
                <w:i/>
                <w:szCs w:val="24"/>
              </w:rPr>
              <w:t>.1. are:</w:t>
            </w:r>
          </w:p>
          <w:p w:rsidR="002701C9" w:rsidRPr="00316477" w:rsidRDefault="002701C9" w:rsidP="002701C9">
            <w:pPr>
              <w:spacing w:after="0" w:line="280" w:lineRule="atLeast"/>
              <w:contextualSpacing/>
              <w:rPr>
                <w:szCs w:val="24"/>
              </w:rPr>
            </w:pPr>
          </w:p>
          <w:p w:rsidR="00B77D2F" w:rsidRPr="00316477" w:rsidRDefault="00B77D2F" w:rsidP="00F55943">
            <w:pPr>
              <w:numPr>
                <w:ilvl w:val="0"/>
                <w:numId w:val="44"/>
              </w:numPr>
              <w:spacing w:after="0" w:line="280" w:lineRule="atLeast"/>
              <w:contextualSpacing/>
              <w:rPr>
                <w:szCs w:val="24"/>
              </w:rPr>
            </w:pPr>
            <w:r w:rsidRPr="00316477">
              <w:rPr>
                <w:szCs w:val="24"/>
              </w:rPr>
              <w:t>Developing, promoting and branding of joint tourism niches and products including developing joint tourism activities and diversification of tourism offer (inclusion of other sectors e.g. agriculture, organic food supply, handicrafts and other local products, culture, sustainable transport, etc. in order to develop projects in ecotourism, hunting, rural, mountain, excursion, cultural, adventure, religious, nautical, conference, health and wellness and spa tourism.</w:t>
            </w:r>
          </w:p>
          <w:p w:rsidR="00B77D2F" w:rsidRPr="00316477" w:rsidRDefault="00B77D2F" w:rsidP="00F55943">
            <w:pPr>
              <w:numPr>
                <w:ilvl w:val="0"/>
                <w:numId w:val="44"/>
              </w:numPr>
              <w:spacing w:after="0" w:line="280" w:lineRule="atLeast"/>
              <w:contextualSpacing/>
              <w:rPr>
                <w:szCs w:val="24"/>
              </w:rPr>
            </w:pPr>
            <w:r w:rsidRPr="00316477">
              <w:rPr>
                <w:szCs w:val="24"/>
              </w:rPr>
              <w:t>Joint incentives of integrating culture, nature and leisure activities into tourism offer in the programme area.</w:t>
            </w:r>
          </w:p>
          <w:p w:rsidR="00B77D2F" w:rsidRPr="00316477" w:rsidRDefault="00B77D2F" w:rsidP="00F55943">
            <w:pPr>
              <w:numPr>
                <w:ilvl w:val="0"/>
                <w:numId w:val="44"/>
              </w:numPr>
              <w:spacing w:after="0" w:line="280" w:lineRule="atLeast"/>
              <w:contextualSpacing/>
              <w:rPr>
                <w:szCs w:val="24"/>
              </w:rPr>
            </w:pPr>
            <w:r w:rsidRPr="00316477">
              <w:rPr>
                <w:szCs w:val="24"/>
              </w:rPr>
              <w:t>Developing complementary services in tourist offer</w:t>
            </w:r>
            <w:r w:rsidR="00123D0A" w:rsidRPr="00316477">
              <w:rPr>
                <w:szCs w:val="24"/>
              </w:rPr>
              <w:t>.</w:t>
            </w:r>
            <w:r w:rsidRPr="00316477">
              <w:rPr>
                <w:szCs w:val="24"/>
              </w:rPr>
              <w:t xml:space="preserve"> </w:t>
            </w:r>
          </w:p>
          <w:p w:rsidR="00B77D2F" w:rsidRPr="00316477" w:rsidRDefault="00B77D2F" w:rsidP="00F55943">
            <w:pPr>
              <w:numPr>
                <w:ilvl w:val="0"/>
                <w:numId w:val="44"/>
              </w:numPr>
              <w:spacing w:after="0" w:line="280" w:lineRule="atLeast"/>
              <w:contextualSpacing/>
              <w:rPr>
                <w:szCs w:val="24"/>
              </w:rPr>
            </w:pPr>
            <w:r w:rsidRPr="00316477">
              <w:rPr>
                <w:szCs w:val="24"/>
              </w:rPr>
              <w:t>Promoting and introducing (international) certifications and standards, in order to improve the quality of tourism providers and their services.</w:t>
            </w:r>
          </w:p>
          <w:p w:rsidR="00B77D2F" w:rsidRPr="00316477" w:rsidRDefault="00B77D2F" w:rsidP="00F55943">
            <w:pPr>
              <w:numPr>
                <w:ilvl w:val="0"/>
                <w:numId w:val="44"/>
              </w:numPr>
              <w:spacing w:after="0" w:line="280" w:lineRule="atLeast"/>
              <w:contextualSpacing/>
              <w:rPr>
                <w:szCs w:val="24"/>
              </w:rPr>
            </w:pPr>
            <w:r w:rsidRPr="00316477">
              <w:rPr>
                <w:szCs w:val="24"/>
              </w:rPr>
              <w:t>Supporting development and improvement of destination management capacity building in tourism sector (e.g. by developing destination management skills and focusing on quality (e.g. standardisation) and integration of offers, tourist destination development, management, marketing and promotion).</w:t>
            </w:r>
          </w:p>
          <w:p w:rsidR="00B77D2F" w:rsidRPr="00316477" w:rsidRDefault="00B77D2F" w:rsidP="00F55943">
            <w:pPr>
              <w:numPr>
                <w:ilvl w:val="0"/>
                <w:numId w:val="44"/>
              </w:numPr>
              <w:spacing w:after="0" w:line="280" w:lineRule="atLeast"/>
              <w:contextualSpacing/>
              <w:rPr>
                <w:szCs w:val="24"/>
              </w:rPr>
            </w:pPr>
            <w:r w:rsidRPr="00316477">
              <w:rPr>
                <w:szCs w:val="24"/>
              </w:rPr>
              <w:t xml:space="preserve">Implementing cross-border networking of institutions in tourism sector, including establishment of clusters. </w:t>
            </w:r>
          </w:p>
          <w:p w:rsidR="00B77D2F" w:rsidRPr="00316477" w:rsidRDefault="00B77D2F" w:rsidP="00F55943">
            <w:pPr>
              <w:numPr>
                <w:ilvl w:val="0"/>
                <w:numId w:val="44"/>
              </w:numPr>
              <w:spacing w:after="0" w:line="280" w:lineRule="atLeast"/>
              <w:contextualSpacing/>
              <w:rPr>
                <w:szCs w:val="24"/>
              </w:rPr>
            </w:pPr>
            <w:r w:rsidRPr="00316477">
              <w:rPr>
                <w:szCs w:val="24"/>
              </w:rPr>
              <w:t>Developing the offer of innovative products and services across the borders using ICT and other technologies (e.g. GPS routes, booking systems).</w:t>
            </w:r>
          </w:p>
          <w:p w:rsidR="00123D0A" w:rsidRPr="00316477" w:rsidRDefault="00B77D2F" w:rsidP="00F55943">
            <w:pPr>
              <w:numPr>
                <w:ilvl w:val="0"/>
                <w:numId w:val="44"/>
              </w:numPr>
              <w:spacing w:after="0" w:line="280" w:lineRule="atLeast"/>
              <w:contextualSpacing/>
              <w:rPr>
                <w:szCs w:val="24"/>
              </w:rPr>
            </w:pPr>
            <w:r w:rsidRPr="00316477">
              <w:rPr>
                <w:szCs w:val="24"/>
              </w:rPr>
              <w:t>Developing and improving small-scale tourism infrastructure such as: walking paths, cycling routes, hiking, riding trails, signposting, visitor centres, etc., privileging the cross border approach.</w:t>
            </w:r>
          </w:p>
          <w:p w:rsidR="00123D0A" w:rsidRPr="00316477" w:rsidRDefault="00123D0A" w:rsidP="00123D0A">
            <w:pPr>
              <w:ind w:left="720"/>
              <w:rPr>
                <w:rFonts w:cstheme="minorBidi"/>
                <w:szCs w:val="24"/>
                <w:lang w:val="en-US" w:eastAsia="ja-JP"/>
              </w:rPr>
            </w:pPr>
          </w:p>
          <w:p w:rsidR="00D86A9C" w:rsidRPr="00316477" w:rsidRDefault="00D86A9C" w:rsidP="00D86A9C">
            <w:pPr>
              <w:rPr>
                <w:szCs w:val="24"/>
                <w:lang w:val="en-US"/>
              </w:rPr>
            </w:pPr>
            <w:r w:rsidRPr="00316477">
              <w:rPr>
                <w:szCs w:val="24"/>
                <w:lang w:val="en-US"/>
              </w:rPr>
              <w:t>Strategic project „The Development of Rural Tourism in the Adriatic Hinterland of Croatia, Bosnia and Herzegovina and Montenegro – 1st phase</w:t>
            </w:r>
            <w:r w:rsidR="00E701AA" w:rsidRPr="00316477">
              <w:rPr>
                <w:szCs w:val="24"/>
                <w:lang w:val="en-US"/>
              </w:rPr>
              <w:t>“</w:t>
            </w:r>
            <w:r w:rsidR="009164F1">
              <w:rPr>
                <w:szCs w:val="24"/>
                <w:lang w:val="en-US"/>
              </w:rPr>
              <w:t xml:space="preserve"> is envisaged to be implemented  under P</w:t>
            </w:r>
            <w:r w:rsidRPr="00316477">
              <w:rPr>
                <w:szCs w:val="24"/>
                <w:lang w:val="en-US"/>
              </w:rPr>
              <w:t xml:space="preserve">riority axis 3. The project is considered to be strategic due to the fact that achievement of project objectives and results and implementation of project activities will directly contribute to the achievement of specific objective and expected result set within this priority axis. In addition, it will contribute to the goals of  EUSAIR to which all three involved countries are committed, in particular to the development of hinterland rural areas under priority „sustainable tourism“. </w:t>
            </w:r>
          </w:p>
          <w:p w:rsidR="00A51E80" w:rsidRPr="00316477" w:rsidRDefault="00A51E80" w:rsidP="002701C9">
            <w:pPr>
              <w:spacing w:after="0" w:line="280" w:lineRule="atLeast"/>
              <w:contextualSpacing/>
              <w:rPr>
                <w:b/>
                <w:szCs w:val="24"/>
              </w:rPr>
            </w:pPr>
          </w:p>
          <w:p w:rsidR="002701C9" w:rsidRPr="00316477" w:rsidRDefault="001F70B7" w:rsidP="002701C9">
            <w:pPr>
              <w:spacing w:after="0" w:line="280" w:lineRule="atLeast"/>
              <w:contextualSpacing/>
              <w:rPr>
                <w:b/>
                <w:szCs w:val="24"/>
              </w:rPr>
            </w:pPr>
            <w:r w:rsidRPr="00316477">
              <w:rPr>
                <w:b/>
                <w:szCs w:val="24"/>
              </w:rPr>
              <w:t xml:space="preserve">Actions to enable a better management and sustainable use of cultural and natural heritage </w:t>
            </w:r>
          </w:p>
          <w:p w:rsidR="001F70B7" w:rsidRPr="00316477" w:rsidRDefault="001F70B7" w:rsidP="002701C9">
            <w:pPr>
              <w:spacing w:after="0" w:line="280" w:lineRule="atLeast"/>
              <w:contextualSpacing/>
              <w:rPr>
                <w:i/>
                <w:szCs w:val="24"/>
              </w:rPr>
            </w:pPr>
          </w:p>
          <w:p w:rsidR="002701C9" w:rsidRPr="00316477" w:rsidRDefault="002701C9" w:rsidP="002701C9">
            <w:pPr>
              <w:spacing w:after="0" w:line="280" w:lineRule="atLeast"/>
              <w:contextualSpacing/>
              <w:rPr>
                <w:i/>
                <w:szCs w:val="24"/>
              </w:rPr>
            </w:pPr>
            <w:r w:rsidRPr="00316477">
              <w:rPr>
                <w:i/>
                <w:szCs w:val="24"/>
              </w:rPr>
              <w:t xml:space="preserve">Examples of actions supported within SO </w:t>
            </w:r>
            <w:r w:rsidR="00F02289" w:rsidRPr="00316477">
              <w:rPr>
                <w:i/>
                <w:szCs w:val="24"/>
              </w:rPr>
              <w:t>3</w:t>
            </w:r>
            <w:r w:rsidRPr="00316477">
              <w:rPr>
                <w:i/>
                <w:szCs w:val="24"/>
              </w:rPr>
              <w:t>.2. are:</w:t>
            </w:r>
          </w:p>
          <w:p w:rsidR="002701C9" w:rsidRPr="00316477" w:rsidRDefault="002701C9" w:rsidP="002701C9">
            <w:pPr>
              <w:spacing w:after="0" w:line="280" w:lineRule="atLeast"/>
              <w:contextualSpacing/>
              <w:rPr>
                <w:szCs w:val="24"/>
              </w:rPr>
            </w:pPr>
          </w:p>
          <w:p w:rsidR="00846202" w:rsidRPr="00316477" w:rsidRDefault="00846202" w:rsidP="00123D0A">
            <w:pPr>
              <w:numPr>
                <w:ilvl w:val="0"/>
                <w:numId w:val="44"/>
              </w:numPr>
              <w:spacing w:after="0" w:line="280" w:lineRule="atLeast"/>
              <w:contextualSpacing/>
              <w:rPr>
                <w:szCs w:val="24"/>
              </w:rPr>
            </w:pPr>
            <w:r w:rsidRPr="00316477">
              <w:rPr>
                <w:szCs w:val="24"/>
              </w:rPr>
              <w:t>Valuating, preserving, restoring and reviving (e.g. animation of site) cultural, historical and natural heritage e.g. UNESCO and other historical and cultural sites and landscapes, including enabling or improving access to them.</w:t>
            </w:r>
          </w:p>
          <w:p w:rsidR="00846202" w:rsidRPr="00316477" w:rsidRDefault="00846202" w:rsidP="00123D0A">
            <w:pPr>
              <w:numPr>
                <w:ilvl w:val="0"/>
                <w:numId w:val="44"/>
              </w:numPr>
              <w:spacing w:after="0" w:line="280" w:lineRule="atLeast"/>
              <w:contextualSpacing/>
              <w:rPr>
                <w:szCs w:val="24"/>
              </w:rPr>
            </w:pPr>
            <w:r w:rsidRPr="00316477">
              <w:rPr>
                <w:szCs w:val="24"/>
              </w:rPr>
              <w:t xml:space="preserve">Enabling joint cultural cooperation initiatives including creation of joint cultural events such as cultural festivals, cultural exchanges, joint theatre performances or </w:t>
            </w:r>
            <w:r w:rsidRPr="00316477">
              <w:rPr>
                <w:szCs w:val="24"/>
              </w:rPr>
              <w:lastRenderedPageBreak/>
              <w:t>joint/traveling exhibitions.</w:t>
            </w:r>
          </w:p>
          <w:p w:rsidR="00846202" w:rsidRPr="00316477" w:rsidRDefault="00846202" w:rsidP="00123D0A">
            <w:pPr>
              <w:numPr>
                <w:ilvl w:val="0"/>
                <w:numId w:val="44"/>
              </w:numPr>
              <w:spacing w:after="0" w:line="280" w:lineRule="atLeast"/>
              <w:contextualSpacing/>
              <w:rPr>
                <w:szCs w:val="24"/>
              </w:rPr>
            </w:pPr>
            <w:r w:rsidRPr="00316477">
              <w:rPr>
                <w:szCs w:val="24"/>
              </w:rPr>
              <w:t>Training programs in quality assurance systems and different types of standardisation (e.g. ISO certification, etc.) on cultural and natural heritage.</w:t>
            </w:r>
          </w:p>
          <w:p w:rsidR="00E701AA" w:rsidRPr="00316477" w:rsidRDefault="00846202" w:rsidP="00123D0A">
            <w:pPr>
              <w:numPr>
                <w:ilvl w:val="0"/>
                <w:numId w:val="44"/>
              </w:numPr>
              <w:spacing w:after="0" w:line="280" w:lineRule="atLeast"/>
              <w:contextualSpacing/>
              <w:rPr>
                <w:szCs w:val="24"/>
              </w:rPr>
            </w:pPr>
            <w:r w:rsidRPr="00316477">
              <w:rPr>
                <w:szCs w:val="24"/>
              </w:rPr>
              <w:t>Investments in certification including training, equipment supply but also small scale infrastructure on cultural and natural heritage</w:t>
            </w:r>
            <w:r w:rsidR="00954575" w:rsidRPr="00316477">
              <w:rPr>
                <w:szCs w:val="24"/>
              </w:rPr>
              <w:t>.</w:t>
            </w:r>
          </w:p>
          <w:p w:rsidR="00123D0A" w:rsidRPr="00316477" w:rsidRDefault="00123D0A" w:rsidP="00123D0A">
            <w:pPr>
              <w:numPr>
                <w:ilvl w:val="0"/>
                <w:numId w:val="44"/>
              </w:numPr>
              <w:spacing w:after="0" w:line="280" w:lineRule="atLeast"/>
              <w:contextualSpacing/>
              <w:rPr>
                <w:szCs w:val="24"/>
              </w:rPr>
            </w:pPr>
            <w:r w:rsidRPr="00316477">
              <w:rPr>
                <w:szCs w:val="24"/>
              </w:rPr>
              <w:t>Developing and promoting public cultural and heritage services.</w:t>
            </w:r>
          </w:p>
          <w:p w:rsidR="007926BF" w:rsidRPr="00316477" w:rsidRDefault="007926BF" w:rsidP="002701C9">
            <w:pPr>
              <w:spacing w:after="0" w:line="280" w:lineRule="atLeast"/>
              <w:contextualSpacing/>
              <w:rPr>
                <w:i/>
                <w:szCs w:val="24"/>
              </w:rPr>
            </w:pPr>
          </w:p>
          <w:p w:rsidR="002701C9" w:rsidRPr="00316477" w:rsidRDefault="002701C9" w:rsidP="002701C9">
            <w:pPr>
              <w:spacing w:after="0" w:line="280" w:lineRule="atLeast"/>
              <w:contextualSpacing/>
              <w:rPr>
                <w:szCs w:val="24"/>
              </w:rPr>
            </w:pPr>
            <w:r w:rsidRPr="00316477">
              <w:rPr>
                <w:i/>
                <w:szCs w:val="24"/>
              </w:rPr>
              <w:t>Main target groups and types of beneficiaries</w:t>
            </w:r>
          </w:p>
          <w:p w:rsidR="002701C9" w:rsidRPr="00316477" w:rsidRDefault="002701C9" w:rsidP="002701C9">
            <w:pPr>
              <w:spacing w:after="0" w:line="280" w:lineRule="atLeast"/>
              <w:contextualSpacing/>
              <w:rPr>
                <w:szCs w:val="24"/>
              </w:rPr>
            </w:pPr>
            <w:r w:rsidRPr="00316477">
              <w:rPr>
                <w:szCs w:val="24"/>
              </w:rPr>
              <w:t xml:space="preserve">The main target groups to be understood as those individuals and/or organisations positively affected by the activities and results of an operation, though not necessarily being directly involved in the operation. They include private, public and civil sector, such as enterprises, policy makers and planners, organisations dealing with </w:t>
            </w:r>
            <w:r w:rsidR="00FD4585" w:rsidRPr="00316477">
              <w:rPr>
                <w:szCs w:val="24"/>
              </w:rPr>
              <w:t>tourism and cultural and natural heritage</w:t>
            </w:r>
            <w:r w:rsidRPr="00316477">
              <w:rPr>
                <w:szCs w:val="24"/>
              </w:rPr>
              <w:t xml:space="preserve"> as well as all population groups which are affected by the issue.</w:t>
            </w:r>
          </w:p>
          <w:p w:rsidR="002701C9" w:rsidRPr="00316477" w:rsidRDefault="002701C9" w:rsidP="002701C9">
            <w:pPr>
              <w:spacing w:after="0" w:line="280" w:lineRule="atLeast"/>
              <w:contextualSpacing/>
              <w:rPr>
                <w:szCs w:val="24"/>
              </w:rPr>
            </w:pPr>
            <w:r w:rsidRPr="00316477">
              <w:rPr>
                <w:szCs w:val="24"/>
              </w:rPr>
              <w:t xml:space="preserve">Beneficiaries to be understood as project partners benefitting from programme funds and implementing activities within the operation are all legal personalities that can contribute to improving in the area of </w:t>
            </w:r>
            <w:r w:rsidR="00FD4585" w:rsidRPr="00316477">
              <w:rPr>
                <w:szCs w:val="24"/>
              </w:rPr>
              <w:t>tourism and management of cultural and natural heritage</w:t>
            </w:r>
            <w:r w:rsidRPr="00316477">
              <w:rPr>
                <w:szCs w:val="24"/>
              </w:rPr>
              <w:t xml:space="preserve"> throughout the programme area. They comprise amongst others: </w:t>
            </w:r>
            <w:r w:rsidR="00FD4585" w:rsidRPr="00316477">
              <w:rPr>
                <w:szCs w:val="24"/>
              </w:rPr>
              <w:t>NGOs (for example citizens associations, development agencies, local action groups, chambers, clusters, expert associations etc.), public institutions (for example institutes and other research organisations, development agencies national/regional/local institutions responsible for environment and nature, national/regional/local institutions responsible for culture including museums, libraries and theatres, etc.), educational institutions (for example universities, faculties, open universities, adult education institutions, primary and secondary schools etc.), local and regional authorities, tourist boards and organisations, business supporting organisations, etc.</w:t>
            </w:r>
          </w:p>
          <w:p w:rsidR="002701C9" w:rsidRPr="00316477" w:rsidRDefault="002701C9" w:rsidP="002701C9">
            <w:pPr>
              <w:spacing w:after="0" w:line="280" w:lineRule="atLeast"/>
              <w:contextualSpacing/>
              <w:rPr>
                <w:szCs w:val="24"/>
              </w:rPr>
            </w:pPr>
          </w:p>
          <w:p w:rsidR="002701C9" w:rsidRPr="009164F1" w:rsidRDefault="002701C9" w:rsidP="002701C9">
            <w:pPr>
              <w:spacing w:after="0" w:line="280" w:lineRule="atLeast"/>
              <w:contextualSpacing/>
              <w:rPr>
                <w:i/>
                <w:szCs w:val="24"/>
              </w:rPr>
            </w:pPr>
            <w:r w:rsidRPr="009164F1">
              <w:rPr>
                <w:i/>
                <w:szCs w:val="24"/>
              </w:rPr>
              <w:t>Specific territories targeted</w:t>
            </w:r>
          </w:p>
          <w:p w:rsidR="002701C9" w:rsidRPr="00316477" w:rsidRDefault="002701C9" w:rsidP="004E29F3">
            <w:pPr>
              <w:spacing w:after="0" w:line="280" w:lineRule="atLeast"/>
              <w:contextualSpacing/>
              <w:rPr>
                <w:szCs w:val="24"/>
              </w:rPr>
            </w:pPr>
            <w:r w:rsidRPr="00316477">
              <w:rPr>
                <w:szCs w:val="24"/>
              </w:rPr>
              <w:t xml:space="preserve">Taking into account that common potentials and challenges have been identified throughout the whole programme area, no specific territories will be targeted under the Priority axes </w:t>
            </w:r>
            <w:r w:rsidR="00500BAC" w:rsidRPr="00316477">
              <w:rPr>
                <w:szCs w:val="24"/>
              </w:rPr>
              <w:t>3</w:t>
            </w:r>
            <w:r w:rsidR="009A7987">
              <w:rPr>
                <w:szCs w:val="24"/>
              </w:rPr>
              <w:t xml:space="preserve">. </w:t>
            </w:r>
            <w:r w:rsidRPr="00316477">
              <w:rPr>
                <w:szCs w:val="24"/>
              </w:rPr>
              <w:t>Therefore, the supported actions can be implemented throughout the whole programme area.</w:t>
            </w:r>
          </w:p>
        </w:tc>
      </w:tr>
    </w:tbl>
    <w:p w:rsidR="00C86B04" w:rsidRPr="00B76110" w:rsidRDefault="00C86B04" w:rsidP="004E29F3">
      <w:pPr>
        <w:keepNext/>
        <w:spacing w:after="240"/>
        <w:outlineLvl w:val="2"/>
        <w:rPr>
          <w:rFonts w:eastAsia="Times New Roman"/>
          <w:b/>
          <w:i/>
        </w:rPr>
      </w:pPr>
    </w:p>
    <w:p w:rsidR="002701C9" w:rsidRDefault="002701C9" w:rsidP="002701C9">
      <w:pPr>
        <w:keepNext/>
        <w:spacing w:after="240"/>
        <w:ind w:left="720" w:hanging="720"/>
        <w:outlineLvl w:val="2"/>
        <w:rPr>
          <w:rFonts w:eastAsia="Times New Roman"/>
          <w:b/>
          <w:i/>
        </w:rPr>
      </w:pPr>
      <w:r>
        <w:rPr>
          <w:rFonts w:eastAsia="Times New Roman"/>
          <w:b/>
          <w:i/>
        </w:rPr>
        <w:t>2.</w:t>
      </w:r>
      <w:r w:rsidR="004E29F3">
        <w:rPr>
          <w:rFonts w:eastAsia="Times New Roman"/>
          <w:b/>
          <w:i/>
        </w:rPr>
        <w:t>3</w:t>
      </w:r>
      <w:r w:rsidRPr="00B76110">
        <w:rPr>
          <w:rFonts w:eastAsia="Times New Roman"/>
          <w:b/>
          <w:i/>
        </w:rPr>
        <w:t>.</w:t>
      </w:r>
      <w:r>
        <w:rPr>
          <w:rFonts w:eastAsia="Times New Roman"/>
          <w:b/>
          <w:i/>
        </w:rPr>
        <w:t>5</w:t>
      </w:r>
      <w:r w:rsidRPr="00B76110">
        <w:rPr>
          <w:rFonts w:eastAsia="Times New Roman"/>
          <w:b/>
          <w:i/>
        </w:rPr>
        <w:t>.2.</w:t>
      </w:r>
      <w:r>
        <w:rPr>
          <w:rFonts w:eastAsia="Times New Roman"/>
          <w:b/>
          <w:i/>
        </w:rPr>
        <w:t xml:space="preserve"> G</w:t>
      </w:r>
      <w:r w:rsidRPr="00B76110">
        <w:rPr>
          <w:rFonts w:eastAsia="Times New Roman"/>
          <w:b/>
          <w:i/>
        </w:rPr>
        <w:t>uiding principles for</w:t>
      </w:r>
      <w:r>
        <w:rPr>
          <w:rFonts w:eastAsia="Times New Roman"/>
          <w:b/>
          <w:i/>
        </w:rPr>
        <w:t xml:space="preserve"> </w:t>
      </w:r>
      <w:r w:rsidRPr="00B76110">
        <w:rPr>
          <w:rFonts w:eastAsia="Times New Roman"/>
          <w:b/>
          <w:i/>
        </w:rPr>
        <w:t xml:space="preserve">the selection of operations </w:t>
      </w:r>
    </w:p>
    <w:p w:rsidR="002701C9" w:rsidRPr="00567F19" w:rsidRDefault="002701C9" w:rsidP="002701C9">
      <w:r w:rsidRPr="00567F19">
        <w:t xml:space="preserve">(Reference: </w:t>
      </w:r>
      <w:r>
        <w:t xml:space="preserve">point (b) (iii)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2701C9" w:rsidRPr="00B76110" w:rsidTr="002701C9">
        <w:trPr>
          <w:trHeight w:val="518"/>
        </w:trPr>
        <w:tc>
          <w:tcPr>
            <w:tcW w:w="2235" w:type="dxa"/>
            <w:shd w:val="clear" w:color="auto" w:fill="auto"/>
          </w:tcPr>
          <w:p w:rsidR="002701C9" w:rsidRPr="00B76110" w:rsidRDefault="002701C9" w:rsidP="002701C9">
            <w:pPr>
              <w:spacing w:after="0"/>
              <w:rPr>
                <w:rFonts w:eastAsia="Times New Roman"/>
                <w:i/>
                <w:color w:val="8DB3E2"/>
                <w:sz w:val="18"/>
                <w:szCs w:val="18"/>
              </w:rPr>
            </w:pPr>
            <w:r>
              <w:rPr>
                <w:rFonts w:eastAsia="Times New Roman"/>
                <w:i/>
              </w:rPr>
              <w:t>Thematic</w:t>
            </w:r>
            <w:r w:rsidRPr="00B76110">
              <w:rPr>
                <w:rFonts w:eastAsia="Times New Roman"/>
                <w:i/>
              </w:rPr>
              <w:t xml:space="preserve"> </w:t>
            </w:r>
            <w:r>
              <w:rPr>
                <w:rFonts w:eastAsia="Times New Roman"/>
                <w:i/>
              </w:rPr>
              <w:t>p</w:t>
            </w:r>
            <w:r w:rsidRPr="00B76110">
              <w:rPr>
                <w:rFonts w:eastAsia="Times New Roman"/>
                <w:i/>
              </w:rPr>
              <w:t>riority</w:t>
            </w:r>
          </w:p>
        </w:tc>
        <w:tc>
          <w:tcPr>
            <w:tcW w:w="6443" w:type="dxa"/>
            <w:shd w:val="clear" w:color="auto" w:fill="auto"/>
          </w:tcPr>
          <w:p w:rsidR="002701C9" w:rsidRPr="000C0BCF" w:rsidRDefault="002701C9" w:rsidP="00410538">
            <w:pPr>
              <w:spacing w:after="0"/>
              <w:rPr>
                <w:rFonts w:eastAsia="Times New Roman"/>
                <w:szCs w:val="24"/>
              </w:rPr>
            </w:pPr>
            <w:r>
              <w:rPr>
                <w:rFonts w:eastAsia="Times New Roman"/>
                <w:szCs w:val="24"/>
              </w:rPr>
              <w:t xml:space="preserve">TP </w:t>
            </w:r>
            <w:r w:rsidR="00410538">
              <w:rPr>
                <w:rFonts w:eastAsia="Times New Roman"/>
                <w:szCs w:val="24"/>
              </w:rPr>
              <w:t>4</w:t>
            </w:r>
            <w:r>
              <w:rPr>
                <w:rFonts w:eastAsia="Times New Roman"/>
                <w:szCs w:val="24"/>
              </w:rPr>
              <w:t xml:space="preserve"> </w:t>
            </w:r>
            <w:r w:rsidR="0067242A" w:rsidRPr="0067242A">
              <w:rPr>
                <w:rFonts w:eastAsia="Times New Roman"/>
                <w:szCs w:val="24"/>
              </w:rPr>
              <w:t>Tourism, cultural and natural heritage</w:t>
            </w:r>
          </w:p>
        </w:tc>
      </w:tr>
      <w:tr w:rsidR="002701C9" w:rsidRPr="00B76110" w:rsidTr="002701C9">
        <w:trPr>
          <w:trHeight w:val="1088"/>
        </w:trPr>
        <w:tc>
          <w:tcPr>
            <w:tcW w:w="8678" w:type="dxa"/>
            <w:gridSpan w:val="2"/>
            <w:shd w:val="clear" w:color="auto" w:fill="auto"/>
          </w:tcPr>
          <w:p w:rsidR="005A7849" w:rsidRPr="009164F1" w:rsidRDefault="009164F1" w:rsidP="009164F1">
            <w:pPr>
              <w:pStyle w:val="Default"/>
              <w:widowControl/>
              <w:adjustRightInd/>
              <w:spacing w:line="276" w:lineRule="auto"/>
              <w:jc w:val="both"/>
              <w:rPr>
                <w:rFonts w:ascii="Times New Roman" w:eastAsiaTheme="minorEastAsia" w:hAnsi="Times New Roman" w:cs="Times New Roman"/>
                <w:lang w:val="en-GB" w:eastAsia="ja-JP"/>
              </w:rPr>
            </w:pPr>
            <w:r w:rsidRPr="00682003">
              <w:rPr>
                <w:rFonts w:ascii="Times New Roman" w:hAnsi="Times New Roman" w:cs="Times New Roman"/>
              </w:rPr>
              <w:t xml:space="preserve">The selection of operations will be carried out following the guiding principles and the methodological framework as outlined in Section </w:t>
            </w:r>
            <w:r w:rsidRPr="009164F1">
              <w:rPr>
                <w:rFonts w:ascii="Times New Roman" w:hAnsi="Times New Roman" w:cs="Times New Roman"/>
              </w:rPr>
              <w:t>2.1</w:t>
            </w:r>
            <w:r w:rsidRPr="00682003">
              <w:rPr>
                <w:rFonts w:ascii="Times New Roman" w:hAnsi="Times New Roman" w:cs="Times New Roman"/>
              </w:rPr>
              <w:t>.5.2. referring to Priority axis 1.</w:t>
            </w:r>
          </w:p>
        </w:tc>
      </w:tr>
    </w:tbl>
    <w:p w:rsidR="009164F1" w:rsidRDefault="009164F1" w:rsidP="002701C9">
      <w:pPr>
        <w:rPr>
          <w:rFonts w:eastAsia="Times New Roman"/>
          <w:b/>
          <w:i/>
        </w:rPr>
      </w:pPr>
    </w:p>
    <w:p w:rsidR="002701C9" w:rsidRDefault="002701C9" w:rsidP="002701C9">
      <w:r>
        <w:rPr>
          <w:rFonts w:eastAsia="Times New Roman"/>
          <w:b/>
          <w:i/>
        </w:rPr>
        <w:t>2.</w:t>
      </w:r>
      <w:r w:rsidR="004E29F3">
        <w:rPr>
          <w:rFonts w:eastAsia="Times New Roman"/>
          <w:b/>
          <w:i/>
        </w:rPr>
        <w:t>3</w:t>
      </w:r>
      <w:r w:rsidRPr="00B76110">
        <w:rPr>
          <w:rFonts w:eastAsia="Times New Roman"/>
          <w:b/>
          <w:i/>
        </w:rPr>
        <w:t>.</w:t>
      </w:r>
      <w:r>
        <w:rPr>
          <w:rFonts w:eastAsia="Times New Roman"/>
          <w:b/>
          <w:i/>
        </w:rPr>
        <w:t>5</w:t>
      </w:r>
      <w:r w:rsidRPr="00B76110">
        <w:rPr>
          <w:rFonts w:eastAsia="Times New Roman"/>
          <w:b/>
          <w:i/>
        </w:rPr>
        <w:t xml:space="preserve">.3. </w:t>
      </w:r>
      <w:r>
        <w:rPr>
          <w:rFonts w:eastAsia="Times New Roman"/>
          <w:b/>
          <w:i/>
        </w:rPr>
        <w:t>P</w:t>
      </w:r>
      <w:r w:rsidRPr="00B76110">
        <w:rPr>
          <w:rFonts w:eastAsia="Times New Roman"/>
          <w:b/>
          <w:i/>
        </w:rPr>
        <w:t xml:space="preserve">lanned use of financial instruments </w:t>
      </w:r>
      <w:r>
        <w:t xml:space="preserve">(where appropriate) </w:t>
      </w:r>
    </w:p>
    <w:p w:rsidR="002701C9" w:rsidRPr="00567F19" w:rsidRDefault="002701C9" w:rsidP="002701C9">
      <w:r w:rsidRPr="00567F19">
        <w:t xml:space="preserve">(Reference: </w:t>
      </w:r>
      <w:r>
        <w:t xml:space="preserve">point (b) (iii)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2701C9" w:rsidRPr="00B76110" w:rsidTr="002701C9">
        <w:trPr>
          <w:trHeight w:val="518"/>
        </w:trPr>
        <w:tc>
          <w:tcPr>
            <w:tcW w:w="4339" w:type="dxa"/>
            <w:shd w:val="clear" w:color="auto" w:fill="auto"/>
          </w:tcPr>
          <w:p w:rsidR="002701C9" w:rsidRPr="00B76110" w:rsidRDefault="002701C9" w:rsidP="002701C9">
            <w:pPr>
              <w:spacing w:after="240"/>
              <w:rPr>
                <w:rFonts w:eastAsia="Times New Roman"/>
                <w:i/>
                <w:color w:val="8DB3E2"/>
                <w:sz w:val="18"/>
                <w:szCs w:val="18"/>
              </w:rPr>
            </w:pPr>
            <w:r>
              <w:rPr>
                <w:rFonts w:eastAsia="Times New Roman"/>
                <w:i/>
              </w:rPr>
              <w:lastRenderedPageBreak/>
              <w:t>Thematic</w:t>
            </w:r>
            <w:r w:rsidRPr="00B76110">
              <w:rPr>
                <w:rFonts w:eastAsia="Times New Roman"/>
                <w:i/>
              </w:rPr>
              <w:t xml:space="preserve"> </w:t>
            </w:r>
            <w:r>
              <w:rPr>
                <w:rFonts w:eastAsia="Times New Roman"/>
                <w:i/>
              </w:rPr>
              <w:t>p</w:t>
            </w:r>
            <w:r w:rsidRPr="00B76110">
              <w:rPr>
                <w:rFonts w:eastAsia="Times New Roman"/>
                <w:i/>
              </w:rPr>
              <w:t>riority</w:t>
            </w:r>
          </w:p>
        </w:tc>
        <w:tc>
          <w:tcPr>
            <w:tcW w:w="4339" w:type="dxa"/>
            <w:shd w:val="clear" w:color="auto" w:fill="auto"/>
          </w:tcPr>
          <w:p w:rsidR="002701C9" w:rsidRPr="00B76110" w:rsidRDefault="009164F1" w:rsidP="009164F1">
            <w:pPr>
              <w:spacing w:after="240"/>
              <w:rPr>
                <w:rFonts w:eastAsia="Times New Roman"/>
                <w:i/>
                <w:color w:val="8DB3E2"/>
                <w:sz w:val="18"/>
                <w:szCs w:val="18"/>
              </w:rPr>
            </w:pPr>
            <w:r>
              <w:rPr>
                <w:rFonts w:eastAsia="Times New Roman"/>
                <w:szCs w:val="24"/>
              </w:rPr>
              <w:t>PA 3 (</w:t>
            </w:r>
            <w:r w:rsidR="002701C9">
              <w:rPr>
                <w:rFonts w:eastAsia="Times New Roman"/>
                <w:szCs w:val="24"/>
              </w:rPr>
              <w:t xml:space="preserve">TP </w:t>
            </w:r>
            <w:r w:rsidR="00410538">
              <w:rPr>
                <w:rFonts w:eastAsia="Times New Roman"/>
                <w:szCs w:val="24"/>
              </w:rPr>
              <w:t>4</w:t>
            </w:r>
            <w:r>
              <w:rPr>
                <w:rFonts w:eastAsia="Times New Roman"/>
                <w:szCs w:val="24"/>
              </w:rPr>
              <w:t>)</w:t>
            </w:r>
            <w:r w:rsidR="002701C9">
              <w:rPr>
                <w:rFonts w:eastAsia="Times New Roman"/>
                <w:szCs w:val="24"/>
              </w:rPr>
              <w:t xml:space="preserve"> </w:t>
            </w:r>
          </w:p>
        </w:tc>
      </w:tr>
      <w:tr w:rsidR="002701C9" w:rsidRPr="00B76110" w:rsidTr="002701C9">
        <w:trPr>
          <w:trHeight w:val="379"/>
        </w:trPr>
        <w:tc>
          <w:tcPr>
            <w:tcW w:w="4339" w:type="dxa"/>
            <w:shd w:val="clear" w:color="auto" w:fill="auto"/>
          </w:tcPr>
          <w:p w:rsidR="002701C9" w:rsidRPr="00B76110" w:rsidRDefault="002701C9" w:rsidP="002701C9">
            <w:pPr>
              <w:spacing w:after="240"/>
              <w:rPr>
                <w:rFonts w:eastAsia="Times New Roman"/>
                <w:i/>
                <w:color w:val="8DB3E2"/>
                <w:sz w:val="18"/>
                <w:szCs w:val="18"/>
              </w:rPr>
            </w:pPr>
            <w:r w:rsidRPr="00B76110">
              <w:rPr>
                <w:rFonts w:eastAsia="Times New Roman"/>
                <w:i/>
              </w:rPr>
              <w:t>Planned use of financial instruments</w:t>
            </w:r>
          </w:p>
        </w:tc>
        <w:tc>
          <w:tcPr>
            <w:tcW w:w="4339" w:type="dxa"/>
            <w:shd w:val="clear" w:color="auto" w:fill="auto"/>
          </w:tcPr>
          <w:p w:rsidR="002701C9" w:rsidRPr="00DE0643" w:rsidRDefault="002701C9" w:rsidP="002701C9">
            <w:pPr>
              <w:spacing w:after="240"/>
              <w:rPr>
                <w:rFonts w:eastAsia="Times New Roman"/>
                <w:color w:val="8DB3E2"/>
                <w:szCs w:val="24"/>
              </w:rPr>
            </w:pPr>
            <w:r>
              <w:rPr>
                <w:rFonts w:eastAsia="Times New Roman"/>
                <w:szCs w:val="24"/>
              </w:rPr>
              <w:t>N/A</w:t>
            </w:r>
          </w:p>
        </w:tc>
      </w:tr>
      <w:tr w:rsidR="002701C9" w:rsidRPr="00B76110" w:rsidTr="002701C9">
        <w:trPr>
          <w:trHeight w:val="476"/>
        </w:trPr>
        <w:tc>
          <w:tcPr>
            <w:tcW w:w="8678" w:type="dxa"/>
            <w:gridSpan w:val="2"/>
            <w:shd w:val="clear" w:color="auto" w:fill="auto"/>
          </w:tcPr>
          <w:p w:rsidR="002701C9" w:rsidRPr="0041684A" w:rsidRDefault="002701C9" w:rsidP="002701C9">
            <w:pPr>
              <w:spacing w:after="0"/>
              <w:rPr>
                <w:rFonts w:eastAsia="Times New Roman"/>
                <w:szCs w:val="24"/>
              </w:rPr>
            </w:pPr>
            <w:r w:rsidRPr="00400D63">
              <w:rPr>
                <w:rFonts w:eastAsia="Times New Roman"/>
                <w:szCs w:val="24"/>
              </w:rPr>
              <w:t>N/A</w:t>
            </w:r>
          </w:p>
        </w:tc>
      </w:tr>
    </w:tbl>
    <w:p w:rsidR="002701C9" w:rsidRDefault="002701C9" w:rsidP="002701C9">
      <w:pPr>
        <w:keepNext/>
        <w:spacing w:after="240"/>
        <w:ind w:left="851" w:hanging="851"/>
        <w:outlineLvl w:val="2"/>
        <w:rPr>
          <w:rFonts w:eastAsia="Times New Roman"/>
          <w:b/>
          <w:i/>
        </w:rPr>
      </w:pPr>
    </w:p>
    <w:p w:rsidR="002701C9" w:rsidRPr="00B76110" w:rsidRDefault="002701C9" w:rsidP="002701C9">
      <w:pPr>
        <w:tabs>
          <w:tab w:val="left" w:pos="720"/>
        </w:tabs>
        <w:rPr>
          <w:rFonts w:eastAsia="Times New Roman"/>
          <w:b/>
        </w:rPr>
        <w:sectPr w:rsidR="002701C9" w:rsidRPr="00B76110" w:rsidSect="006A4BDD">
          <w:headerReference w:type="default" r:id="rId31"/>
          <w:footerReference w:type="default" r:id="rId32"/>
          <w:headerReference w:type="first" r:id="rId33"/>
          <w:footerReference w:type="first" r:id="rId34"/>
          <w:pgSz w:w="11906" w:h="16838"/>
          <w:pgMar w:top="1021" w:right="1418" w:bottom="1021" w:left="1418" w:header="601" w:footer="1077" w:gutter="0"/>
          <w:cols w:space="720"/>
          <w:docGrid w:linePitch="326"/>
        </w:sectPr>
      </w:pPr>
    </w:p>
    <w:p w:rsidR="002701C9" w:rsidRDefault="002701C9" w:rsidP="002701C9">
      <w:pPr>
        <w:rPr>
          <w:b/>
        </w:rPr>
      </w:pPr>
      <w:r>
        <w:rPr>
          <w:b/>
        </w:rPr>
        <w:lastRenderedPageBreak/>
        <w:t>2.</w:t>
      </w:r>
      <w:r w:rsidR="008E69DD">
        <w:rPr>
          <w:b/>
        </w:rPr>
        <w:t>3</w:t>
      </w:r>
      <w:r>
        <w:rPr>
          <w:b/>
        </w:rPr>
        <w:t xml:space="preserve">.6 Common and programme specific indicators </w:t>
      </w:r>
    </w:p>
    <w:p w:rsidR="002701C9" w:rsidRPr="00567F19" w:rsidRDefault="002701C9" w:rsidP="002701C9">
      <w:r w:rsidRPr="00567F19">
        <w:t>(</w:t>
      </w:r>
      <w:r w:rsidRPr="00FE0561">
        <w:t xml:space="preserve">Reference: point (b)(ii) </w:t>
      </w:r>
      <w:r>
        <w:t>and (b)</w:t>
      </w:r>
      <w:r w:rsidRPr="00EC0786">
        <w:t xml:space="preserve">(iv) </w:t>
      </w:r>
      <w:r w:rsidRPr="00FE0561">
        <w:t>of Article 8(2) of Regulation (EU) No 1299/2013</w:t>
      </w:r>
      <w:r>
        <w:t xml:space="preserve"> and Article 2(2) of IPA II Implementing Regulation</w:t>
      </w:r>
      <w:r w:rsidRPr="00567F19">
        <w:t>)</w:t>
      </w:r>
    </w:p>
    <w:p w:rsidR="002701C9" w:rsidRDefault="002701C9" w:rsidP="002701C9">
      <w:pPr>
        <w:rPr>
          <w:b/>
          <w:i/>
        </w:rPr>
      </w:pPr>
    </w:p>
    <w:p w:rsidR="002701C9" w:rsidRPr="0019744A" w:rsidRDefault="002701C9" w:rsidP="002701C9">
      <w:pPr>
        <w:rPr>
          <w:b/>
        </w:rPr>
      </w:pPr>
      <w:r w:rsidRPr="00A366E4">
        <w:rPr>
          <w:b/>
          <w:i/>
        </w:rPr>
        <w:t>2.</w:t>
      </w:r>
      <w:r w:rsidR="008E69DD">
        <w:rPr>
          <w:b/>
          <w:i/>
        </w:rPr>
        <w:t>3</w:t>
      </w:r>
      <w:r w:rsidRPr="00A366E4">
        <w:rPr>
          <w:b/>
          <w:i/>
        </w:rPr>
        <w:t xml:space="preserve">.6.1 Priority axis </w:t>
      </w:r>
      <w:r>
        <w:rPr>
          <w:b/>
          <w:i/>
        </w:rPr>
        <w:t>result</w:t>
      </w:r>
      <w:r w:rsidRPr="00A366E4">
        <w:rPr>
          <w:b/>
          <w:i/>
        </w:rPr>
        <w:t xml:space="preserve"> indicators (programme specific)</w:t>
      </w:r>
    </w:p>
    <w:p w:rsidR="002701C9" w:rsidRDefault="002701C9" w:rsidP="002701C9">
      <w:r w:rsidRPr="00567F19">
        <w:rPr>
          <w:b/>
        </w:rPr>
        <w:t>Table 3: Programme specific result indicators</w:t>
      </w:r>
      <w:r w:rsidRPr="00B76110">
        <w:t xml:space="preserve"> </w:t>
      </w:r>
    </w:p>
    <w:tbl>
      <w:tblPr>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2038"/>
        <w:gridCol w:w="2159"/>
        <w:gridCol w:w="1674"/>
        <w:gridCol w:w="1397"/>
        <w:gridCol w:w="2123"/>
        <w:gridCol w:w="1698"/>
        <w:gridCol w:w="1277"/>
      </w:tblGrid>
      <w:tr w:rsidR="002701C9" w:rsidRPr="00B76110" w:rsidTr="0071029E">
        <w:trPr>
          <w:trHeight w:val="531"/>
        </w:trPr>
        <w:tc>
          <w:tcPr>
            <w:tcW w:w="486" w:type="pct"/>
            <w:tcBorders>
              <w:top w:val="single" w:sz="4" w:space="0" w:color="auto"/>
              <w:left w:val="single" w:sz="4" w:space="0" w:color="auto"/>
              <w:bottom w:val="single" w:sz="4" w:space="0" w:color="auto"/>
              <w:right w:val="single" w:sz="4" w:space="0" w:color="auto"/>
            </w:tcBorders>
          </w:tcPr>
          <w:p w:rsidR="002701C9" w:rsidRPr="00B76110" w:rsidRDefault="002701C9" w:rsidP="002701C9">
            <w:pPr>
              <w:tabs>
                <w:tab w:val="left" w:pos="720"/>
              </w:tabs>
              <w:rPr>
                <w:rFonts w:eastAsia="Times New Roman"/>
                <w:b/>
                <w:sz w:val="18"/>
                <w:szCs w:val="18"/>
              </w:rPr>
            </w:pPr>
            <w:r w:rsidRPr="00B76110">
              <w:rPr>
                <w:rFonts w:eastAsia="Times New Roman"/>
                <w:b/>
                <w:sz w:val="18"/>
                <w:szCs w:val="18"/>
              </w:rPr>
              <w:t>ID</w:t>
            </w:r>
          </w:p>
        </w:tc>
        <w:tc>
          <w:tcPr>
            <w:tcW w:w="744" w:type="pct"/>
            <w:tcBorders>
              <w:top w:val="single" w:sz="4" w:space="0" w:color="auto"/>
              <w:left w:val="single" w:sz="4" w:space="0" w:color="auto"/>
              <w:bottom w:val="single" w:sz="4" w:space="0" w:color="auto"/>
              <w:right w:val="single" w:sz="4" w:space="0" w:color="auto"/>
            </w:tcBorders>
            <w:hideMark/>
          </w:tcPr>
          <w:p w:rsidR="002701C9" w:rsidRPr="00B76110" w:rsidRDefault="002701C9" w:rsidP="002701C9">
            <w:pPr>
              <w:tabs>
                <w:tab w:val="left" w:pos="720"/>
              </w:tabs>
              <w:rPr>
                <w:rFonts w:eastAsia="Times New Roman"/>
                <w:b/>
                <w:sz w:val="18"/>
                <w:szCs w:val="18"/>
              </w:rPr>
            </w:pPr>
            <w:r w:rsidRPr="00B76110">
              <w:rPr>
                <w:rFonts w:eastAsia="Times New Roman"/>
                <w:b/>
                <w:sz w:val="18"/>
                <w:szCs w:val="18"/>
              </w:rPr>
              <w:t xml:space="preserve">Indicator </w:t>
            </w:r>
          </w:p>
        </w:tc>
        <w:tc>
          <w:tcPr>
            <w:tcW w:w="788" w:type="pct"/>
            <w:tcBorders>
              <w:top w:val="single" w:sz="4" w:space="0" w:color="auto"/>
              <w:left w:val="single" w:sz="4" w:space="0" w:color="auto"/>
              <w:bottom w:val="single" w:sz="4" w:space="0" w:color="auto"/>
              <w:right w:val="single" w:sz="4" w:space="0" w:color="auto"/>
            </w:tcBorders>
            <w:hideMark/>
          </w:tcPr>
          <w:p w:rsidR="002701C9" w:rsidRPr="00B76110" w:rsidRDefault="002701C9" w:rsidP="002701C9">
            <w:pPr>
              <w:snapToGrid w:val="0"/>
              <w:rPr>
                <w:rFonts w:eastAsia="Times New Roman"/>
                <w:b/>
                <w:sz w:val="18"/>
                <w:szCs w:val="18"/>
              </w:rPr>
            </w:pPr>
            <w:r w:rsidRPr="00B76110">
              <w:rPr>
                <w:rFonts w:eastAsia="Times New Roman"/>
                <w:b/>
                <w:sz w:val="18"/>
                <w:szCs w:val="18"/>
              </w:rPr>
              <w:t xml:space="preserve">Measurement </w:t>
            </w:r>
            <w:r>
              <w:rPr>
                <w:rFonts w:eastAsia="Times New Roman"/>
                <w:b/>
                <w:sz w:val="18"/>
                <w:szCs w:val="18"/>
              </w:rPr>
              <w:t>u</w:t>
            </w:r>
            <w:r w:rsidRPr="00B76110">
              <w:rPr>
                <w:rFonts w:eastAsia="Times New Roman"/>
                <w:b/>
                <w:sz w:val="18"/>
                <w:szCs w:val="18"/>
              </w:rPr>
              <w:t>nit</w:t>
            </w:r>
          </w:p>
        </w:tc>
        <w:tc>
          <w:tcPr>
            <w:tcW w:w="611" w:type="pct"/>
            <w:tcBorders>
              <w:top w:val="single" w:sz="4" w:space="0" w:color="auto"/>
              <w:left w:val="single" w:sz="4" w:space="0" w:color="auto"/>
              <w:bottom w:val="single" w:sz="4" w:space="0" w:color="auto"/>
              <w:right w:val="single" w:sz="4" w:space="0" w:color="auto"/>
            </w:tcBorders>
            <w:hideMark/>
          </w:tcPr>
          <w:p w:rsidR="002701C9" w:rsidRPr="00B76110" w:rsidRDefault="002701C9" w:rsidP="002701C9">
            <w:pPr>
              <w:tabs>
                <w:tab w:val="left" w:pos="720"/>
              </w:tabs>
              <w:rPr>
                <w:rFonts w:eastAsia="Times New Roman"/>
                <w:b/>
                <w:sz w:val="18"/>
                <w:szCs w:val="18"/>
              </w:rPr>
            </w:pPr>
            <w:r w:rsidRPr="00B76110">
              <w:rPr>
                <w:rFonts w:eastAsia="Times New Roman"/>
                <w:b/>
                <w:sz w:val="18"/>
                <w:szCs w:val="18"/>
              </w:rPr>
              <w:t xml:space="preserve">Baseline </w:t>
            </w:r>
            <w:r>
              <w:rPr>
                <w:rFonts w:eastAsia="Times New Roman"/>
                <w:b/>
                <w:sz w:val="18"/>
                <w:szCs w:val="18"/>
              </w:rPr>
              <w:t>v</w:t>
            </w:r>
            <w:r w:rsidRPr="00B76110">
              <w:rPr>
                <w:rFonts w:eastAsia="Times New Roman"/>
                <w:b/>
                <w:sz w:val="18"/>
                <w:szCs w:val="18"/>
              </w:rPr>
              <w:t xml:space="preserve">alue </w:t>
            </w:r>
          </w:p>
        </w:tc>
        <w:tc>
          <w:tcPr>
            <w:tcW w:w="510" w:type="pct"/>
            <w:tcBorders>
              <w:top w:val="single" w:sz="4" w:space="0" w:color="auto"/>
              <w:left w:val="single" w:sz="4" w:space="0" w:color="auto"/>
              <w:bottom w:val="single" w:sz="4" w:space="0" w:color="auto"/>
              <w:right w:val="single" w:sz="4" w:space="0" w:color="auto"/>
            </w:tcBorders>
            <w:hideMark/>
          </w:tcPr>
          <w:p w:rsidR="002701C9" w:rsidRPr="00B76110" w:rsidRDefault="002701C9" w:rsidP="002701C9">
            <w:pPr>
              <w:snapToGrid w:val="0"/>
              <w:rPr>
                <w:rFonts w:eastAsia="Times New Roman"/>
                <w:b/>
                <w:sz w:val="18"/>
                <w:szCs w:val="18"/>
              </w:rPr>
            </w:pPr>
            <w:r w:rsidRPr="00B76110">
              <w:rPr>
                <w:rFonts w:eastAsia="Times New Roman"/>
                <w:b/>
                <w:sz w:val="18"/>
                <w:szCs w:val="18"/>
              </w:rPr>
              <w:t xml:space="preserve">Baseline </w:t>
            </w:r>
            <w:r>
              <w:rPr>
                <w:rFonts w:eastAsia="Times New Roman"/>
                <w:b/>
                <w:sz w:val="18"/>
                <w:szCs w:val="18"/>
              </w:rPr>
              <w:t>y</w:t>
            </w:r>
            <w:r w:rsidRPr="00B76110">
              <w:rPr>
                <w:rFonts w:eastAsia="Times New Roman"/>
                <w:b/>
                <w:sz w:val="18"/>
                <w:szCs w:val="18"/>
              </w:rPr>
              <w:t>ear</w:t>
            </w:r>
          </w:p>
        </w:tc>
        <w:tc>
          <w:tcPr>
            <w:tcW w:w="775" w:type="pct"/>
            <w:tcBorders>
              <w:top w:val="single" w:sz="4" w:space="0" w:color="auto"/>
              <w:left w:val="single" w:sz="4" w:space="0" w:color="auto"/>
              <w:bottom w:val="single" w:sz="4" w:space="0" w:color="auto"/>
              <w:right w:val="single" w:sz="4" w:space="0" w:color="auto"/>
            </w:tcBorders>
            <w:hideMark/>
          </w:tcPr>
          <w:p w:rsidR="002701C9" w:rsidRPr="00B76110" w:rsidRDefault="002701C9" w:rsidP="002701C9">
            <w:pPr>
              <w:tabs>
                <w:tab w:val="left" w:pos="720"/>
              </w:tabs>
              <w:rPr>
                <w:rFonts w:eastAsia="Times New Roman"/>
                <w:b/>
                <w:sz w:val="18"/>
                <w:szCs w:val="18"/>
              </w:rPr>
            </w:pPr>
            <w:r w:rsidRPr="00B76110">
              <w:rPr>
                <w:rFonts w:eastAsia="Times New Roman"/>
                <w:b/>
                <w:sz w:val="18"/>
                <w:szCs w:val="18"/>
              </w:rPr>
              <w:t xml:space="preserve">Target </w:t>
            </w:r>
            <w:r>
              <w:rPr>
                <w:rFonts w:eastAsia="Times New Roman"/>
                <w:b/>
                <w:sz w:val="18"/>
                <w:szCs w:val="18"/>
              </w:rPr>
              <w:t>v</w:t>
            </w:r>
            <w:r w:rsidRPr="00B76110">
              <w:rPr>
                <w:rFonts w:eastAsia="Times New Roman"/>
                <w:b/>
                <w:sz w:val="18"/>
                <w:szCs w:val="18"/>
              </w:rPr>
              <w:t>alue (2023)</w:t>
            </w:r>
            <w:r>
              <w:rPr>
                <w:rStyle w:val="FootnoteReference"/>
                <w:rFonts w:eastAsia="Times New Roman"/>
                <w:b/>
                <w:sz w:val="18"/>
                <w:szCs w:val="18"/>
              </w:rPr>
              <w:footnoteReference w:id="3"/>
            </w:r>
            <w:r w:rsidRPr="00B76110">
              <w:rPr>
                <w:rFonts w:eastAsia="Times New Roman"/>
                <w:b/>
                <w:sz w:val="18"/>
                <w:szCs w:val="18"/>
              </w:rPr>
              <w:t xml:space="preserve"> </w:t>
            </w:r>
          </w:p>
        </w:tc>
        <w:tc>
          <w:tcPr>
            <w:tcW w:w="620" w:type="pct"/>
            <w:tcBorders>
              <w:top w:val="single" w:sz="4" w:space="0" w:color="auto"/>
              <w:left w:val="single" w:sz="4" w:space="0" w:color="auto"/>
              <w:bottom w:val="single" w:sz="4" w:space="0" w:color="auto"/>
              <w:right w:val="single" w:sz="4" w:space="0" w:color="auto"/>
            </w:tcBorders>
            <w:hideMark/>
          </w:tcPr>
          <w:p w:rsidR="002701C9" w:rsidRPr="00B76110" w:rsidRDefault="002701C9" w:rsidP="002701C9">
            <w:pPr>
              <w:tabs>
                <w:tab w:val="left" w:pos="720"/>
              </w:tabs>
              <w:rPr>
                <w:rFonts w:eastAsia="Times New Roman"/>
                <w:b/>
                <w:sz w:val="18"/>
                <w:szCs w:val="18"/>
              </w:rPr>
            </w:pPr>
            <w:r w:rsidRPr="00B76110">
              <w:rPr>
                <w:rFonts w:eastAsia="Times New Roman"/>
                <w:b/>
                <w:sz w:val="18"/>
                <w:szCs w:val="18"/>
              </w:rPr>
              <w:t xml:space="preserve">Source of </w:t>
            </w:r>
            <w:r>
              <w:rPr>
                <w:rFonts w:eastAsia="Times New Roman"/>
                <w:b/>
                <w:sz w:val="18"/>
                <w:szCs w:val="18"/>
              </w:rPr>
              <w:t>d</w:t>
            </w:r>
            <w:r w:rsidRPr="00B76110">
              <w:rPr>
                <w:rFonts w:eastAsia="Times New Roman"/>
                <w:b/>
                <w:sz w:val="18"/>
                <w:szCs w:val="18"/>
              </w:rPr>
              <w:t>ata</w:t>
            </w:r>
          </w:p>
        </w:tc>
        <w:tc>
          <w:tcPr>
            <w:tcW w:w="466" w:type="pct"/>
            <w:tcBorders>
              <w:top w:val="single" w:sz="4" w:space="0" w:color="auto"/>
              <w:left w:val="single" w:sz="4" w:space="0" w:color="auto"/>
              <w:bottom w:val="single" w:sz="4" w:space="0" w:color="auto"/>
              <w:right w:val="single" w:sz="4" w:space="0" w:color="auto"/>
            </w:tcBorders>
          </w:tcPr>
          <w:p w:rsidR="002701C9" w:rsidRPr="00B76110" w:rsidRDefault="002701C9" w:rsidP="002701C9">
            <w:pPr>
              <w:tabs>
                <w:tab w:val="left" w:pos="720"/>
              </w:tabs>
              <w:rPr>
                <w:rFonts w:eastAsia="Times New Roman"/>
                <w:b/>
                <w:sz w:val="18"/>
                <w:szCs w:val="18"/>
              </w:rPr>
            </w:pPr>
            <w:r w:rsidRPr="00B76110">
              <w:rPr>
                <w:rFonts w:eastAsia="Times New Roman"/>
                <w:b/>
                <w:sz w:val="18"/>
                <w:szCs w:val="18"/>
              </w:rPr>
              <w:t>Frequency of reporting</w:t>
            </w:r>
          </w:p>
        </w:tc>
      </w:tr>
      <w:tr w:rsidR="00102326" w:rsidRPr="00C12589" w:rsidTr="00102326">
        <w:trPr>
          <w:trHeight w:val="870"/>
        </w:trPr>
        <w:tc>
          <w:tcPr>
            <w:tcW w:w="486" w:type="pct"/>
            <w:tcBorders>
              <w:top w:val="single" w:sz="4" w:space="0" w:color="auto"/>
              <w:left w:val="single" w:sz="4" w:space="0" w:color="auto"/>
              <w:bottom w:val="single" w:sz="4" w:space="0" w:color="auto"/>
              <w:right w:val="single" w:sz="4" w:space="0" w:color="auto"/>
            </w:tcBorders>
            <w:vAlign w:val="center"/>
          </w:tcPr>
          <w:p w:rsidR="00102326" w:rsidRPr="00AB336D" w:rsidRDefault="00102326" w:rsidP="0071029E">
            <w:pPr>
              <w:tabs>
                <w:tab w:val="left" w:pos="720"/>
              </w:tabs>
              <w:spacing w:after="0"/>
              <w:rPr>
                <w:rFonts w:eastAsia="Times New Roman"/>
                <w:sz w:val="20"/>
              </w:rPr>
            </w:pPr>
            <w:r w:rsidRPr="00AB336D">
              <w:rPr>
                <w:rFonts w:eastAsia="Times New Roman"/>
                <w:sz w:val="20"/>
              </w:rPr>
              <w:t xml:space="preserve">PA </w:t>
            </w:r>
            <w:r>
              <w:rPr>
                <w:rFonts w:eastAsia="Times New Roman"/>
                <w:sz w:val="20"/>
              </w:rPr>
              <w:t>3</w:t>
            </w:r>
            <w:r w:rsidRPr="00AB336D">
              <w:rPr>
                <w:rFonts w:eastAsia="Times New Roman"/>
                <w:sz w:val="20"/>
              </w:rPr>
              <w:t xml:space="preserve"> </w:t>
            </w:r>
          </w:p>
        </w:tc>
        <w:tc>
          <w:tcPr>
            <w:tcW w:w="744" w:type="pct"/>
            <w:tcBorders>
              <w:top w:val="single" w:sz="4" w:space="0" w:color="auto"/>
              <w:left w:val="single" w:sz="4" w:space="0" w:color="auto"/>
              <w:bottom w:val="single" w:sz="4" w:space="0" w:color="auto"/>
              <w:right w:val="single" w:sz="4" w:space="0" w:color="auto"/>
            </w:tcBorders>
          </w:tcPr>
          <w:p w:rsidR="00102326" w:rsidRPr="00990476" w:rsidRDefault="00DA7456" w:rsidP="00102326">
            <w:pPr>
              <w:spacing w:after="0"/>
              <w:jc w:val="left"/>
            </w:pPr>
            <w:r w:rsidRPr="00DA7456">
              <w:t>Increase in number of tourist overnights in the programme area</w:t>
            </w:r>
          </w:p>
        </w:tc>
        <w:tc>
          <w:tcPr>
            <w:tcW w:w="788" w:type="pct"/>
            <w:tcBorders>
              <w:top w:val="single" w:sz="4" w:space="0" w:color="auto"/>
              <w:left w:val="single" w:sz="4" w:space="0" w:color="auto"/>
              <w:bottom w:val="single" w:sz="4" w:space="0" w:color="auto"/>
              <w:right w:val="single" w:sz="4" w:space="0" w:color="auto"/>
            </w:tcBorders>
            <w:vAlign w:val="center"/>
          </w:tcPr>
          <w:p w:rsidR="00102326" w:rsidRPr="00AB336D" w:rsidRDefault="00102326" w:rsidP="0071029E">
            <w:pPr>
              <w:snapToGrid w:val="0"/>
              <w:spacing w:after="0"/>
              <w:rPr>
                <w:rFonts w:eastAsia="Times New Roman"/>
                <w:sz w:val="20"/>
              </w:rPr>
            </w:pPr>
            <w:r>
              <w:rPr>
                <w:rFonts w:eastAsia="Times New Roman"/>
                <w:sz w:val="20"/>
              </w:rPr>
              <w:t>Number</w:t>
            </w:r>
          </w:p>
        </w:tc>
        <w:tc>
          <w:tcPr>
            <w:tcW w:w="611" w:type="pct"/>
            <w:tcBorders>
              <w:top w:val="single" w:sz="4" w:space="0" w:color="auto"/>
              <w:left w:val="single" w:sz="4" w:space="0" w:color="auto"/>
              <w:bottom w:val="single" w:sz="4" w:space="0" w:color="auto"/>
              <w:right w:val="single" w:sz="4" w:space="0" w:color="auto"/>
            </w:tcBorders>
            <w:vAlign w:val="center"/>
          </w:tcPr>
          <w:p w:rsidR="00102326" w:rsidRPr="00AB336D" w:rsidRDefault="00102326" w:rsidP="00DA7456">
            <w:pPr>
              <w:snapToGrid w:val="0"/>
              <w:spacing w:after="0"/>
              <w:rPr>
                <w:rFonts w:eastAsia="Times New Roman"/>
                <w:sz w:val="20"/>
              </w:rPr>
            </w:pPr>
            <w:r w:rsidRPr="00102326">
              <w:rPr>
                <w:rFonts w:eastAsia="Times New Roman"/>
                <w:sz w:val="20"/>
              </w:rPr>
              <w:t>73</w:t>
            </w:r>
            <w:r w:rsidR="00DA7456">
              <w:rPr>
                <w:rFonts w:eastAsia="Times New Roman"/>
                <w:sz w:val="20"/>
              </w:rPr>
              <w:t>.</w:t>
            </w:r>
            <w:r w:rsidRPr="00102326">
              <w:rPr>
                <w:rFonts w:eastAsia="Times New Roman"/>
                <w:sz w:val="20"/>
              </w:rPr>
              <w:t>522</w:t>
            </w:r>
            <w:r w:rsidR="00DA7456">
              <w:rPr>
                <w:rFonts w:eastAsia="Times New Roman"/>
                <w:sz w:val="20"/>
              </w:rPr>
              <w:t>.</w:t>
            </w:r>
            <w:r w:rsidRPr="00102326">
              <w:rPr>
                <w:rFonts w:eastAsia="Times New Roman"/>
                <w:sz w:val="20"/>
              </w:rPr>
              <w:t>546</w:t>
            </w:r>
          </w:p>
        </w:tc>
        <w:tc>
          <w:tcPr>
            <w:tcW w:w="510" w:type="pct"/>
            <w:tcBorders>
              <w:top w:val="single" w:sz="4" w:space="0" w:color="auto"/>
              <w:left w:val="single" w:sz="4" w:space="0" w:color="auto"/>
              <w:bottom w:val="single" w:sz="4" w:space="0" w:color="auto"/>
              <w:right w:val="single" w:sz="4" w:space="0" w:color="auto"/>
            </w:tcBorders>
            <w:vAlign w:val="center"/>
          </w:tcPr>
          <w:p w:rsidR="00102326" w:rsidRPr="00AB336D" w:rsidRDefault="00102326" w:rsidP="00102326">
            <w:pPr>
              <w:snapToGrid w:val="0"/>
              <w:spacing w:after="0"/>
              <w:rPr>
                <w:rFonts w:eastAsia="Times New Roman"/>
                <w:sz w:val="20"/>
                <w:lang w:val="nb-NO"/>
              </w:rPr>
            </w:pPr>
            <w:r>
              <w:rPr>
                <w:rFonts w:eastAsia="Times New Roman"/>
                <w:sz w:val="20"/>
                <w:lang w:val="nb-NO"/>
              </w:rPr>
              <w:t>2012</w:t>
            </w:r>
          </w:p>
        </w:tc>
        <w:tc>
          <w:tcPr>
            <w:tcW w:w="775" w:type="pct"/>
            <w:tcBorders>
              <w:top w:val="single" w:sz="4" w:space="0" w:color="auto"/>
              <w:left w:val="single" w:sz="4" w:space="0" w:color="auto"/>
              <w:bottom w:val="single" w:sz="4" w:space="0" w:color="auto"/>
              <w:right w:val="single" w:sz="4" w:space="0" w:color="auto"/>
            </w:tcBorders>
            <w:vAlign w:val="center"/>
          </w:tcPr>
          <w:p w:rsidR="00102326" w:rsidRPr="00102326" w:rsidRDefault="00CA6B2F" w:rsidP="00970BD4">
            <w:pPr>
              <w:jc w:val="left"/>
              <w:rPr>
                <w:sz w:val="20"/>
              </w:rPr>
            </w:pPr>
            <w:r w:rsidRPr="00CA6B2F">
              <w:rPr>
                <w:sz w:val="20"/>
              </w:rPr>
              <w:t>73.591.990</w:t>
            </w:r>
          </w:p>
        </w:tc>
        <w:tc>
          <w:tcPr>
            <w:tcW w:w="620" w:type="pct"/>
            <w:tcBorders>
              <w:top w:val="single" w:sz="4" w:space="0" w:color="auto"/>
              <w:left w:val="single" w:sz="4" w:space="0" w:color="auto"/>
              <w:bottom w:val="single" w:sz="4" w:space="0" w:color="auto"/>
              <w:right w:val="single" w:sz="4" w:space="0" w:color="auto"/>
            </w:tcBorders>
            <w:vAlign w:val="center"/>
          </w:tcPr>
          <w:p w:rsidR="00102326" w:rsidRPr="00AB336D" w:rsidRDefault="00102326" w:rsidP="00211C1C">
            <w:pPr>
              <w:spacing w:after="0"/>
              <w:rPr>
                <w:rFonts w:eastAsia="Times New Roman"/>
                <w:sz w:val="20"/>
              </w:rPr>
            </w:pPr>
            <w:r>
              <w:rPr>
                <w:rFonts w:eastAsia="Times New Roman"/>
                <w:sz w:val="20"/>
              </w:rPr>
              <w:t>S</w:t>
            </w:r>
            <w:r w:rsidRPr="00AB1D4B">
              <w:rPr>
                <w:rFonts w:eastAsia="Times New Roman"/>
                <w:sz w:val="20"/>
              </w:rPr>
              <w:t>tatistical offices</w:t>
            </w:r>
            <w:r w:rsidRPr="00B87B39">
              <w:rPr>
                <w:rFonts w:eastAsia="Times New Roman"/>
                <w:sz w:val="20"/>
              </w:rPr>
              <w:t xml:space="preserve"> </w:t>
            </w:r>
            <w:r w:rsidR="00122116">
              <w:rPr>
                <w:rFonts w:eastAsia="Times New Roman"/>
                <w:sz w:val="20"/>
              </w:rPr>
              <w:t>(</w:t>
            </w:r>
            <w:r w:rsidR="00211C1C">
              <w:rPr>
                <w:rFonts w:eastAsia="Times New Roman"/>
                <w:sz w:val="20"/>
              </w:rPr>
              <w:t>Situation</w:t>
            </w:r>
            <w:r w:rsidR="00122116">
              <w:rPr>
                <w:rFonts w:eastAsia="Times New Roman"/>
                <w:sz w:val="20"/>
              </w:rPr>
              <w:t xml:space="preserve"> analysis)</w:t>
            </w:r>
            <w:r w:rsidR="00970BD4">
              <w:rPr>
                <w:rFonts w:eastAsia="Times New Roman"/>
                <w:sz w:val="20"/>
              </w:rPr>
              <w:t xml:space="preserve"> and </w:t>
            </w:r>
            <w:r w:rsidR="00970BD4" w:rsidRPr="00B87B39">
              <w:rPr>
                <w:rFonts w:eastAsia="Times New Roman"/>
                <w:sz w:val="20"/>
              </w:rPr>
              <w:t>Monitoring of operations</w:t>
            </w:r>
            <w:r w:rsidR="00970BD4">
              <w:rPr>
                <w:rFonts w:eastAsia="Times New Roman"/>
                <w:sz w:val="20"/>
              </w:rPr>
              <w:t xml:space="preserve"> (progress reports)</w:t>
            </w:r>
          </w:p>
        </w:tc>
        <w:tc>
          <w:tcPr>
            <w:tcW w:w="466" w:type="pct"/>
            <w:tcBorders>
              <w:top w:val="single" w:sz="4" w:space="0" w:color="auto"/>
              <w:left w:val="single" w:sz="4" w:space="0" w:color="auto"/>
              <w:bottom w:val="single" w:sz="4" w:space="0" w:color="auto"/>
              <w:right w:val="single" w:sz="4" w:space="0" w:color="auto"/>
            </w:tcBorders>
            <w:vAlign w:val="center"/>
          </w:tcPr>
          <w:p w:rsidR="00102326" w:rsidRPr="00AB336D" w:rsidRDefault="00102326" w:rsidP="0071029E">
            <w:pPr>
              <w:spacing w:after="0"/>
              <w:rPr>
                <w:rFonts w:eastAsia="Times New Roman"/>
                <w:sz w:val="20"/>
              </w:rPr>
            </w:pPr>
            <w:r w:rsidRPr="00B87B39">
              <w:rPr>
                <w:rFonts w:eastAsia="Times New Roman"/>
                <w:sz w:val="20"/>
              </w:rPr>
              <w:t>Annually</w:t>
            </w:r>
          </w:p>
        </w:tc>
      </w:tr>
      <w:tr w:rsidR="00102326" w:rsidRPr="00C12589" w:rsidTr="00102326">
        <w:trPr>
          <w:trHeight w:val="870"/>
        </w:trPr>
        <w:tc>
          <w:tcPr>
            <w:tcW w:w="486" w:type="pct"/>
            <w:tcBorders>
              <w:top w:val="single" w:sz="4" w:space="0" w:color="auto"/>
              <w:left w:val="single" w:sz="4" w:space="0" w:color="auto"/>
              <w:bottom w:val="single" w:sz="4" w:space="0" w:color="auto"/>
              <w:right w:val="single" w:sz="4" w:space="0" w:color="auto"/>
            </w:tcBorders>
          </w:tcPr>
          <w:p w:rsidR="00102326" w:rsidRDefault="00102326" w:rsidP="0071029E">
            <w:pPr>
              <w:spacing w:after="0"/>
              <w:rPr>
                <w:rFonts w:eastAsia="Times New Roman"/>
                <w:sz w:val="20"/>
              </w:rPr>
            </w:pPr>
          </w:p>
          <w:p w:rsidR="00102326" w:rsidRDefault="00102326" w:rsidP="0071029E">
            <w:pPr>
              <w:spacing w:after="0"/>
            </w:pPr>
            <w:r w:rsidRPr="001066C6">
              <w:rPr>
                <w:rFonts w:eastAsia="Times New Roman"/>
                <w:sz w:val="20"/>
              </w:rPr>
              <w:t xml:space="preserve">PA 3 </w:t>
            </w:r>
          </w:p>
        </w:tc>
        <w:tc>
          <w:tcPr>
            <w:tcW w:w="744" w:type="pct"/>
            <w:tcBorders>
              <w:top w:val="single" w:sz="4" w:space="0" w:color="auto"/>
              <w:left w:val="single" w:sz="4" w:space="0" w:color="auto"/>
              <w:bottom w:val="single" w:sz="4" w:space="0" w:color="auto"/>
              <w:right w:val="single" w:sz="4" w:space="0" w:color="auto"/>
            </w:tcBorders>
          </w:tcPr>
          <w:p w:rsidR="00102326" w:rsidRPr="00990476" w:rsidRDefault="00DA7456" w:rsidP="007C2B90">
            <w:pPr>
              <w:spacing w:after="0"/>
              <w:jc w:val="left"/>
            </w:pPr>
            <w:r w:rsidRPr="00DA7456">
              <w:t>Increase in number of visitors to supported sites of cultural and natural heritage in the programme area</w:t>
            </w:r>
          </w:p>
        </w:tc>
        <w:tc>
          <w:tcPr>
            <w:tcW w:w="788" w:type="pct"/>
            <w:tcBorders>
              <w:top w:val="single" w:sz="4" w:space="0" w:color="auto"/>
              <w:left w:val="single" w:sz="4" w:space="0" w:color="auto"/>
              <w:bottom w:val="single" w:sz="4" w:space="0" w:color="auto"/>
              <w:right w:val="single" w:sz="4" w:space="0" w:color="auto"/>
            </w:tcBorders>
            <w:vAlign w:val="center"/>
          </w:tcPr>
          <w:p w:rsidR="00102326" w:rsidRPr="00AB336D" w:rsidRDefault="00102326" w:rsidP="0071029E">
            <w:pPr>
              <w:snapToGrid w:val="0"/>
              <w:spacing w:after="0"/>
              <w:rPr>
                <w:rFonts w:eastAsia="Times New Roman"/>
                <w:sz w:val="20"/>
              </w:rPr>
            </w:pPr>
            <w:r>
              <w:rPr>
                <w:rFonts w:eastAsia="Times New Roman"/>
                <w:sz w:val="20"/>
              </w:rPr>
              <w:t>Number</w:t>
            </w:r>
          </w:p>
        </w:tc>
        <w:tc>
          <w:tcPr>
            <w:tcW w:w="611" w:type="pct"/>
            <w:tcBorders>
              <w:top w:val="single" w:sz="4" w:space="0" w:color="auto"/>
              <w:left w:val="single" w:sz="4" w:space="0" w:color="auto"/>
              <w:bottom w:val="single" w:sz="4" w:space="0" w:color="auto"/>
              <w:right w:val="single" w:sz="4" w:space="0" w:color="auto"/>
            </w:tcBorders>
            <w:vAlign w:val="center"/>
          </w:tcPr>
          <w:p w:rsidR="00102326" w:rsidRPr="00AB336D" w:rsidRDefault="00DA7456" w:rsidP="00970BD4">
            <w:pPr>
              <w:snapToGrid w:val="0"/>
              <w:spacing w:after="0"/>
              <w:rPr>
                <w:rFonts w:eastAsia="Times New Roman"/>
                <w:sz w:val="20"/>
              </w:rPr>
            </w:pPr>
            <w:r w:rsidRPr="00654476">
              <w:rPr>
                <w:rFonts w:eastAsia="Times New Roman"/>
                <w:sz w:val="20"/>
              </w:rPr>
              <w:t>Data to be collected</w:t>
            </w:r>
            <w:r>
              <w:rPr>
                <w:rFonts w:eastAsia="Times New Roman"/>
                <w:sz w:val="20"/>
              </w:rPr>
              <w:t xml:space="preserve"> by survey</w:t>
            </w:r>
          </w:p>
        </w:tc>
        <w:tc>
          <w:tcPr>
            <w:tcW w:w="510" w:type="pct"/>
            <w:tcBorders>
              <w:top w:val="single" w:sz="4" w:space="0" w:color="auto"/>
              <w:left w:val="single" w:sz="4" w:space="0" w:color="auto"/>
              <w:bottom w:val="single" w:sz="4" w:space="0" w:color="auto"/>
              <w:right w:val="single" w:sz="4" w:space="0" w:color="auto"/>
            </w:tcBorders>
            <w:vAlign w:val="center"/>
          </w:tcPr>
          <w:p w:rsidR="00102326" w:rsidRPr="00AB336D" w:rsidRDefault="0012510A" w:rsidP="0071029E">
            <w:pPr>
              <w:snapToGrid w:val="0"/>
              <w:spacing w:after="0"/>
              <w:rPr>
                <w:rFonts w:eastAsia="Times New Roman"/>
                <w:sz w:val="20"/>
                <w:lang w:val="nb-NO"/>
              </w:rPr>
            </w:pPr>
            <w:r>
              <w:rPr>
                <w:rFonts w:eastAsia="Times New Roman"/>
                <w:sz w:val="20"/>
                <w:lang w:val="nb-NO"/>
              </w:rPr>
              <w:t>2015</w:t>
            </w:r>
          </w:p>
        </w:tc>
        <w:tc>
          <w:tcPr>
            <w:tcW w:w="775" w:type="pct"/>
            <w:tcBorders>
              <w:top w:val="single" w:sz="4" w:space="0" w:color="auto"/>
              <w:left w:val="single" w:sz="4" w:space="0" w:color="auto"/>
              <w:bottom w:val="single" w:sz="4" w:space="0" w:color="auto"/>
              <w:right w:val="single" w:sz="4" w:space="0" w:color="auto"/>
            </w:tcBorders>
            <w:vAlign w:val="center"/>
          </w:tcPr>
          <w:p w:rsidR="00102326" w:rsidRPr="00102326" w:rsidRDefault="00CA6B2F" w:rsidP="00102326">
            <w:pPr>
              <w:jc w:val="left"/>
              <w:rPr>
                <w:sz w:val="20"/>
              </w:rPr>
            </w:pPr>
            <w:r>
              <w:rPr>
                <w:sz w:val="20"/>
              </w:rPr>
              <w:t>700.000</w:t>
            </w:r>
          </w:p>
        </w:tc>
        <w:tc>
          <w:tcPr>
            <w:tcW w:w="620" w:type="pct"/>
            <w:tcBorders>
              <w:top w:val="single" w:sz="4" w:space="0" w:color="auto"/>
              <w:left w:val="single" w:sz="4" w:space="0" w:color="auto"/>
              <w:bottom w:val="single" w:sz="4" w:space="0" w:color="auto"/>
              <w:right w:val="single" w:sz="4" w:space="0" w:color="auto"/>
            </w:tcBorders>
            <w:vAlign w:val="center"/>
          </w:tcPr>
          <w:p w:rsidR="00102326" w:rsidRPr="00AB336D" w:rsidRDefault="00102326" w:rsidP="0071029E">
            <w:pPr>
              <w:spacing w:after="0"/>
              <w:rPr>
                <w:rFonts w:eastAsia="Times New Roman"/>
                <w:sz w:val="20"/>
              </w:rPr>
            </w:pPr>
            <w:r w:rsidRPr="00B87B39">
              <w:rPr>
                <w:rFonts w:eastAsia="Times New Roman"/>
                <w:sz w:val="20"/>
              </w:rPr>
              <w:t>Monitoring of operations</w:t>
            </w:r>
            <w:r>
              <w:rPr>
                <w:rFonts w:eastAsia="Times New Roman"/>
                <w:sz w:val="20"/>
              </w:rPr>
              <w:t xml:space="preserve"> (progress reports)</w:t>
            </w:r>
          </w:p>
        </w:tc>
        <w:tc>
          <w:tcPr>
            <w:tcW w:w="466" w:type="pct"/>
            <w:tcBorders>
              <w:top w:val="single" w:sz="4" w:space="0" w:color="auto"/>
              <w:left w:val="single" w:sz="4" w:space="0" w:color="auto"/>
              <w:bottom w:val="single" w:sz="4" w:space="0" w:color="auto"/>
              <w:right w:val="single" w:sz="4" w:space="0" w:color="auto"/>
            </w:tcBorders>
            <w:vAlign w:val="center"/>
          </w:tcPr>
          <w:p w:rsidR="00102326" w:rsidRPr="00AB336D" w:rsidRDefault="00102326" w:rsidP="0071029E">
            <w:pPr>
              <w:spacing w:after="0"/>
              <w:rPr>
                <w:rFonts w:eastAsia="Times New Roman"/>
                <w:sz w:val="20"/>
              </w:rPr>
            </w:pPr>
            <w:r w:rsidRPr="00B87B39">
              <w:rPr>
                <w:rFonts w:eastAsia="Times New Roman"/>
                <w:sz w:val="20"/>
              </w:rPr>
              <w:t>Annually</w:t>
            </w:r>
          </w:p>
        </w:tc>
      </w:tr>
    </w:tbl>
    <w:p w:rsidR="002701C9" w:rsidRPr="00B76110" w:rsidRDefault="002701C9" w:rsidP="002701C9">
      <w:pPr>
        <w:suppressAutoHyphens/>
        <w:spacing w:after="240"/>
        <w:rPr>
          <w:rFonts w:eastAsia="Times New Roman"/>
          <w:b/>
        </w:rPr>
        <w:sectPr w:rsidR="002701C9" w:rsidRPr="00B76110" w:rsidSect="006A4BDD">
          <w:headerReference w:type="default" r:id="rId35"/>
          <w:footerReference w:type="default" r:id="rId36"/>
          <w:headerReference w:type="first" r:id="rId37"/>
          <w:footerReference w:type="first" r:id="rId38"/>
          <w:pgSz w:w="16838" w:h="11906" w:orient="landscape"/>
          <w:pgMar w:top="1418" w:right="1021" w:bottom="1418" w:left="1021" w:header="601" w:footer="1077" w:gutter="0"/>
          <w:cols w:space="720"/>
          <w:docGrid w:linePitch="326"/>
        </w:sectPr>
      </w:pPr>
    </w:p>
    <w:p w:rsidR="002701C9" w:rsidRDefault="002701C9" w:rsidP="002701C9">
      <w:pPr>
        <w:keepNext/>
        <w:spacing w:after="240"/>
        <w:ind w:left="851" w:hanging="851"/>
        <w:outlineLvl w:val="2"/>
        <w:rPr>
          <w:rFonts w:eastAsia="Times New Roman"/>
          <w:b/>
          <w:i/>
        </w:rPr>
      </w:pPr>
      <w:r w:rsidRPr="00B76110">
        <w:rPr>
          <w:rFonts w:eastAsia="Times New Roman"/>
          <w:b/>
          <w:i/>
        </w:rPr>
        <w:lastRenderedPageBreak/>
        <w:t>2.</w:t>
      </w:r>
      <w:r w:rsidR="008E69DD">
        <w:rPr>
          <w:rFonts w:eastAsia="Times New Roman"/>
          <w:b/>
          <w:i/>
        </w:rPr>
        <w:t>3</w:t>
      </w:r>
      <w:r w:rsidRPr="00B76110">
        <w:rPr>
          <w:rFonts w:eastAsia="Times New Roman"/>
          <w:b/>
          <w:i/>
        </w:rPr>
        <w:t>.</w:t>
      </w:r>
      <w:r>
        <w:rPr>
          <w:rFonts w:eastAsia="Times New Roman"/>
          <w:b/>
          <w:i/>
        </w:rPr>
        <w:t>6</w:t>
      </w:r>
      <w:r w:rsidRPr="00B76110">
        <w:rPr>
          <w:rFonts w:eastAsia="Times New Roman"/>
          <w:b/>
          <w:i/>
        </w:rPr>
        <w:t>.</w:t>
      </w:r>
      <w:r>
        <w:rPr>
          <w:rFonts w:eastAsia="Times New Roman"/>
          <w:b/>
          <w:i/>
        </w:rPr>
        <w:t>2</w:t>
      </w:r>
      <w:r w:rsidRPr="00B76110">
        <w:rPr>
          <w:rFonts w:eastAsia="Times New Roman"/>
          <w:b/>
          <w:i/>
        </w:rPr>
        <w:t xml:space="preserve">. </w:t>
      </w:r>
      <w:r>
        <w:rPr>
          <w:rFonts w:eastAsia="Times New Roman"/>
          <w:b/>
          <w:i/>
        </w:rPr>
        <w:t>Priority axis o</w:t>
      </w:r>
      <w:r w:rsidRPr="00B76110">
        <w:rPr>
          <w:rFonts w:eastAsia="Times New Roman"/>
          <w:b/>
          <w:i/>
        </w:rPr>
        <w:t>utput indicator</w:t>
      </w:r>
      <w:r>
        <w:rPr>
          <w:rFonts w:eastAsia="Times New Roman"/>
          <w:b/>
          <w:i/>
        </w:rPr>
        <w:t>s (common or programme specific)</w:t>
      </w:r>
    </w:p>
    <w:p w:rsidR="002701C9" w:rsidRDefault="002701C9" w:rsidP="002701C9">
      <w:pPr>
        <w:spacing w:after="0"/>
        <w:rPr>
          <w:rFonts w:eastAsia="Times New Roman"/>
          <w:b/>
        </w:rPr>
      </w:pPr>
      <w:r w:rsidRPr="00B76110">
        <w:rPr>
          <w:rFonts w:eastAsia="Times New Roman"/>
          <w:b/>
        </w:rPr>
        <w:t xml:space="preserve">Table </w:t>
      </w:r>
      <w:r>
        <w:rPr>
          <w:rFonts w:eastAsia="Times New Roman"/>
          <w:b/>
        </w:rPr>
        <w:t>4</w:t>
      </w:r>
      <w:r w:rsidRPr="00B76110">
        <w:rPr>
          <w:rFonts w:eastAsia="Times New Roman"/>
          <w:b/>
        </w:rPr>
        <w:t xml:space="preserve">: </w:t>
      </w:r>
      <w:r>
        <w:rPr>
          <w:rFonts w:eastAsia="Times New Roman"/>
          <w:b/>
        </w:rPr>
        <w:t>P</w:t>
      </w:r>
      <w:r w:rsidRPr="00B76110">
        <w:rPr>
          <w:rFonts w:eastAsia="Times New Roman"/>
          <w:b/>
        </w:rPr>
        <w:t>rogra</w:t>
      </w:r>
      <w:r>
        <w:rPr>
          <w:rFonts w:eastAsia="Times New Roman"/>
          <w:b/>
        </w:rPr>
        <w:t xml:space="preserve">mme </w:t>
      </w:r>
      <w:r w:rsidR="001E62FA">
        <w:rPr>
          <w:rFonts w:eastAsia="Times New Roman"/>
          <w:b/>
        </w:rPr>
        <w:t xml:space="preserve">common* and </w:t>
      </w:r>
      <w:r>
        <w:rPr>
          <w:rFonts w:eastAsia="Times New Roman"/>
          <w:b/>
        </w:rPr>
        <w:t xml:space="preserve">specific output indicators </w:t>
      </w:r>
    </w:p>
    <w:p w:rsidR="002701C9" w:rsidRPr="00B76110" w:rsidRDefault="002701C9" w:rsidP="002701C9">
      <w:pPr>
        <w:spacing w:after="0"/>
        <w:rPr>
          <w:rFonts w:eastAsia="Times New Roman"/>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0"/>
        <w:gridCol w:w="6218"/>
        <w:gridCol w:w="1843"/>
        <w:gridCol w:w="1417"/>
        <w:gridCol w:w="2834"/>
        <w:gridCol w:w="1720"/>
      </w:tblGrid>
      <w:tr w:rsidR="002701C9" w:rsidRPr="00B76110" w:rsidTr="00070237">
        <w:trPr>
          <w:trHeight w:val="706"/>
          <w:jc w:val="center"/>
        </w:trPr>
        <w:tc>
          <w:tcPr>
            <w:tcW w:w="326" w:type="pct"/>
          </w:tcPr>
          <w:p w:rsidR="002701C9" w:rsidRPr="00B76110" w:rsidRDefault="002701C9" w:rsidP="002701C9">
            <w:pPr>
              <w:spacing w:after="240"/>
              <w:ind w:left="283" w:hanging="283"/>
              <w:jc w:val="center"/>
              <w:rPr>
                <w:rFonts w:eastAsia="Times New Roman"/>
                <w:b/>
                <w:sz w:val="20"/>
              </w:rPr>
            </w:pPr>
            <w:r w:rsidRPr="00B76110">
              <w:rPr>
                <w:rFonts w:eastAsia="Times New Roman"/>
                <w:b/>
                <w:sz w:val="20"/>
              </w:rPr>
              <w:t>ID</w:t>
            </w:r>
          </w:p>
        </w:tc>
        <w:tc>
          <w:tcPr>
            <w:tcW w:w="2071" w:type="pct"/>
            <w:shd w:val="clear" w:color="auto" w:fill="auto"/>
          </w:tcPr>
          <w:p w:rsidR="002701C9" w:rsidRPr="00B76110" w:rsidRDefault="002701C9" w:rsidP="002701C9">
            <w:pPr>
              <w:spacing w:after="240"/>
              <w:ind w:left="283" w:hanging="283"/>
              <w:jc w:val="center"/>
              <w:rPr>
                <w:rFonts w:eastAsia="Times New Roman"/>
                <w:b/>
                <w:sz w:val="20"/>
              </w:rPr>
            </w:pPr>
            <w:r w:rsidRPr="00B76110">
              <w:rPr>
                <w:rFonts w:eastAsia="Times New Roman"/>
                <w:b/>
                <w:sz w:val="20"/>
              </w:rPr>
              <w:t xml:space="preserve">Indicator </w:t>
            </w:r>
            <w:r w:rsidRPr="00B76110">
              <w:rPr>
                <w:rFonts w:eastAsia="Times New Roman"/>
                <w:b/>
                <w:i/>
                <w:sz w:val="20"/>
              </w:rPr>
              <w:t>(name of indicator)</w:t>
            </w:r>
          </w:p>
        </w:tc>
        <w:tc>
          <w:tcPr>
            <w:tcW w:w="614" w:type="pct"/>
            <w:shd w:val="clear" w:color="auto" w:fill="auto"/>
          </w:tcPr>
          <w:p w:rsidR="002701C9" w:rsidRPr="00B76110" w:rsidRDefault="002701C9" w:rsidP="002701C9">
            <w:pPr>
              <w:spacing w:after="240"/>
              <w:jc w:val="center"/>
              <w:rPr>
                <w:rFonts w:eastAsia="Times New Roman"/>
                <w:b/>
                <w:sz w:val="20"/>
              </w:rPr>
            </w:pPr>
            <w:r w:rsidRPr="00B76110">
              <w:rPr>
                <w:rFonts w:eastAsia="Times New Roman"/>
                <w:b/>
                <w:sz w:val="20"/>
              </w:rPr>
              <w:t>Measurement unit</w:t>
            </w:r>
          </w:p>
        </w:tc>
        <w:tc>
          <w:tcPr>
            <w:tcW w:w="472" w:type="pct"/>
            <w:shd w:val="clear" w:color="auto" w:fill="auto"/>
          </w:tcPr>
          <w:p w:rsidR="002701C9" w:rsidRPr="00B76110" w:rsidRDefault="002701C9" w:rsidP="002701C9">
            <w:pPr>
              <w:spacing w:after="240"/>
              <w:jc w:val="center"/>
              <w:rPr>
                <w:rFonts w:eastAsia="Times New Roman"/>
                <w:b/>
                <w:sz w:val="20"/>
              </w:rPr>
            </w:pPr>
            <w:r w:rsidRPr="00B76110">
              <w:rPr>
                <w:rFonts w:eastAsia="Times New Roman"/>
                <w:b/>
                <w:sz w:val="20"/>
              </w:rPr>
              <w:t>Target value (2023)</w:t>
            </w:r>
          </w:p>
        </w:tc>
        <w:tc>
          <w:tcPr>
            <w:tcW w:w="944" w:type="pct"/>
            <w:shd w:val="clear" w:color="auto" w:fill="auto"/>
          </w:tcPr>
          <w:p w:rsidR="002701C9" w:rsidRPr="00B76110" w:rsidRDefault="002701C9" w:rsidP="002701C9">
            <w:pPr>
              <w:spacing w:after="240"/>
              <w:jc w:val="center"/>
              <w:rPr>
                <w:rFonts w:eastAsia="Times New Roman"/>
                <w:b/>
                <w:sz w:val="20"/>
              </w:rPr>
            </w:pPr>
            <w:r w:rsidRPr="00B76110">
              <w:rPr>
                <w:rFonts w:eastAsia="Times New Roman"/>
                <w:b/>
                <w:sz w:val="20"/>
              </w:rPr>
              <w:t>Source of data</w:t>
            </w:r>
          </w:p>
        </w:tc>
        <w:tc>
          <w:tcPr>
            <w:tcW w:w="573" w:type="pct"/>
          </w:tcPr>
          <w:p w:rsidR="002701C9" w:rsidRPr="00B76110" w:rsidRDefault="002701C9" w:rsidP="002701C9">
            <w:pPr>
              <w:spacing w:after="240"/>
              <w:jc w:val="center"/>
              <w:rPr>
                <w:rFonts w:eastAsia="Times New Roman"/>
                <w:b/>
                <w:sz w:val="20"/>
              </w:rPr>
            </w:pPr>
            <w:r w:rsidRPr="00B76110">
              <w:rPr>
                <w:rFonts w:eastAsia="Times New Roman"/>
                <w:b/>
                <w:sz w:val="20"/>
              </w:rPr>
              <w:t>Frequency of reporting</w:t>
            </w:r>
          </w:p>
        </w:tc>
      </w:tr>
      <w:tr w:rsidR="00EE0BB1" w:rsidRPr="00B76110" w:rsidTr="00070237">
        <w:trPr>
          <w:trHeight w:val="79"/>
          <w:jc w:val="center"/>
        </w:trPr>
        <w:tc>
          <w:tcPr>
            <w:tcW w:w="326" w:type="pct"/>
          </w:tcPr>
          <w:p w:rsidR="00EE0BB1" w:rsidRPr="00374A8C" w:rsidRDefault="00EE0BB1" w:rsidP="004E7B2E">
            <w:pPr>
              <w:spacing w:after="0"/>
              <w:rPr>
                <w:rFonts w:eastAsia="Times New Roman"/>
                <w:sz w:val="22"/>
                <w:szCs w:val="22"/>
              </w:rPr>
            </w:pPr>
            <w:r>
              <w:rPr>
                <w:rFonts w:eastAsia="Times New Roman"/>
                <w:sz w:val="22"/>
                <w:szCs w:val="22"/>
              </w:rPr>
              <w:t>PA 3</w:t>
            </w:r>
            <w:r w:rsidRPr="00374A8C">
              <w:rPr>
                <w:rFonts w:eastAsia="Times New Roman"/>
                <w:sz w:val="22"/>
                <w:szCs w:val="22"/>
              </w:rPr>
              <w:t xml:space="preserve"> </w:t>
            </w:r>
          </w:p>
        </w:tc>
        <w:tc>
          <w:tcPr>
            <w:tcW w:w="2071" w:type="pct"/>
            <w:shd w:val="clear" w:color="auto" w:fill="auto"/>
          </w:tcPr>
          <w:p w:rsidR="00EE0BB1" w:rsidRPr="0037043C" w:rsidRDefault="005F7F7C" w:rsidP="0037732C">
            <w:r w:rsidRPr="005F7F7C">
              <w:t>Number of joint tourism offers/products developed and/or implemented and promoted</w:t>
            </w:r>
          </w:p>
        </w:tc>
        <w:tc>
          <w:tcPr>
            <w:tcW w:w="614" w:type="pct"/>
            <w:shd w:val="clear" w:color="auto" w:fill="auto"/>
          </w:tcPr>
          <w:p w:rsidR="00EE0BB1" w:rsidRPr="00374A8C" w:rsidRDefault="00EE0BB1" w:rsidP="002701C9">
            <w:pPr>
              <w:spacing w:after="0"/>
              <w:rPr>
                <w:rFonts w:eastAsia="Times New Roman"/>
                <w:sz w:val="22"/>
                <w:szCs w:val="22"/>
              </w:rPr>
            </w:pPr>
            <w:r w:rsidRPr="00374A8C">
              <w:rPr>
                <w:rFonts w:eastAsia="Times New Roman"/>
                <w:sz w:val="22"/>
                <w:szCs w:val="22"/>
              </w:rPr>
              <w:t>Number</w:t>
            </w:r>
          </w:p>
        </w:tc>
        <w:tc>
          <w:tcPr>
            <w:tcW w:w="472" w:type="pct"/>
            <w:shd w:val="clear" w:color="auto" w:fill="auto"/>
          </w:tcPr>
          <w:p w:rsidR="00EE0BB1" w:rsidRPr="00E6562D" w:rsidRDefault="008E27CA" w:rsidP="00EE0BB1">
            <w:pPr>
              <w:jc w:val="center"/>
            </w:pPr>
            <w:r>
              <w:t>23</w:t>
            </w:r>
          </w:p>
        </w:tc>
        <w:tc>
          <w:tcPr>
            <w:tcW w:w="944" w:type="pct"/>
            <w:shd w:val="clear" w:color="auto" w:fill="auto"/>
          </w:tcPr>
          <w:p w:rsidR="00EE0BB1" w:rsidRPr="00374A8C" w:rsidRDefault="00EE0BB1" w:rsidP="002701C9">
            <w:pPr>
              <w:spacing w:after="0"/>
              <w:rPr>
                <w:rFonts w:eastAsia="Times New Roman"/>
                <w:sz w:val="22"/>
                <w:szCs w:val="22"/>
              </w:rPr>
            </w:pPr>
            <w:r w:rsidRPr="00374A8C">
              <w:rPr>
                <w:rFonts w:eastAsia="Times New Roman"/>
                <w:sz w:val="22"/>
                <w:szCs w:val="22"/>
              </w:rPr>
              <w:t>Monitoring of operations (progress reports)</w:t>
            </w:r>
          </w:p>
        </w:tc>
        <w:tc>
          <w:tcPr>
            <w:tcW w:w="573" w:type="pct"/>
          </w:tcPr>
          <w:p w:rsidR="00EE0BB1" w:rsidRPr="00374A8C" w:rsidRDefault="00EE0BB1" w:rsidP="002701C9">
            <w:pPr>
              <w:spacing w:after="0"/>
              <w:rPr>
                <w:rFonts w:eastAsia="Times New Roman"/>
                <w:sz w:val="22"/>
                <w:szCs w:val="22"/>
              </w:rPr>
            </w:pPr>
            <w:r w:rsidRPr="00374A8C">
              <w:rPr>
                <w:rFonts w:eastAsia="Times New Roman"/>
                <w:sz w:val="22"/>
                <w:szCs w:val="22"/>
              </w:rPr>
              <w:t>Annually</w:t>
            </w:r>
          </w:p>
        </w:tc>
      </w:tr>
      <w:tr w:rsidR="00EE0BB1" w:rsidRPr="00414803" w:rsidTr="00070237">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EE0BB1" w:rsidRDefault="00EE0BB1">
            <w:r w:rsidRPr="00643449">
              <w:rPr>
                <w:rFonts w:eastAsia="Times New Roman"/>
                <w:sz w:val="22"/>
                <w:szCs w:val="22"/>
              </w:rPr>
              <w:t xml:space="preserve">PA 3 </w:t>
            </w:r>
          </w:p>
        </w:tc>
        <w:tc>
          <w:tcPr>
            <w:tcW w:w="2071" w:type="pct"/>
            <w:tcBorders>
              <w:top w:val="single" w:sz="4" w:space="0" w:color="000000"/>
              <w:left w:val="single" w:sz="4" w:space="0" w:color="000000"/>
              <w:bottom w:val="single" w:sz="4" w:space="0" w:color="000000"/>
              <w:right w:val="single" w:sz="4" w:space="0" w:color="000000"/>
            </w:tcBorders>
            <w:shd w:val="clear" w:color="auto" w:fill="auto"/>
          </w:tcPr>
          <w:p w:rsidR="00EE0BB1" w:rsidRPr="0037043C" w:rsidRDefault="005F7F7C" w:rsidP="0037732C">
            <w:r w:rsidRPr="005F7F7C">
              <w:t>Number of tourism providers with (international) certifications and standards</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2701C9">
            <w:pPr>
              <w:spacing w:after="0"/>
              <w:rPr>
                <w:sz w:val="22"/>
                <w:szCs w:val="22"/>
              </w:rPr>
            </w:pPr>
            <w:r w:rsidRPr="00374A8C">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EE0BB1" w:rsidRPr="00E6562D" w:rsidRDefault="008E27CA" w:rsidP="00EE0BB1">
            <w:pPr>
              <w:jc w:val="center"/>
            </w:pPr>
            <w:r>
              <w:t>10</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2701C9">
            <w:pPr>
              <w:spacing w:after="0"/>
              <w:rPr>
                <w:rFonts w:eastAsia="Times New Roman"/>
                <w:sz w:val="22"/>
                <w:szCs w:val="22"/>
              </w:rPr>
            </w:pPr>
            <w:r w:rsidRPr="00374A8C">
              <w:rPr>
                <w:rFonts w:eastAsia="Times New Roman"/>
                <w:sz w:val="22"/>
                <w:szCs w:val="22"/>
              </w:rPr>
              <w:t>Monitoring of operations (progress reports)</w:t>
            </w:r>
          </w:p>
        </w:tc>
        <w:tc>
          <w:tcPr>
            <w:tcW w:w="573" w:type="pct"/>
            <w:tcBorders>
              <w:top w:val="single" w:sz="4" w:space="0" w:color="000000"/>
              <w:left w:val="single" w:sz="4" w:space="0" w:color="000000"/>
              <w:bottom w:val="single" w:sz="4" w:space="0" w:color="000000"/>
              <w:right w:val="single" w:sz="4" w:space="0" w:color="000000"/>
            </w:tcBorders>
          </w:tcPr>
          <w:p w:rsidR="00EE0BB1" w:rsidRPr="00374A8C" w:rsidRDefault="00EE0BB1" w:rsidP="002701C9">
            <w:pPr>
              <w:rPr>
                <w:sz w:val="22"/>
                <w:szCs w:val="22"/>
              </w:rPr>
            </w:pPr>
            <w:r w:rsidRPr="00374A8C">
              <w:rPr>
                <w:rFonts w:eastAsia="Times New Roman"/>
                <w:sz w:val="22"/>
                <w:szCs w:val="22"/>
              </w:rPr>
              <w:t>Annually</w:t>
            </w:r>
          </w:p>
        </w:tc>
      </w:tr>
      <w:tr w:rsidR="00EE0BB1" w:rsidRPr="00414803" w:rsidTr="00070237">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EE0BB1" w:rsidRDefault="00EE0BB1">
            <w:r w:rsidRPr="00643449">
              <w:rPr>
                <w:rFonts w:eastAsia="Times New Roman"/>
                <w:sz w:val="22"/>
                <w:szCs w:val="22"/>
              </w:rPr>
              <w:t xml:space="preserve">PA 3 </w:t>
            </w:r>
          </w:p>
        </w:tc>
        <w:tc>
          <w:tcPr>
            <w:tcW w:w="2071" w:type="pct"/>
            <w:tcBorders>
              <w:top w:val="single" w:sz="4" w:space="0" w:color="000000"/>
              <w:left w:val="single" w:sz="4" w:space="0" w:color="000000"/>
              <w:bottom w:val="single" w:sz="4" w:space="0" w:color="000000"/>
              <w:right w:val="single" w:sz="4" w:space="0" w:color="000000"/>
            </w:tcBorders>
            <w:shd w:val="clear" w:color="auto" w:fill="auto"/>
          </w:tcPr>
          <w:p w:rsidR="00EE0BB1" w:rsidRPr="0037043C" w:rsidRDefault="005F7F7C" w:rsidP="0037732C">
            <w:r w:rsidRPr="005F7F7C">
              <w:t>Number of tourism supporting facilities and/or tourism infrastructure developed and/or improved</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2701C9">
            <w:pPr>
              <w:spacing w:after="0"/>
              <w:rPr>
                <w:sz w:val="22"/>
                <w:szCs w:val="22"/>
              </w:rPr>
            </w:pPr>
            <w:r w:rsidRPr="00374A8C">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EE0BB1" w:rsidRPr="00E6562D" w:rsidRDefault="008E27CA" w:rsidP="00EE0BB1">
            <w:pPr>
              <w:jc w:val="center"/>
            </w:pPr>
            <w:r>
              <w:t>13</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2701C9">
            <w:pPr>
              <w:spacing w:after="0"/>
              <w:rPr>
                <w:rFonts w:eastAsia="Times New Roman"/>
                <w:sz w:val="22"/>
                <w:szCs w:val="22"/>
              </w:rPr>
            </w:pPr>
            <w:r w:rsidRPr="00374A8C">
              <w:rPr>
                <w:rFonts w:eastAsia="Times New Roman"/>
                <w:sz w:val="22"/>
                <w:szCs w:val="22"/>
              </w:rPr>
              <w:t>Monitoring of operations (progress reports)</w:t>
            </w:r>
          </w:p>
        </w:tc>
        <w:tc>
          <w:tcPr>
            <w:tcW w:w="573" w:type="pct"/>
            <w:tcBorders>
              <w:top w:val="single" w:sz="4" w:space="0" w:color="000000"/>
              <w:left w:val="single" w:sz="4" w:space="0" w:color="000000"/>
              <w:bottom w:val="single" w:sz="4" w:space="0" w:color="000000"/>
              <w:right w:val="single" w:sz="4" w:space="0" w:color="000000"/>
            </w:tcBorders>
          </w:tcPr>
          <w:p w:rsidR="00EE0BB1" w:rsidRPr="00374A8C" w:rsidRDefault="00EE0BB1" w:rsidP="002701C9">
            <w:pPr>
              <w:rPr>
                <w:sz w:val="22"/>
                <w:szCs w:val="22"/>
              </w:rPr>
            </w:pPr>
            <w:r w:rsidRPr="00374A8C">
              <w:rPr>
                <w:rFonts w:eastAsia="Times New Roman"/>
                <w:sz w:val="22"/>
                <w:szCs w:val="22"/>
              </w:rPr>
              <w:t>Annually</w:t>
            </w:r>
          </w:p>
        </w:tc>
      </w:tr>
      <w:tr w:rsidR="00EE0BB1" w:rsidRPr="00414803" w:rsidTr="00070237">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EE0BB1" w:rsidRDefault="00EE0BB1">
            <w:r w:rsidRPr="00643449">
              <w:rPr>
                <w:rFonts w:eastAsia="Times New Roman"/>
                <w:sz w:val="22"/>
                <w:szCs w:val="22"/>
              </w:rPr>
              <w:t xml:space="preserve">PA 3 </w:t>
            </w:r>
          </w:p>
        </w:tc>
        <w:tc>
          <w:tcPr>
            <w:tcW w:w="2071" w:type="pct"/>
            <w:tcBorders>
              <w:top w:val="single" w:sz="4" w:space="0" w:color="000000"/>
              <w:left w:val="single" w:sz="4" w:space="0" w:color="000000"/>
              <w:bottom w:val="single" w:sz="4" w:space="0" w:color="000000"/>
              <w:right w:val="single" w:sz="4" w:space="0" w:color="000000"/>
            </w:tcBorders>
            <w:shd w:val="clear" w:color="auto" w:fill="auto"/>
          </w:tcPr>
          <w:p w:rsidR="00EE0BB1" w:rsidRPr="0037043C" w:rsidRDefault="005F7F7C" w:rsidP="0037732C">
            <w:r w:rsidRPr="005F7F7C">
              <w:t>Creation of touristic product “Adriatic Hinterland”</w:t>
            </w:r>
            <w:r>
              <w:t>*</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2701C9">
            <w:pPr>
              <w:spacing w:after="0"/>
              <w:rPr>
                <w:sz w:val="22"/>
                <w:szCs w:val="22"/>
              </w:rPr>
            </w:pPr>
            <w:r w:rsidRPr="00374A8C">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EE0BB1" w:rsidRPr="00E6562D" w:rsidRDefault="008E27CA" w:rsidP="00EE0BB1">
            <w:pPr>
              <w:jc w:val="center"/>
            </w:pPr>
            <w:r>
              <w:t>1</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2701C9">
            <w:pPr>
              <w:spacing w:after="0"/>
              <w:rPr>
                <w:rFonts w:eastAsia="Times New Roman"/>
                <w:sz w:val="22"/>
                <w:szCs w:val="22"/>
              </w:rPr>
            </w:pPr>
            <w:r w:rsidRPr="00374A8C">
              <w:rPr>
                <w:rFonts w:eastAsia="Times New Roman"/>
                <w:sz w:val="22"/>
                <w:szCs w:val="22"/>
              </w:rPr>
              <w:t>Monitoring of operations (progress reports)</w:t>
            </w:r>
          </w:p>
        </w:tc>
        <w:tc>
          <w:tcPr>
            <w:tcW w:w="573" w:type="pct"/>
            <w:tcBorders>
              <w:top w:val="single" w:sz="4" w:space="0" w:color="000000"/>
              <w:left w:val="single" w:sz="4" w:space="0" w:color="000000"/>
              <w:bottom w:val="single" w:sz="4" w:space="0" w:color="000000"/>
              <w:right w:val="single" w:sz="4" w:space="0" w:color="000000"/>
            </w:tcBorders>
          </w:tcPr>
          <w:p w:rsidR="00EE0BB1" w:rsidRPr="00374A8C" w:rsidRDefault="00EE0BB1" w:rsidP="002701C9">
            <w:pPr>
              <w:rPr>
                <w:sz w:val="22"/>
                <w:szCs w:val="22"/>
              </w:rPr>
            </w:pPr>
            <w:r w:rsidRPr="00374A8C">
              <w:rPr>
                <w:rFonts w:eastAsia="Times New Roman"/>
                <w:sz w:val="22"/>
                <w:szCs w:val="22"/>
              </w:rPr>
              <w:t>Annually</w:t>
            </w:r>
          </w:p>
        </w:tc>
      </w:tr>
      <w:tr w:rsidR="00EE0BB1" w:rsidRPr="00414803" w:rsidTr="00070237">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EE0BB1" w:rsidRDefault="00EE0BB1">
            <w:r w:rsidRPr="00643449">
              <w:rPr>
                <w:rFonts w:eastAsia="Times New Roman"/>
                <w:sz w:val="22"/>
                <w:szCs w:val="22"/>
              </w:rPr>
              <w:t xml:space="preserve">PA 3 </w:t>
            </w:r>
          </w:p>
        </w:tc>
        <w:tc>
          <w:tcPr>
            <w:tcW w:w="2071" w:type="pct"/>
            <w:tcBorders>
              <w:top w:val="single" w:sz="4" w:space="0" w:color="000000"/>
              <w:left w:val="single" w:sz="4" w:space="0" w:color="000000"/>
              <w:bottom w:val="single" w:sz="4" w:space="0" w:color="000000"/>
              <w:right w:val="single" w:sz="4" w:space="0" w:color="000000"/>
            </w:tcBorders>
            <w:shd w:val="clear" w:color="auto" w:fill="auto"/>
          </w:tcPr>
          <w:p w:rsidR="00EE0BB1" w:rsidRPr="0037043C" w:rsidRDefault="005F7F7C" w:rsidP="0037732C">
            <w:r w:rsidRPr="005F7F7C">
              <w:t>Number of local projects prepared for investments for further destination’s development</w:t>
            </w:r>
            <w:r>
              <w:t>*</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2701C9">
            <w:pPr>
              <w:spacing w:after="0"/>
              <w:rPr>
                <w:sz w:val="22"/>
                <w:szCs w:val="22"/>
              </w:rPr>
            </w:pPr>
            <w:r w:rsidRPr="00374A8C">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EE0BB1" w:rsidRPr="00E6562D" w:rsidRDefault="008E27CA" w:rsidP="00EE0BB1">
            <w:pPr>
              <w:jc w:val="center"/>
            </w:pPr>
            <w:r>
              <w:t>15</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2701C9">
            <w:pPr>
              <w:spacing w:after="0"/>
              <w:rPr>
                <w:rFonts w:eastAsia="Times New Roman"/>
                <w:sz w:val="22"/>
                <w:szCs w:val="22"/>
              </w:rPr>
            </w:pPr>
            <w:r w:rsidRPr="00374A8C">
              <w:rPr>
                <w:rFonts w:eastAsia="Times New Roman"/>
                <w:sz w:val="22"/>
                <w:szCs w:val="22"/>
              </w:rPr>
              <w:t>Monitoring of operations (progress reports)</w:t>
            </w:r>
          </w:p>
        </w:tc>
        <w:tc>
          <w:tcPr>
            <w:tcW w:w="573" w:type="pct"/>
            <w:tcBorders>
              <w:top w:val="single" w:sz="4" w:space="0" w:color="000000"/>
              <w:left w:val="single" w:sz="4" w:space="0" w:color="000000"/>
              <w:bottom w:val="single" w:sz="4" w:space="0" w:color="000000"/>
              <w:right w:val="single" w:sz="4" w:space="0" w:color="000000"/>
            </w:tcBorders>
          </w:tcPr>
          <w:p w:rsidR="00EE0BB1" w:rsidRPr="00374A8C" w:rsidRDefault="00EE0BB1" w:rsidP="002701C9">
            <w:pPr>
              <w:rPr>
                <w:sz w:val="22"/>
                <w:szCs w:val="22"/>
              </w:rPr>
            </w:pPr>
            <w:r w:rsidRPr="00374A8C">
              <w:rPr>
                <w:rFonts w:eastAsia="Times New Roman"/>
                <w:sz w:val="22"/>
                <w:szCs w:val="22"/>
              </w:rPr>
              <w:t>Annually</w:t>
            </w:r>
          </w:p>
        </w:tc>
      </w:tr>
      <w:tr w:rsidR="00EE0BB1" w:rsidRPr="00414803" w:rsidTr="00070237">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EE0BB1" w:rsidRDefault="00EE0BB1">
            <w:r w:rsidRPr="00643449">
              <w:rPr>
                <w:rFonts w:eastAsia="Times New Roman"/>
                <w:sz w:val="22"/>
                <w:szCs w:val="22"/>
              </w:rPr>
              <w:t xml:space="preserve">PA 3 </w:t>
            </w:r>
          </w:p>
        </w:tc>
        <w:tc>
          <w:tcPr>
            <w:tcW w:w="2071" w:type="pct"/>
            <w:tcBorders>
              <w:top w:val="single" w:sz="4" w:space="0" w:color="000000"/>
              <w:left w:val="single" w:sz="4" w:space="0" w:color="000000"/>
              <w:bottom w:val="single" w:sz="4" w:space="0" w:color="000000"/>
              <w:right w:val="single" w:sz="4" w:space="0" w:color="000000"/>
            </w:tcBorders>
            <w:shd w:val="clear" w:color="auto" w:fill="auto"/>
          </w:tcPr>
          <w:p w:rsidR="00EE0BB1" w:rsidRPr="0037043C" w:rsidRDefault="005F7F7C" w:rsidP="0037732C">
            <w:r w:rsidRPr="005F7F7C">
              <w:t>Number of sustainable management plans for cultural and natural heritage sites developed and/or implemented</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CF117C" w:rsidP="002701C9">
            <w:pPr>
              <w:spacing w:after="0"/>
              <w:rPr>
                <w:sz w:val="22"/>
                <w:szCs w:val="22"/>
              </w:rPr>
            </w:pPr>
            <w:r>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EE0BB1" w:rsidRPr="00E6562D" w:rsidRDefault="008E27CA" w:rsidP="00EE0BB1">
            <w:pPr>
              <w:jc w:val="center"/>
            </w:pPr>
            <w:r>
              <w:t>7</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2701C9">
            <w:pPr>
              <w:spacing w:after="0"/>
              <w:rPr>
                <w:rFonts w:eastAsia="Times New Roman"/>
                <w:sz w:val="22"/>
                <w:szCs w:val="22"/>
              </w:rPr>
            </w:pPr>
            <w:r w:rsidRPr="00374A8C">
              <w:rPr>
                <w:rFonts w:eastAsia="Times New Roman"/>
                <w:sz w:val="22"/>
                <w:szCs w:val="22"/>
              </w:rPr>
              <w:t>Monitoring of operations (progress reports)</w:t>
            </w:r>
          </w:p>
        </w:tc>
        <w:tc>
          <w:tcPr>
            <w:tcW w:w="573" w:type="pct"/>
            <w:tcBorders>
              <w:top w:val="single" w:sz="4" w:space="0" w:color="000000"/>
              <w:left w:val="single" w:sz="4" w:space="0" w:color="000000"/>
              <w:bottom w:val="single" w:sz="4" w:space="0" w:color="000000"/>
              <w:right w:val="single" w:sz="4" w:space="0" w:color="000000"/>
            </w:tcBorders>
          </w:tcPr>
          <w:p w:rsidR="00EE0BB1" w:rsidRPr="00374A8C" w:rsidRDefault="00EE0BB1" w:rsidP="002701C9">
            <w:pPr>
              <w:rPr>
                <w:sz w:val="22"/>
                <w:szCs w:val="22"/>
              </w:rPr>
            </w:pPr>
            <w:r w:rsidRPr="00374A8C">
              <w:rPr>
                <w:rFonts w:eastAsia="Times New Roman"/>
                <w:sz w:val="22"/>
                <w:szCs w:val="22"/>
              </w:rPr>
              <w:t>Annually</w:t>
            </w:r>
          </w:p>
        </w:tc>
      </w:tr>
      <w:tr w:rsidR="00EE0BB1" w:rsidRPr="00374A8C" w:rsidTr="00070237">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EE0BB1" w:rsidRPr="00C86B04" w:rsidRDefault="00EE0BB1" w:rsidP="0037732C">
            <w:pPr>
              <w:rPr>
                <w:rFonts w:eastAsia="Times New Roman"/>
                <w:sz w:val="22"/>
                <w:szCs w:val="22"/>
              </w:rPr>
            </w:pPr>
            <w:r w:rsidRPr="00643449">
              <w:rPr>
                <w:rFonts w:eastAsia="Times New Roman"/>
                <w:sz w:val="22"/>
                <w:szCs w:val="22"/>
              </w:rPr>
              <w:t xml:space="preserve">PA 3 </w:t>
            </w:r>
          </w:p>
        </w:tc>
        <w:tc>
          <w:tcPr>
            <w:tcW w:w="2071" w:type="pct"/>
            <w:tcBorders>
              <w:top w:val="single" w:sz="4" w:space="0" w:color="000000"/>
              <w:left w:val="single" w:sz="4" w:space="0" w:color="000000"/>
              <w:bottom w:val="single" w:sz="4" w:space="0" w:color="000000"/>
              <w:right w:val="single" w:sz="4" w:space="0" w:color="000000"/>
            </w:tcBorders>
            <w:shd w:val="clear" w:color="auto" w:fill="auto"/>
          </w:tcPr>
          <w:p w:rsidR="00EE0BB1" w:rsidRPr="0037043C" w:rsidRDefault="005F7F7C" w:rsidP="0037732C">
            <w:r w:rsidRPr="005F7F7C">
              <w:t>Number of participants trained in quality assurance, standardisation on cultural and natural heritage and destination management</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EE0BB1" w:rsidRPr="00C86B04" w:rsidRDefault="00EE0BB1" w:rsidP="0037732C">
            <w:pPr>
              <w:spacing w:after="0"/>
              <w:rPr>
                <w:rFonts w:eastAsia="Times New Roman"/>
                <w:sz w:val="22"/>
                <w:szCs w:val="22"/>
              </w:rPr>
            </w:pPr>
            <w:r w:rsidRPr="00374A8C">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EE0BB1" w:rsidRPr="00E6562D" w:rsidRDefault="008E27CA" w:rsidP="00EE0BB1">
            <w:pPr>
              <w:jc w:val="center"/>
            </w:pPr>
            <w:r>
              <w:t>343</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37732C">
            <w:pPr>
              <w:spacing w:after="0"/>
              <w:rPr>
                <w:rFonts w:eastAsia="Times New Roman"/>
                <w:sz w:val="22"/>
                <w:szCs w:val="22"/>
              </w:rPr>
            </w:pPr>
            <w:r w:rsidRPr="00374A8C">
              <w:rPr>
                <w:rFonts w:eastAsia="Times New Roman"/>
                <w:sz w:val="22"/>
                <w:szCs w:val="22"/>
              </w:rPr>
              <w:t>Monitoring of operations (progress reports)</w:t>
            </w:r>
          </w:p>
        </w:tc>
        <w:tc>
          <w:tcPr>
            <w:tcW w:w="573" w:type="pct"/>
            <w:tcBorders>
              <w:top w:val="single" w:sz="4" w:space="0" w:color="000000"/>
              <w:left w:val="single" w:sz="4" w:space="0" w:color="000000"/>
              <w:bottom w:val="single" w:sz="4" w:space="0" w:color="000000"/>
              <w:right w:val="single" w:sz="4" w:space="0" w:color="000000"/>
            </w:tcBorders>
          </w:tcPr>
          <w:p w:rsidR="00EE0BB1" w:rsidRPr="00C86B04" w:rsidRDefault="00EE0BB1" w:rsidP="0037732C">
            <w:pPr>
              <w:rPr>
                <w:rFonts w:eastAsia="Times New Roman"/>
                <w:sz w:val="22"/>
                <w:szCs w:val="22"/>
              </w:rPr>
            </w:pPr>
            <w:r w:rsidRPr="00374A8C">
              <w:rPr>
                <w:rFonts w:eastAsia="Times New Roman"/>
                <w:sz w:val="22"/>
                <w:szCs w:val="22"/>
              </w:rPr>
              <w:t>Annually</w:t>
            </w:r>
          </w:p>
        </w:tc>
      </w:tr>
      <w:tr w:rsidR="00EE0BB1" w:rsidRPr="00374A8C" w:rsidTr="00070237">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EE0BB1" w:rsidRPr="00C86B04" w:rsidRDefault="00EE0BB1" w:rsidP="0037732C">
            <w:pPr>
              <w:rPr>
                <w:rFonts w:eastAsia="Times New Roman"/>
                <w:sz w:val="22"/>
                <w:szCs w:val="22"/>
              </w:rPr>
            </w:pPr>
            <w:r w:rsidRPr="00643449">
              <w:rPr>
                <w:rFonts w:eastAsia="Times New Roman"/>
                <w:sz w:val="22"/>
                <w:szCs w:val="22"/>
              </w:rPr>
              <w:t xml:space="preserve">PA 3 </w:t>
            </w:r>
          </w:p>
        </w:tc>
        <w:tc>
          <w:tcPr>
            <w:tcW w:w="2071" w:type="pct"/>
            <w:tcBorders>
              <w:top w:val="single" w:sz="4" w:space="0" w:color="000000"/>
              <w:left w:val="single" w:sz="4" w:space="0" w:color="000000"/>
              <w:bottom w:val="single" w:sz="4" w:space="0" w:color="000000"/>
              <w:right w:val="single" w:sz="4" w:space="0" w:color="000000"/>
            </w:tcBorders>
            <w:shd w:val="clear" w:color="auto" w:fill="auto"/>
          </w:tcPr>
          <w:p w:rsidR="00EE0BB1" w:rsidRDefault="005F7F7C" w:rsidP="0037732C">
            <w:r w:rsidRPr="005F7F7C">
              <w:t xml:space="preserve">Number of cultural and natural assets developed and/or </w:t>
            </w:r>
            <w:r w:rsidRPr="005F7F7C">
              <w:lastRenderedPageBreak/>
              <w:t>improved</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EE0BB1" w:rsidRPr="00C86B04" w:rsidRDefault="00EE0BB1" w:rsidP="0037732C">
            <w:pPr>
              <w:spacing w:after="0"/>
              <w:rPr>
                <w:rFonts w:eastAsia="Times New Roman"/>
                <w:sz w:val="22"/>
                <w:szCs w:val="22"/>
              </w:rPr>
            </w:pPr>
            <w:r>
              <w:rPr>
                <w:rFonts w:eastAsia="Times New Roman"/>
                <w:sz w:val="22"/>
                <w:szCs w:val="22"/>
              </w:rPr>
              <w:lastRenderedPageBreak/>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EE0BB1" w:rsidRDefault="008E27CA" w:rsidP="00EE0BB1">
            <w:pPr>
              <w:jc w:val="center"/>
            </w:pPr>
            <w:r>
              <w:t>14</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EE0BB1" w:rsidRPr="00374A8C" w:rsidRDefault="00EE0BB1" w:rsidP="0037732C">
            <w:pPr>
              <w:spacing w:after="0"/>
              <w:rPr>
                <w:rFonts w:eastAsia="Times New Roman"/>
                <w:sz w:val="22"/>
                <w:szCs w:val="22"/>
              </w:rPr>
            </w:pPr>
            <w:r w:rsidRPr="00374A8C">
              <w:rPr>
                <w:rFonts w:eastAsia="Times New Roman"/>
                <w:sz w:val="22"/>
                <w:szCs w:val="22"/>
              </w:rPr>
              <w:t>Monitoring of operations (progress reports)</w:t>
            </w:r>
          </w:p>
        </w:tc>
        <w:tc>
          <w:tcPr>
            <w:tcW w:w="573" w:type="pct"/>
            <w:tcBorders>
              <w:top w:val="single" w:sz="4" w:space="0" w:color="000000"/>
              <w:left w:val="single" w:sz="4" w:space="0" w:color="000000"/>
              <w:bottom w:val="single" w:sz="4" w:space="0" w:color="000000"/>
              <w:right w:val="single" w:sz="4" w:space="0" w:color="000000"/>
            </w:tcBorders>
          </w:tcPr>
          <w:p w:rsidR="00EE0BB1" w:rsidRPr="00C86B04" w:rsidRDefault="00EE0BB1" w:rsidP="0037732C">
            <w:pPr>
              <w:rPr>
                <w:rFonts w:eastAsia="Times New Roman"/>
                <w:sz w:val="22"/>
                <w:szCs w:val="22"/>
              </w:rPr>
            </w:pPr>
            <w:r w:rsidRPr="00374A8C">
              <w:rPr>
                <w:rFonts w:eastAsia="Times New Roman"/>
                <w:sz w:val="22"/>
                <w:szCs w:val="22"/>
              </w:rPr>
              <w:t>Annually</w:t>
            </w:r>
          </w:p>
        </w:tc>
      </w:tr>
    </w:tbl>
    <w:p w:rsidR="002701C9" w:rsidRPr="00B76110" w:rsidRDefault="002701C9" w:rsidP="002701C9">
      <w:pPr>
        <w:suppressAutoHyphens/>
        <w:spacing w:after="240"/>
        <w:rPr>
          <w:rFonts w:eastAsia="Times New Roman"/>
          <w:b/>
        </w:rPr>
      </w:pPr>
    </w:p>
    <w:p w:rsidR="002701C9" w:rsidRPr="00C36B44" w:rsidRDefault="005F7F7C" w:rsidP="001E62FA">
      <w:pPr>
        <w:suppressAutoHyphens/>
        <w:spacing w:after="240"/>
        <w:jc w:val="left"/>
        <w:rPr>
          <w:rFonts w:eastAsia="Times New Roman"/>
        </w:rPr>
        <w:sectPr w:rsidR="002701C9" w:rsidRPr="00C36B44" w:rsidSect="006A4BDD">
          <w:pgSz w:w="16838" w:h="11906" w:orient="landscape"/>
          <w:pgMar w:top="1418" w:right="1021" w:bottom="1418" w:left="1021" w:header="601" w:footer="1077" w:gutter="0"/>
          <w:cols w:space="720"/>
          <w:docGrid w:linePitch="326"/>
        </w:sectPr>
      </w:pPr>
      <w:r>
        <w:rPr>
          <w:rFonts w:eastAsia="Times New Roman"/>
        </w:rPr>
        <w:t>*</w:t>
      </w:r>
      <w:r w:rsidR="00044657">
        <w:rPr>
          <w:rFonts w:eastAsia="Times New Roman"/>
        </w:rPr>
        <w:t xml:space="preserve">Output indicator related to the </w:t>
      </w:r>
      <w:r>
        <w:rPr>
          <w:rFonts w:eastAsia="Times New Roman"/>
        </w:rPr>
        <w:t>Strategic project</w:t>
      </w:r>
    </w:p>
    <w:p w:rsidR="002701C9" w:rsidRDefault="002701C9" w:rsidP="002701C9">
      <w:pPr>
        <w:suppressAutoHyphens/>
        <w:spacing w:after="240"/>
        <w:rPr>
          <w:rFonts w:eastAsia="Times New Roman"/>
          <w:b/>
        </w:rPr>
      </w:pPr>
      <w:r w:rsidRPr="00B76110">
        <w:rPr>
          <w:rFonts w:eastAsia="Times New Roman"/>
          <w:b/>
        </w:rPr>
        <w:lastRenderedPageBreak/>
        <w:t>2.</w:t>
      </w:r>
      <w:r w:rsidR="00EC2AC6">
        <w:rPr>
          <w:rFonts w:eastAsia="Times New Roman"/>
          <w:b/>
        </w:rPr>
        <w:t>3</w:t>
      </w:r>
      <w:r w:rsidRPr="00B76110">
        <w:rPr>
          <w:rFonts w:eastAsia="Times New Roman"/>
          <w:b/>
        </w:rPr>
        <w:t>.</w:t>
      </w:r>
      <w:r>
        <w:rPr>
          <w:rFonts w:eastAsia="Times New Roman"/>
          <w:b/>
        </w:rPr>
        <w:t>7</w:t>
      </w:r>
      <w:r w:rsidRPr="00B76110">
        <w:rPr>
          <w:rFonts w:eastAsia="Times New Roman"/>
          <w:b/>
        </w:rPr>
        <w:t xml:space="preserve">. Categories of intervention </w:t>
      </w:r>
    </w:p>
    <w:p w:rsidR="002701C9" w:rsidRPr="00567F19" w:rsidRDefault="002701C9" w:rsidP="002701C9">
      <w:r w:rsidRPr="00567F19">
        <w:t xml:space="preserve">(Reference: </w:t>
      </w:r>
      <w:r>
        <w:t xml:space="preserve">point (b)(vii) of </w:t>
      </w:r>
      <w:r w:rsidRPr="00567F19">
        <w:t>Article 8(2) of Regulation (EU) No 1299/2013)</w:t>
      </w:r>
    </w:p>
    <w:p w:rsidR="002701C9" w:rsidRPr="008A7F7E" w:rsidRDefault="002701C9" w:rsidP="002701C9">
      <w:pPr>
        <w:suppressAutoHyphens/>
        <w:spacing w:after="240"/>
        <w:rPr>
          <w:rFonts w:eastAsia="Times New Roman"/>
        </w:rPr>
      </w:pPr>
      <w:r w:rsidRPr="00B76110">
        <w:rPr>
          <w:rFonts w:eastAsia="Times New Roman"/>
        </w:rPr>
        <w:t>Categories of intervention corresponding to the content of the priority axis, based on a nomenclature adopted by the Commission, and indicat</w:t>
      </w:r>
      <w:r>
        <w:rPr>
          <w:rFonts w:eastAsia="Times New Roman"/>
        </w:rPr>
        <w:t xml:space="preserve">ive breakdown of Union support </w:t>
      </w:r>
    </w:p>
    <w:p w:rsidR="002701C9" w:rsidRPr="00B76110" w:rsidRDefault="002701C9" w:rsidP="002701C9">
      <w:pPr>
        <w:suppressAutoHyphens/>
        <w:spacing w:after="240"/>
        <w:rPr>
          <w:rFonts w:eastAsia="Times New Roman"/>
          <w:szCs w:val="24"/>
        </w:rPr>
      </w:pPr>
      <w:r w:rsidRPr="00B76110">
        <w:rPr>
          <w:rFonts w:eastAsia="Times New Roman"/>
          <w:b/>
          <w:szCs w:val="24"/>
        </w:rPr>
        <w:t xml:space="preserve">Tables </w:t>
      </w:r>
      <w:r>
        <w:rPr>
          <w:rFonts w:eastAsia="Times New Roman"/>
          <w:b/>
          <w:szCs w:val="24"/>
        </w:rPr>
        <w:t>5</w:t>
      </w:r>
      <w:r w:rsidRPr="00B76110">
        <w:rPr>
          <w:rFonts w:eastAsia="Times New Roman"/>
          <w:b/>
          <w:szCs w:val="24"/>
        </w:rPr>
        <w:t>-</w:t>
      </w:r>
      <w:r>
        <w:rPr>
          <w:rFonts w:eastAsia="Times New Roman"/>
          <w:b/>
          <w:szCs w:val="24"/>
        </w:rPr>
        <w:t>8</w:t>
      </w:r>
      <w:r w:rsidRPr="00B76110">
        <w:rPr>
          <w:rFonts w:eastAsia="Times New Roman"/>
          <w:b/>
          <w:szCs w:val="24"/>
        </w:rPr>
        <w:t>: Categories of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394"/>
        <w:gridCol w:w="2552"/>
      </w:tblGrid>
      <w:tr w:rsidR="002701C9" w:rsidRPr="00070237" w:rsidTr="002701C9">
        <w:trPr>
          <w:trHeight w:val="364"/>
        </w:trPr>
        <w:tc>
          <w:tcPr>
            <w:tcW w:w="8472" w:type="dxa"/>
            <w:gridSpan w:val="3"/>
            <w:shd w:val="clear" w:color="auto" w:fill="auto"/>
          </w:tcPr>
          <w:p w:rsidR="002701C9" w:rsidRPr="00070237" w:rsidRDefault="002701C9" w:rsidP="002701C9">
            <w:pPr>
              <w:autoSpaceDE w:val="0"/>
              <w:autoSpaceDN w:val="0"/>
              <w:adjustRightInd w:val="0"/>
              <w:spacing w:after="0"/>
              <w:rPr>
                <w:rFonts w:eastAsia="Times New Roman"/>
                <w:b/>
                <w:color w:val="000000"/>
                <w:sz w:val="20"/>
              </w:rPr>
            </w:pPr>
            <w:r w:rsidRPr="00070237">
              <w:rPr>
                <w:rFonts w:eastAsia="Times New Roman"/>
                <w:b/>
                <w:bCs/>
                <w:color w:val="000000"/>
                <w:sz w:val="20"/>
              </w:rPr>
              <w:t xml:space="preserve">Table 5: Dimension 1 </w:t>
            </w:r>
            <w:r w:rsidRPr="00070237">
              <w:rPr>
                <w:rFonts w:eastAsia="Times New Roman"/>
                <w:b/>
                <w:color w:val="000000"/>
                <w:sz w:val="20"/>
              </w:rPr>
              <w:t>Intervention field</w:t>
            </w:r>
          </w:p>
        </w:tc>
      </w:tr>
      <w:tr w:rsidR="002701C9" w:rsidRPr="00070237" w:rsidTr="002701C9">
        <w:trPr>
          <w:trHeight w:val="267"/>
        </w:trPr>
        <w:tc>
          <w:tcPr>
            <w:tcW w:w="1526" w:type="dxa"/>
            <w:shd w:val="clear" w:color="auto" w:fill="auto"/>
          </w:tcPr>
          <w:p w:rsidR="002701C9" w:rsidRPr="00070237" w:rsidRDefault="002701C9" w:rsidP="002701C9">
            <w:pPr>
              <w:spacing w:after="240"/>
              <w:jc w:val="center"/>
              <w:rPr>
                <w:rFonts w:eastAsia="Times New Roman"/>
                <w:b/>
                <w:sz w:val="20"/>
              </w:rPr>
            </w:pPr>
            <w:r w:rsidRPr="00070237">
              <w:rPr>
                <w:rFonts w:eastAsia="Times New Roman"/>
                <w:b/>
                <w:sz w:val="20"/>
              </w:rPr>
              <w:t>Priority axis</w:t>
            </w:r>
          </w:p>
        </w:tc>
        <w:tc>
          <w:tcPr>
            <w:tcW w:w="4394" w:type="dxa"/>
            <w:shd w:val="clear" w:color="auto" w:fill="auto"/>
          </w:tcPr>
          <w:p w:rsidR="002701C9" w:rsidRPr="00070237" w:rsidRDefault="002701C9" w:rsidP="002701C9">
            <w:pPr>
              <w:spacing w:after="240"/>
              <w:jc w:val="center"/>
              <w:rPr>
                <w:rFonts w:eastAsia="Times New Roman"/>
                <w:sz w:val="20"/>
              </w:rPr>
            </w:pPr>
            <w:r w:rsidRPr="00070237">
              <w:rPr>
                <w:rFonts w:eastAsia="Times New Roman"/>
                <w:b/>
                <w:sz w:val="20"/>
              </w:rPr>
              <w:t>Code</w:t>
            </w:r>
          </w:p>
        </w:tc>
        <w:tc>
          <w:tcPr>
            <w:tcW w:w="2552" w:type="dxa"/>
            <w:shd w:val="clear" w:color="auto" w:fill="auto"/>
          </w:tcPr>
          <w:p w:rsidR="002701C9" w:rsidRPr="00070237" w:rsidRDefault="002701C9" w:rsidP="002701C9">
            <w:pPr>
              <w:spacing w:after="240"/>
              <w:jc w:val="center"/>
              <w:rPr>
                <w:rFonts w:eastAsia="Times New Roman"/>
                <w:sz w:val="20"/>
              </w:rPr>
            </w:pPr>
            <w:r w:rsidRPr="00070237">
              <w:rPr>
                <w:b/>
                <w:sz w:val="20"/>
              </w:rPr>
              <w:t>Amount (EUR)</w:t>
            </w:r>
          </w:p>
        </w:tc>
      </w:tr>
      <w:tr w:rsidR="002701C9" w:rsidRPr="00070237" w:rsidTr="002701C9">
        <w:tc>
          <w:tcPr>
            <w:tcW w:w="1526" w:type="dxa"/>
            <w:shd w:val="clear" w:color="auto" w:fill="auto"/>
          </w:tcPr>
          <w:p w:rsidR="002701C9" w:rsidRPr="00070237" w:rsidRDefault="002701C9" w:rsidP="00DD258B">
            <w:pPr>
              <w:spacing w:after="0"/>
              <w:rPr>
                <w:rFonts w:eastAsia="Times New Roman"/>
                <w:sz w:val="20"/>
              </w:rPr>
            </w:pPr>
            <w:r w:rsidRPr="00070237">
              <w:rPr>
                <w:rFonts w:eastAsia="Times New Roman"/>
                <w:sz w:val="20"/>
              </w:rPr>
              <w:t xml:space="preserve">PA </w:t>
            </w:r>
            <w:r w:rsidR="00DD258B" w:rsidRPr="00070237">
              <w:rPr>
                <w:rFonts w:eastAsia="Times New Roman"/>
                <w:sz w:val="20"/>
              </w:rPr>
              <w:t>3</w:t>
            </w:r>
          </w:p>
        </w:tc>
        <w:tc>
          <w:tcPr>
            <w:tcW w:w="4394" w:type="dxa"/>
            <w:shd w:val="clear" w:color="auto" w:fill="auto"/>
          </w:tcPr>
          <w:p w:rsidR="002701C9" w:rsidRPr="00070237" w:rsidRDefault="003D249A" w:rsidP="002701C9">
            <w:pPr>
              <w:spacing w:after="0"/>
              <w:rPr>
                <w:rFonts w:eastAsia="Times New Roman"/>
                <w:sz w:val="20"/>
              </w:rPr>
            </w:pPr>
            <w:r w:rsidRPr="00070237">
              <w:rPr>
                <w:rFonts w:eastAsia="Times New Roman"/>
                <w:sz w:val="20"/>
              </w:rPr>
              <w:t>090 Cycle tracks and footpaths</w:t>
            </w:r>
          </w:p>
        </w:tc>
        <w:tc>
          <w:tcPr>
            <w:tcW w:w="2552" w:type="dxa"/>
            <w:shd w:val="clear" w:color="auto" w:fill="auto"/>
          </w:tcPr>
          <w:p w:rsidR="002701C9" w:rsidRPr="00070237" w:rsidRDefault="00083F18" w:rsidP="00083F18">
            <w:pPr>
              <w:spacing w:after="0"/>
              <w:jc w:val="left"/>
              <w:rPr>
                <w:rFonts w:eastAsia="Times New Roman"/>
                <w:sz w:val="20"/>
              </w:rPr>
            </w:pPr>
            <w:r w:rsidRPr="00070237">
              <w:rPr>
                <w:rFonts w:eastAsia="Times New Roman"/>
                <w:sz w:val="20"/>
              </w:rPr>
              <w:t>2.857.765,80</w:t>
            </w:r>
          </w:p>
        </w:tc>
      </w:tr>
      <w:tr w:rsidR="00083F18" w:rsidRPr="00070237" w:rsidTr="002701C9">
        <w:trPr>
          <w:trHeight w:val="233"/>
        </w:trPr>
        <w:tc>
          <w:tcPr>
            <w:tcW w:w="1526" w:type="dxa"/>
            <w:shd w:val="clear" w:color="auto" w:fill="auto"/>
          </w:tcPr>
          <w:p w:rsidR="00083F18" w:rsidRPr="00070237" w:rsidRDefault="00083F18">
            <w:pPr>
              <w:rPr>
                <w:sz w:val="20"/>
              </w:rPr>
            </w:pPr>
            <w:r w:rsidRPr="00070237">
              <w:rPr>
                <w:rFonts w:eastAsia="Times New Roman"/>
                <w:sz w:val="20"/>
              </w:rPr>
              <w:t>PA 3</w:t>
            </w:r>
          </w:p>
        </w:tc>
        <w:tc>
          <w:tcPr>
            <w:tcW w:w="4394" w:type="dxa"/>
            <w:shd w:val="clear" w:color="auto" w:fill="auto"/>
          </w:tcPr>
          <w:p w:rsidR="00083F18" w:rsidRPr="00070237" w:rsidRDefault="00083F18" w:rsidP="002701C9">
            <w:pPr>
              <w:spacing w:after="0"/>
              <w:rPr>
                <w:rFonts w:eastAsia="Times New Roman"/>
                <w:sz w:val="20"/>
              </w:rPr>
            </w:pPr>
            <w:r w:rsidRPr="00070237">
              <w:rPr>
                <w:rFonts w:eastAsia="Times New Roman"/>
                <w:sz w:val="20"/>
              </w:rPr>
              <w:t>091 Development and promotion of the tourism potential of natural areas</w:t>
            </w:r>
          </w:p>
        </w:tc>
        <w:tc>
          <w:tcPr>
            <w:tcW w:w="2552" w:type="dxa"/>
            <w:shd w:val="clear" w:color="auto" w:fill="auto"/>
          </w:tcPr>
          <w:p w:rsidR="00083F18" w:rsidRPr="00070237" w:rsidRDefault="00083F18" w:rsidP="00083F18">
            <w:pPr>
              <w:spacing w:after="0"/>
              <w:jc w:val="left"/>
              <w:rPr>
                <w:rFonts w:eastAsia="Times New Roman"/>
                <w:sz w:val="20"/>
              </w:rPr>
            </w:pPr>
            <w:r w:rsidRPr="00070237">
              <w:rPr>
                <w:rFonts w:eastAsia="Times New Roman"/>
                <w:sz w:val="20"/>
              </w:rPr>
              <w:t>2.857.765,80</w:t>
            </w:r>
          </w:p>
        </w:tc>
      </w:tr>
      <w:tr w:rsidR="00083F18" w:rsidRPr="00070237" w:rsidTr="002701C9">
        <w:trPr>
          <w:trHeight w:val="47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pPr>
              <w:rPr>
                <w:sz w:val="20"/>
              </w:rPr>
            </w:pPr>
            <w:r w:rsidRPr="00070237">
              <w:rPr>
                <w:rFonts w:eastAsia="Times New Roman"/>
                <w:sz w:val="20"/>
              </w:rPr>
              <w:t>PA 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rsidP="002701C9">
            <w:pPr>
              <w:spacing w:after="0"/>
              <w:rPr>
                <w:rFonts w:eastAsia="Times New Roman"/>
                <w:sz w:val="20"/>
              </w:rPr>
            </w:pPr>
            <w:r w:rsidRPr="00070237">
              <w:rPr>
                <w:rFonts w:eastAsia="Times New Roman"/>
                <w:sz w:val="20"/>
              </w:rPr>
              <w:t>092 Protection, development and promotion of public tourism assets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rsidP="00083F18">
            <w:pPr>
              <w:spacing w:after="0"/>
              <w:jc w:val="left"/>
              <w:rPr>
                <w:rFonts w:eastAsia="Times New Roman"/>
                <w:sz w:val="20"/>
              </w:rPr>
            </w:pPr>
            <w:r w:rsidRPr="00070237">
              <w:rPr>
                <w:rFonts w:eastAsia="Times New Roman"/>
                <w:sz w:val="20"/>
              </w:rPr>
              <w:t>2.857.765,80</w:t>
            </w:r>
          </w:p>
        </w:tc>
      </w:tr>
      <w:tr w:rsidR="00083F18" w:rsidRPr="00070237" w:rsidTr="002701C9">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pPr>
              <w:rPr>
                <w:sz w:val="20"/>
              </w:rPr>
            </w:pPr>
            <w:r w:rsidRPr="00070237">
              <w:rPr>
                <w:rFonts w:eastAsia="Times New Roman"/>
                <w:sz w:val="20"/>
              </w:rPr>
              <w:t>PA 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rsidP="002701C9">
            <w:pPr>
              <w:spacing w:after="0"/>
              <w:rPr>
                <w:rFonts w:eastAsia="Times New Roman"/>
                <w:sz w:val="20"/>
              </w:rPr>
            </w:pPr>
            <w:r w:rsidRPr="00070237">
              <w:rPr>
                <w:rFonts w:eastAsia="Times New Roman"/>
                <w:sz w:val="20"/>
              </w:rPr>
              <w:t>093 Development and promotion of public tourism services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rsidP="00083F18">
            <w:pPr>
              <w:spacing w:after="0"/>
              <w:jc w:val="left"/>
              <w:rPr>
                <w:rFonts w:eastAsia="Times New Roman"/>
                <w:sz w:val="20"/>
              </w:rPr>
            </w:pPr>
            <w:r w:rsidRPr="00070237">
              <w:rPr>
                <w:rFonts w:eastAsia="Times New Roman"/>
                <w:sz w:val="20"/>
              </w:rPr>
              <w:t>2.857.765,80</w:t>
            </w:r>
          </w:p>
        </w:tc>
      </w:tr>
      <w:tr w:rsidR="00083F18" w:rsidRPr="00070237" w:rsidTr="002701C9">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pPr>
              <w:rPr>
                <w:sz w:val="20"/>
              </w:rPr>
            </w:pPr>
            <w:r w:rsidRPr="00070237">
              <w:rPr>
                <w:rFonts w:eastAsia="Times New Roman"/>
                <w:sz w:val="20"/>
              </w:rPr>
              <w:t>PA 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rsidP="002701C9">
            <w:pPr>
              <w:spacing w:after="0"/>
              <w:rPr>
                <w:rFonts w:eastAsia="Times New Roman"/>
                <w:sz w:val="20"/>
              </w:rPr>
            </w:pPr>
            <w:r w:rsidRPr="00070237">
              <w:rPr>
                <w:rFonts w:eastAsia="Times New Roman"/>
                <w:sz w:val="20"/>
              </w:rPr>
              <w:t>094 Protection, development and promotion of public cultural and heritage assets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rsidP="00083F18">
            <w:pPr>
              <w:spacing w:after="0"/>
              <w:jc w:val="left"/>
              <w:rPr>
                <w:rFonts w:eastAsia="Times New Roman"/>
                <w:sz w:val="20"/>
              </w:rPr>
            </w:pPr>
            <w:r w:rsidRPr="00070237">
              <w:rPr>
                <w:rFonts w:eastAsia="Times New Roman"/>
                <w:sz w:val="20"/>
              </w:rPr>
              <w:t>2.857.765,80</w:t>
            </w:r>
          </w:p>
        </w:tc>
      </w:tr>
      <w:tr w:rsidR="00083F18" w:rsidRPr="00070237" w:rsidTr="002701C9">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pPr>
              <w:rPr>
                <w:rFonts w:eastAsia="Times New Roman"/>
                <w:sz w:val="20"/>
              </w:rPr>
            </w:pPr>
            <w:r w:rsidRPr="00070237">
              <w:rPr>
                <w:rFonts w:eastAsia="Times New Roman"/>
                <w:sz w:val="20"/>
              </w:rPr>
              <w:t>PA 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rsidP="002701C9">
            <w:pPr>
              <w:spacing w:after="0"/>
              <w:rPr>
                <w:rFonts w:eastAsia="Times New Roman"/>
                <w:sz w:val="20"/>
              </w:rPr>
            </w:pPr>
            <w:r w:rsidRPr="00070237">
              <w:rPr>
                <w:rFonts w:eastAsia="Times New Roman"/>
                <w:sz w:val="20"/>
              </w:rPr>
              <w:t>095 Development and promotion of public cultural and heritage services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83F18" w:rsidRPr="00070237" w:rsidRDefault="00083F18" w:rsidP="00083F18">
            <w:pPr>
              <w:spacing w:after="0"/>
              <w:jc w:val="left"/>
              <w:rPr>
                <w:rFonts w:eastAsia="Times New Roman"/>
                <w:sz w:val="20"/>
              </w:rPr>
            </w:pPr>
            <w:r w:rsidRPr="00070237">
              <w:rPr>
                <w:rFonts w:eastAsia="Times New Roman"/>
                <w:sz w:val="20"/>
              </w:rPr>
              <w:t>2.857.765,80</w:t>
            </w:r>
          </w:p>
        </w:tc>
      </w:tr>
    </w:tbl>
    <w:p w:rsidR="003D249A" w:rsidRPr="006E5E3B" w:rsidRDefault="003D249A" w:rsidP="002701C9">
      <w:pPr>
        <w:suppressAutoHyphens/>
        <w:spacing w:after="240"/>
        <w:rPr>
          <w:rFonts w:eastAsia="Times New Roman"/>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701C9" w:rsidRPr="00070237" w:rsidTr="002701C9">
        <w:trPr>
          <w:trHeight w:val="364"/>
        </w:trPr>
        <w:tc>
          <w:tcPr>
            <w:tcW w:w="8472" w:type="dxa"/>
            <w:gridSpan w:val="3"/>
            <w:shd w:val="clear" w:color="auto" w:fill="auto"/>
          </w:tcPr>
          <w:p w:rsidR="002701C9" w:rsidRPr="00070237" w:rsidRDefault="002701C9" w:rsidP="002701C9">
            <w:pPr>
              <w:autoSpaceDE w:val="0"/>
              <w:autoSpaceDN w:val="0"/>
              <w:adjustRightInd w:val="0"/>
              <w:spacing w:after="0"/>
              <w:rPr>
                <w:rFonts w:eastAsia="Times New Roman"/>
                <w:b/>
                <w:color w:val="000000"/>
                <w:sz w:val="20"/>
              </w:rPr>
            </w:pPr>
            <w:r w:rsidRPr="00070237">
              <w:rPr>
                <w:rFonts w:eastAsia="Times New Roman"/>
                <w:b/>
                <w:bCs/>
                <w:color w:val="000000"/>
                <w:sz w:val="20"/>
              </w:rPr>
              <w:t xml:space="preserve">Table 6: Dimension 2 </w:t>
            </w:r>
            <w:r w:rsidRPr="00070237">
              <w:rPr>
                <w:rFonts w:eastAsia="Times New Roman"/>
                <w:b/>
                <w:color w:val="000000"/>
                <w:sz w:val="20"/>
              </w:rPr>
              <w:t>Form of finance</w:t>
            </w:r>
          </w:p>
        </w:tc>
      </w:tr>
      <w:tr w:rsidR="002701C9" w:rsidRPr="00070237" w:rsidTr="002701C9">
        <w:trPr>
          <w:trHeight w:val="267"/>
        </w:trPr>
        <w:tc>
          <w:tcPr>
            <w:tcW w:w="2802" w:type="dxa"/>
            <w:shd w:val="clear" w:color="auto" w:fill="auto"/>
          </w:tcPr>
          <w:p w:rsidR="002701C9" w:rsidRPr="00070237" w:rsidRDefault="002701C9" w:rsidP="002701C9">
            <w:pPr>
              <w:spacing w:after="240"/>
              <w:jc w:val="center"/>
              <w:rPr>
                <w:rFonts w:eastAsia="Times New Roman"/>
                <w:b/>
                <w:sz w:val="20"/>
              </w:rPr>
            </w:pPr>
            <w:r w:rsidRPr="00070237">
              <w:rPr>
                <w:rFonts w:eastAsia="Times New Roman"/>
                <w:b/>
                <w:sz w:val="20"/>
              </w:rPr>
              <w:t>Priority axis</w:t>
            </w:r>
          </w:p>
        </w:tc>
        <w:tc>
          <w:tcPr>
            <w:tcW w:w="2693" w:type="dxa"/>
            <w:shd w:val="clear" w:color="auto" w:fill="auto"/>
          </w:tcPr>
          <w:p w:rsidR="002701C9" w:rsidRPr="00070237" w:rsidRDefault="002701C9" w:rsidP="002701C9">
            <w:pPr>
              <w:spacing w:after="240"/>
              <w:jc w:val="center"/>
              <w:rPr>
                <w:rFonts w:eastAsia="Times New Roman"/>
                <w:sz w:val="20"/>
              </w:rPr>
            </w:pPr>
            <w:r w:rsidRPr="00070237">
              <w:rPr>
                <w:rFonts w:eastAsia="Times New Roman"/>
                <w:b/>
                <w:sz w:val="20"/>
              </w:rPr>
              <w:t>Code</w:t>
            </w:r>
          </w:p>
        </w:tc>
        <w:tc>
          <w:tcPr>
            <w:tcW w:w="2977" w:type="dxa"/>
            <w:shd w:val="clear" w:color="auto" w:fill="auto"/>
          </w:tcPr>
          <w:p w:rsidR="002701C9" w:rsidRPr="00070237" w:rsidRDefault="002701C9" w:rsidP="002701C9">
            <w:pPr>
              <w:spacing w:after="240"/>
              <w:jc w:val="center"/>
              <w:rPr>
                <w:rFonts w:eastAsia="Times New Roman"/>
                <w:sz w:val="20"/>
              </w:rPr>
            </w:pPr>
            <w:r w:rsidRPr="00070237">
              <w:rPr>
                <w:b/>
                <w:sz w:val="20"/>
              </w:rPr>
              <w:t>Amount (EUR)</w:t>
            </w:r>
          </w:p>
        </w:tc>
      </w:tr>
      <w:tr w:rsidR="002701C9" w:rsidRPr="00070237" w:rsidTr="002701C9">
        <w:tc>
          <w:tcPr>
            <w:tcW w:w="2802" w:type="dxa"/>
            <w:shd w:val="clear" w:color="auto" w:fill="auto"/>
          </w:tcPr>
          <w:p w:rsidR="002701C9" w:rsidRPr="00070237" w:rsidRDefault="002701C9" w:rsidP="008E69DD">
            <w:pPr>
              <w:spacing w:after="240"/>
              <w:rPr>
                <w:rFonts w:eastAsia="Times New Roman"/>
                <w:sz w:val="20"/>
              </w:rPr>
            </w:pPr>
            <w:r w:rsidRPr="00070237">
              <w:rPr>
                <w:rFonts w:eastAsia="Times New Roman"/>
                <w:sz w:val="20"/>
              </w:rPr>
              <w:t xml:space="preserve">PA </w:t>
            </w:r>
            <w:r w:rsidR="008E69DD" w:rsidRPr="00070237">
              <w:rPr>
                <w:rFonts w:eastAsia="Times New Roman"/>
                <w:sz w:val="20"/>
              </w:rPr>
              <w:t>3</w:t>
            </w:r>
          </w:p>
        </w:tc>
        <w:tc>
          <w:tcPr>
            <w:tcW w:w="2693" w:type="dxa"/>
            <w:shd w:val="clear" w:color="auto" w:fill="auto"/>
          </w:tcPr>
          <w:p w:rsidR="002701C9" w:rsidRPr="00070237" w:rsidRDefault="002701C9" w:rsidP="002701C9">
            <w:pPr>
              <w:suppressAutoHyphens/>
              <w:spacing w:after="0"/>
              <w:rPr>
                <w:rFonts w:eastAsia="Times New Roman"/>
                <w:sz w:val="20"/>
              </w:rPr>
            </w:pPr>
            <w:r w:rsidRPr="00070237">
              <w:rPr>
                <w:rFonts w:eastAsia="Times New Roman"/>
                <w:sz w:val="20"/>
              </w:rPr>
              <w:t>01 Non-repayable grant</w:t>
            </w:r>
          </w:p>
        </w:tc>
        <w:tc>
          <w:tcPr>
            <w:tcW w:w="2977" w:type="dxa"/>
            <w:shd w:val="clear" w:color="auto" w:fill="auto"/>
          </w:tcPr>
          <w:p w:rsidR="002701C9" w:rsidRPr="00070237" w:rsidRDefault="005B0AE6" w:rsidP="00954575">
            <w:pPr>
              <w:spacing w:after="240"/>
              <w:jc w:val="left"/>
              <w:rPr>
                <w:rFonts w:eastAsia="Times New Roman"/>
                <w:sz w:val="20"/>
              </w:rPr>
            </w:pPr>
            <w:r w:rsidRPr="00070237">
              <w:rPr>
                <w:rFonts w:eastAsia="Times New Roman"/>
                <w:sz w:val="20"/>
              </w:rPr>
              <w:t>17</w:t>
            </w:r>
            <w:r w:rsidR="00010A21" w:rsidRPr="00070237">
              <w:rPr>
                <w:rFonts w:eastAsia="Times New Roman"/>
                <w:sz w:val="20"/>
              </w:rPr>
              <w:t>.</w:t>
            </w:r>
            <w:r w:rsidRPr="00070237">
              <w:rPr>
                <w:rFonts w:eastAsia="Times New Roman"/>
                <w:sz w:val="20"/>
              </w:rPr>
              <w:t>146</w:t>
            </w:r>
            <w:r w:rsidR="00282858" w:rsidRPr="00070237">
              <w:rPr>
                <w:rFonts w:eastAsia="Times New Roman"/>
                <w:sz w:val="20"/>
              </w:rPr>
              <w:t>.</w:t>
            </w:r>
            <w:r w:rsidR="00954575" w:rsidRPr="00070237">
              <w:rPr>
                <w:rFonts w:eastAsia="Times New Roman"/>
                <w:sz w:val="20"/>
              </w:rPr>
              <w:t>594</w:t>
            </w:r>
            <w:r w:rsidR="00282858" w:rsidRPr="00070237">
              <w:rPr>
                <w:rFonts w:eastAsia="Times New Roman"/>
                <w:sz w:val="20"/>
              </w:rPr>
              <w:t>,</w:t>
            </w:r>
            <w:r w:rsidR="00954575" w:rsidRPr="00070237">
              <w:rPr>
                <w:rFonts w:eastAsia="Times New Roman"/>
                <w:sz w:val="20"/>
              </w:rPr>
              <w:t>80</w:t>
            </w:r>
          </w:p>
        </w:tc>
      </w:tr>
    </w:tbl>
    <w:p w:rsidR="002701C9" w:rsidRPr="00BF6086" w:rsidRDefault="002701C9" w:rsidP="002701C9">
      <w:pPr>
        <w:suppressAutoHyphens/>
        <w:spacing w:after="0"/>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701C9" w:rsidRPr="00070237" w:rsidTr="002701C9">
        <w:trPr>
          <w:trHeight w:val="364"/>
        </w:trPr>
        <w:tc>
          <w:tcPr>
            <w:tcW w:w="8472" w:type="dxa"/>
            <w:gridSpan w:val="3"/>
            <w:shd w:val="clear" w:color="auto" w:fill="auto"/>
          </w:tcPr>
          <w:p w:rsidR="002701C9" w:rsidRPr="00070237" w:rsidRDefault="002701C9" w:rsidP="002701C9">
            <w:pPr>
              <w:autoSpaceDE w:val="0"/>
              <w:autoSpaceDN w:val="0"/>
              <w:adjustRightInd w:val="0"/>
              <w:spacing w:after="0"/>
              <w:rPr>
                <w:rFonts w:eastAsia="Times New Roman"/>
                <w:b/>
                <w:color w:val="000000"/>
                <w:sz w:val="20"/>
              </w:rPr>
            </w:pPr>
            <w:r w:rsidRPr="00070237">
              <w:rPr>
                <w:rFonts w:eastAsia="Times New Roman"/>
                <w:b/>
                <w:bCs/>
                <w:color w:val="000000"/>
                <w:sz w:val="20"/>
              </w:rPr>
              <w:t xml:space="preserve">Table 7: Dimension 3 </w:t>
            </w:r>
            <w:r w:rsidRPr="00070237">
              <w:rPr>
                <w:rFonts w:eastAsia="Times New Roman"/>
                <w:b/>
                <w:color w:val="000000"/>
                <w:sz w:val="20"/>
              </w:rPr>
              <w:t>Territory type</w:t>
            </w:r>
          </w:p>
        </w:tc>
      </w:tr>
      <w:tr w:rsidR="002701C9" w:rsidRPr="00070237" w:rsidTr="002701C9">
        <w:trPr>
          <w:trHeight w:val="267"/>
        </w:trPr>
        <w:tc>
          <w:tcPr>
            <w:tcW w:w="2802" w:type="dxa"/>
            <w:shd w:val="clear" w:color="auto" w:fill="auto"/>
          </w:tcPr>
          <w:p w:rsidR="002701C9" w:rsidRPr="00070237" w:rsidRDefault="002701C9" w:rsidP="002701C9">
            <w:pPr>
              <w:spacing w:after="240"/>
              <w:jc w:val="center"/>
              <w:rPr>
                <w:rFonts w:eastAsia="Times New Roman"/>
                <w:b/>
                <w:sz w:val="20"/>
              </w:rPr>
            </w:pPr>
            <w:r w:rsidRPr="00070237">
              <w:rPr>
                <w:rFonts w:eastAsia="Times New Roman"/>
                <w:b/>
                <w:sz w:val="20"/>
              </w:rPr>
              <w:t>Priority axis</w:t>
            </w:r>
          </w:p>
        </w:tc>
        <w:tc>
          <w:tcPr>
            <w:tcW w:w="2693" w:type="dxa"/>
            <w:shd w:val="clear" w:color="auto" w:fill="auto"/>
          </w:tcPr>
          <w:p w:rsidR="002701C9" w:rsidRPr="00070237" w:rsidRDefault="002701C9" w:rsidP="002701C9">
            <w:pPr>
              <w:spacing w:after="240"/>
              <w:jc w:val="center"/>
              <w:rPr>
                <w:rFonts w:eastAsia="Times New Roman"/>
                <w:sz w:val="20"/>
              </w:rPr>
            </w:pPr>
            <w:r w:rsidRPr="00070237">
              <w:rPr>
                <w:rFonts w:eastAsia="Times New Roman"/>
                <w:b/>
                <w:sz w:val="20"/>
              </w:rPr>
              <w:t>Code</w:t>
            </w:r>
          </w:p>
        </w:tc>
        <w:tc>
          <w:tcPr>
            <w:tcW w:w="2977" w:type="dxa"/>
            <w:shd w:val="clear" w:color="auto" w:fill="auto"/>
          </w:tcPr>
          <w:p w:rsidR="002701C9" w:rsidRPr="00070237" w:rsidRDefault="002701C9" w:rsidP="002701C9">
            <w:pPr>
              <w:spacing w:after="240"/>
              <w:jc w:val="center"/>
              <w:rPr>
                <w:rFonts w:eastAsia="Times New Roman"/>
                <w:sz w:val="20"/>
              </w:rPr>
            </w:pPr>
            <w:r w:rsidRPr="00070237">
              <w:rPr>
                <w:b/>
                <w:sz w:val="20"/>
              </w:rPr>
              <w:t>Amount (EUR)</w:t>
            </w:r>
          </w:p>
        </w:tc>
      </w:tr>
      <w:tr w:rsidR="0082645B" w:rsidRPr="00070237" w:rsidTr="002701C9">
        <w:tc>
          <w:tcPr>
            <w:tcW w:w="2802" w:type="dxa"/>
            <w:shd w:val="clear" w:color="auto" w:fill="auto"/>
          </w:tcPr>
          <w:p w:rsidR="0082645B" w:rsidRPr="00070237" w:rsidRDefault="0082645B" w:rsidP="008E69DD">
            <w:pPr>
              <w:spacing w:after="240"/>
              <w:rPr>
                <w:rFonts w:eastAsia="Times New Roman"/>
                <w:sz w:val="20"/>
              </w:rPr>
            </w:pPr>
            <w:r w:rsidRPr="00070237">
              <w:rPr>
                <w:rFonts w:eastAsia="Times New Roman"/>
                <w:sz w:val="20"/>
              </w:rPr>
              <w:t>PA 3</w:t>
            </w:r>
          </w:p>
        </w:tc>
        <w:tc>
          <w:tcPr>
            <w:tcW w:w="2693" w:type="dxa"/>
            <w:shd w:val="clear" w:color="auto" w:fill="auto"/>
          </w:tcPr>
          <w:p w:rsidR="0082645B" w:rsidRPr="00070237" w:rsidRDefault="0082645B" w:rsidP="00B8035B">
            <w:pPr>
              <w:suppressAutoHyphens/>
              <w:spacing w:after="0"/>
              <w:rPr>
                <w:rFonts w:eastAsia="Times New Roman"/>
                <w:sz w:val="20"/>
              </w:rPr>
            </w:pPr>
            <w:r w:rsidRPr="00070237">
              <w:rPr>
                <w:rFonts w:eastAsia="Times New Roman"/>
                <w:sz w:val="20"/>
              </w:rPr>
              <w:t>01 Large Urban areas (densely populated &gt; 50 000 population)</w:t>
            </w:r>
          </w:p>
        </w:tc>
        <w:tc>
          <w:tcPr>
            <w:tcW w:w="2977" w:type="dxa"/>
            <w:shd w:val="clear" w:color="auto" w:fill="auto"/>
          </w:tcPr>
          <w:p w:rsidR="0082645B" w:rsidRPr="00070237" w:rsidRDefault="00083F18" w:rsidP="00123D0A">
            <w:pPr>
              <w:tabs>
                <w:tab w:val="left" w:pos="750"/>
              </w:tabs>
              <w:spacing w:after="240"/>
              <w:jc w:val="left"/>
              <w:rPr>
                <w:rFonts w:eastAsia="Times New Roman"/>
                <w:sz w:val="20"/>
              </w:rPr>
            </w:pPr>
            <w:r w:rsidRPr="00070237">
              <w:rPr>
                <w:rFonts w:eastAsia="Times New Roman"/>
                <w:sz w:val="20"/>
              </w:rPr>
              <w:t>5.715.531,60</w:t>
            </w:r>
          </w:p>
        </w:tc>
      </w:tr>
      <w:tr w:rsidR="00083F18" w:rsidRPr="00070237" w:rsidTr="002701C9">
        <w:tc>
          <w:tcPr>
            <w:tcW w:w="2802" w:type="dxa"/>
            <w:shd w:val="clear" w:color="auto" w:fill="auto"/>
          </w:tcPr>
          <w:p w:rsidR="00083F18" w:rsidRPr="00070237" w:rsidRDefault="00083F18" w:rsidP="008E69DD">
            <w:pPr>
              <w:spacing w:after="240"/>
              <w:rPr>
                <w:rFonts w:eastAsia="Times New Roman"/>
                <w:sz w:val="20"/>
              </w:rPr>
            </w:pPr>
            <w:r w:rsidRPr="00070237">
              <w:rPr>
                <w:rFonts w:eastAsia="Times New Roman"/>
                <w:sz w:val="20"/>
              </w:rPr>
              <w:t>PA 3</w:t>
            </w:r>
          </w:p>
        </w:tc>
        <w:tc>
          <w:tcPr>
            <w:tcW w:w="2693" w:type="dxa"/>
            <w:shd w:val="clear" w:color="auto" w:fill="auto"/>
          </w:tcPr>
          <w:p w:rsidR="00083F18" w:rsidRPr="00070237" w:rsidRDefault="00083F18" w:rsidP="00B8035B">
            <w:pPr>
              <w:suppressAutoHyphens/>
              <w:spacing w:after="0"/>
              <w:rPr>
                <w:rFonts w:eastAsia="Times New Roman"/>
                <w:sz w:val="20"/>
              </w:rPr>
            </w:pPr>
            <w:r w:rsidRPr="00070237">
              <w:rPr>
                <w:rFonts w:eastAsia="Times New Roman"/>
                <w:sz w:val="20"/>
              </w:rPr>
              <w:t>02 Small Urban areas (intermediate density &gt; 5 000 population)</w:t>
            </w:r>
          </w:p>
        </w:tc>
        <w:tc>
          <w:tcPr>
            <w:tcW w:w="2977" w:type="dxa"/>
            <w:shd w:val="clear" w:color="auto" w:fill="auto"/>
          </w:tcPr>
          <w:p w:rsidR="00083F18" w:rsidRPr="00070237" w:rsidRDefault="00083F18" w:rsidP="00123D0A">
            <w:pPr>
              <w:spacing w:after="240"/>
              <w:jc w:val="left"/>
              <w:rPr>
                <w:rFonts w:eastAsia="Times New Roman"/>
                <w:sz w:val="20"/>
              </w:rPr>
            </w:pPr>
            <w:r w:rsidRPr="00070237">
              <w:rPr>
                <w:rFonts w:eastAsia="Times New Roman"/>
                <w:sz w:val="20"/>
              </w:rPr>
              <w:t>5.715.531,60</w:t>
            </w:r>
          </w:p>
        </w:tc>
      </w:tr>
      <w:tr w:rsidR="00083F18" w:rsidRPr="00070237" w:rsidTr="002701C9">
        <w:tc>
          <w:tcPr>
            <w:tcW w:w="2802" w:type="dxa"/>
            <w:shd w:val="clear" w:color="auto" w:fill="auto"/>
          </w:tcPr>
          <w:p w:rsidR="00083F18" w:rsidRPr="00070237" w:rsidRDefault="00083F18" w:rsidP="008E69DD">
            <w:pPr>
              <w:spacing w:after="240"/>
              <w:rPr>
                <w:rFonts w:eastAsia="Times New Roman"/>
                <w:sz w:val="20"/>
              </w:rPr>
            </w:pPr>
            <w:r w:rsidRPr="00070237">
              <w:rPr>
                <w:rFonts w:eastAsia="Times New Roman"/>
                <w:sz w:val="20"/>
              </w:rPr>
              <w:t>PA 3</w:t>
            </w:r>
          </w:p>
        </w:tc>
        <w:tc>
          <w:tcPr>
            <w:tcW w:w="2693" w:type="dxa"/>
            <w:shd w:val="clear" w:color="auto" w:fill="auto"/>
          </w:tcPr>
          <w:p w:rsidR="00083F18" w:rsidRPr="00070237" w:rsidRDefault="00083F18" w:rsidP="00B8035B">
            <w:pPr>
              <w:suppressAutoHyphens/>
              <w:spacing w:after="0"/>
              <w:rPr>
                <w:rFonts w:eastAsia="Times New Roman"/>
                <w:sz w:val="20"/>
              </w:rPr>
            </w:pPr>
            <w:r w:rsidRPr="00070237">
              <w:rPr>
                <w:rFonts w:eastAsia="Times New Roman"/>
                <w:sz w:val="20"/>
              </w:rPr>
              <w:t>03 Rural areas (thinly populated)</w:t>
            </w:r>
          </w:p>
        </w:tc>
        <w:tc>
          <w:tcPr>
            <w:tcW w:w="2977" w:type="dxa"/>
            <w:shd w:val="clear" w:color="auto" w:fill="auto"/>
          </w:tcPr>
          <w:p w:rsidR="00083F18" w:rsidRPr="00070237" w:rsidRDefault="00083F18" w:rsidP="00123D0A">
            <w:pPr>
              <w:spacing w:after="240"/>
              <w:jc w:val="left"/>
              <w:rPr>
                <w:rFonts w:eastAsia="Times New Roman"/>
                <w:sz w:val="20"/>
              </w:rPr>
            </w:pPr>
            <w:r w:rsidRPr="00070237">
              <w:rPr>
                <w:rFonts w:eastAsia="Times New Roman"/>
                <w:sz w:val="20"/>
              </w:rPr>
              <w:t>5.715.531,60</w:t>
            </w:r>
          </w:p>
        </w:tc>
      </w:tr>
    </w:tbl>
    <w:p w:rsidR="002701C9" w:rsidRDefault="002701C9" w:rsidP="002701C9">
      <w:pPr>
        <w:suppressAutoHyphens/>
        <w:spacing w:after="240"/>
        <w:rPr>
          <w:rFonts w:eastAsia="Times New Roman"/>
          <w:b/>
          <w:szCs w:val="24"/>
        </w:rPr>
      </w:pPr>
    </w:p>
    <w:p w:rsidR="000655FA" w:rsidRDefault="000655FA" w:rsidP="002701C9">
      <w:pPr>
        <w:suppressAutoHyphens/>
        <w:spacing w:after="240"/>
        <w:rPr>
          <w:rFonts w:eastAsia="Times New Roman"/>
          <w:b/>
          <w:szCs w:val="24"/>
        </w:rPr>
      </w:pPr>
    </w:p>
    <w:p w:rsidR="000655FA" w:rsidRDefault="000655FA" w:rsidP="002701C9">
      <w:pPr>
        <w:suppressAutoHyphens/>
        <w:spacing w:after="240"/>
        <w:rPr>
          <w:rFonts w:eastAsia="Times New Roman"/>
          <w:b/>
          <w:szCs w:val="24"/>
        </w:rPr>
      </w:pPr>
    </w:p>
    <w:p w:rsidR="000655FA" w:rsidRPr="00B76110" w:rsidRDefault="000655FA" w:rsidP="002701C9">
      <w:pPr>
        <w:suppressAutoHyphens/>
        <w:spacing w:after="240"/>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701C9" w:rsidRPr="00070237" w:rsidTr="002701C9">
        <w:trPr>
          <w:trHeight w:val="364"/>
        </w:trPr>
        <w:tc>
          <w:tcPr>
            <w:tcW w:w="8472" w:type="dxa"/>
            <w:gridSpan w:val="3"/>
            <w:shd w:val="clear" w:color="auto" w:fill="auto"/>
          </w:tcPr>
          <w:p w:rsidR="002701C9" w:rsidRPr="00070237" w:rsidRDefault="002701C9" w:rsidP="002701C9">
            <w:pPr>
              <w:autoSpaceDE w:val="0"/>
              <w:autoSpaceDN w:val="0"/>
              <w:adjustRightInd w:val="0"/>
              <w:spacing w:after="0"/>
              <w:rPr>
                <w:rFonts w:eastAsia="Times New Roman"/>
                <w:b/>
                <w:color w:val="000000"/>
                <w:sz w:val="20"/>
              </w:rPr>
            </w:pPr>
            <w:r w:rsidRPr="00070237">
              <w:rPr>
                <w:rFonts w:eastAsia="Times New Roman"/>
                <w:b/>
                <w:bCs/>
                <w:color w:val="000000"/>
                <w:sz w:val="20"/>
              </w:rPr>
              <w:t xml:space="preserve">Table 8: Dimension 6 </w:t>
            </w:r>
            <w:r w:rsidRPr="00070237">
              <w:rPr>
                <w:rFonts w:eastAsia="Times New Roman"/>
                <w:b/>
                <w:color w:val="000000"/>
                <w:sz w:val="20"/>
              </w:rPr>
              <w:t>Territorial delivery mechanisms</w:t>
            </w:r>
          </w:p>
        </w:tc>
      </w:tr>
      <w:tr w:rsidR="002701C9" w:rsidRPr="00070237" w:rsidTr="002701C9">
        <w:trPr>
          <w:trHeight w:val="267"/>
        </w:trPr>
        <w:tc>
          <w:tcPr>
            <w:tcW w:w="2802" w:type="dxa"/>
            <w:shd w:val="clear" w:color="auto" w:fill="auto"/>
          </w:tcPr>
          <w:p w:rsidR="002701C9" w:rsidRPr="00070237" w:rsidRDefault="002701C9" w:rsidP="002701C9">
            <w:pPr>
              <w:spacing w:after="240"/>
              <w:jc w:val="center"/>
              <w:rPr>
                <w:rFonts w:eastAsia="Times New Roman"/>
                <w:b/>
                <w:sz w:val="20"/>
              </w:rPr>
            </w:pPr>
            <w:r w:rsidRPr="00070237">
              <w:rPr>
                <w:rFonts w:eastAsia="Times New Roman"/>
                <w:b/>
                <w:sz w:val="20"/>
              </w:rPr>
              <w:t>Priority axis</w:t>
            </w:r>
          </w:p>
        </w:tc>
        <w:tc>
          <w:tcPr>
            <w:tcW w:w="2693" w:type="dxa"/>
            <w:shd w:val="clear" w:color="auto" w:fill="auto"/>
          </w:tcPr>
          <w:p w:rsidR="002701C9" w:rsidRPr="00070237" w:rsidRDefault="002701C9" w:rsidP="002701C9">
            <w:pPr>
              <w:spacing w:after="240"/>
              <w:jc w:val="center"/>
              <w:rPr>
                <w:rFonts w:eastAsia="Times New Roman"/>
                <w:sz w:val="20"/>
              </w:rPr>
            </w:pPr>
            <w:r w:rsidRPr="00070237">
              <w:rPr>
                <w:rFonts w:eastAsia="Times New Roman"/>
                <w:b/>
                <w:sz w:val="20"/>
              </w:rPr>
              <w:t>Code</w:t>
            </w:r>
          </w:p>
        </w:tc>
        <w:tc>
          <w:tcPr>
            <w:tcW w:w="2977" w:type="dxa"/>
            <w:shd w:val="clear" w:color="auto" w:fill="auto"/>
          </w:tcPr>
          <w:p w:rsidR="002701C9" w:rsidRPr="00070237" w:rsidRDefault="002701C9" w:rsidP="002701C9">
            <w:pPr>
              <w:spacing w:after="240"/>
              <w:jc w:val="center"/>
              <w:rPr>
                <w:rFonts w:eastAsia="Times New Roman"/>
                <w:sz w:val="20"/>
              </w:rPr>
            </w:pPr>
            <w:r w:rsidRPr="00070237">
              <w:rPr>
                <w:b/>
                <w:sz w:val="20"/>
              </w:rPr>
              <w:t>Amount (EUR)</w:t>
            </w:r>
          </w:p>
        </w:tc>
      </w:tr>
      <w:tr w:rsidR="002701C9" w:rsidRPr="00070237" w:rsidTr="002701C9">
        <w:tc>
          <w:tcPr>
            <w:tcW w:w="2802" w:type="dxa"/>
            <w:shd w:val="clear" w:color="auto" w:fill="auto"/>
          </w:tcPr>
          <w:p w:rsidR="002701C9" w:rsidRPr="00070237" w:rsidRDefault="002701C9" w:rsidP="008E69DD">
            <w:pPr>
              <w:spacing w:after="240"/>
              <w:rPr>
                <w:rFonts w:eastAsia="Times New Roman"/>
                <w:sz w:val="20"/>
              </w:rPr>
            </w:pPr>
            <w:r w:rsidRPr="00070237">
              <w:rPr>
                <w:rFonts w:eastAsia="Times New Roman"/>
                <w:sz w:val="20"/>
              </w:rPr>
              <w:t xml:space="preserve">PA </w:t>
            </w:r>
            <w:r w:rsidR="008E69DD" w:rsidRPr="00070237">
              <w:rPr>
                <w:rFonts w:eastAsia="Times New Roman"/>
                <w:sz w:val="20"/>
              </w:rPr>
              <w:t>3</w:t>
            </w:r>
          </w:p>
        </w:tc>
        <w:tc>
          <w:tcPr>
            <w:tcW w:w="2693" w:type="dxa"/>
            <w:shd w:val="clear" w:color="auto" w:fill="auto"/>
          </w:tcPr>
          <w:p w:rsidR="002701C9" w:rsidRPr="00070237" w:rsidRDefault="002701C9" w:rsidP="002701C9">
            <w:pPr>
              <w:spacing w:after="0"/>
              <w:rPr>
                <w:rFonts w:eastAsia="Times New Roman"/>
                <w:sz w:val="20"/>
              </w:rPr>
            </w:pPr>
            <w:r w:rsidRPr="00070237">
              <w:rPr>
                <w:rFonts w:eastAsia="Times New Roman"/>
                <w:sz w:val="20"/>
              </w:rPr>
              <w:t>07 Not applicable</w:t>
            </w:r>
          </w:p>
        </w:tc>
        <w:tc>
          <w:tcPr>
            <w:tcW w:w="2977" w:type="dxa"/>
            <w:shd w:val="clear" w:color="auto" w:fill="auto"/>
          </w:tcPr>
          <w:p w:rsidR="002701C9" w:rsidRPr="00070237" w:rsidRDefault="002701C9" w:rsidP="002701C9">
            <w:pPr>
              <w:spacing w:after="240"/>
              <w:jc w:val="right"/>
              <w:rPr>
                <w:rFonts w:eastAsia="Times New Roman"/>
                <w:sz w:val="20"/>
              </w:rPr>
            </w:pPr>
          </w:p>
        </w:tc>
      </w:tr>
    </w:tbl>
    <w:p w:rsidR="002701C9" w:rsidRDefault="002701C9" w:rsidP="002701C9">
      <w:pPr>
        <w:spacing w:after="240"/>
        <w:ind w:left="709" w:hanging="709"/>
        <w:rPr>
          <w:rFonts w:eastAsia="Times New Roman"/>
          <w:b/>
        </w:rPr>
      </w:pPr>
    </w:p>
    <w:p w:rsidR="002701C9" w:rsidRPr="00567F19" w:rsidRDefault="002701C9" w:rsidP="002701C9">
      <w:pPr>
        <w:spacing w:after="240"/>
        <w:ind w:left="709" w:hanging="709"/>
      </w:pPr>
      <w:r w:rsidRPr="00B76110">
        <w:rPr>
          <w:rFonts w:eastAsia="Times New Roman"/>
          <w:b/>
        </w:rPr>
        <w:t>2.</w:t>
      </w:r>
      <w:r w:rsidR="008E69DD">
        <w:rPr>
          <w:rFonts w:eastAsia="Times New Roman"/>
          <w:b/>
        </w:rPr>
        <w:t>3</w:t>
      </w:r>
      <w:r w:rsidRPr="00B76110">
        <w:rPr>
          <w:rFonts w:eastAsia="Times New Roman"/>
          <w:b/>
        </w:rPr>
        <w:t>.</w:t>
      </w:r>
      <w:r>
        <w:rPr>
          <w:rFonts w:eastAsia="Times New Roman"/>
          <w:b/>
        </w:rPr>
        <w:t>8</w:t>
      </w:r>
      <w:r w:rsidRPr="00B76110">
        <w:rPr>
          <w:rFonts w:eastAsia="Times New Roman"/>
          <w:b/>
        </w:rPr>
        <w:t xml:space="preserve">. A summary of the planned use of technical assistance including, where necessary, actions to reinforce the administrative capacity of authorities involved in the management and control of the programmes and beneficiaries and, where necessary, actions for </w:t>
      </w:r>
      <w:r>
        <w:rPr>
          <w:rFonts w:eastAsia="Times New Roman"/>
          <w:b/>
        </w:rPr>
        <w:t xml:space="preserve">to enhance </w:t>
      </w:r>
      <w:r w:rsidRPr="00B76110">
        <w:rPr>
          <w:rFonts w:eastAsia="Times New Roman"/>
          <w:b/>
        </w:rPr>
        <w:t xml:space="preserve">the administrative capacity of relevant partners to participate in the implementation of programmes </w:t>
      </w:r>
      <w:r>
        <w:t xml:space="preserve"> </w:t>
      </w:r>
      <w:r w:rsidRPr="00567F19">
        <w:t>(where appropriate)</w:t>
      </w:r>
    </w:p>
    <w:p w:rsidR="002701C9" w:rsidRPr="00567F19" w:rsidRDefault="002701C9" w:rsidP="002701C9">
      <w:r w:rsidRPr="00567F19">
        <w:t xml:space="preserve">(Reference: </w:t>
      </w:r>
      <w:r>
        <w:t xml:space="preserve">point (b)(vi) of </w:t>
      </w:r>
      <w:r w:rsidRPr="00567F19">
        <w:t>Article 8(2) of Regulation (EU) No 1299/2013)</w:t>
      </w:r>
    </w:p>
    <w:p w:rsidR="002701C9" w:rsidRPr="00FA3CE3" w:rsidRDefault="002701C9" w:rsidP="002701C9">
      <w:pPr>
        <w:spacing w:after="240"/>
        <w:rPr>
          <w:rFonts w:eastAsia="Times New Roman"/>
          <w:b/>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2701C9" w:rsidRPr="00B76110" w:rsidTr="002701C9">
        <w:trPr>
          <w:trHeight w:val="518"/>
        </w:trPr>
        <w:tc>
          <w:tcPr>
            <w:tcW w:w="2235" w:type="dxa"/>
            <w:shd w:val="clear" w:color="auto" w:fill="auto"/>
          </w:tcPr>
          <w:p w:rsidR="002701C9" w:rsidRPr="00B76110" w:rsidRDefault="002701C9" w:rsidP="002701C9">
            <w:pPr>
              <w:spacing w:after="240"/>
              <w:rPr>
                <w:rFonts w:eastAsia="Times New Roman"/>
                <w:i/>
                <w:color w:val="8DB3E2"/>
                <w:sz w:val="18"/>
                <w:szCs w:val="18"/>
              </w:rPr>
            </w:pPr>
            <w:r>
              <w:rPr>
                <w:rFonts w:eastAsia="Times New Roman"/>
                <w:i/>
              </w:rPr>
              <w:t>Priority axis</w:t>
            </w:r>
          </w:p>
        </w:tc>
        <w:tc>
          <w:tcPr>
            <w:tcW w:w="6443" w:type="dxa"/>
            <w:shd w:val="clear" w:color="auto" w:fill="auto"/>
          </w:tcPr>
          <w:p w:rsidR="002701C9" w:rsidRPr="009378A6" w:rsidRDefault="002701C9" w:rsidP="008E69DD">
            <w:pPr>
              <w:spacing w:after="240"/>
              <w:rPr>
                <w:rFonts w:eastAsia="Times New Roman"/>
                <w:color w:val="8DB3E2"/>
                <w:szCs w:val="24"/>
              </w:rPr>
            </w:pPr>
            <w:r>
              <w:rPr>
                <w:rFonts w:eastAsia="Times New Roman"/>
                <w:szCs w:val="24"/>
              </w:rPr>
              <w:t xml:space="preserve">PA </w:t>
            </w:r>
            <w:r w:rsidR="008E69DD">
              <w:rPr>
                <w:rFonts w:eastAsia="Times New Roman"/>
                <w:szCs w:val="24"/>
              </w:rPr>
              <w:t>3</w:t>
            </w:r>
          </w:p>
        </w:tc>
      </w:tr>
      <w:tr w:rsidR="002701C9" w:rsidRPr="00B76110" w:rsidTr="002701C9">
        <w:trPr>
          <w:trHeight w:val="467"/>
        </w:trPr>
        <w:tc>
          <w:tcPr>
            <w:tcW w:w="8678" w:type="dxa"/>
            <w:gridSpan w:val="2"/>
            <w:shd w:val="clear" w:color="auto" w:fill="auto"/>
          </w:tcPr>
          <w:p w:rsidR="002701C9" w:rsidRPr="009378A6" w:rsidRDefault="002701C9" w:rsidP="002701C9">
            <w:pPr>
              <w:spacing w:after="240"/>
              <w:rPr>
                <w:rFonts w:eastAsia="Times New Roman"/>
                <w:szCs w:val="24"/>
              </w:rPr>
            </w:pPr>
            <w:r>
              <w:rPr>
                <w:rFonts w:eastAsia="Times New Roman"/>
                <w:szCs w:val="24"/>
              </w:rPr>
              <w:t>N/A</w:t>
            </w:r>
          </w:p>
        </w:tc>
      </w:tr>
    </w:tbl>
    <w:p w:rsidR="002701C9" w:rsidRDefault="002701C9" w:rsidP="002701C9">
      <w:pPr>
        <w:ind w:left="709" w:hanging="709"/>
      </w:pPr>
    </w:p>
    <w:p w:rsidR="002701C9" w:rsidRDefault="002701C9" w:rsidP="002701C9">
      <w:pPr>
        <w:ind w:left="709" w:hanging="709"/>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8C7FB0" w:rsidRDefault="008C7FB0" w:rsidP="00F10141">
      <w:pPr>
        <w:rPr>
          <w:b/>
        </w:rPr>
      </w:pPr>
    </w:p>
    <w:p w:rsidR="00487D34" w:rsidRDefault="00487D34" w:rsidP="00487D34">
      <w:pPr>
        <w:spacing w:after="240"/>
        <w:rPr>
          <w:rFonts w:eastAsia="Times New Roman"/>
        </w:rPr>
      </w:pPr>
      <w:r>
        <w:rPr>
          <w:rFonts w:eastAsia="Times New Roman"/>
          <w:b/>
        </w:rPr>
        <w:t>2.</w:t>
      </w:r>
      <w:r w:rsidR="00442311">
        <w:rPr>
          <w:rFonts w:eastAsia="Times New Roman"/>
          <w:b/>
        </w:rPr>
        <w:t>4</w:t>
      </w:r>
      <w:r w:rsidR="00070237">
        <w:rPr>
          <w:rFonts w:eastAsia="Times New Roman"/>
          <w:b/>
        </w:rPr>
        <w:t>.1 Description of P</w:t>
      </w:r>
      <w:r>
        <w:rPr>
          <w:rFonts w:eastAsia="Times New Roman"/>
          <w:b/>
        </w:rPr>
        <w:t>riority axis</w:t>
      </w:r>
      <w:r w:rsidRPr="00B76110">
        <w:rPr>
          <w:rFonts w:eastAsia="Times New Roman"/>
          <w:b/>
        </w:rPr>
        <w:t xml:space="preserve"> </w:t>
      </w:r>
      <w:r>
        <w:rPr>
          <w:rFonts w:eastAsia="Times New Roman"/>
          <w:b/>
        </w:rPr>
        <w:t xml:space="preserve">4  </w: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29"/>
      </w:tblGrid>
      <w:tr w:rsidR="00487D34" w:rsidRPr="00CD6BE3" w:rsidTr="00070237">
        <w:trPr>
          <w:trHeight w:val="491"/>
        </w:trPr>
        <w:tc>
          <w:tcPr>
            <w:tcW w:w="3510" w:type="dxa"/>
            <w:shd w:val="clear" w:color="auto" w:fill="auto"/>
          </w:tcPr>
          <w:p w:rsidR="00487D34" w:rsidRPr="00B76110" w:rsidRDefault="00487D34" w:rsidP="00E354EE">
            <w:pPr>
              <w:spacing w:after="240"/>
              <w:rPr>
                <w:rFonts w:eastAsia="Times New Roman"/>
                <w:i/>
              </w:rPr>
            </w:pPr>
            <w:r w:rsidRPr="00B76110">
              <w:rPr>
                <w:rFonts w:eastAsia="Times New Roman"/>
                <w:i/>
              </w:rPr>
              <w:t>ID</w:t>
            </w:r>
            <w:r>
              <w:rPr>
                <w:rFonts w:eastAsia="Times New Roman"/>
                <w:i/>
              </w:rPr>
              <w:t xml:space="preserve"> of the priority axis</w:t>
            </w:r>
          </w:p>
        </w:tc>
        <w:tc>
          <w:tcPr>
            <w:tcW w:w="5529" w:type="dxa"/>
            <w:shd w:val="clear" w:color="auto" w:fill="auto"/>
          </w:tcPr>
          <w:p w:rsidR="00487D34" w:rsidRPr="00B66D0E" w:rsidRDefault="00487D34" w:rsidP="001109EE">
            <w:pPr>
              <w:spacing w:after="240"/>
              <w:rPr>
                <w:rFonts w:eastAsia="Times New Roman"/>
                <w:color w:val="8DB3E2"/>
                <w:szCs w:val="24"/>
                <w:lang w:val="nb-NO"/>
              </w:rPr>
            </w:pPr>
            <w:r>
              <w:rPr>
                <w:rFonts w:eastAsia="Times New Roman"/>
                <w:szCs w:val="24"/>
                <w:lang w:val="nb-NO"/>
              </w:rPr>
              <w:t xml:space="preserve">PA </w:t>
            </w:r>
            <w:r w:rsidR="001109EE">
              <w:rPr>
                <w:rFonts w:eastAsia="Times New Roman"/>
                <w:szCs w:val="24"/>
                <w:lang w:val="nb-NO"/>
              </w:rPr>
              <w:t>4</w:t>
            </w:r>
          </w:p>
        </w:tc>
      </w:tr>
      <w:tr w:rsidR="00487D34" w:rsidRPr="00B76110" w:rsidTr="00070237">
        <w:trPr>
          <w:trHeight w:val="422"/>
        </w:trPr>
        <w:tc>
          <w:tcPr>
            <w:tcW w:w="3510" w:type="dxa"/>
            <w:shd w:val="clear" w:color="auto" w:fill="auto"/>
          </w:tcPr>
          <w:p w:rsidR="00487D34" w:rsidRPr="00B76110" w:rsidRDefault="00487D34" w:rsidP="00E354EE">
            <w:pPr>
              <w:spacing w:after="240"/>
              <w:rPr>
                <w:rFonts w:eastAsia="Times New Roman"/>
                <w:i/>
              </w:rPr>
            </w:pPr>
            <w:r w:rsidRPr="00B76110">
              <w:rPr>
                <w:rFonts w:eastAsia="Times New Roman"/>
                <w:i/>
              </w:rPr>
              <w:t>Title</w:t>
            </w:r>
            <w:r>
              <w:rPr>
                <w:rFonts w:eastAsia="Times New Roman"/>
                <w:i/>
              </w:rPr>
              <w:t xml:space="preserve"> of the priority axis </w:t>
            </w:r>
          </w:p>
        </w:tc>
        <w:tc>
          <w:tcPr>
            <w:tcW w:w="5529" w:type="dxa"/>
            <w:shd w:val="clear" w:color="auto" w:fill="auto"/>
          </w:tcPr>
          <w:p w:rsidR="00487D34" w:rsidRPr="00047352" w:rsidRDefault="00CF3112" w:rsidP="00E354EE">
            <w:pPr>
              <w:spacing w:after="0"/>
              <w:rPr>
                <w:rFonts w:eastAsia="Times New Roman"/>
                <w:b/>
                <w:szCs w:val="24"/>
              </w:rPr>
            </w:pPr>
            <w:r w:rsidRPr="00047352">
              <w:rPr>
                <w:rFonts w:eastAsia="Times New Roman"/>
                <w:b/>
                <w:szCs w:val="24"/>
              </w:rPr>
              <w:t>Enhancing competitiveness and developing business environment in the programme area</w:t>
            </w:r>
          </w:p>
        </w:tc>
      </w:tr>
    </w:tbl>
    <w:p w:rsidR="00487D34" w:rsidRDefault="00487D34" w:rsidP="00487D34">
      <w:pPr>
        <w:keepNext/>
        <w:spacing w:before="360" w:after="240"/>
        <w:outlineLvl w:val="0"/>
        <w:rPr>
          <w:b/>
        </w:rPr>
      </w:pPr>
    </w:p>
    <w:p w:rsidR="00487D34" w:rsidRDefault="00487D34" w:rsidP="00487D34">
      <w:pPr>
        <w:keepNext/>
        <w:spacing w:before="360" w:after="240"/>
        <w:outlineLvl w:val="0"/>
        <w:rPr>
          <w:b/>
        </w:rPr>
      </w:pPr>
    </w:p>
    <w:tbl>
      <w:tblPr>
        <w:tblpPr w:leftFromText="180" w:rightFromText="180" w:vertAnchor="text" w:horzAnchor="margin" w:tblpX="108" w:tblpY="1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053"/>
      </w:tblGrid>
      <w:tr w:rsidR="00487D34" w:rsidRPr="00B76110" w:rsidTr="00070237">
        <w:tc>
          <w:tcPr>
            <w:tcW w:w="4878" w:type="dxa"/>
            <w:shd w:val="clear" w:color="auto" w:fill="auto"/>
          </w:tcPr>
          <w:p w:rsidR="00487D34" w:rsidRPr="002E0699" w:rsidRDefault="00487D34" w:rsidP="00070237">
            <w:pPr>
              <w:spacing w:after="240"/>
              <w:ind w:left="480" w:hanging="480"/>
              <w:rPr>
                <w:rFonts w:eastAsia="Times New Roman"/>
              </w:rPr>
            </w:pPr>
            <w:r w:rsidRPr="00C25270">
              <w:rPr>
                <w:rFonts w:eastAsia="Times New Roman"/>
              </w:rPr>
              <w:fldChar w:fldCharType="begin">
                <w:ffData>
                  <w:name w:val="Check1"/>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The entire priority axis will be implemented solely through financial instruments</w:t>
            </w:r>
          </w:p>
        </w:tc>
        <w:tc>
          <w:tcPr>
            <w:tcW w:w="4053" w:type="dxa"/>
            <w:shd w:val="clear" w:color="auto" w:fill="auto"/>
          </w:tcPr>
          <w:p w:rsidR="00487D34" w:rsidRPr="00B76110" w:rsidRDefault="00487D34" w:rsidP="00070237">
            <w:pPr>
              <w:tabs>
                <w:tab w:val="left" w:pos="2302"/>
              </w:tabs>
              <w:spacing w:after="240"/>
              <w:rPr>
                <w:rFonts w:eastAsia="Times New Roman"/>
              </w:rPr>
            </w:pPr>
          </w:p>
        </w:tc>
      </w:tr>
      <w:tr w:rsidR="00487D34" w:rsidRPr="00B76110" w:rsidTr="00070237">
        <w:tc>
          <w:tcPr>
            <w:tcW w:w="4878" w:type="dxa"/>
            <w:shd w:val="clear" w:color="auto" w:fill="auto"/>
          </w:tcPr>
          <w:p w:rsidR="00487D34" w:rsidRPr="002E0699" w:rsidRDefault="00487D34" w:rsidP="00070237">
            <w:pPr>
              <w:tabs>
                <w:tab w:val="left" w:pos="2302"/>
              </w:tabs>
              <w:spacing w:after="240"/>
              <w:ind w:left="480" w:hanging="480"/>
              <w:rPr>
                <w:rFonts w:eastAsia="Times New Roman"/>
              </w:rPr>
            </w:pPr>
            <w:r w:rsidRPr="00C25270">
              <w:rPr>
                <w:rFonts w:eastAsia="Times New Roman"/>
              </w:rPr>
              <w:fldChar w:fldCharType="begin">
                <w:ffData>
                  <w:name w:val="Check2"/>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The entire priority axis will be implemented solely though financial instruments set up at Union level</w:t>
            </w:r>
          </w:p>
        </w:tc>
        <w:tc>
          <w:tcPr>
            <w:tcW w:w="4053" w:type="dxa"/>
            <w:shd w:val="clear" w:color="auto" w:fill="auto"/>
          </w:tcPr>
          <w:p w:rsidR="00487D34" w:rsidRPr="00B76110" w:rsidRDefault="00487D34" w:rsidP="00070237">
            <w:pPr>
              <w:tabs>
                <w:tab w:val="left" w:pos="2302"/>
              </w:tabs>
              <w:spacing w:after="240"/>
              <w:rPr>
                <w:rFonts w:eastAsia="Times New Roman"/>
              </w:rPr>
            </w:pPr>
          </w:p>
        </w:tc>
      </w:tr>
      <w:tr w:rsidR="00487D34" w:rsidRPr="00B76110" w:rsidTr="00070237">
        <w:tc>
          <w:tcPr>
            <w:tcW w:w="4878" w:type="dxa"/>
            <w:shd w:val="clear" w:color="auto" w:fill="auto"/>
          </w:tcPr>
          <w:p w:rsidR="00487D34" w:rsidRPr="002E0699" w:rsidRDefault="00487D34" w:rsidP="00070237">
            <w:pPr>
              <w:tabs>
                <w:tab w:val="left" w:pos="2302"/>
              </w:tabs>
              <w:spacing w:after="240"/>
              <w:ind w:left="480" w:hanging="480"/>
              <w:rPr>
                <w:rFonts w:eastAsia="Times New Roman"/>
              </w:rPr>
            </w:pPr>
            <w:r w:rsidRPr="00C25270">
              <w:rPr>
                <w:rFonts w:eastAsia="Times New Roman"/>
              </w:rPr>
              <w:fldChar w:fldCharType="begin">
                <w:ffData>
                  <w:name w:val="Check3"/>
                  <w:enabled/>
                  <w:calcOnExit w:val="0"/>
                  <w:checkBox>
                    <w:sizeAuto/>
                    <w:default w:val="0"/>
                  </w:checkBox>
                </w:ffData>
              </w:fldChar>
            </w:r>
            <w:r w:rsidRPr="00C25270">
              <w:rPr>
                <w:rFonts w:eastAsia="Times New Roman"/>
              </w:rPr>
              <w:instrText xml:space="preserve"> FORMCHECKBOX </w:instrText>
            </w:r>
            <w:r w:rsidRPr="00C25270">
              <w:rPr>
                <w:rFonts w:eastAsia="Times New Roman"/>
              </w:rPr>
            </w:r>
            <w:r w:rsidRPr="00C25270">
              <w:rPr>
                <w:rFonts w:eastAsia="Times New Roman"/>
              </w:rPr>
              <w:fldChar w:fldCharType="end"/>
            </w:r>
            <w:r w:rsidRPr="002E0699">
              <w:rPr>
                <w:rFonts w:eastAsia="Times New Roman"/>
              </w:rPr>
              <w:tab/>
              <w:t xml:space="preserve">The entire priority axis will be implemented through community-led local development </w:t>
            </w:r>
          </w:p>
        </w:tc>
        <w:tc>
          <w:tcPr>
            <w:tcW w:w="4053" w:type="dxa"/>
            <w:shd w:val="clear" w:color="auto" w:fill="auto"/>
          </w:tcPr>
          <w:p w:rsidR="00487D34" w:rsidRPr="00B76110" w:rsidRDefault="00487D34" w:rsidP="00070237">
            <w:pPr>
              <w:tabs>
                <w:tab w:val="left" w:pos="2302"/>
              </w:tabs>
              <w:spacing w:after="240"/>
              <w:rPr>
                <w:rFonts w:eastAsia="Times New Roman"/>
              </w:rPr>
            </w:pPr>
          </w:p>
        </w:tc>
      </w:tr>
    </w:tbl>
    <w:p w:rsidR="00487D34" w:rsidRDefault="00487D34" w:rsidP="00487D34">
      <w:pPr>
        <w:spacing w:after="240"/>
        <w:rPr>
          <w:b/>
        </w:rPr>
      </w:pPr>
    </w:p>
    <w:p w:rsidR="00487D34" w:rsidRPr="00B76110" w:rsidRDefault="00487D34" w:rsidP="00487D34">
      <w:pPr>
        <w:spacing w:after="240"/>
        <w:rPr>
          <w:rFonts w:eastAsia="Times New Roman"/>
          <w:b/>
        </w:rPr>
      </w:pPr>
    </w:p>
    <w:p w:rsidR="00487D34" w:rsidRDefault="00487D34" w:rsidP="00487D34">
      <w:pPr>
        <w:rPr>
          <w:b/>
        </w:rPr>
      </w:pPr>
    </w:p>
    <w:p w:rsidR="00487D34" w:rsidRPr="00B76110" w:rsidRDefault="00487D34" w:rsidP="00487D34">
      <w:pPr>
        <w:rPr>
          <w:b/>
        </w:rPr>
      </w:pPr>
      <w:r>
        <w:rPr>
          <w:b/>
        </w:rPr>
        <w:t>2.</w:t>
      </w:r>
      <w:r w:rsidR="00442311">
        <w:rPr>
          <w:b/>
        </w:rPr>
        <w:t>4</w:t>
      </w:r>
      <w:r>
        <w:rPr>
          <w:b/>
        </w:rPr>
        <w:t>.2 Fund, c</w:t>
      </w:r>
      <w:r w:rsidRPr="00B76110">
        <w:rPr>
          <w:b/>
        </w:rPr>
        <w:t>alculation basis for Union support</w:t>
      </w:r>
      <w:r>
        <w:rPr>
          <w:b/>
        </w:rPr>
        <w:t xml:space="preserve"> and justification of the calculation basis choice</w:t>
      </w:r>
    </w:p>
    <w:p w:rsidR="00487D34" w:rsidRPr="00B76110" w:rsidRDefault="00487D34" w:rsidP="00487D3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140"/>
      </w:tblGrid>
      <w:tr w:rsidR="00487D34" w:rsidRPr="00B76110" w:rsidTr="00070237">
        <w:trPr>
          <w:jc w:val="center"/>
        </w:trPr>
        <w:tc>
          <w:tcPr>
            <w:tcW w:w="4820" w:type="dxa"/>
            <w:shd w:val="clear" w:color="auto" w:fill="auto"/>
          </w:tcPr>
          <w:p w:rsidR="00487D34" w:rsidRPr="00B76110" w:rsidRDefault="00487D34" w:rsidP="00E354EE">
            <w:pPr>
              <w:spacing w:after="240"/>
              <w:rPr>
                <w:rFonts w:eastAsia="Times New Roman"/>
                <w:i/>
              </w:rPr>
            </w:pPr>
            <w:r>
              <w:rPr>
                <w:rFonts w:eastAsia="Times New Roman"/>
                <w:i/>
              </w:rPr>
              <w:t>Fund</w:t>
            </w:r>
          </w:p>
        </w:tc>
        <w:tc>
          <w:tcPr>
            <w:tcW w:w="4140" w:type="dxa"/>
            <w:shd w:val="clear" w:color="auto" w:fill="auto"/>
          </w:tcPr>
          <w:p w:rsidR="00487D34" w:rsidRPr="008D693C" w:rsidRDefault="00487D34" w:rsidP="00E354EE">
            <w:pPr>
              <w:spacing w:after="240"/>
              <w:rPr>
                <w:rFonts w:eastAsia="Times New Roman"/>
                <w:szCs w:val="24"/>
              </w:rPr>
            </w:pPr>
            <w:r>
              <w:rPr>
                <w:rFonts w:eastAsia="Times New Roman"/>
                <w:szCs w:val="24"/>
              </w:rPr>
              <w:t>IPA</w:t>
            </w:r>
          </w:p>
        </w:tc>
      </w:tr>
      <w:tr w:rsidR="00487D34" w:rsidRPr="00B76110" w:rsidTr="00070237">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87D34" w:rsidRPr="00B76110" w:rsidRDefault="00487D34" w:rsidP="00E354EE">
            <w:pPr>
              <w:spacing w:after="240"/>
              <w:rPr>
                <w:rFonts w:eastAsia="Times New Roman"/>
                <w:i/>
              </w:rPr>
            </w:pPr>
            <w:r w:rsidRPr="00B76110">
              <w:rPr>
                <w:rFonts w:eastAsia="Times New Roman"/>
                <w:i/>
              </w:rPr>
              <w:t xml:space="preserve">Calculation </w:t>
            </w:r>
            <w:r>
              <w:rPr>
                <w:rFonts w:eastAsia="Times New Roman"/>
                <w:i/>
              </w:rPr>
              <w:t>b</w:t>
            </w:r>
            <w:r w:rsidRPr="00B76110">
              <w:rPr>
                <w:rFonts w:eastAsia="Times New Roman"/>
                <w:i/>
              </w:rPr>
              <w:t>asis (total</w:t>
            </w:r>
            <w:r>
              <w:rPr>
                <w:rFonts w:eastAsia="Times New Roman"/>
                <w:i/>
              </w:rPr>
              <w:t xml:space="preserve"> eligible expenditure or public eligible expenditure</w:t>
            </w:r>
            <w:r w:rsidRPr="00B76110">
              <w:rPr>
                <w:rFonts w:eastAsia="Times New Roman"/>
                <w:i/>
              </w:rPr>
              <w:t>)</w:t>
            </w:r>
            <w:r w:rsidRPr="00B76110" w:rsidDel="00252DD5">
              <w:rPr>
                <w:rFonts w:eastAsia="Times New Roman"/>
                <w:i/>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87D34" w:rsidRPr="008D693C" w:rsidRDefault="00487D34" w:rsidP="00E354EE">
            <w:pPr>
              <w:spacing w:after="240"/>
              <w:rPr>
                <w:rFonts w:eastAsia="Times New Roman"/>
                <w:szCs w:val="24"/>
              </w:rPr>
            </w:pPr>
            <w:r>
              <w:rPr>
                <w:rFonts w:eastAsia="Times New Roman"/>
                <w:szCs w:val="24"/>
              </w:rPr>
              <w:t>T</w:t>
            </w:r>
            <w:r w:rsidRPr="008D693C">
              <w:rPr>
                <w:rFonts w:eastAsia="Times New Roman"/>
                <w:szCs w:val="24"/>
              </w:rPr>
              <w:t>otal eligible expenditure</w:t>
            </w:r>
          </w:p>
        </w:tc>
      </w:tr>
      <w:tr w:rsidR="00487D34" w:rsidRPr="00B76110" w:rsidTr="00070237">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87D34" w:rsidRDefault="00487D34" w:rsidP="00E354EE">
            <w:pPr>
              <w:spacing w:after="240"/>
              <w:rPr>
                <w:rFonts w:eastAsia="Times New Roman"/>
                <w:i/>
              </w:rPr>
            </w:pPr>
            <w:r>
              <w:rPr>
                <w:rFonts w:eastAsia="Times New Roman"/>
                <w:i/>
              </w:rPr>
              <w:t>J</w:t>
            </w:r>
            <w:r w:rsidRPr="00252DD5">
              <w:rPr>
                <w:rFonts w:eastAsia="Times New Roman"/>
                <w:i/>
              </w:rPr>
              <w:t>ustification of the calculation basis choice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87D34" w:rsidRPr="00B76110" w:rsidRDefault="00487D34" w:rsidP="00E354EE">
            <w:pPr>
              <w:spacing w:after="240"/>
              <w:rPr>
                <w:rFonts w:eastAsia="Times New Roman"/>
                <w:i/>
                <w:color w:val="8DB3E2"/>
                <w:sz w:val="18"/>
                <w:szCs w:val="18"/>
              </w:rPr>
            </w:pPr>
          </w:p>
        </w:tc>
      </w:tr>
    </w:tbl>
    <w:p w:rsidR="00487D34" w:rsidRPr="00B76110" w:rsidRDefault="00487D34" w:rsidP="00487D34">
      <w:pPr>
        <w:spacing w:after="240"/>
        <w:ind w:firstLine="720"/>
        <w:rPr>
          <w:rFonts w:eastAsia="Times New Roman"/>
          <w:b/>
        </w:rPr>
      </w:pPr>
    </w:p>
    <w:p w:rsidR="00487D34" w:rsidRDefault="00487D34" w:rsidP="00487D34">
      <w:pPr>
        <w:spacing w:after="240"/>
        <w:rPr>
          <w:rFonts w:eastAsia="Times New Roman"/>
          <w:b/>
        </w:rPr>
      </w:pPr>
    </w:p>
    <w:p w:rsidR="00487D34" w:rsidRDefault="00487D34" w:rsidP="00487D34">
      <w:pPr>
        <w:spacing w:after="240"/>
        <w:rPr>
          <w:rFonts w:eastAsia="Times New Roman"/>
          <w:b/>
        </w:rPr>
      </w:pPr>
    </w:p>
    <w:p w:rsidR="00487D34" w:rsidRDefault="00487D34" w:rsidP="00487D34">
      <w:pPr>
        <w:spacing w:after="240"/>
        <w:rPr>
          <w:rFonts w:eastAsia="Times New Roman"/>
          <w:b/>
        </w:rPr>
      </w:pPr>
      <w:r w:rsidRPr="00B76110">
        <w:rPr>
          <w:rFonts w:eastAsia="Times New Roman"/>
          <w:b/>
        </w:rPr>
        <w:t>2.</w:t>
      </w:r>
      <w:r w:rsidR="00CD6A27">
        <w:rPr>
          <w:rFonts w:eastAsia="Times New Roman"/>
          <w:b/>
        </w:rPr>
        <w:t>4</w:t>
      </w:r>
      <w:r w:rsidRPr="00B76110">
        <w:rPr>
          <w:rFonts w:eastAsia="Times New Roman"/>
          <w:b/>
        </w:rPr>
        <w:t>.</w:t>
      </w:r>
      <w:r>
        <w:rPr>
          <w:rFonts w:eastAsia="Times New Roman"/>
          <w:b/>
        </w:rPr>
        <w:t>3</w:t>
      </w:r>
      <w:r w:rsidRPr="00B76110">
        <w:rPr>
          <w:rFonts w:eastAsia="Times New Roman"/>
          <w:b/>
        </w:rPr>
        <w:t xml:space="preserve">. </w:t>
      </w:r>
      <w:r>
        <w:rPr>
          <w:rFonts w:eastAsia="Times New Roman"/>
          <w:b/>
        </w:rPr>
        <w:t>The s</w:t>
      </w:r>
      <w:r w:rsidRPr="00B76110">
        <w:rPr>
          <w:rFonts w:eastAsia="Times New Roman"/>
          <w:b/>
        </w:rPr>
        <w:t xml:space="preserve">pecific objectives </w:t>
      </w:r>
      <w:r>
        <w:rPr>
          <w:rFonts w:eastAsia="Times New Roman"/>
          <w:b/>
        </w:rPr>
        <w:t>of</w:t>
      </w:r>
      <w:r w:rsidRPr="00B76110">
        <w:rPr>
          <w:rFonts w:eastAsia="Times New Roman"/>
          <w:b/>
        </w:rPr>
        <w:t xml:space="preserve"> the </w:t>
      </w:r>
      <w:r>
        <w:rPr>
          <w:rFonts w:eastAsia="Times New Roman"/>
          <w:b/>
        </w:rPr>
        <w:t>thematic</w:t>
      </w:r>
      <w:r w:rsidRPr="00B76110">
        <w:rPr>
          <w:rFonts w:eastAsia="Times New Roman"/>
          <w:b/>
        </w:rPr>
        <w:t xml:space="preserve"> priority and expected results </w:t>
      </w:r>
    </w:p>
    <w:p w:rsidR="00487D34" w:rsidRPr="00B76110" w:rsidRDefault="00487D34" w:rsidP="00487D34">
      <w:r w:rsidRPr="00B76110" w:rsidDel="00E17367">
        <w:rPr>
          <w:rFonts w:eastAsia="Times New Roman"/>
        </w:rPr>
        <w:t xml:space="preserve"> </w:t>
      </w:r>
      <w:r w:rsidRPr="00B76110">
        <w:t>(</w:t>
      </w:r>
      <w:r>
        <w:t xml:space="preserve">Reference: points (b)(i) and (ii) of </w:t>
      </w:r>
      <w:r w:rsidRPr="00B76110">
        <w:t xml:space="preserve">Article </w:t>
      </w:r>
      <w:r>
        <w:t>8</w:t>
      </w:r>
      <w:r w:rsidRPr="00B76110">
        <w:t xml:space="preserve">(2) </w:t>
      </w:r>
      <w:r>
        <w:t>of Regulation (EU) No 1299/2013</w:t>
      </w:r>
      <w:r w:rsidRPr="00B76110">
        <w:t>)</w:t>
      </w:r>
    </w:p>
    <w:p w:rsidR="00487D34" w:rsidRPr="00B76110" w:rsidRDefault="00487D34" w:rsidP="00487D34">
      <w:pPr>
        <w:spacing w:after="240"/>
        <w:rPr>
          <w:rFonts w:eastAsia="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03"/>
      </w:tblGrid>
      <w:tr w:rsidR="00487D34" w:rsidRPr="00901CB6" w:rsidTr="00E354EE">
        <w:trPr>
          <w:trHeight w:val="491"/>
          <w:jc w:val="center"/>
        </w:trPr>
        <w:tc>
          <w:tcPr>
            <w:tcW w:w="3510" w:type="dxa"/>
            <w:shd w:val="clear" w:color="auto" w:fill="auto"/>
          </w:tcPr>
          <w:p w:rsidR="00487D34" w:rsidRPr="00B76110" w:rsidRDefault="00487D34" w:rsidP="00E354EE">
            <w:pPr>
              <w:spacing w:after="240"/>
              <w:rPr>
                <w:rFonts w:eastAsia="Times New Roman"/>
                <w:i/>
              </w:rPr>
            </w:pPr>
            <w:r w:rsidRPr="00B76110">
              <w:rPr>
                <w:rFonts w:eastAsia="Times New Roman"/>
                <w:i/>
              </w:rPr>
              <w:t>ID</w:t>
            </w:r>
          </w:p>
        </w:tc>
        <w:tc>
          <w:tcPr>
            <w:tcW w:w="5103" w:type="dxa"/>
            <w:shd w:val="clear" w:color="auto" w:fill="auto"/>
          </w:tcPr>
          <w:p w:rsidR="00487D34" w:rsidRPr="00070237" w:rsidRDefault="00070237" w:rsidP="0025375A">
            <w:pPr>
              <w:spacing w:after="240"/>
              <w:rPr>
                <w:rFonts w:eastAsia="Times New Roman"/>
                <w:szCs w:val="24"/>
                <w:lang w:val="nb-NO"/>
              </w:rPr>
            </w:pPr>
            <w:r w:rsidRPr="00070237">
              <w:rPr>
                <w:rFonts w:eastAsia="Times New Roman"/>
              </w:rPr>
              <w:t>4.1.</w:t>
            </w:r>
          </w:p>
        </w:tc>
      </w:tr>
      <w:tr w:rsidR="00487D34" w:rsidRPr="00B76110" w:rsidTr="00E354EE">
        <w:trPr>
          <w:trHeight w:val="360"/>
          <w:jc w:val="center"/>
        </w:trPr>
        <w:tc>
          <w:tcPr>
            <w:tcW w:w="3510" w:type="dxa"/>
            <w:shd w:val="clear" w:color="auto" w:fill="auto"/>
          </w:tcPr>
          <w:p w:rsidR="00487D34" w:rsidRPr="00B76110" w:rsidRDefault="00487D34" w:rsidP="00070237">
            <w:pPr>
              <w:spacing w:after="0"/>
              <w:rPr>
                <w:rFonts w:eastAsia="Times New Roman"/>
                <w:i/>
              </w:rPr>
            </w:pPr>
            <w:r w:rsidRPr="00B76110">
              <w:rPr>
                <w:rFonts w:eastAsia="Times New Roman"/>
                <w:i/>
              </w:rPr>
              <w:t xml:space="preserve">Specific objective </w:t>
            </w:r>
          </w:p>
        </w:tc>
        <w:tc>
          <w:tcPr>
            <w:tcW w:w="5103" w:type="dxa"/>
            <w:shd w:val="clear" w:color="auto" w:fill="auto"/>
          </w:tcPr>
          <w:p w:rsidR="00487D34" w:rsidRPr="00624028" w:rsidRDefault="00981AA7" w:rsidP="00E354EE">
            <w:pPr>
              <w:spacing w:after="0"/>
              <w:rPr>
                <w:rFonts w:eastAsia="Times New Roman"/>
                <w:szCs w:val="24"/>
              </w:rPr>
            </w:pPr>
            <w:r w:rsidRPr="00981AA7">
              <w:rPr>
                <w:rFonts w:eastAsia="Times New Roman"/>
                <w:szCs w:val="24"/>
              </w:rPr>
              <w:t>To enhance institutional infrastructure and services in order to accelerate the competitiveness and development of business environment in the programme area</w:t>
            </w:r>
          </w:p>
        </w:tc>
      </w:tr>
      <w:tr w:rsidR="00487D34" w:rsidRPr="00B76110" w:rsidTr="00E354EE">
        <w:trPr>
          <w:trHeight w:val="360"/>
          <w:jc w:val="center"/>
        </w:trPr>
        <w:tc>
          <w:tcPr>
            <w:tcW w:w="3510" w:type="dxa"/>
            <w:shd w:val="clear" w:color="auto" w:fill="auto"/>
          </w:tcPr>
          <w:p w:rsidR="00487D34" w:rsidRPr="00B76110" w:rsidRDefault="00487D34" w:rsidP="00E354EE">
            <w:pPr>
              <w:spacing w:after="0"/>
              <w:rPr>
                <w:rFonts w:eastAsia="Times New Roman"/>
                <w:i/>
              </w:rPr>
            </w:pPr>
            <w:r w:rsidRPr="00B76110">
              <w:rPr>
                <w:rFonts w:eastAsia="Times New Roman"/>
                <w:i/>
              </w:rPr>
              <w:t xml:space="preserve">The results </w:t>
            </w:r>
            <w:r>
              <w:rPr>
                <w:rFonts w:eastAsia="Times New Roman"/>
                <w:i/>
              </w:rPr>
              <w:t xml:space="preserve">that </w:t>
            </w:r>
            <w:r w:rsidRPr="00B76110">
              <w:rPr>
                <w:rFonts w:eastAsia="Times New Roman"/>
                <w:i/>
              </w:rPr>
              <w:t xml:space="preserve">the </w:t>
            </w:r>
            <w:r>
              <w:rPr>
                <w:rFonts w:eastAsia="Times New Roman"/>
                <w:i/>
              </w:rPr>
              <w:t>partner</w:t>
            </w:r>
            <w:r w:rsidRPr="00B76110">
              <w:rPr>
                <w:rFonts w:eastAsia="Times New Roman"/>
                <w:i/>
              </w:rPr>
              <w:t xml:space="preserve"> States seek to achieve with </w:t>
            </w:r>
            <w:r>
              <w:rPr>
                <w:rFonts w:eastAsia="Times New Roman"/>
                <w:i/>
              </w:rPr>
              <w:t>Union</w:t>
            </w:r>
            <w:r w:rsidRPr="00B76110">
              <w:rPr>
                <w:rFonts w:eastAsia="Times New Roman"/>
                <w:i/>
              </w:rPr>
              <w:t xml:space="preserve"> support</w:t>
            </w:r>
          </w:p>
        </w:tc>
        <w:tc>
          <w:tcPr>
            <w:tcW w:w="5103" w:type="dxa"/>
            <w:shd w:val="clear" w:color="auto" w:fill="auto"/>
          </w:tcPr>
          <w:p w:rsidR="0034007F" w:rsidRPr="0084022B" w:rsidRDefault="0034007F" w:rsidP="0084022B">
            <w:pPr>
              <w:spacing w:after="0"/>
              <w:rPr>
                <w:rFonts w:eastAsia="Times New Roman"/>
                <w:szCs w:val="24"/>
              </w:rPr>
            </w:pPr>
            <w:r>
              <w:rPr>
                <w:rFonts w:eastAsia="Times New Roman"/>
                <w:szCs w:val="24"/>
              </w:rPr>
              <w:t xml:space="preserve">Taking into account that business support institutions </w:t>
            </w:r>
            <w:r w:rsidRPr="00A2600C">
              <w:rPr>
                <w:szCs w:val="24"/>
              </w:rPr>
              <w:t xml:space="preserve">do not respond completely to </w:t>
            </w:r>
            <w:r w:rsidR="00D72EC9">
              <w:rPr>
                <w:szCs w:val="24"/>
              </w:rPr>
              <w:t xml:space="preserve">the </w:t>
            </w:r>
            <w:r w:rsidRPr="00A2600C">
              <w:rPr>
                <w:szCs w:val="24"/>
              </w:rPr>
              <w:t>needs of entrepreneurs</w:t>
            </w:r>
            <w:r>
              <w:rPr>
                <w:szCs w:val="24"/>
              </w:rPr>
              <w:t xml:space="preserve">, under this specific objective, the Programme will seek to improve the quality of business </w:t>
            </w:r>
            <w:r w:rsidRPr="00D81E22">
              <w:rPr>
                <w:szCs w:val="24"/>
              </w:rPr>
              <w:t>supporting services</w:t>
            </w:r>
            <w:r>
              <w:rPr>
                <w:szCs w:val="24"/>
              </w:rPr>
              <w:t xml:space="preserve"> in the programme area. It will also aim to further strengthen e</w:t>
            </w:r>
            <w:r w:rsidRPr="00D81E22">
              <w:rPr>
                <w:szCs w:val="24"/>
              </w:rPr>
              <w:t xml:space="preserve">ntrepreneurial </w:t>
            </w:r>
            <w:r>
              <w:rPr>
                <w:szCs w:val="24"/>
              </w:rPr>
              <w:t xml:space="preserve">capacity and </w:t>
            </w:r>
            <w:r w:rsidRPr="00D81E22">
              <w:rPr>
                <w:szCs w:val="24"/>
              </w:rPr>
              <w:t>skills</w:t>
            </w:r>
            <w:r>
              <w:rPr>
                <w:szCs w:val="24"/>
              </w:rPr>
              <w:t xml:space="preserve"> as well as collaboration with education and R&amp;D institutions thus creating the platform for the </w:t>
            </w:r>
            <w:r w:rsidRPr="004D48FD">
              <w:rPr>
                <w:szCs w:val="24"/>
              </w:rPr>
              <w:t xml:space="preserve">support </w:t>
            </w:r>
            <w:r>
              <w:rPr>
                <w:szCs w:val="24"/>
              </w:rPr>
              <w:t xml:space="preserve">to </w:t>
            </w:r>
            <w:r w:rsidRPr="004D48FD">
              <w:rPr>
                <w:szCs w:val="24"/>
              </w:rPr>
              <w:t>product</w:t>
            </w:r>
            <w:r>
              <w:rPr>
                <w:szCs w:val="24"/>
              </w:rPr>
              <w:t>s</w:t>
            </w:r>
            <w:r w:rsidRPr="004D48FD">
              <w:rPr>
                <w:szCs w:val="24"/>
              </w:rPr>
              <w:t xml:space="preserve"> protection, marketing and development of cross-border markets and address</w:t>
            </w:r>
            <w:r>
              <w:rPr>
                <w:szCs w:val="24"/>
              </w:rPr>
              <w:t>ing</w:t>
            </w:r>
            <w:r w:rsidRPr="004D48FD">
              <w:rPr>
                <w:szCs w:val="24"/>
              </w:rPr>
              <w:t xml:space="preserve"> the needs of the programme area </w:t>
            </w:r>
            <w:r>
              <w:rPr>
                <w:szCs w:val="24"/>
              </w:rPr>
              <w:t>related to</w:t>
            </w:r>
            <w:r w:rsidRPr="004D48FD">
              <w:rPr>
                <w:szCs w:val="24"/>
              </w:rPr>
              <w:t xml:space="preserve"> expanding the quality of services and products meanwhile improving </w:t>
            </w:r>
            <w:r>
              <w:rPr>
                <w:szCs w:val="24"/>
              </w:rPr>
              <w:t xml:space="preserve">the </w:t>
            </w:r>
            <w:r w:rsidRPr="004D48FD">
              <w:rPr>
                <w:szCs w:val="24"/>
              </w:rPr>
              <w:t>skills and knowledge on ap</w:t>
            </w:r>
            <w:r>
              <w:rPr>
                <w:szCs w:val="24"/>
              </w:rPr>
              <w:t xml:space="preserve">plying innovative technologies and fostering the </w:t>
            </w:r>
            <w:r w:rsidRPr="004D48FD">
              <w:rPr>
                <w:szCs w:val="24"/>
              </w:rPr>
              <w:t xml:space="preserve">exchange </w:t>
            </w:r>
            <w:r>
              <w:rPr>
                <w:szCs w:val="24"/>
              </w:rPr>
              <w:t xml:space="preserve">of </w:t>
            </w:r>
            <w:r w:rsidRPr="004D48FD">
              <w:rPr>
                <w:szCs w:val="24"/>
              </w:rPr>
              <w:t>experience in application of new technologies, processes and products</w:t>
            </w:r>
            <w:r>
              <w:rPr>
                <w:rFonts w:eastAsia="Times New Roman"/>
                <w:szCs w:val="24"/>
              </w:rPr>
              <w:t>.</w:t>
            </w:r>
            <w:r w:rsidR="0084022B" w:rsidRPr="0084022B">
              <w:rPr>
                <w:rFonts w:eastAsia="Times New Roman"/>
                <w:szCs w:val="24"/>
              </w:rPr>
              <w:t xml:space="preserve"> </w:t>
            </w:r>
          </w:p>
          <w:p w:rsidR="00487D34" w:rsidRDefault="008B6CDF" w:rsidP="00E354EE">
            <w:pPr>
              <w:spacing w:after="0"/>
              <w:rPr>
                <w:rFonts w:eastAsia="Times New Roman"/>
                <w:szCs w:val="24"/>
              </w:rPr>
            </w:pPr>
            <w:r>
              <w:rPr>
                <w:rFonts w:eastAsia="Times New Roman"/>
                <w:szCs w:val="24"/>
              </w:rPr>
              <w:t xml:space="preserve">The following result is expected to be achieved within SO </w:t>
            </w:r>
            <w:r w:rsidR="006C12C6">
              <w:rPr>
                <w:rFonts w:eastAsia="Times New Roman"/>
                <w:szCs w:val="24"/>
              </w:rPr>
              <w:t>4</w:t>
            </w:r>
            <w:r w:rsidR="00487D34">
              <w:rPr>
                <w:rFonts w:eastAsia="Times New Roman"/>
                <w:szCs w:val="24"/>
              </w:rPr>
              <w:t>.</w:t>
            </w:r>
            <w:r w:rsidR="00BF0D13">
              <w:rPr>
                <w:rFonts w:eastAsia="Times New Roman"/>
                <w:szCs w:val="24"/>
              </w:rPr>
              <w:t>1.</w:t>
            </w:r>
            <w:r w:rsidR="00487D34">
              <w:rPr>
                <w:rFonts w:eastAsia="Times New Roman"/>
                <w:szCs w:val="24"/>
              </w:rPr>
              <w:t>:</w:t>
            </w:r>
          </w:p>
          <w:p w:rsidR="00487D34" w:rsidRPr="00C229D2" w:rsidRDefault="00981AA7" w:rsidP="00BF0D13">
            <w:pPr>
              <w:spacing w:after="0"/>
              <w:rPr>
                <w:szCs w:val="24"/>
              </w:rPr>
            </w:pPr>
            <w:r w:rsidRPr="00BF0D13">
              <w:rPr>
                <w:rFonts w:eastAsia="Times New Roman"/>
                <w:szCs w:val="24"/>
              </w:rPr>
              <w:t>Increased competitiveness and development of the business environment in the programme area</w:t>
            </w:r>
          </w:p>
        </w:tc>
      </w:tr>
    </w:tbl>
    <w:p w:rsidR="00487D34" w:rsidRDefault="00487D34" w:rsidP="00487D34">
      <w:pPr>
        <w:spacing w:after="240"/>
        <w:rPr>
          <w:rFonts w:eastAsia="Times New Roman"/>
          <w:b/>
        </w:rPr>
      </w:pPr>
    </w:p>
    <w:p w:rsidR="00487D34" w:rsidRDefault="00487D34" w:rsidP="00487D34">
      <w:pPr>
        <w:tabs>
          <w:tab w:val="left" w:pos="720"/>
        </w:tabs>
        <w:rPr>
          <w:rFonts w:eastAsia="Times New Roman"/>
          <w:b/>
        </w:rPr>
      </w:pPr>
    </w:p>
    <w:p w:rsidR="00487D34" w:rsidRDefault="00487D34" w:rsidP="00487D34">
      <w:pPr>
        <w:tabs>
          <w:tab w:val="left" w:pos="720"/>
        </w:tabs>
        <w:rPr>
          <w:rFonts w:eastAsia="Times New Roman"/>
          <w:b/>
        </w:rPr>
      </w:pPr>
      <w:r>
        <w:rPr>
          <w:rFonts w:eastAsia="Times New Roman"/>
          <w:b/>
        </w:rPr>
        <w:t>2.</w:t>
      </w:r>
      <w:r w:rsidR="00380074">
        <w:rPr>
          <w:rFonts w:eastAsia="Times New Roman"/>
          <w:b/>
        </w:rPr>
        <w:t>4</w:t>
      </w:r>
      <w:r>
        <w:rPr>
          <w:rFonts w:eastAsia="Times New Roman"/>
          <w:b/>
        </w:rPr>
        <w:t>.4. Elements of other thematic priori</w:t>
      </w:r>
      <w:r w:rsidR="007962D2">
        <w:rPr>
          <w:rFonts w:eastAsia="Times New Roman"/>
          <w:b/>
        </w:rPr>
        <w:t>ties added to the priority axis</w:t>
      </w:r>
    </w:p>
    <w:p w:rsidR="00487D34" w:rsidRDefault="00487D34" w:rsidP="00487D34">
      <w:pPr>
        <w:tabs>
          <w:tab w:val="left" w:pos="720"/>
        </w:tabs>
        <w:rPr>
          <w:rFonts w:eastAsia="Times New Roman"/>
        </w:rPr>
      </w:pPr>
      <w:r w:rsidRPr="00A366E4">
        <w:rPr>
          <w:rFonts w:eastAsia="Times New Roman"/>
        </w:rPr>
        <w:t>(Reference: Article 35(1) of IPA II Implementing Regulation)</w:t>
      </w:r>
    </w:p>
    <w:p w:rsidR="00487D34" w:rsidRDefault="00487D34" w:rsidP="00487D34">
      <w:pPr>
        <w:tabs>
          <w:tab w:val="left" w:pos="720"/>
        </w:tabs>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487D34" w:rsidRPr="00901CB6" w:rsidTr="007962D2">
        <w:trPr>
          <w:trHeight w:val="491"/>
        </w:trPr>
        <w:tc>
          <w:tcPr>
            <w:tcW w:w="9039" w:type="dxa"/>
            <w:shd w:val="clear" w:color="auto" w:fill="auto"/>
          </w:tcPr>
          <w:p w:rsidR="00487D34" w:rsidRPr="00F13F0D" w:rsidRDefault="00487D34" w:rsidP="00E354EE">
            <w:pPr>
              <w:spacing w:after="240"/>
              <w:rPr>
                <w:rFonts w:eastAsia="Times New Roman"/>
                <w:color w:val="8DB3E2"/>
                <w:szCs w:val="24"/>
                <w:lang w:val="nb-NO"/>
              </w:rPr>
            </w:pPr>
            <w:r>
              <w:rPr>
                <w:rFonts w:eastAsia="Times New Roman"/>
                <w:szCs w:val="24"/>
                <w:lang w:val="nb-NO"/>
              </w:rPr>
              <w:t>N/A</w:t>
            </w:r>
          </w:p>
        </w:tc>
      </w:tr>
    </w:tbl>
    <w:p w:rsidR="00487D34" w:rsidRDefault="00487D34" w:rsidP="00487D34">
      <w:pPr>
        <w:tabs>
          <w:tab w:val="left" w:pos="720"/>
        </w:tabs>
        <w:rPr>
          <w:rFonts w:eastAsia="Times New Roman"/>
          <w:b/>
        </w:rPr>
      </w:pPr>
    </w:p>
    <w:p w:rsidR="00487D34" w:rsidRDefault="00487D34" w:rsidP="00487D34">
      <w:pPr>
        <w:tabs>
          <w:tab w:val="left" w:pos="720"/>
        </w:tabs>
        <w:rPr>
          <w:rFonts w:eastAsia="Times New Roman"/>
          <w:b/>
        </w:rPr>
      </w:pPr>
    </w:p>
    <w:p w:rsidR="00487D34" w:rsidRPr="00B76110" w:rsidRDefault="00487D34" w:rsidP="00487D34">
      <w:pPr>
        <w:suppressAutoHyphens/>
        <w:spacing w:after="240"/>
        <w:rPr>
          <w:rFonts w:eastAsia="Times New Roman"/>
          <w:b/>
        </w:rPr>
      </w:pPr>
      <w:r>
        <w:rPr>
          <w:rFonts w:eastAsia="Times New Roman"/>
          <w:b/>
        </w:rPr>
        <w:lastRenderedPageBreak/>
        <w:t>2.</w:t>
      </w:r>
      <w:r w:rsidR="00EC081D">
        <w:rPr>
          <w:rFonts w:eastAsia="Times New Roman"/>
          <w:b/>
        </w:rPr>
        <w:t>4</w:t>
      </w:r>
      <w:r w:rsidRPr="00B76110">
        <w:rPr>
          <w:rFonts w:eastAsia="Times New Roman"/>
          <w:b/>
        </w:rPr>
        <w:t>.</w:t>
      </w:r>
      <w:r>
        <w:rPr>
          <w:rFonts w:eastAsia="Times New Roman"/>
          <w:b/>
        </w:rPr>
        <w:t>5</w:t>
      </w:r>
      <w:r w:rsidRPr="00B76110">
        <w:rPr>
          <w:rFonts w:eastAsia="Times New Roman"/>
          <w:b/>
        </w:rPr>
        <w:t xml:space="preserve">. Actions to be supported under the </w:t>
      </w:r>
      <w:r>
        <w:rPr>
          <w:rFonts w:eastAsia="Times New Roman"/>
          <w:b/>
        </w:rPr>
        <w:t>thematic</w:t>
      </w:r>
      <w:r w:rsidRPr="00B76110">
        <w:rPr>
          <w:rFonts w:eastAsia="Times New Roman"/>
          <w:b/>
        </w:rPr>
        <w:t xml:space="preserve"> priority</w:t>
      </w:r>
      <w:r w:rsidRPr="00D372DE">
        <w:rPr>
          <w:rFonts w:eastAsia="Times New Roman"/>
          <w:b/>
        </w:rPr>
        <w:t xml:space="preserve"> </w:t>
      </w:r>
      <w:r w:rsidR="00B63624">
        <w:rPr>
          <w:rFonts w:eastAsia="Times New Roman"/>
          <w:b/>
        </w:rPr>
        <w:t>4</w:t>
      </w:r>
    </w:p>
    <w:p w:rsidR="00487D34" w:rsidRPr="00B76110" w:rsidRDefault="00487D34" w:rsidP="00487D34">
      <w:pPr>
        <w:keepNext/>
        <w:spacing w:after="240"/>
        <w:ind w:left="851" w:hanging="851"/>
        <w:outlineLvl w:val="2"/>
        <w:rPr>
          <w:rFonts w:eastAsia="Times New Roman"/>
          <w:b/>
          <w:i/>
        </w:rPr>
      </w:pPr>
      <w:r>
        <w:rPr>
          <w:rFonts w:eastAsia="Times New Roman"/>
          <w:b/>
          <w:i/>
        </w:rPr>
        <w:t>2.</w:t>
      </w:r>
      <w:r w:rsidR="00EC081D">
        <w:rPr>
          <w:rFonts w:eastAsia="Times New Roman"/>
          <w:b/>
          <w:i/>
        </w:rPr>
        <w:t>4</w:t>
      </w:r>
      <w:r w:rsidRPr="00B76110">
        <w:rPr>
          <w:rFonts w:eastAsia="Times New Roman"/>
          <w:b/>
          <w:i/>
        </w:rPr>
        <w:t>.</w:t>
      </w:r>
      <w:r>
        <w:rPr>
          <w:rFonts w:eastAsia="Times New Roman"/>
          <w:b/>
          <w:i/>
        </w:rPr>
        <w:t>5</w:t>
      </w:r>
      <w:r w:rsidRPr="00B76110">
        <w:rPr>
          <w:rFonts w:eastAsia="Times New Roman"/>
          <w:b/>
          <w:i/>
        </w:rPr>
        <w:t xml:space="preserve">.1. A description of the type and examples of actions to be </w:t>
      </w:r>
      <w:r>
        <w:rPr>
          <w:rFonts w:eastAsia="Times New Roman"/>
          <w:b/>
          <w:i/>
        </w:rPr>
        <w:t>supported</w:t>
      </w:r>
      <w:r w:rsidRPr="00B76110">
        <w:rPr>
          <w:rFonts w:eastAsia="Times New Roman"/>
          <w:b/>
          <w:i/>
        </w:rPr>
        <w:t xml:space="preserve"> and their expected contribution to the specific objectives, including, where appropriate</w:t>
      </w:r>
      <w:r>
        <w:rPr>
          <w:rFonts w:eastAsia="Times New Roman"/>
          <w:b/>
          <w:i/>
        </w:rPr>
        <w:t>,</w:t>
      </w:r>
      <w:r w:rsidRPr="00B76110">
        <w:rPr>
          <w:rFonts w:eastAsia="Times New Roman"/>
          <w:b/>
          <w:i/>
        </w:rPr>
        <w:t xml:space="preserve"> identification of the main target groups, specific territories targeted and types of beneficiaries</w:t>
      </w:r>
    </w:p>
    <w:p w:rsidR="00487D34" w:rsidRPr="00567F19" w:rsidRDefault="00487D34" w:rsidP="00487D34">
      <w:r w:rsidRPr="00567F19">
        <w:t xml:space="preserve">(Reference: </w:t>
      </w:r>
      <w:r>
        <w:t xml:space="preserve">point (b)(iii)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487D34" w:rsidRPr="00BE129C" w:rsidTr="00E354EE">
        <w:trPr>
          <w:trHeight w:val="518"/>
        </w:trPr>
        <w:tc>
          <w:tcPr>
            <w:tcW w:w="2235" w:type="dxa"/>
            <w:shd w:val="clear" w:color="auto" w:fill="auto"/>
          </w:tcPr>
          <w:p w:rsidR="00487D34" w:rsidRPr="00BE129C" w:rsidRDefault="00487D34" w:rsidP="00E354EE">
            <w:pPr>
              <w:spacing w:after="240"/>
              <w:rPr>
                <w:rFonts w:eastAsia="Times New Roman"/>
                <w:i/>
                <w:color w:val="8DB3E2"/>
                <w:szCs w:val="24"/>
              </w:rPr>
            </w:pPr>
            <w:r w:rsidRPr="00BE129C">
              <w:rPr>
                <w:rFonts w:eastAsia="Times New Roman"/>
                <w:i/>
                <w:szCs w:val="24"/>
              </w:rPr>
              <w:t>Thematic Priority</w:t>
            </w:r>
          </w:p>
        </w:tc>
        <w:tc>
          <w:tcPr>
            <w:tcW w:w="6443" w:type="dxa"/>
            <w:shd w:val="clear" w:color="auto" w:fill="auto"/>
          </w:tcPr>
          <w:p w:rsidR="00487D34" w:rsidRPr="00BE129C" w:rsidRDefault="00D72EC9" w:rsidP="00B25A17">
            <w:pPr>
              <w:spacing w:after="240"/>
              <w:rPr>
                <w:rFonts w:eastAsia="Times New Roman"/>
                <w:color w:val="8DB3E2"/>
                <w:szCs w:val="24"/>
              </w:rPr>
            </w:pPr>
            <w:r>
              <w:rPr>
                <w:rFonts w:eastAsia="Times New Roman"/>
                <w:szCs w:val="24"/>
              </w:rPr>
              <w:t>PA 4 (</w:t>
            </w:r>
            <w:r w:rsidR="00487D34" w:rsidRPr="00BE129C">
              <w:rPr>
                <w:rFonts w:eastAsia="Times New Roman"/>
                <w:szCs w:val="24"/>
              </w:rPr>
              <w:t xml:space="preserve">TP </w:t>
            </w:r>
            <w:r w:rsidR="00B25A17" w:rsidRPr="00BE129C">
              <w:rPr>
                <w:rFonts w:eastAsia="Times New Roman"/>
                <w:szCs w:val="24"/>
              </w:rPr>
              <w:t>7</w:t>
            </w:r>
            <w:r>
              <w:rPr>
                <w:rFonts w:eastAsia="Times New Roman"/>
                <w:szCs w:val="24"/>
              </w:rPr>
              <w:t>)</w:t>
            </w:r>
            <w:r w:rsidR="00487D34" w:rsidRPr="00BE129C">
              <w:rPr>
                <w:rFonts w:eastAsia="Times New Roman"/>
                <w:szCs w:val="24"/>
              </w:rPr>
              <w:t xml:space="preserve"> </w:t>
            </w:r>
            <w:r w:rsidR="00EE1846" w:rsidRPr="00BE129C">
              <w:rPr>
                <w:rFonts w:eastAsia="Times New Roman"/>
                <w:szCs w:val="24"/>
              </w:rPr>
              <w:t>Competitiveness and business environment development</w:t>
            </w:r>
          </w:p>
        </w:tc>
      </w:tr>
      <w:tr w:rsidR="00487D34" w:rsidRPr="00BE129C" w:rsidTr="00E354EE">
        <w:trPr>
          <w:trHeight w:val="416"/>
        </w:trPr>
        <w:tc>
          <w:tcPr>
            <w:tcW w:w="8678" w:type="dxa"/>
            <w:gridSpan w:val="2"/>
            <w:shd w:val="clear" w:color="auto" w:fill="auto"/>
          </w:tcPr>
          <w:p w:rsidR="00487D34" w:rsidRPr="00BE129C" w:rsidRDefault="00487D34" w:rsidP="00E354EE">
            <w:pPr>
              <w:spacing w:after="0" w:line="280" w:lineRule="atLeast"/>
              <w:contextualSpacing/>
              <w:rPr>
                <w:szCs w:val="24"/>
              </w:rPr>
            </w:pPr>
            <w:r w:rsidRPr="00BE129C">
              <w:rPr>
                <w:szCs w:val="24"/>
              </w:rPr>
              <w:t xml:space="preserve">The supported actions under </w:t>
            </w:r>
            <w:r w:rsidR="000C17F1" w:rsidRPr="00BE129C">
              <w:rPr>
                <w:szCs w:val="24"/>
              </w:rPr>
              <w:t xml:space="preserve">priority </w:t>
            </w:r>
            <w:r w:rsidRPr="00BE129C">
              <w:rPr>
                <w:szCs w:val="24"/>
              </w:rPr>
              <w:t xml:space="preserve">axis </w:t>
            </w:r>
            <w:r w:rsidR="006A1548" w:rsidRPr="00BE129C">
              <w:rPr>
                <w:szCs w:val="24"/>
              </w:rPr>
              <w:t>4</w:t>
            </w:r>
            <w:r w:rsidRPr="00BE129C">
              <w:rPr>
                <w:szCs w:val="24"/>
              </w:rPr>
              <w:t xml:space="preserve"> will contribute </w:t>
            </w:r>
            <w:r w:rsidR="00C73CBC">
              <w:rPr>
                <w:szCs w:val="24"/>
              </w:rPr>
              <w:t xml:space="preserve">to </w:t>
            </w:r>
            <w:r w:rsidR="005B58F4" w:rsidRPr="00BE129C">
              <w:rPr>
                <w:szCs w:val="24"/>
              </w:rPr>
              <w:t>enhancing</w:t>
            </w:r>
            <w:r w:rsidR="008629D3" w:rsidRPr="00BE129C">
              <w:rPr>
                <w:szCs w:val="24"/>
              </w:rPr>
              <w:t xml:space="preserve"> </w:t>
            </w:r>
            <w:r w:rsidR="009503F9">
              <w:rPr>
                <w:szCs w:val="24"/>
              </w:rPr>
              <w:t xml:space="preserve">business support </w:t>
            </w:r>
            <w:r w:rsidR="00B83B3E">
              <w:rPr>
                <w:szCs w:val="24"/>
              </w:rPr>
              <w:t xml:space="preserve">institutional </w:t>
            </w:r>
            <w:r w:rsidR="005B74A0">
              <w:rPr>
                <w:szCs w:val="24"/>
              </w:rPr>
              <w:t xml:space="preserve">capacities </w:t>
            </w:r>
            <w:r w:rsidR="005B58F4" w:rsidRPr="00BE129C">
              <w:rPr>
                <w:szCs w:val="24"/>
              </w:rPr>
              <w:t>and services in order to accelerate the competitiveness and development of business environment in the programme area</w:t>
            </w:r>
            <w:r w:rsidRPr="00BE129C">
              <w:rPr>
                <w:szCs w:val="24"/>
              </w:rPr>
              <w:t xml:space="preserve">. </w:t>
            </w:r>
          </w:p>
          <w:p w:rsidR="00487D34" w:rsidRPr="00BE129C" w:rsidRDefault="00487D34" w:rsidP="00E354EE">
            <w:pPr>
              <w:spacing w:after="0" w:line="280" w:lineRule="atLeast"/>
              <w:contextualSpacing/>
              <w:rPr>
                <w:szCs w:val="24"/>
              </w:rPr>
            </w:pPr>
          </w:p>
          <w:p w:rsidR="004A0CFC" w:rsidRPr="00BE129C" w:rsidRDefault="004A0CFC" w:rsidP="00E354EE">
            <w:pPr>
              <w:spacing w:after="0" w:line="280" w:lineRule="atLeast"/>
              <w:contextualSpacing/>
              <w:rPr>
                <w:szCs w:val="24"/>
              </w:rPr>
            </w:pPr>
            <w:r w:rsidRPr="00BE129C">
              <w:rPr>
                <w:szCs w:val="24"/>
              </w:rPr>
              <w:t xml:space="preserve">Cross-border actions can bring added value through </w:t>
            </w:r>
            <w:r w:rsidR="005B74A0">
              <w:rPr>
                <w:szCs w:val="24"/>
              </w:rPr>
              <w:t>supporting business support sector in order to improve</w:t>
            </w:r>
            <w:r w:rsidR="000E6326" w:rsidRPr="00BE129C">
              <w:rPr>
                <w:szCs w:val="24"/>
              </w:rPr>
              <w:t xml:space="preserve"> skills and entrepreneurial competences </w:t>
            </w:r>
            <w:r w:rsidR="005B74A0">
              <w:rPr>
                <w:szCs w:val="24"/>
              </w:rPr>
              <w:t xml:space="preserve">of the programme area </w:t>
            </w:r>
            <w:r w:rsidR="000E6326" w:rsidRPr="00BE129C">
              <w:rPr>
                <w:szCs w:val="24"/>
              </w:rPr>
              <w:t xml:space="preserve">as well as </w:t>
            </w:r>
            <w:r w:rsidR="005B74A0">
              <w:rPr>
                <w:szCs w:val="24"/>
              </w:rPr>
              <w:t xml:space="preserve">foster networking of </w:t>
            </w:r>
            <w:r w:rsidRPr="00BE129C">
              <w:rPr>
                <w:szCs w:val="24"/>
              </w:rPr>
              <w:t xml:space="preserve">different actors of the </w:t>
            </w:r>
            <w:r w:rsidR="000E6326" w:rsidRPr="00BE129C">
              <w:rPr>
                <w:szCs w:val="24"/>
              </w:rPr>
              <w:t xml:space="preserve">stakeholders involved in </w:t>
            </w:r>
            <w:r w:rsidR="005B74A0">
              <w:rPr>
                <w:szCs w:val="24"/>
              </w:rPr>
              <w:t xml:space="preserve">or related to </w:t>
            </w:r>
            <w:r w:rsidR="000E6326" w:rsidRPr="00BE129C">
              <w:rPr>
                <w:szCs w:val="24"/>
              </w:rPr>
              <w:t>the economy sector</w:t>
            </w:r>
            <w:r w:rsidR="0025769D" w:rsidRPr="00BE129C">
              <w:rPr>
                <w:szCs w:val="24"/>
              </w:rPr>
              <w:t>. Furthermore, enhanced knowledge exchange between res</w:t>
            </w:r>
            <w:r w:rsidR="004554A6">
              <w:rPr>
                <w:szCs w:val="24"/>
              </w:rPr>
              <w:t xml:space="preserve">earch institutions, businesses sector and </w:t>
            </w:r>
            <w:r w:rsidR="0025769D" w:rsidRPr="00BE129C">
              <w:rPr>
                <w:szCs w:val="24"/>
              </w:rPr>
              <w:t>the education sector as well as the public sector will enable better access to research results for enterprises and consequently stimulate further investment in the application of innovation, enhancing the competitiveness of the programme area.</w:t>
            </w:r>
          </w:p>
          <w:p w:rsidR="009C51A0" w:rsidRPr="00BE129C" w:rsidRDefault="009C51A0" w:rsidP="00E354EE">
            <w:pPr>
              <w:spacing w:after="0" w:line="280" w:lineRule="atLeast"/>
              <w:contextualSpacing/>
              <w:rPr>
                <w:szCs w:val="24"/>
              </w:rPr>
            </w:pPr>
          </w:p>
          <w:p w:rsidR="00487D34" w:rsidRPr="00BE129C" w:rsidRDefault="00487D34" w:rsidP="00E354EE">
            <w:pPr>
              <w:spacing w:after="0" w:line="280" w:lineRule="atLeast"/>
              <w:contextualSpacing/>
              <w:rPr>
                <w:szCs w:val="24"/>
              </w:rPr>
            </w:pPr>
            <w:r w:rsidRPr="00BE129C">
              <w:rPr>
                <w:szCs w:val="24"/>
              </w:rPr>
              <w:t>Acco</w:t>
            </w:r>
            <w:r w:rsidR="008629D3" w:rsidRPr="00BE129C">
              <w:rPr>
                <w:szCs w:val="24"/>
              </w:rPr>
              <w:t xml:space="preserve">rding to the </w:t>
            </w:r>
            <w:r w:rsidR="00442F7E" w:rsidRPr="00BE129C">
              <w:rPr>
                <w:szCs w:val="24"/>
              </w:rPr>
              <w:t xml:space="preserve">specific </w:t>
            </w:r>
            <w:r w:rsidR="008629D3" w:rsidRPr="00BE129C">
              <w:rPr>
                <w:szCs w:val="24"/>
              </w:rPr>
              <w:t>objective</w:t>
            </w:r>
            <w:r w:rsidRPr="00BE129C">
              <w:rPr>
                <w:szCs w:val="24"/>
              </w:rPr>
              <w:t xml:space="preserve"> within </w:t>
            </w:r>
            <w:r w:rsidR="00442F7E" w:rsidRPr="00BE129C">
              <w:rPr>
                <w:szCs w:val="24"/>
              </w:rPr>
              <w:t xml:space="preserve">priority </w:t>
            </w:r>
            <w:r w:rsidRPr="00BE129C">
              <w:rPr>
                <w:szCs w:val="24"/>
              </w:rPr>
              <w:t xml:space="preserve">axis </w:t>
            </w:r>
            <w:r w:rsidR="006A1548" w:rsidRPr="00BE129C">
              <w:rPr>
                <w:szCs w:val="24"/>
              </w:rPr>
              <w:t>4</w:t>
            </w:r>
            <w:r w:rsidRPr="00BE129C">
              <w:rPr>
                <w:szCs w:val="24"/>
              </w:rPr>
              <w:t xml:space="preserve">, </w:t>
            </w:r>
            <w:r w:rsidR="00C73CBC">
              <w:rPr>
                <w:szCs w:val="24"/>
              </w:rPr>
              <w:t xml:space="preserve">the </w:t>
            </w:r>
            <w:r w:rsidR="008629D3" w:rsidRPr="00BE129C">
              <w:rPr>
                <w:szCs w:val="24"/>
              </w:rPr>
              <w:t>following</w:t>
            </w:r>
            <w:r w:rsidRPr="00BE129C">
              <w:rPr>
                <w:szCs w:val="24"/>
              </w:rPr>
              <w:t xml:space="preserve"> </w:t>
            </w:r>
            <w:r w:rsidR="008629D3" w:rsidRPr="00BE129C">
              <w:rPr>
                <w:szCs w:val="24"/>
              </w:rPr>
              <w:t xml:space="preserve">set </w:t>
            </w:r>
            <w:r w:rsidRPr="00BE129C">
              <w:rPr>
                <w:szCs w:val="24"/>
              </w:rPr>
              <w:t>of actions will be supported:</w:t>
            </w:r>
          </w:p>
          <w:p w:rsidR="00487D34" w:rsidRPr="00BE129C" w:rsidRDefault="00487D34" w:rsidP="00686F24">
            <w:pPr>
              <w:pStyle w:val="ListParagraph"/>
              <w:numPr>
                <w:ilvl w:val="0"/>
                <w:numId w:val="32"/>
              </w:numPr>
              <w:spacing w:after="0" w:line="280" w:lineRule="atLeast"/>
              <w:contextualSpacing/>
              <w:rPr>
                <w:rFonts w:cstheme="minorBidi"/>
                <w:szCs w:val="24"/>
                <w:lang w:val="en-US" w:eastAsia="ja-JP"/>
              </w:rPr>
            </w:pPr>
            <w:r w:rsidRPr="00BE129C">
              <w:rPr>
                <w:szCs w:val="24"/>
              </w:rPr>
              <w:t xml:space="preserve">Actions </w:t>
            </w:r>
            <w:r w:rsidR="00CF3112" w:rsidRPr="00BE129C">
              <w:rPr>
                <w:szCs w:val="24"/>
              </w:rPr>
              <w:t xml:space="preserve">to enhance institutional infrastructure and services in order to accelerate the competitiveness and development of business environment in the programme area </w:t>
            </w:r>
            <w:r w:rsidRPr="00BE129C">
              <w:rPr>
                <w:szCs w:val="24"/>
              </w:rPr>
              <w:t xml:space="preserve">(as per SO </w:t>
            </w:r>
            <w:r w:rsidR="006A1548" w:rsidRPr="00BE129C">
              <w:rPr>
                <w:szCs w:val="24"/>
              </w:rPr>
              <w:t>4</w:t>
            </w:r>
            <w:r w:rsidRPr="00BE129C">
              <w:rPr>
                <w:szCs w:val="24"/>
              </w:rPr>
              <w:t>.</w:t>
            </w:r>
            <w:r w:rsidR="00686F24" w:rsidRPr="00BE129C">
              <w:rPr>
                <w:szCs w:val="24"/>
              </w:rPr>
              <w:t>1.</w:t>
            </w:r>
            <w:r w:rsidRPr="00BE129C">
              <w:rPr>
                <w:szCs w:val="24"/>
              </w:rPr>
              <w:t xml:space="preserve"> - </w:t>
            </w:r>
            <w:r w:rsidR="00442F7E" w:rsidRPr="00BE129C">
              <w:rPr>
                <w:szCs w:val="24"/>
              </w:rPr>
              <w:t xml:space="preserve">expected </w:t>
            </w:r>
            <w:r w:rsidRPr="00BE129C">
              <w:rPr>
                <w:szCs w:val="24"/>
              </w:rPr>
              <w:t xml:space="preserve">result </w:t>
            </w:r>
            <w:r w:rsidR="006A1548" w:rsidRPr="00BE129C">
              <w:rPr>
                <w:szCs w:val="24"/>
              </w:rPr>
              <w:t>4</w:t>
            </w:r>
            <w:r w:rsidRPr="00BE129C">
              <w:rPr>
                <w:szCs w:val="24"/>
              </w:rPr>
              <w:t>.</w:t>
            </w:r>
            <w:r w:rsidR="00686F24" w:rsidRPr="00BE129C">
              <w:rPr>
                <w:szCs w:val="24"/>
              </w:rPr>
              <w:t>1.</w:t>
            </w:r>
            <w:r w:rsidR="00442F7E" w:rsidRPr="00BE129C">
              <w:rPr>
                <w:szCs w:val="24"/>
              </w:rPr>
              <w:t>)</w:t>
            </w:r>
          </w:p>
          <w:p w:rsidR="00487D34" w:rsidRPr="00BE129C" w:rsidRDefault="00487D34" w:rsidP="00E354EE">
            <w:pPr>
              <w:spacing w:after="0" w:line="280" w:lineRule="atLeast"/>
              <w:contextualSpacing/>
              <w:rPr>
                <w:szCs w:val="24"/>
              </w:rPr>
            </w:pPr>
          </w:p>
          <w:p w:rsidR="00487D34" w:rsidRPr="00BE129C" w:rsidRDefault="00CF3112" w:rsidP="00E354EE">
            <w:pPr>
              <w:spacing w:after="0" w:line="280" w:lineRule="atLeast"/>
              <w:contextualSpacing/>
              <w:rPr>
                <w:i/>
                <w:szCs w:val="24"/>
              </w:rPr>
            </w:pPr>
            <w:r w:rsidRPr="00BE129C">
              <w:rPr>
                <w:b/>
                <w:szCs w:val="24"/>
              </w:rPr>
              <w:t>Actions to enhance institutional infrastructure and services in order to accelerate the competitiveness and development of business environment in the programme area</w:t>
            </w:r>
            <w:r w:rsidR="005B58F4" w:rsidRPr="00BE129C">
              <w:rPr>
                <w:b/>
                <w:szCs w:val="24"/>
              </w:rPr>
              <w:t xml:space="preserve"> </w:t>
            </w:r>
          </w:p>
          <w:p w:rsidR="00CF3112" w:rsidRPr="00BE129C" w:rsidRDefault="00CF3112" w:rsidP="00E354EE">
            <w:pPr>
              <w:spacing w:after="0" w:line="280" w:lineRule="atLeast"/>
              <w:contextualSpacing/>
              <w:rPr>
                <w:i/>
                <w:szCs w:val="24"/>
              </w:rPr>
            </w:pPr>
          </w:p>
          <w:p w:rsidR="00487D34" w:rsidRPr="00BE129C" w:rsidRDefault="00487D34" w:rsidP="00E354EE">
            <w:pPr>
              <w:spacing w:after="0" w:line="280" w:lineRule="atLeast"/>
              <w:contextualSpacing/>
              <w:rPr>
                <w:i/>
                <w:szCs w:val="24"/>
              </w:rPr>
            </w:pPr>
            <w:r w:rsidRPr="00BE129C">
              <w:rPr>
                <w:i/>
                <w:szCs w:val="24"/>
              </w:rPr>
              <w:t xml:space="preserve">Examples of actions supported within SO </w:t>
            </w:r>
            <w:r w:rsidR="00A87127" w:rsidRPr="00BE129C">
              <w:rPr>
                <w:i/>
                <w:szCs w:val="24"/>
              </w:rPr>
              <w:t>4</w:t>
            </w:r>
            <w:r w:rsidRPr="00BE129C">
              <w:rPr>
                <w:i/>
                <w:szCs w:val="24"/>
              </w:rPr>
              <w:t>.</w:t>
            </w:r>
            <w:r w:rsidR="00686F24" w:rsidRPr="00BE129C">
              <w:rPr>
                <w:i/>
                <w:szCs w:val="24"/>
              </w:rPr>
              <w:t>1.</w:t>
            </w:r>
            <w:r w:rsidRPr="00BE129C">
              <w:rPr>
                <w:i/>
                <w:szCs w:val="24"/>
              </w:rPr>
              <w:t xml:space="preserve"> are:</w:t>
            </w:r>
          </w:p>
          <w:p w:rsidR="00487D34" w:rsidRPr="00BE129C" w:rsidRDefault="00487D34" w:rsidP="00E354EE">
            <w:pPr>
              <w:spacing w:after="0" w:line="280" w:lineRule="atLeast"/>
              <w:contextualSpacing/>
              <w:rPr>
                <w:szCs w:val="24"/>
              </w:rPr>
            </w:pPr>
          </w:p>
          <w:p w:rsidR="00AA76B9" w:rsidRPr="00BE129C" w:rsidRDefault="00AA76B9" w:rsidP="00686F24">
            <w:pPr>
              <w:numPr>
                <w:ilvl w:val="0"/>
                <w:numId w:val="44"/>
              </w:numPr>
              <w:spacing w:after="0" w:line="280" w:lineRule="atLeast"/>
              <w:contextualSpacing/>
              <w:rPr>
                <w:szCs w:val="24"/>
              </w:rPr>
            </w:pPr>
            <w:r w:rsidRPr="00BE129C">
              <w:rPr>
                <w:szCs w:val="24"/>
              </w:rPr>
              <w:t>Support to business support institutions and establishment of and support to existing and new business related sectorial networks and organisations in order to enhance standardisation, product protection, marketing and development of cross-border markets.</w:t>
            </w:r>
          </w:p>
          <w:p w:rsidR="00AA76B9" w:rsidRPr="00BE129C" w:rsidRDefault="00AA76B9" w:rsidP="00686F24">
            <w:pPr>
              <w:numPr>
                <w:ilvl w:val="0"/>
                <w:numId w:val="44"/>
              </w:numPr>
              <w:spacing w:after="0" w:line="280" w:lineRule="atLeast"/>
              <w:contextualSpacing/>
              <w:rPr>
                <w:szCs w:val="24"/>
              </w:rPr>
            </w:pPr>
            <w:r w:rsidRPr="00BE129C">
              <w:rPr>
                <w:szCs w:val="24"/>
              </w:rPr>
              <w:t>Developing and supporting existing business clusters and networks of SMEs in order to develop and promote common products for local cross-border and international markets.</w:t>
            </w:r>
          </w:p>
          <w:p w:rsidR="00AA76B9" w:rsidRPr="00BE129C" w:rsidRDefault="00AA76B9" w:rsidP="00686F24">
            <w:pPr>
              <w:numPr>
                <w:ilvl w:val="0"/>
                <w:numId w:val="44"/>
              </w:numPr>
              <w:spacing w:after="0" w:line="280" w:lineRule="atLeast"/>
              <w:contextualSpacing/>
              <w:rPr>
                <w:szCs w:val="24"/>
              </w:rPr>
            </w:pPr>
            <w:r w:rsidRPr="00BE129C">
              <w:rPr>
                <w:szCs w:val="24"/>
              </w:rPr>
              <w:t>Improving communication and cooperation between SMEs and business support institutions at national, regional and local level in the programme area.</w:t>
            </w:r>
          </w:p>
          <w:p w:rsidR="00AA76B9" w:rsidRPr="00BE129C" w:rsidRDefault="00AA76B9" w:rsidP="00686F24">
            <w:pPr>
              <w:numPr>
                <w:ilvl w:val="0"/>
                <w:numId w:val="44"/>
              </w:numPr>
              <w:spacing w:after="0" w:line="280" w:lineRule="atLeast"/>
              <w:contextualSpacing/>
              <w:rPr>
                <w:szCs w:val="24"/>
              </w:rPr>
            </w:pPr>
            <w:r w:rsidRPr="00BE129C">
              <w:rPr>
                <w:szCs w:val="24"/>
              </w:rPr>
              <w:t>Supporting business support institutions in improving the capacity of entrepreneurs including micro entrepreneurs such as family farms/households regarding marketing, branding, market research, e-business, competitiveness and education and training in entrepreneurship skills.</w:t>
            </w:r>
          </w:p>
          <w:p w:rsidR="00AA76B9" w:rsidRPr="00BE129C" w:rsidRDefault="00AA76B9" w:rsidP="00686F24">
            <w:pPr>
              <w:numPr>
                <w:ilvl w:val="0"/>
                <w:numId w:val="44"/>
              </w:numPr>
              <w:spacing w:after="0" w:line="280" w:lineRule="atLeast"/>
              <w:contextualSpacing/>
              <w:rPr>
                <w:szCs w:val="24"/>
              </w:rPr>
            </w:pPr>
            <w:r w:rsidRPr="00BE129C">
              <w:rPr>
                <w:szCs w:val="24"/>
              </w:rPr>
              <w:lastRenderedPageBreak/>
              <w:t>Support to actions directly linked to attracting direct investments in the programme area.</w:t>
            </w:r>
          </w:p>
          <w:p w:rsidR="00AA76B9" w:rsidRPr="00BE129C" w:rsidRDefault="00AA76B9" w:rsidP="00686F24">
            <w:pPr>
              <w:numPr>
                <w:ilvl w:val="0"/>
                <w:numId w:val="44"/>
              </w:numPr>
              <w:spacing w:after="0" w:line="280" w:lineRule="atLeast"/>
              <w:contextualSpacing/>
              <w:rPr>
                <w:szCs w:val="24"/>
              </w:rPr>
            </w:pPr>
            <w:r w:rsidRPr="00BE129C">
              <w:rPr>
                <w:szCs w:val="24"/>
              </w:rPr>
              <w:t>Increasing cooperation between research institutions, businesses, public sector &amp; development organisations to stimulate innovation and entrepreneurship to improve business innovativeness and technology based on smart specialization approach.</w:t>
            </w:r>
          </w:p>
          <w:p w:rsidR="00AA76B9" w:rsidRPr="00BE129C" w:rsidRDefault="00AA76B9" w:rsidP="00686F24">
            <w:pPr>
              <w:numPr>
                <w:ilvl w:val="0"/>
                <w:numId w:val="44"/>
              </w:numPr>
              <w:spacing w:after="0" w:line="280" w:lineRule="atLeast"/>
              <w:contextualSpacing/>
              <w:rPr>
                <w:szCs w:val="24"/>
              </w:rPr>
            </w:pPr>
            <w:r w:rsidRPr="00BE129C">
              <w:rPr>
                <w:szCs w:val="24"/>
              </w:rPr>
              <w:t>Support to actions related to development of innovative products and services (e.g. patents, industrial design, trademark and innovation etc.)</w:t>
            </w:r>
          </w:p>
          <w:p w:rsidR="00AA76B9" w:rsidRPr="00BE129C" w:rsidRDefault="00AA76B9" w:rsidP="00686F24">
            <w:pPr>
              <w:numPr>
                <w:ilvl w:val="0"/>
                <w:numId w:val="44"/>
              </w:numPr>
              <w:spacing w:after="0" w:line="280" w:lineRule="atLeast"/>
              <w:contextualSpacing/>
              <w:rPr>
                <w:szCs w:val="24"/>
              </w:rPr>
            </w:pPr>
            <w:r w:rsidRPr="00BE129C">
              <w:rPr>
                <w:szCs w:val="24"/>
              </w:rPr>
              <w:t>Promoting and introducing (international) certifications and standards of existing and new products and services.</w:t>
            </w:r>
          </w:p>
          <w:p w:rsidR="00CF3112" w:rsidRPr="00BE129C" w:rsidRDefault="00AA76B9" w:rsidP="00686F24">
            <w:pPr>
              <w:numPr>
                <w:ilvl w:val="0"/>
                <w:numId w:val="44"/>
              </w:numPr>
              <w:spacing w:after="0" w:line="280" w:lineRule="atLeast"/>
              <w:contextualSpacing/>
              <w:rPr>
                <w:szCs w:val="24"/>
              </w:rPr>
            </w:pPr>
            <w:r w:rsidRPr="00BE129C">
              <w:rPr>
                <w:szCs w:val="24"/>
              </w:rPr>
              <w:t>Joint research and development activities involving the research and educational centres in the programme area in order to increase competitiveness.</w:t>
            </w:r>
          </w:p>
          <w:p w:rsidR="004A1BE0" w:rsidRPr="00BE129C" w:rsidRDefault="004A1BE0" w:rsidP="00E354EE">
            <w:pPr>
              <w:spacing w:after="0" w:line="280" w:lineRule="atLeast"/>
              <w:contextualSpacing/>
              <w:rPr>
                <w:i/>
                <w:szCs w:val="24"/>
              </w:rPr>
            </w:pPr>
          </w:p>
          <w:p w:rsidR="00487D34" w:rsidRPr="00BE129C" w:rsidRDefault="00487D34" w:rsidP="00E354EE">
            <w:pPr>
              <w:spacing w:after="0" w:line="280" w:lineRule="atLeast"/>
              <w:contextualSpacing/>
              <w:rPr>
                <w:szCs w:val="24"/>
              </w:rPr>
            </w:pPr>
            <w:r w:rsidRPr="00BE129C">
              <w:rPr>
                <w:i/>
                <w:szCs w:val="24"/>
              </w:rPr>
              <w:t>Main target groups and types of beneficiaries</w:t>
            </w:r>
          </w:p>
          <w:p w:rsidR="00487D34" w:rsidRPr="00BE129C" w:rsidRDefault="00487D34" w:rsidP="00E354EE">
            <w:pPr>
              <w:spacing w:after="0" w:line="280" w:lineRule="atLeast"/>
              <w:contextualSpacing/>
              <w:rPr>
                <w:szCs w:val="24"/>
              </w:rPr>
            </w:pPr>
            <w:r w:rsidRPr="00BE129C">
              <w:rPr>
                <w:szCs w:val="24"/>
              </w:rPr>
              <w:t xml:space="preserve">The main target groups to be understood as those individuals and/or organisations positively affected by the activities and results of an operation, though not necessarily being directly involved in the operation. They include private, public and civil sector, such as enterprises, policy makers and planners, organisations dealing with </w:t>
            </w:r>
            <w:r w:rsidR="007E44E9" w:rsidRPr="00BE129C">
              <w:rPr>
                <w:szCs w:val="24"/>
              </w:rPr>
              <w:t>different economy se</w:t>
            </w:r>
            <w:r w:rsidR="007E4744" w:rsidRPr="00BE129C">
              <w:rPr>
                <w:szCs w:val="24"/>
              </w:rPr>
              <w:t>c</w:t>
            </w:r>
            <w:r w:rsidR="007E44E9" w:rsidRPr="00BE129C">
              <w:rPr>
                <w:szCs w:val="24"/>
              </w:rPr>
              <w:t>tors</w:t>
            </w:r>
            <w:r w:rsidRPr="00BE129C">
              <w:rPr>
                <w:szCs w:val="24"/>
              </w:rPr>
              <w:t xml:space="preserve"> as well as all population groups which are affected by the issue.</w:t>
            </w:r>
          </w:p>
          <w:p w:rsidR="00487D34" w:rsidRPr="00BE129C" w:rsidRDefault="00487D34" w:rsidP="00B834B6">
            <w:pPr>
              <w:spacing w:after="0" w:line="280" w:lineRule="atLeast"/>
              <w:contextualSpacing/>
              <w:rPr>
                <w:szCs w:val="24"/>
              </w:rPr>
            </w:pPr>
            <w:r w:rsidRPr="00BE129C">
              <w:rPr>
                <w:szCs w:val="24"/>
              </w:rPr>
              <w:t xml:space="preserve">Beneficiaries to be understood as project partners benefitting from programme funds and implementing activities within the operation are all legal personalities that can contribute to </w:t>
            </w:r>
            <w:r w:rsidR="00A413B4" w:rsidRPr="00BE129C">
              <w:rPr>
                <w:szCs w:val="24"/>
              </w:rPr>
              <w:t xml:space="preserve">improvement of competitiveness and development of business environment in the programme area. </w:t>
            </w:r>
            <w:r w:rsidRPr="00BE129C">
              <w:rPr>
                <w:szCs w:val="24"/>
              </w:rPr>
              <w:t xml:space="preserve">They comprise amongst others: </w:t>
            </w:r>
            <w:r w:rsidR="00C73CBC">
              <w:rPr>
                <w:szCs w:val="24"/>
              </w:rPr>
              <w:t xml:space="preserve">business support institutions, </w:t>
            </w:r>
            <w:r w:rsidR="00B834B6" w:rsidRPr="00BE129C">
              <w:rPr>
                <w:szCs w:val="24"/>
              </w:rPr>
              <w:t>NGOs (for example citizens associations, development agencies, local action groups, chambers, expert associations, clusters, producers associations and SME networks etc.), public institutions (for example institutes and other research organisations, development agencies national/regional/local institutions responsible for environment and nature, national/regional/local institutions responsible for culture including museums, libraries and theatres, etc.), educational institutions (for example universities, faculties, open universities, adult education institutions, primary and secondary schools etc.), local and regional authorities, business supporting organisations (for examples entrepreneurship centres and incubators, business zones and parks, etc</w:t>
            </w:r>
            <w:r w:rsidR="00421815" w:rsidRPr="00BE129C">
              <w:rPr>
                <w:szCs w:val="24"/>
              </w:rPr>
              <w:t>.</w:t>
            </w:r>
            <w:r w:rsidR="00B834B6" w:rsidRPr="00BE129C">
              <w:rPr>
                <w:szCs w:val="24"/>
              </w:rPr>
              <w:t>), cooperatives, etc.</w:t>
            </w:r>
          </w:p>
          <w:p w:rsidR="00487D34" w:rsidRPr="00BE129C" w:rsidRDefault="00487D34" w:rsidP="00E354EE">
            <w:pPr>
              <w:spacing w:after="0" w:line="280" w:lineRule="atLeast"/>
              <w:contextualSpacing/>
              <w:rPr>
                <w:i/>
                <w:szCs w:val="24"/>
              </w:rPr>
            </w:pPr>
          </w:p>
          <w:p w:rsidR="00487D34" w:rsidRPr="00BE129C" w:rsidRDefault="00487D34" w:rsidP="00E354EE">
            <w:pPr>
              <w:spacing w:after="0" w:line="280" w:lineRule="atLeast"/>
              <w:contextualSpacing/>
              <w:rPr>
                <w:i/>
                <w:szCs w:val="24"/>
              </w:rPr>
            </w:pPr>
            <w:r w:rsidRPr="00BE129C">
              <w:rPr>
                <w:i/>
                <w:szCs w:val="24"/>
              </w:rPr>
              <w:t>Specific territories targeted</w:t>
            </w:r>
          </w:p>
          <w:p w:rsidR="00487D34" w:rsidRPr="00BE129C" w:rsidRDefault="00487D34" w:rsidP="00E354EE">
            <w:pPr>
              <w:spacing w:after="0" w:line="280" w:lineRule="atLeast"/>
              <w:contextualSpacing/>
              <w:rPr>
                <w:szCs w:val="24"/>
              </w:rPr>
            </w:pPr>
            <w:r w:rsidRPr="00BE129C">
              <w:rPr>
                <w:szCs w:val="24"/>
              </w:rPr>
              <w:t>Taking into account that common potentials and challenges have been identified throughout the whole programme area, no specific territories will be</w:t>
            </w:r>
            <w:r w:rsidR="00C73CBC">
              <w:rPr>
                <w:szCs w:val="24"/>
              </w:rPr>
              <w:t xml:space="preserve"> targeted under the Priority axi</w:t>
            </w:r>
            <w:r w:rsidRPr="00BE129C">
              <w:rPr>
                <w:szCs w:val="24"/>
              </w:rPr>
              <w:t xml:space="preserve">s </w:t>
            </w:r>
            <w:r w:rsidR="002140CD" w:rsidRPr="00BE129C">
              <w:rPr>
                <w:szCs w:val="24"/>
              </w:rPr>
              <w:t>4</w:t>
            </w:r>
            <w:r w:rsidR="00C73CBC">
              <w:rPr>
                <w:szCs w:val="24"/>
              </w:rPr>
              <w:t xml:space="preserve">. </w:t>
            </w:r>
            <w:r w:rsidRPr="00BE129C">
              <w:rPr>
                <w:szCs w:val="24"/>
              </w:rPr>
              <w:t>Therefore, the supported actions can be implemented throughout the whole programme area.</w:t>
            </w:r>
          </w:p>
        </w:tc>
      </w:tr>
    </w:tbl>
    <w:p w:rsidR="00487D34" w:rsidRPr="00B76110" w:rsidRDefault="00487D34" w:rsidP="00487D34">
      <w:pPr>
        <w:keepNext/>
        <w:spacing w:after="240"/>
        <w:outlineLvl w:val="2"/>
        <w:rPr>
          <w:rFonts w:eastAsia="Times New Roman"/>
          <w:b/>
          <w:i/>
        </w:rPr>
      </w:pPr>
    </w:p>
    <w:p w:rsidR="00487D34" w:rsidRDefault="00487D34" w:rsidP="00487D34">
      <w:pPr>
        <w:keepNext/>
        <w:spacing w:after="240"/>
        <w:ind w:left="720" w:hanging="720"/>
        <w:outlineLvl w:val="2"/>
        <w:rPr>
          <w:rFonts w:eastAsia="Times New Roman"/>
          <w:b/>
          <w:i/>
        </w:rPr>
      </w:pPr>
      <w:r>
        <w:rPr>
          <w:rFonts w:eastAsia="Times New Roman"/>
          <w:b/>
          <w:i/>
        </w:rPr>
        <w:t>2.</w:t>
      </w:r>
      <w:r w:rsidR="00421815">
        <w:rPr>
          <w:rFonts w:eastAsia="Times New Roman"/>
          <w:b/>
          <w:i/>
        </w:rPr>
        <w:t>4</w:t>
      </w:r>
      <w:r w:rsidRPr="00B76110">
        <w:rPr>
          <w:rFonts w:eastAsia="Times New Roman"/>
          <w:b/>
          <w:i/>
        </w:rPr>
        <w:t>.</w:t>
      </w:r>
      <w:r>
        <w:rPr>
          <w:rFonts w:eastAsia="Times New Roman"/>
          <w:b/>
          <w:i/>
        </w:rPr>
        <w:t>5</w:t>
      </w:r>
      <w:r w:rsidRPr="00B76110">
        <w:rPr>
          <w:rFonts w:eastAsia="Times New Roman"/>
          <w:b/>
          <w:i/>
        </w:rPr>
        <w:t>.2.</w:t>
      </w:r>
      <w:r>
        <w:rPr>
          <w:rFonts w:eastAsia="Times New Roman"/>
          <w:b/>
          <w:i/>
        </w:rPr>
        <w:t xml:space="preserve"> G</w:t>
      </w:r>
      <w:r w:rsidRPr="00B76110">
        <w:rPr>
          <w:rFonts w:eastAsia="Times New Roman"/>
          <w:b/>
          <w:i/>
        </w:rPr>
        <w:t>uiding principles for</w:t>
      </w:r>
      <w:r>
        <w:rPr>
          <w:rFonts w:eastAsia="Times New Roman"/>
          <w:b/>
          <w:i/>
        </w:rPr>
        <w:t xml:space="preserve"> </w:t>
      </w:r>
      <w:r w:rsidRPr="00B76110">
        <w:rPr>
          <w:rFonts w:eastAsia="Times New Roman"/>
          <w:b/>
          <w:i/>
        </w:rPr>
        <w:t xml:space="preserve">the selection of operations </w:t>
      </w:r>
    </w:p>
    <w:p w:rsidR="00487D34" w:rsidRPr="00567F19" w:rsidRDefault="00487D34" w:rsidP="00487D34">
      <w:r w:rsidRPr="00567F19">
        <w:t xml:space="preserve">(Reference: </w:t>
      </w:r>
      <w:r>
        <w:t xml:space="preserve">point (b) (iii)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487D34" w:rsidRPr="00B76110" w:rsidTr="00E354EE">
        <w:trPr>
          <w:trHeight w:val="518"/>
        </w:trPr>
        <w:tc>
          <w:tcPr>
            <w:tcW w:w="2235" w:type="dxa"/>
            <w:shd w:val="clear" w:color="auto" w:fill="auto"/>
          </w:tcPr>
          <w:p w:rsidR="00487D34" w:rsidRPr="00B76110" w:rsidRDefault="00487D34" w:rsidP="00E354EE">
            <w:pPr>
              <w:spacing w:after="0"/>
              <w:rPr>
                <w:rFonts w:eastAsia="Times New Roman"/>
                <w:i/>
                <w:color w:val="8DB3E2"/>
                <w:sz w:val="18"/>
                <w:szCs w:val="18"/>
              </w:rPr>
            </w:pPr>
            <w:r>
              <w:rPr>
                <w:rFonts w:eastAsia="Times New Roman"/>
                <w:i/>
              </w:rPr>
              <w:t>Thematic</w:t>
            </w:r>
            <w:r w:rsidRPr="00B76110">
              <w:rPr>
                <w:rFonts w:eastAsia="Times New Roman"/>
                <w:i/>
              </w:rPr>
              <w:t xml:space="preserve"> </w:t>
            </w:r>
            <w:r>
              <w:rPr>
                <w:rFonts w:eastAsia="Times New Roman"/>
                <w:i/>
              </w:rPr>
              <w:t>p</w:t>
            </w:r>
            <w:r w:rsidRPr="00B76110">
              <w:rPr>
                <w:rFonts w:eastAsia="Times New Roman"/>
                <w:i/>
              </w:rPr>
              <w:t>riority</w:t>
            </w:r>
          </w:p>
        </w:tc>
        <w:tc>
          <w:tcPr>
            <w:tcW w:w="6443" w:type="dxa"/>
            <w:shd w:val="clear" w:color="auto" w:fill="auto"/>
          </w:tcPr>
          <w:p w:rsidR="00487D34" w:rsidRPr="000C0BCF" w:rsidRDefault="00717F5F" w:rsidP="00717F5F">
            <w:pPr>
              <w:spacing w:after="0"/>
              <w:rPr>
                <w:rFonts w:eastAsia="Times New Roman"/>
                <w:szCs w:val="24"/>
              </w:rPr>
            </w:pPr>
            <w:r>
              <w:rPr>
                <w:rFonts w:eastAsia="Times New Roman"/>
                <w:szCs w:val="24"/>
              </w:rPr>
              <w:t>PA4 (</w:t>
            </w:r>
            <w:r w:rsidR="00487D34">
              <w:rPr>
                <w:rFonts w:eastAsia="Times New Roman"/>
                <w:szCs w:val="24"/>
              </w:rPr>
              <w:t xml:space="preserve">TP </w:t>
            </w:r>
            <w:r w:rsidR="00421815">
              <w:rPr>
                <w:rFonts w:eastAsia="Times New Roman"/>
                <w:szCs w:val="24"/>
              </w:rPr>
              <w:t>7</w:t>
            </w:r>
            <w:r>
              <w:rPr>
                <w:rFonts w:eastAsia="Times New Roman"/>
                <w:szCs w:val="24"/>
              </w:rPr>
              <w:t>)</w:t>
            </w:r>
            <w:r w:rsidR="00487D34">
              <w:rPr>
                <w:rFonts w:eastAsia="Times New Roman"/>
                <w:szCs w:val="24"/>
              </w:rPr>
              <w:t xml:space="preserve"> </w:t>
            </w:r>
          </w:p>
        </w:tc>
      </w:tr>
      <w:tr w:rsidR="00487D34" w:rsidRPr="00B76110" w:rsidTr="00E354EE">
        <w:trPr>
          <w:trHeight w:val="1088"/>
        </w:trPr>
        <w:tc>
          <w:tcPr>
            <w:tcW w:w="8678" w:type="dxa"/>
            <w:gridSpan w:val="2"/>
            <w:shd w:val="clear" w:color="auto" w:fill="auto"/>
          </w:tcPr>
          <w:p w:rsidR="00487D34" w:rsidRPr="00E65620" w:rsidRDefault="00717F5F" w:rsidP="00A70653">
            <w:pPr>
              <w:spacing w:after="0"/>
              <w:rPr>
                <w:rFonts w:eastAsia="Times New Roman"/>
                <w:szCs w:val="24"/>
              </w:rPr>
            </w:pPr>
            <w:r w:rsidRPr="00682003">
              <w:rPr>
                <w:szCs w:val="24"/>
              </w:rPr>
              <w:lastRenderedPageBreak/>
              <w:t xml:space="preserve">The selection of operations will be carried out following the guiding principles and the methodological framework as outlined in Section </w:t>
            </w:r>
            <w:r w:rsidRPr="009164F1">
              <w:rPr>
                <w:szCs w:val="24"/>
              </w:rPr>
              <w:t>2.1</w:t>
            </w:r>
            <w:r w:rsidRPr="00682003">
              <w:rPr>
                <w:szCs w:val="24"/>
              </w:rPr>
              <w:t>.5.2. referring to Priority axis 1.</w:t>
            </w:r>
          </w:p>
        </w:tc>
      </w:tr>
    </w:tbl>
    <w:p w:rsidR="00487D34" w:rsidRDefault="00487D34" w:rsidP="00487D34">
      <w:pPr>
        <w:tabs>
          <w:tab w:val="left" w:pos="2302"/>
        </w:tabs>
        <w:spacing w:after="240"/>
        <w:rPr>
          <w:rFonts w:eastAsia="Times New Roman"/>
          <w:szCs w:val="24"/>
        </w:rPr>
      </w:pPr>
    </w:p>
    <w:p w:rsidR="00487D34" w:rsidRDefault="00487D34" w:rsidP="00487D34">
      <w:r>
        <w:rPr>
          <w:rFonts w:eastAsia="Times New Roman"/>
          <w:b/>
          <w:i/>
        </w:rPr>
        <w:t>2.3</w:t>
      </w:r>
      <w:r w:rsidRPr="00B76110">
        <w:rPr>
          <w:rFonts w:eastAsia="Times New Roman"/>
          <w:b/>
          <w:i/>
        </w:rPr>
        <w:t>.</w:t>
      </w:r>
      <w:r>
        <w:rPr>
          <w:rFonts w:eastAsia="Times New Roman"/>
          <w:b/>
          <w:i/>
        </w:rPr>
        <w:t>5</w:t>
      </w:r>
      <w:r w:rsidRPr="00B76110">
        <w:rPr>
          <w:rFonts w:eastAsia="Times New Roman"/>
          <w:b/>
          <w:i/>
        </w:rPr>
        <w:t xml:space="preserve">.3. </w:t>
      </w:r>
      <w:r>
        <w:rPr>
          <w:rFonts w:eastAsia="Times New Roman"/>
          <w:b/>
          <w:i/>
        </w:rPr>
        <w:t>P</w:t>
      </w:r>
      <w:r w:rsidRPr="00B76110">
        <w:rPr>
          <w:rFonts w:eastAsia="Times New Roman"/>
          <w:b/>
          <w:i/>
        </w:rPr>
        <w:t xml:space="preserve">lanned use of financial instruments </w:t>
      </w:r>
      <w:r>
        <w:t xml:space="preserve">(where appropriate) </w:t>
      </w:r>
    </w:p>
    <w:p w:rsidR="00487D34" w:rsidRPr="00567F19" w:rsidRDefault="00487D34" w:rsidP="00487D34">
      <w:r w:rsidRPr="00567F19">
        <w:t xml:space="preserve">(Reference: </w:t>
      </w:r>
      <w:r>
        <w:t xml:space="preserve">point (b) (iii)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39"/>
      </w:tblGrid>
      <w:tr w:rsidR="00487D34" w:rsidRPr="00B76110" w:rsidTr="00E354EE">
        <w:trPr>
          <w:trHeight w:val="518"/>
        </w:trPr>
        <w:tc>
          <w:tcPr>
            <w:tcW w:w="4339" w:type="dxa"/>
            <w:shd w:val="clear" w:color="auto" w:fill="auto"/>
          </w:tcPr>
          <w:p w:rsidR="00487D34" w:rsidRPr="00B76110" w:rsidRDefault="00487D34" w:rsidP="00E354EE">
            <w:pPr>
              <w:spacing w:after="240"/>
              <w:rPr>
                <w:rFonts w:eastAsia="Times New Roman"/>
                <w:i/>
                <w:color w:val="8DB3E2"/>
                <w:sz w:val="18"/>
                <w:szCs w:val="18"/>
              </w:rPr>
            </w:pPr>
            <w:r>
              <w:rPr>
                <w:rFonts w:eastAsia="Times New Roman"/>
                <w:i/>
              </w:rPr>
              <w:t>Thematic</w:t>
            </w:r>
            <w:r w:rsidRPr="00B76110">
              <w:rPr>
                <w:rFonts w:eastAsia="Times New Roman"/>
                <w:i/>
              </w:rPr>
              <w:t xml:space="preserve"> </w:t>
            </w:r>
            <w:r>
              <w:rPr>
                <w:rFonts w:eastAsia="Times New Roman"/>
                <w:i/>
              </w:rPr>
              <w:t>p</w:t>
            </w:r>
            <w:r w:rsidRPr="00B76110">
              <w:rPr>
                <w:rFonts w:eastAsia="Times New Roman"/>
                <w:i/>
              </w:rPr>
              <w:t>riority</w:t>
            </w:r>
          </w:p>
        </w:tc>
        <w:tc>
          <w:tcPr>
            <w:tcW w:w="4339" w:type="dxa"/>
            <w:shd w:val="clear" w:color="auto" w:fill="auto"/>
          </w:tcPr>
          <w:p w:rsidR="00487D34" w:rsidRPr="00B76110" w:rsidRDefault="00D72EC9" w:rsidP="00F4635D">
            <w:pPr>
              <w:spacing w:after="240"/>
              <w:rPr>
                <w:rFonts w:eastAsia="Times New Roman"/>
                <w:i/>
                <w:color w:val="8DB3E2"/>
                <w:sz w:val="18"/>
                <w:szCs w:val="18"/>
              </w:rPr>
            </w:pPr>
            <w:r>
              <w:rPr>
                <w:rFonts w:eastAsia="Times New Roman"/>
                <w:szCs w:val="24"/>
              </w:rPr>
              <w:t>PA 4 (</w:t>
            </w:r>
            <w:r w:rsidRPr="00BE129C">
              <w:rPr>
                <w:rFonts w:eastAsia="Times New Roman"/>
                <w:szCs w:val="24"/>
              </w:rPr>
              <w:t>TP 7</w:t>
            </w:r>
            <w:r>
              <w:rPr>
                <w:rFonts w:eastAsia="Times New Roman"/>
                <w:szCs w:val="24"/>
              </w:rPr>
              <w:t>)</w:t>
            </w:r>
            <w:r w:rsidRPr="00BE129C">
              <w:rPr>
                <w:rFonts w:eastAsia="Times New Roman"/>
                <w:szCs w:val="24"/>
              </w:rPr>
              <w:t xml:space="preserve"> </w:t>
            </w:r>
            <w:r w:rsidR="00EE1846" w:rsidRPr="00EE1846">
              <w:rPr>
                <w:rFonts w:eastAsia="Times New Roman"/>
                <w:szCs w:val="24"/>
              </w:rPr>
              <w:t>Competitiveness and business environment development</w:t>
            </w:r>
          </w:p>
        </w:tc>
      </w:tr>
      <w:tr w:rsidR="00487D34" w:rsidRPr="00B76110" w:rsidTr="00E354EE">
        <w:trPr>
          <w:trHeight w:val="379"/>
        </w:trPr>
        <w:tc>
          <w:tcPr>
            <w:tcW w:w="4339" w:type="dxa"/>
            <w:shd w:val="clear" w:color="auto" w:fill="auto"/>
          </w:tcPr>
          <w:p w:rsidR="00487D34" w:rsidRPr="00B76110" w:rsidRDefault="00487D34" w:rsidP="00E354EE">
            <w:pPr>
              <w:spacing w:after="240"/>
              <w:rPr>
                <w:rFonts w:eastAsia="Times New Roman"/>
                <w:i/>
                <w:color w:val="8DB3E2"/>
                <w:sz w:val="18"/>
                <w:szCs w:val="18"/>
              </w:rPr>
            </w:pPr>
            <w:r w:rsidRPr="00B76110">
              <w:rPr>
                <w:rFonts w:eastAsia="Times New Roman"/>
                <w:i/>
              </w:rPr>
              <w:t>Planned use of financial instruments</w:t>
            </w:r>
          </w:p>
        </w:tc>
        <w:tc>
          <w:tcPr>
            <w:tcW w:w="4339" w:type="dxa"/>
            <w:shd w:val="clear" w:color="auto" w:fill="auto"/>
          </w:tcPr>
          <w:p w:rsidR="00487D34" w:rsidRPr="00DE0643" w:rsidRDefault="00487D34" w:rsidP="00E354EE">
            <w:pPr>
              <w:spacing w:after="240"/>
              <w:rPr>
                <w:rFonts w:eastAsia="Times New Roman"/>
                <w:color w:val="8DB3E2"/>
                <w:szCs w:val="24"/>
              </w:rPr>
            </w:pPr>
            <w:r>
              <w:rPr>
                <w:rFonts w:eastAsia="Times New Roman"/>
                <w:szCs w:val="24"/>
              </w:rPr>
              <w:t>N/A</w:t>
            </w:r>
          </w:p>
        </w:tc>
      </w:tr>
      <w:tr w:rsidR="00487D34" w:rsidRPr="00B76110" w:rsidTr="00E354EE">
        <w:trPr>
          <w:trHeight w:val="476"/>
        </w:trPr>
        <w:tc>
          <w:tcPr>
            <w:tcW w:w="8678" w:type="dxa"/>
            <w:gridSpan w:val="2"/>
            <w:shd w:val="clear" w:color="auto" w:fill="auto"/>
          </w:tcPr>
          <w:p w:rsidR="00487D34" w:rsidRPr="0041684A" w:rsidRDefault="00487D34" w:rsidP="00E354EE">
            <w:pPr>
              <w:spacing w:after="0"/>
              <w:rPr>
                <w:rFonts w:eastAsia="Times New Roman"/>
                <w:szCs w:val="24"/>
              </w:rPr>
            </w:pPr>
            <w:r w:rsidRPr="00400D63">
              <w:rPr>
                <w:rFonts w:eastAsia="Times New Roman"/>
                <w:szCs w:val="24"/>
              </w:rPr>
              <w:t>N/A</w:t>
            </w:r>
          </w:p>
        </w:tc>
      </w:tr>
    </w:tbl>
    <w:p w:rsidR="00487D34" w:rsidRDefault="00487D34" w:rsidP="00487D34">
      <w:pPr>
        <w:keepNext/>
        <w:spacing w:after="240"/>
        <w:ind w:left="851" w:hanging="851"/>
        <w:outlineLvl w:val="2"/>
        <w:rPr>
          <w:rFonts w:eastAsia="Times New Roman"/>
          <w:b/>
          <w:i/>
        </w:rPr>
      </w:pPr>
    </w:p>
    <w:p w:rsidR="00487D34" w:rsidRPr="00B76110" w:rsidRDefault="00487D34" w:rsidP="00487D34">
      <w:pPr>
        <w:tabs>
          <w:tab w:val="left" w:pos="720"/>
        </w:tabs>
        <w:rPr>
          <w:rFonts w:eastAsia="Times New Roman"/>
          <w:b/>
        </w:rPr>
        <w:sectPr w:rsidR="00487D34" w:rsidRPr="00B76110" w:rsidSect="006A4BDD">
          <w:headerReference w:type="default" r:id="rId39"/>
          <w:footerReference w:type="default" r:id="rId40"/>
          <w:headerReference w:type="first" r:id="rId41"/>
          <w:footerReference w:type="first" r:id="rId42"/>
          <w:pgSz w:w="11906" w:h="16838"/>
          <w:pgMar w:top="1021" w:right="1418" w:bottom="1021" w:left="1418" w:header="601" w:footer="1077" w:gutter="0"/>
          <w:cols w:space="720"/>
          <w:docGrid w:linePitch="326"/>
        </w:sectPr>
      </w:pPr>
    </w:p>
    <w:p w:rsidR="00487D34" w:rsidRDefault="00487D34" w:rsidP="00487D34">
      <w:pPr>
        <w:rPr>
          <w:b/>
        </w:rPr>
      </w:pPr>
      <w:r>
        <w:rPr>
          <w:b/>
        </w:rPr>
        <w:lastRenderedPageBreak/>
        <w:t>2.</w:t>
      </w:r>
      <w:r w:rsidR="00012F0E">
        <w:rPr>
          <w:b/>
        </w:rPr>
        <w:t>4</w:t>
      </w:r>
      <w:r>
        <w:rPr>
          <w:b/>
        </w:rPr>
        <w:t xml:space="preserve">.6 Common and programme specific indicators </w:t>
      </w:r>
    </w:p>
    <w:p w:rsidR="00487D34" w:rsidRPr="00567F19" w:rsidRDefault="00487D34" w:rsidP="00487D34">
      <w:r w:rsidRPr="00567F19">
        <w:t>(</w:t>
      </w:r>
      <w:r w:rsidRPr="00FE0561">
        <w:t xml:space="preserve">Reference: point (b)(ii) </w:t>
      </w:r>
      <w:r>
        <w:t>and (b)</w:t>
      </w:r>
      <w:r w:rsidRPr="00EC0786">
        <w:t xml:space="preserve">(iv) </w:t>
      </w:r>
      <w:r w:rsidRPr="00FE0561">
        <w:t>of Article 8(2) of Regulation (EU) No 1299/2013</w:t>
      </w:r>
      <w:r>
        <w:t xml:space="preserve"> and Article 2(2) of IPA II Implementing Regulation</w:t>
      </w:r>
      <w:r w:rsidRPr="00567F19">
        <w:t>)</w:t>
      </w:r>
    </w:p>
    <w:p w:rsidR="00487D34" w:rsidRDefault="00487D34" w:rsidP="00487D34">
      <w:pPr>
        <w:rPr>
          <w:b/>
          <w:i/>
        </w:rPr>
      </w:pPr>
    </w:p>
    <w:p w:rsidR="00487D34" w:rsidRPr="0019744A" w:rsidRDefault="00487D34" w:rsidP="00487D34">
      <w:pPr>
        <w:rPr>
          <w:b/>
        </w:rPr>
      </w:pPr>
      <w:r w:rsidRPr="00A366E4">
        <w:rPr>
          <w:b/>
          <w:i/>
        </w:rPr>
        <w:t>2.</w:t>
      </w:r>
      <w:r w:rsidR="00012F0E">
        <w:rPr>
          <w:b/>
          <w:i/>
        </w:rPr>
        <w:t>4</w:t>
      </w:r>
      <w:r w:rsidRPr="00A366E4">
        <w:rPr>
          <w:b/>
          <w:i/>
        </w:rPr>
        <w:t xml:space="preserve">.6.1 Priority axis </w:t>
      </w:r>
      <w:r>
        <w:rPr>
          <w:b/>
          <w:i/>
        </w:rPr>
        <w:t>result</w:t>
      </w:r>
      <w:r w:rsidRPr="00A366E4">
        <w:rPr>
          <w:b/>
          <w:i/>
        </w:rPr>
        <w:t xml:space="preserve"> indicators (programme specific)</w:t>
      </w:r>
    </w:p>
    <w:p w:rsidR="00487D34" w:rsidRDefault="00487D34" w:rsidP="00487D34">
      <w:r w:rsidRPr="00567F19">
        <w:rPr>
          <w:b/>
        </w:rPr>
        <w:t>Table 3: Programme specific result indicators</w:t>
      </w:r>
      <w:r w:rsidRPr="00B76110">
        <w:t xml:space="preserve"> </w:t>
      </w:r>
    </w:p>
    <w:tbl>
      <w:tblPr>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2038"/>
        <w:gridCol w:w="2159"/>
        <w:gridCol w:w="1674"/>
        <w:gridCol w:w="1397"/>
        <w:gridCol w:w="2123"/>
        <w:gridCol w:w="1698"/>
        <w:gridCol w:w="1277"/>
      </w:tblGrid>
      <w:tr w:rsidR="00487D34" w:rsidRPr="00B76110" w:rsidTr="00E354EE">
        <w:trPr>
          <w:trHeight w:val="531"/>
        </w:trPr>
        <w:tc>
          <w:tcPr>
            <w:tcW w:w="486" w:type="pct"/>
            <w:tcBorders>
              <w:top w:val="single" w:sz="4" w:space="0" w:color="auto"/>
              <w:left w:val="single" w:sz="4" w:space="0" w:color="auto"/>
              <w:bottom w:val="single" w:sz="4" w:space="0" w:color="auto"/>
              <w:right w:val="single" w:sz="4" w:space="0" w:color="auto"/>
            </w:tcBorders>
          </w:tcPr>
          <w:p w:rsidR="00487D34" w:rsidRPr="00B76110" w:rsidRDefault="00487D34" w:rsidP="00E354EE">
            <w:pPr>
              <w:tabs>
                <w:tab w:val="left" w:pos="720"/>
              </w:tabs>
              <w:rPr>
                <w:rFonts w:eastAsia="Times New Roman"/>
                <w:b/>
                <w:sz w:val="18"/>
                <w:szCs w:val="18"/>
              </w:rPr>
            </w:pPr>
            <w:r w:rsidRPr="00B76110">
              <w:rPr>
                <w:rFonts w:eastAsia="Times New Roman"/>
                <w:b/>
                <w:sz w:val="18"/>
                <w:szCs w:val="18"/>
              </w:rPr>
              <w:t>ID</w:t>
            </w:r>
          </w:p>
        </w:tc>
        <w:tc>
          <w:tcPr>
            <w:tcW w:w="744" w:type="pct"/>
            <w:tcBorders>
              <w:top w:val="single" w:sz="4" w:space="0" w:color="auto"/>
              <w:left w:val="single" w:sz="4" w:space="0" w:color="auto"/>
              <w:bottom w:val="single" w:sz="4" w:space="0" w:color="auto"/>
              <w:right w:val="single" w:sz="4" w:space="0" w:color="auto"/>
            </w:tcBorders>
            <w:hideMark/>
          </w:tcPr>
          <w:p w:rsidR="00487D34" w:rsidRPr="00B76110" w:rsidRDefault="00487D34" w:rsidP="00E354EE">
            <w:pPr>
              <w:tabs>
                <w:tab w:val="left" w:pos="720"/>
              </w:tabs>
              <w:rPr>
                <w:rFonts w:eastAsia="Times New Roman"/>
                <w:b/>
                <w:sz w:val="18"/>
                <w:szCs w:val="18"/>
              </w:rPr>
            </w:pPr>
            <w:r w:rsidRPr="00B76110">
              <w:rPr>
                <w:rFonts w:eastAsia="Times New Roman"/>
                <w:b/>
                <w:sz w:val="18"/>
                <w:szCs w:val="18"/>
              </w:rPr>
              <w:t xml:space="preserve">Indicator </w:t>
            </w:r>
          </w:p>
        </w:tc>
        <w:tc>
          <w:tcPr>
            <w:tcW w:w="788" w:type="pct"/>
            <w:tcBorders>
              <w:top w:val="single" w:sz="4" w:space="0" w:color="auto"/>
              <w:left w:val="single" w:sz="4" w:space="0" w:color="auto"/>
              <w:bottom w:val="single" w:sz="4" w:space="0" w:color="auto"/>
              <w:right w:val="single" w:sz="4" w:space="0" w:color="auto"/>
            </w:tcBorders>
            <w:hideMark/>
          </w:tcPr>
          <w:p w:rsidR="00487D34" w:rsidRPr="00B76110" w:rsidRDefault="00487D34" w:rsidP="00E354EE">
            <w:pPr>
              <w:snapToGrid w:val="0"/>
              <w:rPr>
                <w:rFonts w:eastAsia="Times New Roman"/>
                <w:b/>
                <w:sz w:val="18"/>
                <w:szCs w:val="18"/>
              </w:rPr>
            </w:pPr>
            <w:r w:rsidRPr="00B76110">
              <w:rPr>
                <w:rFonts w:eastAsia="Times New Roman"/>
                <w:b/>
                <w:sz w:val="18"/>
                <w:szCs w:val="18"/>
              </w:rPr>
              <w:t xml:space="preserve">Measurement </w:t>
            </w:r>
            <w:r>
              <w:rPr>
                <w:rFonts w:eastAsia="Times New Roman"/>
                <w:b/>
                <w:sz w:val="18"/>
                <w:szCs w:val="18"/>
              </w:rPr>
              <w:t>u</w:t>
            </w:r>
            <w:r w:rsidRPr="00B76110">
              <w:rPr>
                <w:rFonts w:eastAsia="Times New Roman"/>
                <w:b/>
                <w:sz w:val="18"/>
                <w:szCs w:val="18"/>
              </w:rPr>
              <w:t>nit</w:t>
            </w:r>
          </w:p>
        </w:tc>
        <w:tc>
          <w:tcPr>
            <w:tcW w:w="611" w:type="pct"/>
            <w:tcBorders>
              <w:top w:val="single" w:sz="4" w:space="0" w:color="auto"/>
              <w:left w:val="single" w:sz="4" w:space="0" w:color="auto"/>
              <w:bottom w:val="single" w:sz="4" w:space="0" w:color="auto"/>
              <w:right w:val="single" w:sz="4" w:space="0" w:color="auto"/>
            </w:tcBorders>
            <w:hideMark/>
          </w:tcPr>
          <w:p w:rsidR="00487D34" w:rsidRPr="00B76110" w:rsidRDefault="00487D34" w:rsidP="00E354EE">
            <w:pPr>
              <w:tabs>
                <w:tab w:val="left" w:pos="720"/>
              </w:tabs>
              <w:rPr>
                <w:rFonts w:eastAsia="Times New Roman"/>
                <w:b/>
                <w:sz w:val="18"/>
                <w:szCs w:val="18"/>
              </w:rPr>
            </w:pPr>
            <w:r w:rsidRPr="00B76110">
              <w:rPr>
                <w:rFonts w:eastAsia="Times New Roman"/>
                <w:b/>
                <w:sz w:val="18"/>
                <w:szCs w:val="18"/>
              </w:rPr>
              <w:t xml:space="preserve">Baseline </w:t>
            </w:r>
            <w:r>
              <w:rPr>
                <w:rFonts w:eastAsia="Times New Roman"/>
                <w:b/>
                <w:sz w:val="18"/>
                <w:szCs w:val="18"/>
              </w:rPr>
              <w:t>v</w:t>
            </w:r>
            <w:r w:rsidRPr="00B76110">
              <w:rPr>
                <w:rFonts w:eastAsia="Times New Roman"/>
                <w:b/>
                <w:sz w:val="18"/>
                <w:szCs w:val="18"/>
              </w:rPr>
              <w:t xml:space="preserve">alue </w:t>
            </w:r>
          </w:p>
        </w:tc>
        <w:tc>
          <w:tcPr>
            <w:tcW w:w="510" w:type="pct"/>
            <w:tcBorders>
              <w:top w:val="single" w:sz="4" w:space="0" w:color="auto"/>
              <w:left w:val="single" w:sz="4" w:space="0" w:color="auto"/>
              <w:bottom w:val="single" w:sz="4" w:space="0" w:color="auto"/>
              <w:right w:val="single" w:sz="4" w:space="0" w:color="auto"/>
            </w:tcBorders>
            <w:hideMark/>
          </w:tcPr>
          <w:p w:rsidR="00487D34" w:rsidRPr="00B76110" w:rsidRDefault="00487D34" w:rsidP="00E354EE">
            <w:pPr>
              <w:snapToGrid w:val="0"/>
              <w:rPr>
                <w:rFonts w:eastAsia="Times New Roman"/>
                <w:b/>
                <w:sz w:val="18"/>
                <w:szCs w:val="18"/>
              </w:rPr>
            </w:pPr>
            <w:r w:rsidRPr="00B76110">
              <w:rPr>
                <w:rFonts w:eastAsia="Times New Roman"/>
                <w:b/>
                <w:sz w:val="18"/>
                <w:szCs w:val="18"/>
              </w:rPr>
              <w:t xml:space="preserve">Baseline </w:t>
            </w:r>
            <w:r>
              <w:rPr>
                <w:rFonts w:eastAsia="Times New Roman"/>
                <w:b/>
                <w:sz w:val="18"/>
                <w:szCs w:val="18"/>
              </w:rPr>
              <w:t>y</w:t>
            </w:r>
            <w:r w:rsidRPr="00B76110">
              <w:rPr>
                <w:rFonts w:eastAsia="Times New Roman"/>
                <w:b/>
                <w:sz w:val="18"/>
                <w:szCs w:val="18"/>
              </w:rPr>
              <w:t>ear</w:t>
            </w:r>
          </w:p>
        </w:tc>
        <w:tc>
          <w:tcPr>
            <w:tcW w:w="775" w:type="pct"/>
            <w:tcBorders>
              <w:top w:val="single" w:sz="4" w:space="0" w:color="auto"/>
              <w:left w:val="single" w:sz="4" w:space="0" w:color="auto"/>
              <w:bottom w:val="single" w:sz="4" w:space="0" w:color="auto"/>
              <w:right w:val="single" w:sz="4" w:space="0" w:color="auto"/>
            </w:tcBorders>
            <w:hideMark/>
          </w:tcPr>
          <w:p w:rsidR="00487D34" w:rsidRPr="00B76110" w:rsidRDefault="00487D34" w:rsidP="00E354EE">
            <w:pPr>
              <w:tabs>
                <w:tab w:val="left" w:pos="720"/>
              </w:tabs>
              <w:rPr>
                <w:rFonts w:eastAsia="Times New Roman"/>
                <w:b/>
                <w:sz w:val="18"/>
                <w:szCs w:val="18"/>
              </w:rPr>
            </w:pPr>
            <w:r w:rsidRPr="00B76110">
              <w:rPr>
                <w:rFonts w:eastAsia="Times New Roman"/>
                <w:b/>
                <w:sz w:val="18"/>
                <w:szCs w:val="18"/>
              </w:rPr>
              <w:t xml:space="preserve">Target </w:t>
            </w:r>
            <w:r>
              <w:rPr>
                <w:rFonts w:eastAsia="Times New Roman"/>
                <w:b/>
                <w:sz w:val="18"/>
                <w:szCs w:val="18"/>
              </w:rPr>
              <w:t>v</w:t>
            </w:r>
            <w:r w:rsidRPr="00B76110">
              <w:rPr>
                <w:rFonts w:eastAsia="Times New Roman"/>
                <w:b/>
                <w:sz w:val="18"/>
                <w:szCs w:val="18"/>
              </w:rPr>
              <w:t>alue (2023)</w:t>
            </w:r>
            <w:r>
              <w:rPr>
                <w:rStyle w:val="FootnoteReference"/>
                <w:rFonts w:eastAsia="Times New Roman"/>
                <w:b/>
                <w:sz w:val="18"/>
                <w:szCs w:val="18"/>
              </w:rPr>
              <w:footnoteReference w:id="4"/>
            </w:r>
            <w:r w:rsidRPr="00B76110">
              <w:rPr>
                <w:rFonts w:eastAsia="Times New Roman"/>
                <w:b/>
                <w:sz w:val="18"/>
                <w:szCs w:val="18"/>
              </w:rPr>
              <w:t xml:space="preserve"> </w:t>
            </w:r>
          </w:p>
        </w:tc>
        <w:tc>
          <w:tcPr>
            <w:tcW w:w="620" w:type="pct"/>
            <w:tcBorders>
              <w:top w:val="single" w:sz="4" w:space="0" w:color="auto"/>
              <w:left w:val="single" w:sz="4" w:space="0" w:color="auto"/>
              <w:bottom w:val="single" w:sz="4" w:space="0" w:color="auto"/>
              <w:right w:val="single" w:sz="4" w:space="0" w:color="auto"/>
            </w:tcBorders>
            <w:hideMark/>
          </w:tcPr>
          <w:p w:rsidR="00487D34" w:rsidRPr="00B76110" w:rsidRDefault="00487D34" w:rsidP="00E354EE">
            <w:pPr>
              <w:tabs>
                <w:tab w:val="left" w:pos="720"/>
              </w:tabs>
              <w:rPr>
                <w:rFonts w:eastAsia="Times New Roman"/>
                <w:b/>
                <w:sz w:val="18"/>
                <w:szCs w:val="18"/>
              </w:rPr>
            </w:pPr>
            <w:r w:rsidRPr="00B76110">
              <w:rPr>
                <w:rFonts w:eastAsia="Times New Roman"/>
                <w:b/>
                <w:sz w:val="18"/>
                <w:szCs w:val="18"/>
              </w:rPr>
              <w:t xml:space="preserve">Source of </w:t>
            </w:r>
            <w:r>
              <w:rPr>
                <w:rFonts w:eastAsia="Times New Roman"/>
                <w:b/>
                <w:sz w:val="18"/>
                <w:szCs w:val="18"/>
              </w:rPr>
              <w:t>d</w:t>
            </w:r>
            <w:r w:rsidRPr="00B76110">
              <w:rPr>
                <w:rFonts w:eastAsia="Times New Roman"/>
                <w:b/>
                <w:sz w:val="18"/>
                <w:szCs w:val="18"/>
              </w:rPr>
              <w:t>ata</w:t>
            </w:r>
          </w:p>
        </w:tc>
        <w:tc>
          <w:tcPr>
            <w:tcW w:w="466" w:type="pct"/>
            <w:tcBorders>
              <w:top w:val="single" w:sz="4" w:space="0" w:color="auto"/>
              <w:left w:val="single" w:sz="4" w:space="0" w:color="auto"/>
              <w:bottom w:val="single" w:sz="4" w:space="0" w:color="auto"/>
              <w:right w:val="single" w:sz="4" w:space="0" w:color="auto"/>
            </w:tcBorders>
          </w:tcPr>
          <w:p w:rsidR="00487D34" w:rsidRPr="00B76110" w:rsidRDefault="00487D34" w:rsidP="00E354EE">
            <w:pPr>
              <w:tabs>
                <w:tab w:val="left" w:pos="720"/>
              </w:tabs>
              <w:rPr>
                <w:rFonts w:eastAsia="Times New Roman"/>
                <w:b/>
                <w:sz w:val="18"/>
                <w:szCs w:val="18"/>
              </w:rPr>
            </w:pPr>
            <w:r w:rsidRPr="00B76110">
              <w:rPr>
                <w:rFonts w:eastAsia="Times New Roman"/>
                <w:b/>
                <w:sz w:val="18"/>
                <w:szCs w:val="18"/>
              </w:rPr>
              <w:t>Frequency of reporting</w:t>
            </w:r>
          </w:p>
        </w:tc>
      </w:tr>
      <w:tr w:rsidR="00487D34" w:rsidRPr="00C12589" w:rsidTr="00E354EE">
        <w:trPr>
          <w:trHeight w:val="870"/>
        </w:trPr>
        <w:tc>
          <w:tcPr>
            <w:tcW w:w="486" w:type="pct"/>
            <w:tcBorders>
              <w:top w:val="single" w:sz="4" w:space="0" w:color="auto"/>
              <w:left w:val="single" w:sz="4" w:space="0" w:color="auto"/>
              <w:bottom w:val="single" w:sz="4" w:space="0" w:color="auto"/>
              <w:right w:val="single" w:sz="4" w:space="0" w:color="auto"/>
            </w:tcBorders>
          </w:tcPr>
          <w:p w:rsidR="00487D34" w:rsidRDefault="00487D34" w:rsidP="00E354EE">
            <w:pPr>
              <w:spacing w:after="0"/>
              <w:rPr>
                <w:rFonts w:eastAsia="Times New Roman"/>
                <w:sz w:val="20"/>
              </w:rPr>
            </w:pPr>
          </w:p>
          <w:p w:rsidR="00487D34" w:rsidRDefault="00F4635D" w:rsidP="00E354EE">
            <w:pPr>
              <w:spacing w:after="0"/>
            </w:pPr>
            <w:r w:rsidRPr="00AB336D">
              <w:rPr>
                <w:rFonts w:eastAsia="Times New Roman"/>
                <w:sz w:val="20"/>
              </w:rPr>
              <w:t xml:space="preserve">PA </w:t>
            </w:r>
            <w:r>
              <w:rPr>
                <w:rFonts w:eastAsia="Times New Roman"/>
                <w:sz w:val="20"/>
              </w:rPr>
              <w:t>4</w:t>
            </w:r>
          </w:p>
        </w:tc>
        <w:tc>
          <w:tcPr>
            <w:tcW w:w="744" w:type="pct"/>
            <w:tcBorders>
              <w:top w:val="single" w:sz="4" w:space="0" w:color="auto"/>
              <w:left w:val="single" w:sz="4" w:space="0" w:color="auto"/>
              <w:bottom w:val="single" w:sz="4" w:space="0" w:color="auto"/>
              <w:right w:val="single" w:sz="4" w:space="0" w:color="auto"/>
            </w:tcBorders>
          </w:tcPr>
          <w:p w:rsidR="00487D34" w:rsidRPr="00990476" w:rsidRDefault="00572467" w:rsidP="00E354EE">
            <w:pPr>
              <w:spacing w:after="0"/>
              <w:jc w:val="left"/>
            </w:pPr>
            <w:r w:rsidRPr="00572467">
              <w:t>Increase in number of new products and/or services jointly developed or implemented</w:t>
            </w:r>
          </w:p>
        </w:tc>
        <w:tc>
          <w:tcPr>
            <w:tcW w:w="788" w:type="pct"/>
            <w:tcBorders>
              <w:top w:val="single" w:sz="4" w:space="0" w:color="auto"/>
              <w:left w:val="single" w:sz="4" w:space="0" w:color="auto"/>
              <w:bottom w:val="single" w:sz="4" w:space="0" w:color="auto"/>
              <w:right w:val="single" w:sz="4" w:space="0" w:color="auto"/>
            </w:tcBorders>
            <w:vAlign w:val="center"/>
          </w:tcPr>
          <w:p w:rsidR="00487D34" w:rsidRPr="00AB336D" w:rsidRDefault="00487D34" w:rsidP="00E354EE">
            <w:pPr>
              <w:snapToGrid w:val="0"/>
              <w:spacing w:after="0"/>
              <w:rPr>
                <w:rFonts w:eastAsia="Times New Roman"/>
                <w:sz w:val="20"/>
              </w:rPr>
            </w:pPr>
            <w:r>
              <w:rPr>
                <w:rFonts w:eastAsia="Times New Roman"/>
                <w:sz w:val="20"/>
              </w:rPr>
              <w:t>Number</w:t>
            </w:r>
          </w:p>
        </w:tc>
        <w:tc>
          <w:tcPr>
            <w:tcW w:w="611" w:type="pct"/>
            <w:tcBorders>
              <w:top w:val="single" w:sz="4" w:space="0" w:color="auto"/>
              <w:left w:val="single" w:sz="4" w:space="0" w:color="auto"/>
              <w:bottom w:val="single" w:sz="4" w:space="0" w:color="auto"/>
              <w:right w:val="single" w:sz="4" w:space="0" w:color="auto"/>
            </w:tcBorders>
            <w:vAlign w:val="center"/>
          </w:tcPr>
          <w:p w:rsidR="00487D34" w:rsidRPr="00AB336D" w:rsidRDefault="00572467" w:rsidP="00244F7F">
            <w:pPr>
              <w:snapToGrid w:val="0"/>
              <w:spacing w:after="0"/>
              <w:rPr>
                <w:rFonts w:eastAsia="Times New Roman"/>
                <w:sz w:val="20"/>
              </w:rPr>
            </w:pPr>
            <w:r w:rsidRPr="00654476">
              <w:rPr>
                <w:rFonts w:eastAsia="Times New Roman"/>
                <w:sz w:val="20"/>
              </w:rPr>
              <w:t>Data to be collected</w:t>
            </w:r>
            <w:r>
              <w:rPr>
                <w:rFonts w:eastAsia="Times New Roman"/>
                <w:sz w:val="20"/>
              </w:rPr>
              <w:t xml:space="preserve"> by survey</w:t>
            </w:r>
          </w:p>
        </w:tc>
        <w:tc>
          <w:tcPr>
            <w:tcW w:w="510" w:type="pct"/>
            <w:tcBorders>
              <w:top w:val="single" w:sz="4" w:space="0" w:color="auto"/>
              <w:left w:val="single" w:sz="4" w:space="0" w:color="auto"/>
              <w:bottom w:val="single" w:sz="4" w:space="0" w:color="auto"/>
              <w:right w:val="single" w:sz="4" w:space="0" w:color="auto"/>
            </w:tcBorders>
            <w:vAlign w:val="center"/>
          </w:tcPr>
          <w:p w:rsidR="00487D34" w:rsidRPr="00AB336D" w:rsidRDefault="00572467" w:rsidP="00E354EE">
            <w:pPr>
              <w:snapToGrid w:val="0"/>
              <w:spacing w:after="0"/>
              <w:rPr>
                <w:rFonts w:eastAsia="Times New Roman"/>
                <w:sz w:val="20"/>
                <w:lang w:val="nb-NO"/>
              </w:rPr>
            </w:pPr>
            <w:r>
              <w:rPr>
                <w:rFonts w:eastAsia="Times New Roman"/>
                <w:sz w:val="20"/>
                <w:lang w:val="nb-NO"/>
              </w:rPr>
              <w:t>2015</w:t>
            </w:r>
          </w:p>
        </w:tc>
        <w:tc>
          <w:tcPr>
            <w:tcW w:w="775" w:type="pct"/>
            <w:tcBorders>
              <w:top w:val="single" w:sz="4" w:space="0" w:color="auto"/>
              <w:left w:val="single" w:sz="4" w:space="0" w:color="auto"/>
              <w:bottom w:val="single" w:sz="4" w:space="0" w:color="auto"/>
              <w:right w:val="single" w:sz="4" w:space="0" w:color="auto"/>
            </w:tcBorders>
            <w:vAlign w:val="center"/>
          </w:tcPr>
          <w:p w:rsidR="00487D34" w:rsidRPr="00102326" w:rsidRDefault="00CA6B2F" w:rsidP="00CF3D3D">
            <w:pPr>
              <w:jc w:val="left"/>
              <w:rPr>
                <w:sz w:val="20"/>
              </w:rPr>
            </w:pPr>
            <w:r>
              <w:rPr>
                <w:sz w:val="20"/>
              </w:rPr>
              <w:t>24</w:t>
            </w:r>
          </w:p>
        </w:tc>
        <w:tc>
          <w:tcPr>
            <w:tcW w:w="620" w:type="pct"/>
            <w:tcBorders>
              <w:top w:val="single" w:sz="4" w:space="0" w:color="auto"/>
              <w:left w:val="single" w:sz="4" w:space="0" w:color="auto"/>
              <w:bottom w:val="single" w:sz="4" w:space="0" w:color="auto"/>
              <w:right w:val="single" w:sz="4" w:space="0" w:color="auto"/>
            </w:tcBorders>
            <w:vAlign w:val="center"/>
          </w:tcPr>
          <w:p w:rsidR="00487D34" w:rsidRPr="00AB336D" w:rsidRDefault="000D4E37" w:rsidP="00E354EE">
            <w:pPr>
              <w:spacing w:after="0"/>
              <w:rPr>
                <w:rFonts w:eastAsia="Times New Roman"/>
                <w:sz w:val="20"/>
              </w:rPr>
            </w:pPr>
            <w:r w:rsidRPr="00B87B39">
              <w:rPr>
                <w:rFonts w:eastAsia="Times New Roman"/>
                <w:sz w:val="20"/>
              </w:rPr>
              <w:t>Monitoring of operations</w:t>
            </w:r>
            <w:r>
              <w:rPr>
                <w:rFonts w:eastAsia="Times New Roman"/>
                <w:sz w:val="20"/>
              </w:rPr>
              <w:t xml:space="preserve"> (progress reports)</w:t>
            </w:r>
          </w:p>
        </w:tc>
        <w:tc>
          <w:tcPr>
            <w:tcW w:w="466" w:type="pct"/>
            <w:tcBorders>
              <w:top w:val="single" w:sz="4" w:space="0" w:color="auto"/>
              <w:left w:val="single" w:sz="4" w:space="0" w:color="auto"/>
              <w:bottom w:val="single" w:sz="4" w:space="0" w:color="auto"/>
              <w:right w:val="single" w:sz="4" w:space="0" w:color="auto"/>
            </w:tcBorders>
            <w:vAlign w:val="center"/>
          </w:tcPr>
          <w:p w:rsidR="00487D34" w:rsidRPr="00AB336D" w:rsidRDefault="00487D34" w:rsidP="00E354EE">
            <w:pPr>
              <w:spacing w:after="0"/>
              <w:rPr>
                <w:rFonts w:eastAsia="Times New Roman"/>
                <w:sz w:val="20"/>
              </w:rPr>
            </w:pPr>
            <w:r w:rsidRPr="00B87B39">
              <w:rPr>
                <w:rFonts w:eastAsia="Times New Roman"/>
                <w:sz w:val="20"/>
              </w:rPr>
              <w:t>Annually</w:t>
            </w:r>
          </w:p>
        </w:tc>
      </w:tr>
    </w:tbl>
    <w:p w:rsidR="00487D34" w:rsidRPr="00B76110" w:rsidRDefault="00487D34" w:rsidP="00487D34">
      <w:pPr>
        <w:suppressAutoHyphens/>
        <w:spacing w:after="240"/>
        <w:rPr>
          <w:rFonts w:eastAsia="Times New Roman"/>
          <w:b/>
        </w:rPr>
        <w:sectPr w:rsidR="00487D34" w:rsidRPr="00B76110" w:rsidSect="006A4BDD">
          <w:headerReference w:type="default" r:id="rId43"/>
          <w:footerReference w:type="default" r:id="rId44"/>
          <w:headerReference w:type="first" r:id="rId45"/>
          <w:footerReference w:type="first" r:id="rId46"/>
          <w:pgSz w:w="16838" w:h="11906" w:orient="landscape"/>
          <w:pgMar w:top="1418" w:right="1021" w:bottom="1418" w:left="1021" w:header="601" w:footer="1077" w:gutter="0"/>
          <w:cols w:space="720"/>
          <w:docGrid w:linePitch="326"/>
        </w:sectPr>
      </w:pPr>
    </w:p>
    <w:p w:rsidR="00487D34" w:rsidRDefault="00487D34" w:rsidP="00487D34">
      <w:pPr>
        <w:keepNext/>
        <w:spacing w:after="240"/>
        <w:ind w:left="851" w:hanging="851"/>
        <w:outlineLvl w:val="2"/>
        <w:rPr>
          <w:rFonts w:eastAsia="Times New Roman"/>
          <w:b/>
          <w:i/>
        </w:rPr>
      </w:pPr>
      <w:r w:rsidRPr="00B76110">
        <w:rPr>
          <w:rFonts w:eastAsia="Times New Roman"/>
          <w:b/>
          <w:i/>
        </w:rPr>
        <w:lastRenderedPageBreak/>
        <w:t>2.</w:t>
      </w:r>
      <w:r w:rsidR="00012F0E">
        <w:rPr>
          <w:rFonts w:eastAsia="Times New Roman"/>
          <w:b/>
          <w:i/>
        </w:rPr>
        <w:t>4</w:t>
      </w:r>
      <w:r w:rsidRPr="00B76110">
        <w:rPr>
          <w:rFonts w:eastAsia="Times New Roman"/>
          <w:b/>
          <w:i/>
        </w:rPr>
        <w:t>.</w:t>
      </w:r>
      <w:r>
        <w:rPr>
          <w:rFonts w:eastAsia="Times New Roman"/>
          <w:b/>
          <w:i/>
        </w:rPr>
        <w:t>6</w:t>
      </w:r>
      <w:r w:rsidRPr="00B76110">
        <w:rPr>
          <w:rFonts w:eastAsia="Times New Roman"/>
          <w:b/>
          <w:i/>
        </w:rPr>
        <w:t>.</w:t>
      </w:r>
      <w:r>
        <w:rPr>
          <w:rFonts w:eastAsia="Times New Roman"/>
          <w:b/>
          <w:i/>
        </w:rPr>
        <w:t>2</w:t>
      </w:r>
      <w:r w:rsidRPr="00B76110">
        <w:rPr>
          <w:rFonts w:eastAsia="Times New Roman"/>
          <w:b/>
          <w:i/>
        </w:rPr>
        <w:t xml:space="preserve">. </w:t>
      </w:r>
      <w:r>
        <w:rPr>
          <w:rFonts w:eastAsia="Times New Roman"/>
          <w:b/>
          <w:i/>
        </w:rPr>
        <w:t>Priority axis o</w:t>
      </w:r>
      <w:r w:rsidRPr="00B76110">
        <w:rPr>
          <w:rFonts w:eastAsia="Times New Roman"/>
          <w:b/>
          <w:i/>
        </w:rPr>
        <w:t>utput indicator</w:t>
      </w:r>
      <w:r>
        <w:rPr>
          <w:rFonts w:eastAsia="Times New Roman"/>
          <w:b/>
          <w:i/>
        </w:rPr>
        <w:t>s (common or programme specific)</w:t>
      </w:r>
    </w:p>
    <w:p w:rsidR="00487D34" w:rsidRDefault="00487D34" w:rsidP="00487D34">
      <w:pPr>
        <w:spacing w:after="0"/>
        <w:rPr>
          <w:rFonts w:eastAsia="Times New Roman"/>
          <w:b/>
        </w:rPr>
      </w:pPr>
      <w:r w:rsidRPr="00B76110">
        <w:rPr>
          <w:rFonts w:eastAsia="Times New Roman"/>
          <w:b/>
        </w:rPr>
        <w:t xml:space="preserve">Table </w:t>
      </w:r>
      <w:r>
        <w:rPr>
          <w:rFonts w:eastAsia="Times New Roman"/>
          <w:b/>
        </w:rPr>
        <w:t>4</w:t>
      </w:r>
      <w:r w:rsidRPr="00B76110">
        <w:rPr>
          <w:rFonts w:eastAsia="Times New Roman"/>
          <w:b/>
        </w:rPr>
        <w:t xml:space="preserve">: </w:t>
      </w:r>
      <w:r>
        <w:rPr>
          <w:rFonts w:eastAsia="Times New Roman"/>
          <w:b/>
        </w:rPr>
        <w:t>P</w:t>
      </w:r>
      <w:r w:rsidRPr="00B76110">
        <w:rPr>
          <w:rFonts w:eastAsia="Times New Roman"/>
          <w:b/>
        </w:rPr>
        <w:t>rogra</w:t>
      </w:r>
      <w:r>
        <w:rPr>
          <w:rFonts w:eastAsia="Times New Roman"/>
          <w:b/>
        </w:rPr>
        <w:t xml:space="preserve">mme </w:t>
      </w:r>
      <w:r w:rsidR="00C038BD">
        <w:rPr>
          <w:rFonts w:eastAsia="Times New Roman"/>
          <w:b/>
        </w:rPr>
        <w:t xml:space="preserve">common* and </w:t>
      </w:r>
      <w:r>
        <w:rPr>
          <w:rFonts w:eastAsia="Times New Roman"/>
          <w:b/>
        </w:rPr>
        <w:t xml:space="preserve">specific output indicators </w:t>
      </w:r>
    </w:p>
    <w:p w:rsidR="00487D34" w:rsidRPr="00B76110" w:rsidRDefault="00487D34" w:rsidP="00487D34">
      <w:pPr>
        <w:spacing w:after="0"/>
        <w:rPr>
          <w:rFonts w:eastAsia="Times New Roman"/>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8"/>
        <w:gridCol w:w="5933"/>
        <w:gridCol w:w="1985"/>
        <w:gridCol w:w="1417"/>
        <w:gridCol w:w="2552"/>
        <w:gridCol w:w="2147"/>
      </w:tblGrid>
      <w:tr w:rsidR="00487D34" w:rsidRPr="00B76110" w:rsidTr="00E354EE">
        <w:trPr>
          <w:trHeight w:val="706"/>
          <w:jc w:val="center"/>
        </w:trPr>
        <w:tc>
          <w:tcPr>
            <w:tcW w:w="326" w:type="pct"/>
          </w:tcPr>
          <w:p w:rsidR="00487D34" w:rsidRPr="00B76110" w:rsidRDefault="00487D34" w:rsidP="00E354EE">
            <w:pPr>
              <w:spacing w:after="240"/>
              <w:ind w:left="283" w:hanging="283"/>
              <w:jc w:val="center"/>
              <w:rPr>
                <w:rFonts w:eastAsia="Times New Roman"/>
                <w:b/>
                <w:sz w:val="20"/>
              </w:rPr>
            </w:pPr>
            <w:r w:rsidRPr="00B76110">
              <w:rPr>
                <w:rFonts w:eastAsia="Times New Roman"/>
                <w:b/>
                <w:sz w:val="20"/>
              </w:rPr>
              <w:t>ID</w:t>
            </w:r>
          </w:p>
        </w:tc>
        <w:tc>
          <w:tcPr>
            <w:tcW w:w="1976" w:type="pct"/>
            <w:shd w:val="clear" w:color="auto" w:fill="auto"/>
          </w:tcPr>
          <w:p w:rsidR="00487D34" w:rsidRPr="00B76110" w:rsidRDefault="00487D34" w:rsidP="00E354EE">
            <w:pPr>
              <w:spacing w:after="240"/>
              <w:ind w:left="283" w:hanging="283"/>
              <w:jc w:val="center"/>
              <w:rPr>
                <w:rFonts w:eastAsia="Times New Roman"/>
                <w:b/>
                <w:sz w:val="20"/>
              </w:rPr>
            </w:pPr>
            <w:r w:rsidRPr="00B76110">
              <w:rPr>
                <w:rFonts w:eastAsia="Times New Roman"/>
                <w:b/>
                <w:sz w:val="20"/>
              </w:rPr>
              <w:t xml:space="preserve">Indicator </w:t>
            </w:r>
            <w:r w:rsidRPr="00B76110">
              <w:rPr>
                <w:rFonts w:eastAsia="Times New Roman"/>
                <w:b/>
                <w:i/>
                <w:sz w:val="20"/>
              </w:rPr>
              <w:t>(name of indicator)</w:t>
            </w:r>
          </w:p>
        </w:tc>
        <w:tc>
          <w:tcPr>
            <w:tcW w:w="661" w:type="pct"/>
            <w:shd w:val="clear" w:color="auto" w:fill="auto"/>
          </w:tcPr>
          <w:p w:rsidR="00487D34" w:rsidRPr="00B76110" w:rsidRDefault="00487D34" w:rsidP="00E354EE">
            <w:pPr>
              <w:spacing w:after="240"/>
              <w:jc w:val="center"/>
              <w:rPr>
                <w:rFonts w:eastAsia="Times New Roman"/>
                <w:b/>
                <w:sz w:val="20"/>
              </w:rPr>
            </w:pPr>
            <w:r w:rsidRPr="00B76110">
              <w:rPr>
                <w:rFonts w:eastAsia="Times New Roman"/>
                <w:b/>
                <w:sz w:val="20"/>
              </w:rPr>
              <w:t>Measurement unit</w:t>
            </w:r>
          </w:p>
        </w:tc>
        <w:tc>
          <w:tcPr>
            <w:tcW w:w="472" w:type="pct"/>
            <w:shd w:val="clear" w:color="auto" w:fill="auto"/>
          </w:tcPr>
          <w:p w:rsidR="00487D34" w:rsidRPr="00B76110" w:rsidRDefault="00487D34" w:rsidP="00E354EE">
            <w:pPr>
              <w:spacing w:after="240"/>
              <w:jc w:val="center"/>
              <w:rPr>
                <w:rFonts w:eastAsia="Times New Roman"/>
                <w:b/>
                <w:sz w:val="20"/>
              </w:rPr>
            </w:pPr>
            <w:r w:rsidRPr="00B76110">
              <w:rPr>
                <w:rFonts w:eastAsia="Times New Roman"/>
                <w:b/>
                <w:sz w:val="20"/>
              </w:rPr>
              <w:t>Target value (2023)</w:t>
            </w:r>
          </w:p>
        </w:tc>
        <w:tc>
          <w:tcPr>
            <w:tcW w:w="850" w:type="pct"/>
            <w:shd w:val="clear" w:color="auto" w:fill="auto"/>
          </w:tcPr>
          <w:p w:rsidR="00487D34" w:rsidRPr="00B76110" w:rsidRDefault="00487D34" w:rsidP="00E354EE">
            <w:pPr>
              <w:spacing w:after="240"/>
              <w:jc w:val="center"/>
              <w:rPr>
                <w:rFonts w:eastAsia="Times New Roman"/>
                <w:b/>
                <w:sz w:val="20"/>
              </w:rPr>
            </w:pPr>
            <w:r w:rsidRPr="00B76110">
              <w:rPr>
                <w:rFonts w:eastAsia="Times New Roman"/>
                <w:b/>
                <w:sz w:val="20"/>
              </w:rPr>
              <w:t>Source of data</w:t>
            </w:r>
          </w:p>
        </w:tc>
        <w:tc>
          <w:tcPr>
            <w:tcW w:w="715" w:type="pct"/>
          </w:tcPr>
          <w:p w:rsidR="00487D34" w:rsidRPr="00B76110" w:rsidRDefault="00487D34" w:rsidP="00E354EE">
            <w:pPr>
              <w:spacing w:after="240"/>
              <w:jc w:val="center"/>
              <w:rPr>
                <w:rFonts w:eastAsia="Times New Roman"/>
                <w:b/>
                <w:sz w:val="20"/>
              </w:rPr>
            </w:pPr>
            <w:r w:rsidRPr="00B76110">
              <w:rPr>
                <w:rFonts w:eastAsia="Times New Roman"/>
                <w:b/>
                <w:sz w:val="20"/>
              </w:rPr>
              <w:t>Frequency of reporting</w:t>
            </w:r>
          </w:p>
        </w:tc>
      </w:tr>
      <w:tr w:rsidR="00EE1846" w:rsidRPr="00B76110" w:rsidTr="0037732C">
        <w:trPr>
          <w:trHeight w:val="79"/>
          <w:jc w:val="center"/>
        </w:trPr>
        <w:tc>
          <w:tcPr>
            <w:tcW w:w="326" w:type="pct"/>
          </w:tcPr>
          <w:p w:rsidR="00EE1846" w:rsidRPr="00374A8C" w:rsidRDefault="00EE1846" w:rsidP="00012F0E">
            <w:pPr>
              <w:spacing w:after="0"/>
              <w:rPr>
                <w:rFonts w:eastAsia="Times New Roman"/>
                <w:sz w:val="22"/>
                <w:szCs w:val="22"/>
              </w:rPr>
            </w:pPr>
            <w:r>
              <w:rPr>
                <w:rFonts w:eastAsia="Times New Roman"/>
                <w:sz w:val="22"/>
                <w:szCs w:val="22"/>
              </w:rPr>
              <w:t>PA 4</w:t>
            </w:r>
          </w:p>
        </w:tc>
        <w:tc>
          <w:tcPr>
            <w:tcW w:w="1976" w:type="pct"/>
            <w:shd w:val="clear" w:color="auto" w:fill="auto"/>
          </w:tcPr>
          <w:p w:rsidR="00EE1846" w:rsidRPr="00E50902" w:rsidRDefault="00F83361" w:rsidP="0037732C">
            <w:r w:rsidRPr="00F83361">
              <w:t>Number of cross-border business clusters and/or networks developed and/or implemented</w:t>
            </w:r>
          </w:p>
        </w:tc>
        <w:tc>
          <w:tcPr>
            <w:tcW w:w="661" w:type="pct"/>
            <w:shd w:val="clear" w:color="auto" w:fill="auto"/>
            <w:vAlign w:val="center"/>
          </w:tcPr>
          <w:p w:rsidR="00EE1846" w:rsidRPr="00374A8C" w:rsidRDefault="00EE1846" w:rsidP="00052931">
            <w:pPr>
              <w:spacing w:after="0"/>
              <w:jc w:val="left"/>
              <w:rPr>
                <w:rFonts w:eastAsia="Times New Roman"/>
                <w:sz w:val="22"/>
                <w:szCs w:val="22"/>
              </w:rPr>
            </w:pPr>
            <w:r w:rsidRPr="00374A8C">
              <w:rPr>
                <w:rFonts w:eastAsia="Times New Roman"/>
                <w:sz w:val="22"/>
                <w:szCs w:val="22"/>
              </w:rPr>
              <w:t>Number</w:t>
            </w:r>
          </w:p>
        </w:tc>
        <w:tc>
          <w:tcPr>
            <w:tcW w:w="472" w:type="pct"/>
            <w:shd w:val="clear" w:color="auto" w:fill="auto"/>
          </w:tcPr>
          <w:p w:rsidR="00EE1846" w:rsidRPr="00AF2687" w:rsidRDefault="00F83361" w:rsidP="00EE1846">
            <w:pPr>
              <w:jc w:val="center"/>
            </w:pPr>
            <w:r>
              <w:t>11</w:t>
            </w:r>
          </w:p>
        </w:tc>
        <w:tc>
          <w:tcPr>
            <w:tcW w:w="850" w:type="pct"/>
            <w:shd w:val="clear" w:color="auto" w:fill="auto"/>
          </w:tcPr>
          <w:p w:rsidR="00EE1846" w:rsidRPr="00374A8C" w:rsidRDefault="00EE1846" w:rsidP="00E354EE">
            <w:pPr>
              <w:spacing w:after="0"/>
              <w:rPr>
                <w:rFonts w:eastAsia="Times New Roman"/>
                <w:sz w:val="22"/>
                <w:szCs w:val="22"/>
              </w:rPr>
            </w:pPr>
            <w:r w:rsidRPr="00374A8C">
              <w:rPr>
                <w:rFonts w:eastAsia="Times New Roman"/>
                <w:sz w:val="22"/>
                <w:szCs w:val="22"/>
              </w:rPr>
              <w:t>Monitoring of operations (progress reports)</w:t>
            </w:r>
          </w:p>
        </w:tc>
        <w:tc>
          <w:tcPr>
            <w:tcW w:w="715" w:type="pct"/>
          </w:tcPr>
          <w:p w:rsidR="00EE1846" w:rsidRPr="00374A8C" w:rsidRDefault="00EE1846" w:rsidP="00E354EE">
            <w:pPr>
              <w:spacing w:after="0"/>
              <w:rPr>
                <w:rFonts w:eastAsia="Times New Roman"/>
                <w:sz w:val="22"/>
                <w:szCs w:val="22"/>
              </w:rPr>
            </w:pPr>
            <w:r w:rsidRPr="00374A8C">
              <w:rPr>
                <w:rFonts w:eastAsia="Times New Roman"/>
                <w:sz w:val="22"/>
                <w:szCs w:val="22"/>
              </w:rPr>
              <w:t>Annually</w:t>
            </w:r>
          </w:p>
        </w:tc>
      </w:tr>
      <w:tr w:rsidR="00EE1846" w:rsidRPr="00414803" w:rsidTr="0037732C">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EE1846" w:rsidRDefault="00EE1846">
            <w:r w:rsidRPr="00171267">
              <w:rPr>
                <w:rFonts w:eastAsia="Times New Roman"/>
                <w:sz w:val="22"/>
                <w:szCs w:val="22"/>
              </w:rPr>
              <w:t>PA 4</w:t>
            </w:r>
          </w:p>
        </w:tc>
        <w:tc>
          <w:tcPr>
            <w:tcW w:w="1976" w:type="pct"/>
            <w:tcBorders>
              <w:top w:val="single" w:sz="4" w:space="0" w:color="000000"/>
              <w:left w:val="single" w:sz="4" w:space="0" w:color="000000"/>
              <w:bottom w:val="single" w:sz="4" w:space="0" w:color="000000"/>
              <w:right w:val="single" w:sz="4" w:space="0" w:color="000000"/>
            </w:tcBorders>
            <w:shd w:val="clear" w:color="auto" w:fill="auto"/>
          </w:tcPr>
          <w:p w:rsidR="00EE1846" w:rsidRPr="00E50902" w:rsidRDefault="00F83361" w:rsidP="0037732C">
            <w:r w:rsidRPr="00F83361">
              <w:t>Number of business support institutions supported</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1846" w:rsidRPr="00374A8C" w:rsidRDefault="00EE1846" w:rsidP="00052931">
            <w:pPr>
              <w:spacing w:after="0"/>
              <w:jc w:val="left"/>
              <w:rPr>
                <w:sz w:val="22"/>
                <w:szCs w:val="22"/>
              </w:rPr>
            </w:pPr>
            <w:r w:rsidRPr="00374A8C">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EE1846" w:rsidRPr="00AF2687" w:rsidRDefault="00F83361" w:rsidP="00EE1846">
            <w:pPr>
              <w:jc w:val="center"/>
            </w:pPr>
            <w:r>
              <w:t>17</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rsidR="00EE1846" w:rsidRPr="00374A8C" w:rsidRDefault="00EE1846" w:rsidP="00E354EE">
            <w:pPr>
              <w:spacing w:after="0"/>
              <w:rPr>
                <w:rFonts w:eastAsia="Times New Roman"/>
                <w:sz w:val="22"/>
                <w:szCs w:val="22"/>
              </w:rPr>
            </w:pPr>
            <w:r w:rsidRPr="00374A8C">
              <w:rPr>
                <w:rFonts w:eastAsia="Times New Roman"/>
                <w:sz w:val="22"/>
                <w:szCs w:val="22"/>
              </w:rPr>
              <w:t>Monitoring of operations (progress reports)</w:t>
            </w:r>
          </w:p>
        </w:tc>
        <w:tc>
          <w:tcPr>
            <w:tcW w:w="715" w:type="pct"/>
            <w:tcBorders>
              <w:top w:val="single" w:sz="4" w:space="0" w:color="000000"/>
              <w:left w:val="single" w:sz="4" w:space="0" w:color="000000"/>
              <w:bottom w:val="single" w:sz="4" w:space="0" w:color="000000"/>
              <w:right w:val="single" w:sz="4" w:space="0" w:color="000000"/>
            </w:tcBorders>
          </w:tcPr>
          <w:p w:rsidR="00EE1846" w:rsidRPr="00374A8C" w:rsidRDefault="00EE1846" w:rsidP="00E354EE">
            <w:pPr>
              <w:rPr>
                <w:sz w:val="22"/>
                <w:szCs w:val="22"/>
              </w:rPr>
            </w:pPr>
            <w:r w:rsidRPr="00374A8C">
              <w:rPr>
                <w:rFonts w:eastAsia="Times New Roman"/>
                <w:sz w:val="22"/>
                <w:szCs w:val="22"/>
              </w:rPr>
              <w:t>Annually</w:t>
            </w:r>
          </w:p>
        </w:tc>
      </w:tr>
      <w:tr w:rsidR="00EE1846" w:rsidRPr="00414803" w:rsidTr="0037732C">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EE1846" w:rsidRDefault="00EE1846">
            <w:r w:rsidRPr="00171267">
              <w:rPr>
                <w:rFonts w:eastAsia="Times New Roman"/>
                <w:sz w:val="22"/>
                <w:szCs w:val="22"/>
              </w:rPr>
              <w:t>PA 4</w:t>
            </w:r>
          </w:p>
        </w:tc>
        <w:tc>
          <w:tcPr>
            <w:tcW w:w="1976" w:type="pct"/>
            <w:tcBorders>
              <w:top w:val="single" w:sz="4" w:space="0" w:color="000000"/>
              <w:left w:val="single" w:sz="4" w:space="0" w:color="000000"/>
              <w:bottom w:val="single" w:sz="4" w:space="0" w:color="000000"/>
              <w:right w:val="single" w:sz="4" w:space="0" w:color="000000"/>
            </w:tcBorders>
            <w:shd w:val="clear" w:color="auto" w:fill="auto"/>
          </w:tcPr>
          <w:p w:rsidR="00EE1846" w:rsidRPr="00E50902" w:rsidRDefault="00F83361" w:rsidP="0037732C">
            <w:r w:rsidRPr="00F83361">
              <w:t>Number of laboratories and/or competence centres jointly used by the entrepreneurs developed or improved</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1846" w:rsidRPr="00374A8C" w:rsidRDefault="00EE1846" w:rsidP="00052931">
            <w:pPr>
              <w:spacing w:after="0"/>
              <w:jc w:val="left"/>
              <w:rPr>
                <w:sz w:val="22"/>
                <w:szCs w:val="22"/>
              </w:rPr>
            </w:pPr>
            <w:r w:rsidRPr="00374A8C">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EE1846" w:rsidRPr="00AF2687" w:rsidRDefault="00F83361" w:rsidP="00EE1846">
            <w:pPr>
              <w:jc w:val="center"/>
            </w:pPr>
            <w:r>
              <w:t>16</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rsidR="00EE1846" w:rsidRPr="00374A8C" w:rsidRDefault="00EE1846" w:rsidP="00E354EE">
            <w:pPr>
              <w:spacing w:after="0"/>
              <w:rPr>
                <w:rFonts w:eastAsia="Times New Roman"/>
                <w:sz w:val="22"/>
                <w:szCs w:val="22"/>
              </w:rPr>
            </w:pPr>
            <w:r w:rsidRPr="00374A8C">
              <w:rPr>
                <w:rFonts w:eastAsia="Times New Roman"/>
                <w:sz w:val="22"/>
                <w:szCs w:val="22"/>
              </w:rPr>
              <w:t>Monitoring of operations (progress reports)</w:t>
            </w:r>
          </w:p>
        </w:tc>
        <w:tc>
          <w:tcPr>
            <w:tcW w:w="715" w:type="pct"/>
            <w:tcBorders>
              <w:top w:val="single" w:sz="4" w:space="0" w:color="000000"/>
              <w:left w:val="single" w:sz="4" w:space="0" w:color="000000"/>
              <w:bottom w:val="single" w:sz="4" w:space="0" w:color="000000"/>
              <w:right w:val="single" w:sz="4" w:space="0" w:color="000000"/>
            </w:tcBorders>
          </w:tcPr>
          <w:p w:rsidR="00EE1846" w:rsidRPr="00374A8C" w:rsidRDefault="00EE1846" w:rsidP="00E354EE">
            <w:pPr>
              <w:rPr>
                <w:sz w:val="22"/>
                <w:szCs w:val="22"/>
              </w:rPr>
            </w:pPr>
            <w:r w:rsidRPr="00374A8C">
              <w:rPr>
                <w:rFonts w:eastAsia="Times New Roman"/>
                <w:sz w:val="22"/>
                <w:szCs w:val="22"/>
              </w:rPr>
              <w:t>Annually</w:t>
            </w:r>
          </w:p>
        </w:tc>
      </w:tr>
      <w:tr w:rsidR="00EE1846" w:rsidRPr="00414803" w:rsidTr="0037732C">
        <w:trPr>
          <w:trHeight w:val="79"/>
          <w:jc w:val="center"/>
        </w:trPr>
        <w:tc>
          <w:tcPr>
            <w:tcW w:w="326" w:type="pct"/>
            <w:tcBorders>
              <w:top w:val="single" w:sz="4" w:space="0" w:color="000000"/>
              <w:left w:val="single" w:sz="4" w:space="0" w:color="000000"/>
              <w:bottom w:val="single" w:sz="4" w:space="0" w:color="000000"/>
              <w:right w:val="single" w:sz="4" w:space="0" w:color="000000"/>
            </w:tcBorders>
          </w:tcPr>
          <w:p w:rsidR="00EE1846" w:rsidRDefault="00EE1846">
            <w:r w:rsidRPr="00171267">
              <w:rPr>
                <w:rFonts w:eastAsia="Times New Roman"/>
                <w:sz w:val="22"/>
                <w:szCs w:val="22"/>
              </w:rPr>
              <w:t>PA 4</w:t>
            </w:r>
          </w:p>
        </w:tc>
        <w:tc>
          <w:tcPr>
            <w:tcW w:w="1976" w:type="pct"/>
            <w:tcBorders>
              <w:top w:val="single" w:sz="4" w:space="0" w:color="000000"/>
              <w:left w:val="single" w:sz="4" w:space="0" w:color="000000"/>
              <w:bottom w:val="single" w:sz="4" w:space="0" w:color="000000"/>
              <w:right w:val="single" w:sz="4" w:space="0" w:color="000000"/>
            </w:tcBorders>
            <w:shd w:val="clear" w:color="auto" w:fill="auto"/>
          </w:tcPr>
          <w:p w:rsidR="00EE1846" w:rsidRPr="00E50902" w:rsidRDefault="00F83361" w:rsidP="0037732C">
            <w:r w:rsidRPr="00F83361">
              <w:t>Number of enterprises and business support institutions cooperating with research institutions (CI)</w:t>
            </w:r>
            <w: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1846" w:rsidRPr="00374A8C" w:rsidRDefault="00EE1846" w:rsidP="00052931">
            <w:pPr>
              <w:spacing w:after="0"/>
              <w:jc w:val="left"/>
              <w:rPr>
                <w:sz w:val="22"/>
                <w:szCs w:val="22"/>
              </w:rPr>
            </w:pPr>
            <w:r w:rsidRPr="00374A8C">
              <w:rPr>
                <w:rFonts w:eastAsia="Times New Roman"/>
                <w:sz w:val="22"/>
                <w:szCs w:val="22"/>
              </w:rPr>
              <w:t>Number</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EE1846" w:rsidRPr="00AF2687" w:rsidRDefault="00F83361" w:rsidP="00EE1846">
            <w:pPr>
              <w:jc w:val="center"/>
            </w:pPr>
            <w:r>
              <w:t>23</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rsidR="00EE1846" w:rsidRPr="00374A8C" w:rsidRDefault="00EE1846" w:rsidP="00E354EE">
            <w:pPr>
              <w:spacing w:after="0"/>
              <w:rPr>
                <w:rFonts w:eastAsia="Times New Roman"/>
                <w:sz w:val="22"/>
                <w:szCs w:val="22"/>
              </w:rPr>
            </w:pPr>
            <w:r w:rsidRPr="00374A8C">
              <w:rPr>
                <w:rFonts w:eastAsia="Times New Roman"/>
                <w:sz w:val="22"/>
                <w:szCs w:val="22"/>
              </w:rPr>
              <w:t>Monitoring of operations (progress reports)</w:t>
            </w:r>
          </w:p>
        </w:tc>
        <w:tc>
          <w:tcPr>
            <w:tcW w:w="715" w:type="pct"/>
            <w:tcBorders>
              <w:top w:val="single" w:sz="4" w:space="0" w:color="000000"/>
              <w:left w:val="single" w:sz="4" w:space="0" w:color="000000"/>
              <w:bottom w:val="single" w:sz="4" w:space="0" w:color="000000"/>
              <w:right w:val="single" w:sz="4" w:space="0" w:color="000000"/>
            </w:tcBorders>
          </w:tcPr>
          <w:p w:rsidR="00EE1846" w:rsidRPr="00374A8C" w:rsidRDefault="00EE1846" w:rsidP="00E354EE">
            <w:pPr>
              <w:rPr>
                <w:sz w:val="22"/>
                <w:szCs w:val="22"/>
              </w:rPr>
            </w:pPr>
            <w:r w:rsidRPr="00374A8C">
              <w:rPr>
                <w:rFonts w:eastAsia="Times New Roman"/>
                <w:sz w:val="22"/>
                <w:szCs w:val="22"/>
              </w:rPr>
              <w:t>Annually</w:t>
            </w:r>
          </w:p>
        </w:tc>
      </w:tr>
    </w:tbl>
    <w:p w:rsidR="00487D34" w:rsidRPr="00B76110" w:rsidRDefault="00487D34" w:rsidP="00487D34">
      <w:pPr>
        <w:rPr>
          <w:rFonts w:eastAsia="Times New Roman"/>
          <w:b/>
        </w:rPr>
      </w:pPr>
    </w:p>
    <w:p w:rsidR="00487D34" w:rsidRPr="00B76110" w:rsidRDefault="00F83361" w:rsidP="00487D34">
      <w:pPr>
        <w:ind w:left="283"/>
        <w:rPr>
          <w:rFonts w:eastAsia="Times New Roman"/>
        </w:rPr>
      </w:pPr>
      <w:r>
        <w:rPr>
          <w:rFonts w:eastAsia="Times New Roman"/>
        </w:rPr>
        <w:t>*Common output indicator</w:t>
      </w:r>
    </w:p>
    <w:p w:rsidR="00487D34" w:rsidRPr="00B76110" w:rsidRDefault="00487D34" w:rsidP="00487D34">
      <w:pPr>
        <w:suppressAutoHyphens/>
        <w:spacing w:after="240"/>
        <w:rPr>
          <w:rFonts w:eastAsia="Times New Roman"/>
          <w:b/>
        </w:rPr>
      </w:pPr>
    </w:p>
    <w:p w:rsidR="00487D34" w:rsidRPr="00B76110" w:rsidRDefault="00487D34" w:rsidP="00487D34">
      <w:pPr>
        <w:suppressAutoHyphens/>
        <w:spacing w:after="240"/>
        <w:rPr>
          <w:rFonts w:eastAsia="Times New Roman"/>
          <w:b/>
        </w:rPr>
        <w:sectPr w:rsidR="00487D34" w:rsidRPr="00B76110" w:rsidSect="006A4BDD">
          <w:pgSz w:w="16838" w:h="11906" w:orient="landscape"/>
          <w:pgMar w:top="1418" w:right="1021" w:bottom="1418" w:left="1021" w:header="601" w:footer="1077" w:gutter="0"/>
          <w:cols w:space="720"/>
          <w:docGrid w:linePitch="326"/>
        </w:sectPr>
      </w:pPr>
    </w:p>
    <w:p w:rsidR="00487D34" w:rsidRDefault="00487D34" w:rsidP="00487D34">
      <w:pPr>
        <w:suppressAutoHyphens/>
        <w:spacing w:after="240"/>
        <w:rPr>
          <w:rFonts w:eastAsia="Times New Roman"/>
          <w:b/>
        </w:rPr>
      </w:pPr>
      <w:r w:rsidRPr="00B76110">
        <w:rPr>
          <w:rFonts w:eastAsia="Times New Roman"/>
          <w:b/>
        </w:rPr>
        <w:lastRenderedPageBreak/>
        <w:t>2.</w:t>
      </w:r>
      <w:r w:rsidR="00A71B6A">
        <w:rPr>
          <w:rFonts w:eastAsia="Times New Roman"/>
          <w:b/>
        </w:rPr>
        <w:t>4</w:t>
      </w:r>
      <w:r w:rsidRPr="00B76110">
        <w:rPr>
          <w:rFonts w:eastAsia="Times New Roman"/>
          <w:b/>
        </w:rPr>
        <w:t>.</w:t>
      </w:r>
      <w:r>
        <w:rPr>
          <w:rFonts w:eastAsia="Times New Roman"/>
          <w:b/>
        </w:rPr>
        <w:t>7</w:t>
      </w:r>
      <w:r w:rsidRPr="00B76110">
        <w:rPr>
          <w:rFonts w:eastAsia="Times New Roman"/>
          <w:b/>
        </w:rPr>
        <w:t xml:space="preserve">. Categories of intervention </w:t>
      </w:r>
    </w:p>
    <w:p w:rsidR="00487D34" w:rsidRPr="00567F19" w:rsidRDefault="00487D34" w:rsidP="00487D34">
      <w:r w:rsidRPr="00567F19">
        <w:t xml:space="preserve">(Reference: </w:t>
      </w:r>
      <w:r>
        <w:t xml:space="preserve">point (b)(vii) of </w:t>
      </w:r>
      <w:r w:rsidRPr="00567F19">
        <w:t>Article 8(2) of Regulation (EU) No 1299/2013)</w:t>
      </w:r>
    </w:p>
    <w:p w:rsidR="00487D34" w:rsidRPr="008A7F7E" w:rsidRDefault="00487D34" w:rsidP="00487D34">
      <w:pPr>
        <w:suppressAutoHyphens/>
        <w:spacing w:after="240"/>
        <w:rPr>
          <w:rFonts w:eastAsia="Times New Roman"/>
        </w:rPr>
      </w:pPr>
      <w:r w:rsidRPr="00B76110">
        <w:rPr>
          <w:rFonts w:eastAsia="Times New Roman"/>
        </w:rPr>
        <w:t>Categories of intervention corresponding to the content of the priority axis, based on a nomenclature adopted by the Commission, and indicat</w:t>
      </w:r>
      <w:r>
        <w:rPr>
          <w:rFonts w:eastAsia="Times New Roman"/>
        </w:rPr>
        <w:t xml:space="preserve">ive breakdown of Union support </w:t>
      </w:r>
    </w:p>
    <w:p w:rsidR="00487D34" w:rsidRPr="00B76110" w:rsidRDefault="00487D34" w:rsidP="00487D34">
      <w:pPr>
        <w:suppressAutoHyphens/>
        <w:spacing w:after="240"/>
        <w:rPr>
          <w:rFonts w:eastAsia="Times New Roman"/>
          <w:szCs w:val="24"/>
        </w:rPr>
      </w:pPr>
      <w:r w:rsidRPr="00B76110">
        <w:rPr>
          <w:rFonts w:eastAsia="Times New Roman"/>
          <w:b/>
          <w:szCs w:val="24"/>
        </w:rPr>
        <w:t xml:space="preserve">Tables </w:t>
      </w:r>
      <w:r>
        <w:rPr>
          <w:rFonts w:eastAsia="Times New Roman"/>
          <w:b/>
          <w:szCs w:val="24"/>
        </w:rPr>
        <w:t>5</w:t>
      </w:r>
      <w:r w:rsidRPr="00B76110">
        <w:rPr>
          <w:rFonts w:eastAsia="Times New Roman"/>
          <w:b/>
          <w:szCs w:val="24"/>
        </w:rPr>
        <w:t>-</w:t>
      </w:r>
      <w:r>
        <w:rPr>
          <w:rFonts w:eastAsia="Times New Roman"/>
          <w:b/>
          <w:szCs w:val="24"/>
        </w:rPr>
        <w:t>8</w:t>
      </w:r>
      <w:r w:rsidRPr="00B76110">
        <w:rPr>
          <w:rFonts w:eastAsia="Times New Roman"/>
          <w:b/>
          <w:szCs w:val="24"/>
        </w:rPr>
        <w:t>: Categories of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394"/>
        <w:gridCol w:w="2552"/>
      </w:tblGrid>
      <w:tr w:rsidR="00487D34" w:rsidRPr="00B62861" w:rsidTr="00E354EE">
        <w:trPr>
          <w:trHeight w:val="364"/>
        </w:trPr>
        <w:tc>
          <w:tcPr>
            <w:tcW w:w="8472" w:type="dxa"/>
            <w:gridSpan w:val="3"/>
            <w:shd w:val="clear" w:color="auto" w:fill="auto"/>
          </w:tcPr>
          <w:p w:rsidR="00487D34" w:rsidRPr="00B62861" w:rsidRDefault="00487D34" w:rsidP="00E354EE">
            <w:pPr>
              <w:autoSpaceDE w:val="0"/>
              <w:autoSpaceDN w:val="0"/>
              <w:adjustRightInd w:val="0"/>
              <w:spacing w:after="0"/>
              <w:rPr>
                <w:rFonts w:eastAsia="Times New Roman"/>
                <w:b/>
                <w:color w:val="000000"/>
                <w:sz w:val="20"/>
              </w:rPr>
            </w:pPr>
            <w:r w:rsidRPr="00B62861">
              <w:rPr>
                <w:rFonts w:eastAsia="Times New Roman"/>
                <w:b/>
                <w:bCs/>
                <w:color w:val="000000"/>
                <w:sz w:val="20"/>
              </w:rPr>
              <w:t xml:space="preserve">Table 5: Dimension 1 </w:t>
            </w:r>
            <w:r w:rsidRPr="00B62861">
              <w:rPr>
                <w:rFonts w:eastAsia="Times New Roman"/>
                <w:b/>
                <w:color w:val="000000"/>
                <w:sz w:val="20"/>
              </w:rPr>
              <w:t>Intervention field</w:t>
            </w:r>
          </w:p>
        </w:tc>
      </w:tr>
      <w:tr w:rsidR="00487D34" w:rsidRPr="00B62861" w:rsidTr="00E354EE">
        <w:trPr>
          <w:trHeight w:val="267"/>
        </w:trPr>
        <w:tc>
          <w:tcPr>
            <w:tcW w:w="1526" w:type="dxa"/>
            <w:shd w:val="clear" w:color="auto" w:fill="auto"/>
          </w:tcPr>
          <w:p w:rsidR="00487D34" w:rsidRPr="00B62861" w:rsidRDefault="00487D34" w:rsidP="00E354EE">
            <w:pPr>
              <w:spacing w:after="240"/>
              <w:jc w:val="center"/>
              <w:rPr>
                <w:rFonts w:eastAsia="Times New Roman"/>
                <w:b/>
                <w:sz w:val="20"/>
              </w:rPr>
            </w:pPr>
            <w:r w:rsidRPr="00B62861">
              <w:rPr>
                <w:rFonts w:eastAsia="Times New Roman"/>
                <w:b/>
                <w:sz w:val="20"/>
              </w:rPr>
              <w:t>Priority axis</w:t>
            </w:r>
          </w:p>
        </w:tc>
        <w:tc>
          <w:tcPr>
            <w:tcW w:w="4394" w:type="dxa"/>
            <w:shd w:val="clear" w:color="auto" w:fill="auto"/>
          </w:tcPr>
          <w:p w:rsidR="00487D34" w:rsidRPr="00B62861" w:rsidRDefault="00487D34" w:rsidP="00E354EE">
            <w:pPr>
              <w:spacing w:after="240"/>
              <w:jc w:val="center"/>
              <w:rPr>
                <w:rFonts w:eastAsia="Times New Roman"/>
                <w:sz w:val="20"/>
              </w:rPr>
            </w:pPr>
            <w:r w:rsidRPr="00B62861">
              <w:rPr>
                <w:rFonts w:eastAsia="Times New Roman"/>
                <w:b/>
                <w:sz w:val="20"/>
              </w:rPr>
              <w:t>Code</w:t>
            </w:r>
          </w:p>
        </w:tc>
        <w:tc>
          <w:tcPr>
            <w:tcW w:w="2552" w:type="dxa"/>
            <w:shd w:val="clear" w:color="auto" w:fill="auto"/>
          </w:tcPr>
          <w:p w:rsidR="00487D34" w:rsidRPr="00B62861" w:rsidRDefault="00487D34" w:rsidP="00E354EE">
            <w:pPr>
              <w:spacing w:after="240"/>
              <w:jc w:val="center"/>
              <w:rPr>
                <w:rFonts w:eastAsia="Times New Roman"/>
                <w:sz w:val="20"/>
              </w:rPr>
            </w:pPr>
            <w:r w:rsidRPr="00B62861">
              <w:rPr>
                <w:b/>
                <w:sz w:val="20"/>
              </w:rPr>
              <w:t>Amount (EUR)</w:t>
            </w:r>
          </w:p>
        </w:tc>
      </w:tr>
      <w:tr w:rsidR="00487D34" w:rsidRPr="00B62861" w:rsidTr="00E354EE">
        <w:tc>
          <w:tcPr>
            <w:tcW w:w="1526" w:type="dxa"/>
            <w:shd w:val="clear" w:color="auto" w:fill="auto"/>
          </w:tcPr>
          <w:p w:rsidR="00487D34" w:rsidRPr="00B62861" w:rsidRDefault="00487D34" w:rsidP="00100913">
            <w:pPr>
              <w:spacing w:after="0"/>
              <w:rPr>
                <w:rFonts w:eastAsia="Times New Roman"/>
                <w:sz w:val="20"/>
              </w:rPr>
            </w:pPr>
            <w:r w:rsidRPr="00B62861">
              <w:rPr>
                <w:rFonts w:eastAsia="Times New Roman"/>
                <w:sz w:val="20"/>
              </w:rPr>
              <w:t xml:space="preserve">PA </w:t>
            </w:r>
            <w:r w:rsidR="00100913" w:rsidRPr="00B62861">
              <w:rPr>
                <w:rFonts w:eastAsia="Times New Roman"/>
                <w:sz w:val="20"/>
              </w:rPr>
              <w:t>4</w:t>
            </w:r>
          </w:p>
        </w:tc>
        <w:tc>
          <w:tcPr>
            <w:tcW w:w="4394" w:type="dxa"/>
            <w:shd w:val="clear" w:color="auto" w:fill="auto"/>
          </w:tcPr>
          <w:p w:rsidR="00487D34" w:rsidRPr="00B62861" w:rsidRDefault="00A859E6" w:rsidP="00E354EE">
            <w:pPr>
              <w:spacing w:after="0"/>
              <w:rPr>
                <w:rFonts w:eastAsia="Times New Roman"/>
                <w:sz w:val="20"/>
              </w:rPr>
            </w:pPr>
            <w:r w:rsidRPr="00B62861">
              <w:rPr>
                <w:rFonts w:eastAsia="Times New Roman"/>
                <w:sz w:val="20"/>
              </w:rPr>
              <w:t>063 Cluster support and business networks primarily benefiting SMEs</w:t>
            </w:r>
          </w:p>
        </w:tc>
        <w:tc>
          <w:tcPr>
            <w:tcW w:w="2552" w:type="dxa"/>
            <w:shd w:val="clear" w:color="auto" w:fill="auto"/>
          </w:tcPr>
          <w:p w:rsidR="00441280" w:rsidRPr="006C629A" w:rsidRDefault="00441280" w:rsidP="00350E90">
            <w:pPr>
              <w:spacing w:after="0"/>
              <w:jc w:val="left"/>
              <w:rPr>
                <w:rFonts w:eastAsia="Times New Roman"/>
                <w:sz w:val="20"/>
              </w:rPr>
            </w:pPr>
          </w:p>
          <w:p w:rsidR="00487D34" w:rsidRPr="006C629A" w:rsidRDefault="00441280" w:rsidP="00441280">
            <w:pPr>
              <w:spacing w:before="0" w:after="0"/>
              <w:jc w:val="left"/>
              <w:rPr>
                <w:color w:val="000000"/>
                <w:sz w:val="18"/>
                <w:szCs w:val="18"/>
              </w:rPr>
            </w:pPr>
            <w:r w:rsidRPr="006C629A">
              <w:rPr>
                <w:color w:val="000000"/>
                <w:sz w:val="18"/>
                <w:szCs w:val="18"/>
              </w:rPr>
              <w:t>1.905.177,20</w:t>
            </w:r>
          </w:p>
        </w:tc>
      </w:tr>
      <w:tr w:rsidR="00441280" w:rsidRPr="00B62861" w:rsidTr="00441280">
        <w:trPr>
          <w:trHeight w:val="233"/>
        </w:trPr>
        <w:tc>
          <w:tcPr>
            <w:tcW w:w="1526" w:type="dxa"/>
            <w:shd w:val="clear" w:color="auto" w:fill="auto"/>
          </w:tcPr>
          <w:p w:rsidR="00441280" w:rsidRPr="00B62861" w:rsidRDefault="00441280" w:rsidP="00441280">
            <w:pPr>
              <w:rPr>
                <w:sz w:val="20"/>
              </w:rPr>
            </w:pPr>
            <w:r w:rsidRPr="00B62861">
              <w:rPr>
                <w:rFonts w:eastAsia="Times New Roman"/>
                <w:sz w:val="20"/>
              </w:rPr>
              <w:t>PA 4</w:t>
            </w:r>
          </w:p>
        </w:tc>
        <w:tc>
          <w:tcPr>
            <w:tcW w:w="4394" w:type="dxa"/>
            <w:shd w:val="clear" w:color="auto" w:fill="auto"/>
          </w:tcPr>
          <w:p w:rsidR="00441280" w:rsidRPr="00B62861" w:rsidRDefault="00441280" w:rsidP="00441280">
            <w:pPr>
              <w:spacing w:after="0"/>
              <w:rPr>
                <w:rFonts w:eastAsia="Times New Roman"/>
                <w:sz w:val="20"/>
              </w:rPr>
            </w:pPr>
            <w:r w:rsidRPr="00B62861">
              <w:rPr>
                <w:rFonts w:eastAsia="Times New Roman"/>
                <w:sz w:val="20"/>
              </w:rPr>
              <w:t>066 Advanced support services for SMEs and groups of SMEs (including management, marketing and design services)</w:t>
            </w:r>
          </w:p>
        </w:tc>
        <w:tc>
          <w:tcPr>
            <w:tcW w:w="2552" w:type="dxa"/>
            <w:shd w:val="clear" w:color="auto" w:fill="auto"/>
            <w:vAlign w:val="bottom"/>
          </w:tcPr>
          <w:p w:rsidR="00441280" w:rsidRPr="006C629A" w:rsidRDefault="00441280" w:rsidP="00441280">
            <w:pPr>
              <w:spacing w:after="0"/>
              <w:jc w:val="left"/>
              <w:rPr>
                <w:rFonts w:eastAsia="Times New Roman"/>
                <w:sz w:val="20"/>
              </w:rPr>
            </w:pPr>
            <w:r w:rsidRPr="006C629A">
              <w:rPr>
                <w:color w:val="000000"/>
                <w:sz w:val="18"/>
                <w:szCs w:val="18"/>
              </w:rPr>
              <w:t>1.905.177,20</w:t>
            </w:r>
          </w:p>
        </w:tc>
      </w:tr>
      <w:tr w:rsidR="00441280" w:rsidRPr="00B62861" w:rsidTr="00441280">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62861" w:rsidRDefault="00441280" w:rsidP="00441280">
            <w:pPr>
              <w:rPr>
                <w:sz w:val="20"/>
              </w:rPr>
            </w:pPr>
            <w:r w:rsidRPr="00B62861">
              <w:rPr>
                <w:rFonts w:eastAsia="Times New Roman"/>
                <w:sz w:val="20"/>
              </w:rPr>
              <w:t>PA 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62861" w:rsidRDefault="00441280" w:rsidP="00441280">
            <w:pPr>
              <w:spacing w:after="0"/>
              <w:rPr>
                <w:rFonts w:eastAsia="Times New Roman"/>
                <w:sz w:val="20"/>
              </w:rPr>
            </w:pPr>
            <w:r w:rsidRPr="00B62861">
              <w:rPr>
                <w:rFonts w:eastAsia="Times New Roman"/>
                <w:sz w:val="20"/>
              </w:rPr>
              <w:t>073 Support to social enterprises (SMEs)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6C629A" w:rsidRDefault="00441280" w:rsidP="00441280">
            <w:pPr>
              <w:spacing w:after="0"/>
              <w:jc w:val="left"/>
              <w:rPr>
                <w:rFonts w:eastAsia="Times New Roman"/>
                <w:sz w:val="20"/>
              </w:rPr>
            </w:pPr>
            <w:r w:rsidRPr="006C629A">
              <w:rPr>
                <w:color w:val="000000"/>
                <w:sz w:val="18"/>
                <w:szCs w:val="18"/>
              </w:rPr>
              <w:t>1.905.177,20</w:t>
            </w:r>
          </w:p>
        </w:tc>
      </w:tr>
      <w:tr w:rsidR="00441280" w:rsidRPr="00B62861" w:rsidTr="00441280">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62861" w:rsidRDefault="00441280" w:rsidP="00441280">
            <w:pPr>
              <w:rPr>
                <w:rFonts w:eastAsia="Times New Roman"/>
                <w:sz w:val="20"/>
              </w:rPr>
            </w:pPr>
            <w:r w:rsidRPr="00B62861">
              <w:rPr>
                <w:rFonts w:eastAsia="Times New Roman"/>
                <w:sz w:val="20"/>
              </w:rPr>
              <w:t>PA 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62861" w:rsidRDefault="00441280" w:rsidP="00441280">
            <w:pPr>
              <w:spacing w:after="0"/>
              <w:rPr>
                <w:rFonts w:eastAsia="Times New Roman"/>
                <w:sz w:val="20"/>
              </w:rPr>
            </w:pPr>
            <w:r w:rsidRPr="00B62861">
              <w:rPr>
                <w:rFonts w:eastAsia="Times New Roman"/>
                <w:sz w:val="20"/>
              </w:rPr>
              <w:t>082</w:t>
            </w:r>
            <w:r w:rsidRPr="00B62861">
              <w:rPr>
                <w:sz w:val="20"/>
              </w:rPr>
              <w:t xml:space="preserve"> </w:t>
            </w:r>
            <w:r w:rsidRPr="00B62861">
              <w:rPr>
                <w:rFonts w:eastAsia="Times New Roman"/>
                <w:sz w:val="20"/>
              </w:rPr>
              <w:t>ICT Services and applications for SMEs (including e-Commerce, e-Business and networked business processes), living labs, web entrepreneurs and ICT start-ups)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6C629A" w:rsidRDefault="00441280" w:rsidP="00441280">
            <w:pPr>
              <w:spacing w:after="0"/>
              <w:jc w:val="left"/>
              <w:rPr>
                <w:rFonts w:eastAsia="Times New Roman"/>
                <w:sz w:val="20"/>
              </w:rPr>
            </w:pPr>
            <w:r w:rsidRPr="006C629A">
              <w:rPr>
                <w:color w:val="000000"/>
                <w:sz w:val="18"/>
                <w:szCs w:val="18"/>
              </w:rPr>
              <w:t>1.905.177,20</w:t>
            </w:r>
          </w:p>
        </w:tc>
      </w:tr>
      <w:tr w:rsidR="00441280" w:rsidRPr="00B62861" w:rsidTr="00441280">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62861" w:rsidRDefault="00441280" w:rsidP="00441280">
            <w:pPr>
              <w:rPr>
                <w:rFonts w:eastAsia="Times New Roman"/>
                <w:sz w:val="20"/>
              </w:rPr>
            </w:pPr>
            <w:r w:rsidRPr="00B62861">
              <w:rPr>
                <w:rFonts w:eastAsia="Times New Roman"/>
                <w:sz w:val="20"/>
              </w:rPr>
              <w:t>PA 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62861" w:rsidRDefault="00441280" w:rsidP="00441280">
            <w:pPr>
              <w:spacing w:after="0"/>
              <w:rPr>
                <w:rFonts w:eastAsia="Times New Roman"/>
                <w:sz w:val="20"/>
              </w:rPr>
            </w:pPr>
            <w:r w:rsidRPr="00B62861">
              <w:rPr>
                <w:rFonts w:eastAsia="Times New Roman"/>
                <w:sz w:val="20"/>
              </w:rPr>
              <w:t>075 Development and promotion of tourism services in or for SMEs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6C629A" w:rsidRDefault="00441280" w:rsidP="00441280">
            <w:pPr>
              <w:spacing w:after="0"/>
              <w:jc w:val="left"/>
              <w:rPr>
                <w:rFonts w:eastAsia="Times New Roman"/>
                <w:sz w:val="20"/>
              </w:rPr>
            </w:pPr>
            <w:r w:rsidRPr="006C629A">
              <w:rPr>
                <w:color w:val="000000"/>
                <w:sz w:val="18"/>
                <w:szCs w:val="18"/>
              </w:rPr>
              <w:t>1.905.177,20</w:t>
            </w:r>
          </w:p>
        </w:tc>
      </w:tr>
      <w:tr w:rsidR="00441280" w:rsidRPr="00B62861" w:rsidTr="00441280">
        <w:trPr>
          <w:trHeight w:val="23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41280" w:rsidRPr="00B62861" w:rsidRDefault="00441280" w:rsidP="00441280">
            <w:pPr>
              <w:rPr>
                <w:rFonts w:eastAsia="Times New Roman"/>
                <w:sz w:val="20"/>
              </w:rPr>
            </w:pPr>
            <w:r w:rsidRPr="00B62861">
              <w:rPr>
                <w:rFonts w:eastAsia="Times New Roman"/>
                <w:sz w:val="20"/>
              </w:rPr>
              <w:t>PA 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41280" w:rsidRPr="00B62861" w:rsidRDefault="00441280" w:rsidP="00441280">
            <w:pPr>
              <w:spacing w:after="0"/>
              <w:rPr>
                <w:rFonts w:eastAsia="Times New Roman"/>
                <w:sz w:val="20"/>
              </w:rPr>
            </w:pPr>
            <w:r w:rsidRPr="00B62861">
              <w:rPr>
                <w:rFonts w:eastAsia="Times New Roman"/>
                <w:sz w:val="20"/>
              </w:rPr>
              <w:t>077 Development and promotion of cultural and creative services in or for SMEs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1280" w:rsidRPr="006C629A" w:rsidRDefault="00441280" w:rsidP="00441280">
            <w:pPr>
              <w:spacing w:after="0"/>
              <w:jc w:val="left"/>
              <w:rPr>
                <w:rFonts w:eastAsia="Times New Roman"/>
                <w:sz w:val="20"/>
              </w:rPr>
            </w:pPr>
            <w:r w:rsidRPr="006C629A">
              <w:rPr>
                <w:color w:val="000000"/>
                <w:sz w:val="18"/>
                <w:szCs w:val="18"/>
              </w:rPr>
              <w:t>1.905.177,20</w:t>
            </w:r>
          </w:p>
        </w:tc>
      </w:tr>
    </w:tbl>
    <w:p w:rsidR="00C94549" w:rsidRPr="00FA1C87" w:rsidRDefault="00C94549" w:rsidP="00487D34">
      <w:pPr>
        <w:suppressAutoHyphens/>
        <w:spacing w:after="240"/>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7D34" w:rsidRPr="00B62861" w:rsidTr="00E354EE">
        <w:trPr>
          <w:trHeight w:val="364"/>
        </w:trPr>
        <w:tc>
          <w:tcPr>
            <w:tcW w:w="8472" w:type="dxa"/>
            <w:gridSpan w:val="3"/>
            <w:shd w:val="clear" w:color="auto" w:fill="auto"/>
          </w:tcPr>
          <w:p w:rsidR="00487D34" w:rsidRPr="00B62861" w:rsidRDefault="00487D34" w:rsidP="00E354EE">
            <w:pPr>
              <w:autoSpaceDE w:val="0"/>
              <w:autoSpaceDN w:val="0"/>
              <w:adjustRightInd w:val="0"/>
              <w:spacing w:after="0"/>
              <w:rPr>
                <w:rFonts w:eastAsia="Times New Roman"/>
                <w:b/>
                <w:color w:val="000000"/>
                <w:sz w:val="20"/>
              </w:rPr>
            </w:pPr>
            <w:r w:rsidRPr="00B62861">
              <w:rPr>
                <w:rFonts w:eastAsia="Times New Roman"/>
                <w:b/>
                <w:bCs/>
                <w:color w:val="000000"/>
                <w:sz w:val="20"/>
              </w:rPr>
              <w:t xml:space="preserve">Table 6: Dimension 2 </w:t>
            </w:r>
            <w:r w:rsidRPr="00B62861">
              <w:rPr>
                <w:rFonts w:eastAsia="Times New Roman"/>
                <w:b/>
                <w:color w:val="000000"/>
                <w:sz w:val="20"/>
              </w:rPr>
              <w:t>Form of finance</w:t>
            </w:r>
          </w:p>
        </w:tc>
      </w:tr>
      <w:tr w:rsidR="00487D34" w:rsidRPr="00B62861" w:rsidTr="00E354EE">
        <w:trPr>
          <w:trHeight w:val="267"/>
        </w:trPr>
        <w:tc>
          <w:tcPr>
            <w:tcW w:w="2802" w:type="dxa"/>
            <w:shd w:val="clear" w:color="auto" w:fill="auto"/>
          </w:tcPr>
          <w:p w:rsidR="00487D34" w:rsidRPr="00B62861" w:rsidRDefault="00487D34" w:rsidP="00E354EE">
            <w:pPr>
              <w:spacing w:after="240"/>
              <w:jc w:val="center"/>
              <w:rPr>
                <w:rFonts w:eastAsia="Times New Roman"/>
                <w:b/>
                <w:sz w:val="20"/>
              </w:rPr>
            </w:pPr>
            <w:r w:rsidRPr="00B62861">
              <w:rPr>
                <w:rFonts w:eastAsia="Times New Roman"/>
                <w:b/>
                <w:sz w:val="20"/>
              </w:rPr>
              <w:t>Priority axis</w:t>
            </w:r>
          </w:p>
        </w:tc>
        <w:tc>
          <w:tcPr>
            <w:tcW w:w="2693" w:type="dxa"/>
            <w:shd w:val="clear" w:color="auto" w:fill="auto"/>
          </w:tcPr>
          <w:p w:rsidR="00487D34" w:rsidRPr="00B62861" w:rsidRDefault="00487D34" w:rsidP="00E354EE">
            <w:pPr>
              <w:spacing w:after="240"/>
              <w:jc w:val="center"/>
              <w:rPr>
                <w:rFonts w:eastAsia="Times New Roman"/>
                <w:sz w:val="20"/>
              </w:rPr>
            </w:pPr>
            <w:r w:rsidRPr="00B62861">
              <w:rPr>
                <w:rFonts w:eastAsia="Times New Roman"/>
                <w:b/>
                <w:sz w:val="20"/>
              </w:rPr>
              <w:t>Code</w:t>
            </w:r>
          </w:p>
        </w:tc>
        <w:tc>
          <w:tcPr>
            <w:tcW w:w="2977" w:type="dxa"/>
            <w:shd w:val="clear" w:color="auto" w:fill="auto"/>
          </w:tcPr>
          <w:p w:rsidR="00487D34" w:rsidRPr="00B62861" w:rsidRDefault="00487D34" w:rsidP="00E354EE">
            <w:pPr>
              <w:spacing w:after="240"/>
              <w:jc w:val="center"/>
              <w:rPr>
                <w:rFonts w:eastAsia="Times New Roman"/>
                <w:sz w:val="20"/>
              </w:rPr>
            </w:pPr>
            <w:r w:rsidRPr="00B62861">
              <w:rPr>
                <w:b/>
                <w:sz w:val="20"/>
              </w:rPr>
              <w:t>Amount (EUR)</w:t>
            </w:r>
          </w:p>
        </w:tc>
      </w:tr>
      <w:tr w:rsidR="00487D34" w:rsidRPr="00B62861" w:rsidTr="00E354EE">
        <w:tc>
          <w:tcPr>
            <w:tcW w:w="2802" w:type="dxa"/>
            <w:shd w:val="clear" w:color="auto" w:fill="auto"/>
          </w:tcPr>
          <w:p w:rsidR="00487D34" w:rsidRPr="00B62861" w:rsidRDefault="00487D34" w:rsidP="00286FE3">
            <w:pPr>
              <w:spacing w:after="240"/>
              <w:rPr>
                <w:rFonts w:eastAsia="Times New Roman"/>
                <w:sz w:val="20"/>
              </w:rPr>
            </w:pPr>
            <w:r w:rsidRPr="00B62861">
              <w:rPr>
                <w:rFonts w:eastAsia="Times New Roman"/>
                <w:sz w:val="20"/>
              </w:rPr>
              <w:t xml:space="preserve">PA </w:t>
            </w:r>
            <w:r w:rsidR="00286FE3" w:rsidRPr="00B62861">
              <w:rPr>
                <w:rFonts w:eastAsia="Times New Roman"/>
                <w:sz w:val="20"/>
              </w:rPr>
              <w:t>4</w:t>
            </w:r>
          </w:p>
        </w:tc>
        <w:tc>
          <w:tcPr>
            <w:tcW w:w="2693" w:type="dxa"/>
            <w:shd w:val="clear" w:color="auto" w:fill="auto"/>
          </w:tcPr>
          <w:p w:rsidR="00487D34" w:rsidRPr="00B62861" w:rsidRDefault="00487D34" w:rsidP="00E354EE">
            <w:pPr>
              <w:suppressAutoHyphens/>
              <w:spacing w:after="0"/>
              <w:rPr>
                <w:rFonts w:eastAsia="Times New Roman"/>
                <w:sz w:val="20"/>
              </w:rPr>
            </w:pPr>
            <w:r w:rsidRPr="00B62861">
              <w:rPr>
                <w:rFonts w:eastAsia="Times New Roman"/>
                <w:sz w:val="20"/>
              </w:rPr>
              <w:t>01 Non-repayable grant</w:t>
            </w:r>
          </w:p>
        </w:tc>
        <w:tc>
          <w:tcPr>
            <w:tcW w:w="2977" w:type="dxa"/>
            <w:shd w:val="clear" w:color="auto" w:fill="auto"/>
          </w:tcPr>
          <w:p w:rsidR="00487D34" w:rsidRPr="00B62861" w:rsidRDefault="00A34952" w:rsidP="00350E90">
            <w:pPr>
              <w:spacing w:after="240"/>
              <w:jc w:val="left"/>
              <w:rPr>
                <w:rFonts w:eastAsia="Times New Roman"/>
                <w:sz w:val="20"/>
              </w:rPr>
            </w:pPr>
            <w:r w:rsidRPr="00B62861">
              <w:rPr>
                <w:rFonts w:eastAsia="Times New Roman"/>
                <w:sz w:val="20"/>
              </w:rPr>
              <w:t>1</w:t>
            </w:r>
            <w:r w:rsidR="008B72BF" w:rsidRPr="00B62861">
              <w:rPr>
                <w:rFonts w:eastAsia="Times New Roman"/>
                <w:sz w:val="20"/>
              </w:rPr>
              <w:t>1</w:t>
            </w:r>
            <w:r w:rsidRPr="00B62861">
              <w:rPr>
                <w:rFonts w:eastAsia="Times New Roman"/>
                <w:sz w:val="20"/>
              </w:rPr>
              <w:t>.</w:t>
            </w:r>
            <w:r w:rsidR="00981AA7" w:rsidRPr="00B62861">
              <w:rPr>
                <w:rFonts w:eastAsia="Times New Roman"/>
                <w:sz w:val="20"/>
              </w:rPr>
              <w:t>431</w:t>
            </w:r>
            <w:r w:rsidRPr="00B62861">
              <w:rPr>
                <w:rFonts w:eastAsia="Times New Roman"/>
                <w:sz w:val="20"/>
              </w:rPr>
              <w:t>.</w:t>
            </w:r>
            <w:r w:rsidR="00981AA7" w:rsidRPr="00B62861">
              <w:rPr>
                <w:rFonts w:eastAsia="Times New Roman"/>
                <w:sz w:val="20"/>
              </w:rPr>
              <w:t>063</w:t>
            </w:r>
            <w:r w:rsidRPr="00B62861">
              <w:rPr>
                <w:rFonts w:eastAsia="Times New Roman"/>
                <w:sz w:val="20"/>
              </w:rPr>
              <w:t>,</w:t>
            </w:r>
            <w:r w:rsidR="00350E90" w:rsidRPr="00B62861">
              <w:rPr>
                <w:rFonts w:eastAsia="Times New Roman"/>
                <w:sz w:val="20"/>
              </w:rPr>
              <w:t>20</w:t>
            </w:r>
          </w:p>
        </w:tc>
      </w:tr>
    </w:tbl>
    <w:p w:rsidR="00487D34" w:rsidRPr="00BF6086" w:rsidRDefault="00487D34" w:rsidP="00487D34">
      <w:pPr>
        <w:suppressAutoHyphens/>
        <w:spacing w:after="0"/>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7D34" w:rsidRPr="00B62861" w:rsidTr="00E354EE">
        <w:trPr>
          <w:trHeight w:val="364"/>
        </w:trPr>
        <w:tc>
          <w:tcPr>
            <w:tcW w:w="8472" w:type="dxa"/>
            <w:gridSpan w:val="3"/>
            <w:shd w:val="clear" w:color="auto" w:fill="auto"/>
          </w:tcPr>
          <w:p w:rsidR="00487D34" w:rsidRPr="00B62861" w:rsidRDefault="00487D34" w:rsidP="00E354EE">
            <w:pPr>
              <w:autoSpaceDE w:val="0"/>
              <w:autoSpaceDN w:val="0"/>
              <w:adjustRightInd w:val="0"/>
              <w:spacing w:after="0"/>
              <w:rPr>
                <w:rFonts w:eastAsia="Times New Roman"/>
                <w:b/>
                <w:color w:val="000000"/>
                <w:sz w:val="20"/>
              </w:rPr>
            </w:pPr>
            <w:r w:rsidRPr="00B62861">
              <w:rPr>
                <w:rFonts w:eastAsia="Times New Roman"/>
                <w:b/>
                <w:bCs/>
                <w:color w:val="000000"/>
                <w:sz w:val="20"/>
              </w:rPr>
              <w:t xml:space="preserve">Table 7: Dimension 3 </w:t>
            </w:r>
            <w:r w:rsidRPr="00B62861">
              <w:rPr>
                <w:rFonts w:eastAsia="Times New Roman"/>
                <w:b/>
                <w:color w:val="000000"/>
                <w:sz w:val="20"/>
              </w:rPr>
              <w:t>Territory type</w:t>
            </w:r>
          </w:p>
        </w:tc>
      </w:tr>
      <w:tr w:rsidR="00487D34" w:rsidRPr="00B62861" w:rsidTr="00E354EE">
        <w:trPr>
          <w:trHeight w:val="267"/>
        </w:trPr>
        <w:tc>
          <w:tcPr>
            <w:tcW w:w="2802" w:type="dxa"/>
            <w:shd w:val="clear" w:color="auto" w:fill="auto"/>
          </w:tcPr>
          <w:p w:rsidR="00487D34" w:rsidRPr="00B62861" w:rsidRDefault="00487D34" w:rsidP="00E354EE">
            <w:pPr>
              <w:spacing w:after="240"/>
              <w:jc w:val="center"/>
              <w:rPr>
                <w:rFonts w:eastAsia="Times New Roman"/>
                <w:b/>
                <w:sz w:val="20"/>
              </w:rPr>
            </w:pPr>
            <w:r w:rsidRPr="00B62861">
              <w:rPr>
                <w:rFonts w:eastAsia="Times New Roman"/>
                <w:b/>
                <w:sz w:val="20"/>
              </w:rPr>
              <w:t>Priority axis</w:t>
            </w:r>
          </w:p>
        </w:tc>
        <w:tc>
          <w:tcPr>
            <w:tcW w:w="2693" w:type="dxa"/>
            <w:shd w:val="clear" w:color="auto" w:fill="auto"/>
          </w:tcPr>
          <w:p w:rsidR="00487D34" w:rsidRPr="00B62861" w:rsidRDefault="00487D34" w:rsidP="00E354EE">
            <w:pPr>
              <w:spacing w:after="240"/>
              <w:jc w:val="center"/>
              <w:rPr>
                <w:rFonts w:eastAsia="Times New Roman"/>
                <w:sz w:val="20"/>
              </w:rPr>
            </w:pPr>
            <w:r w:rsidRPr="00B62861">
              <w:rPr>
                <w:rFonts w:eastAsia="Times New Roman"/>
                <w:b/>
                <w:sz w:val="20"/>
              </w:rPr>
              <w:t>Code</w:t>
            </w:r>
          </w:p>
        </w:tc>
        <w:tc>
          <w:tcPr>
            <w:tcW w:w="2977" w:type="dxa"/>
            <w:shd w:val="clear" w:color="auto" w:fill="auto"/>
          </w:tcPr>
          <w:p w:rsidR="00487D34" w:rsidRPr="00B62861" w:rsidRDefault="00487D34" w:rsidP="00E354EE">
            <w:pPr>
              <w:spacing w:after="240"/>
              <w:jc w:val="center"/>
              <w:rPr>
                <w:rFonts w:eastAsia="Times New Roman"/>
                <w:sz w:val="20"/>
              </w:rPr>
            </w:pPr>
            <w:r w:rsidRPr="00B62861">
              <w:rPr>
                <w:b/>
                <w:sz w:val="20"/>
              </w:rPr>
              <w:t>Amount (EUR)</w:t>
            </w:r>
          </w:p>
        </w:tc>
      </w:tr>
      <w:tr w:rsidR="00E91A9B" w:rsidRPr="00B62861" w:rsidTr="00E354EE">
        <w:tc>
          <w:tcPr>
            <w:tcW w:w="2802" w:type="dxa"/>
            <w:shd w:val="clear" w:color="auto" w:fill="auto"/>
          </w:tcPr>
          <w:p w:rsidR="00E91A9B" w:rsidRPr="00B62861" w:rsidRDefault="00E91A9B" w:rsidP="00286FE3">
            <w:pPr>
              <w:spacing w:after="240"/>
              <w:rPr>
                <w:rFonts w:eastAsia="Times New Roman"/>
                <w:sz w:val="20"/>
              </w:rPr>
            </w:pPr>
            <w:r w:rsidRPr="00B62861">
              <w:rPr>
                <w:rFonts w:eastAsia="Times New Roman"/>
                <w:sz w:val="20"/>
              </w:rPr>
              <w:t>PA 4</w:t>
            </w:r>
          </w:p>
        </w:tc>
        <w:tc>
          <w:tcPr>
            <w:tcW w:w="2693" w:type="dxa"/>
            <w:shd w:val="clear" w:color="auto" w:fill="auto"/>
          </w:tcPr>
          <w:p w:rsidR="00E91A9B" w:rsidRPr="00B62861" w:rsidRDefault="00E91A9B" w:rsidP="00B8035B">
            <w:pPr>
              <w:suppressAutoHyphens/>
              <w:spacing w:after="0"/>
              <w:rPr>
                <w:rFonts w:eastAsia="Times New Roman"/>
                <w:sz w:val="20"/>
              </w:rPr>
            </w:pPr>
            <w:r w:rsidRPr="00B62861">
              <w:rPr>
                <w:rFonts w:eastAsia="Times New Roman"/>
                <w:sz w:val="20"/>
              </w:rPr>
              <w:t>01 Large Urban areas (densely populated &gt; 50 000 population)</w:t>
            </w:r>
          </w:p>
        </w:tc>
        <w:tc>
          <w:tcPr>
            <w:tcW w:w="2977" w:type="dxa"/>
            <w:shd w:val="clear" w:color="auto" w:fill="auto"/>
          </w:tcPr>
          <w:p w:rsidR="00E91A9B" w:rsidRPr="00B62861" w:rsidRDefault="002D2408" w:rsidP="003F27B9">
            <w:pPr>
              <w:tabs>
                <w:tab w:val="left" w:pos="270"/>
              </w:tabs>
              <w:spacing w:after="240"/>
              <w:rPr>
                <w:rFonts w:eastAsia="Times New Roman"/>
                <w:sz w:val="20"/>
              </w:rPr>
            </w:pPr>
            <w:r w:rsidRPr="00B62861">
              <w:rPr>
                <w:rFonts w:eastAsia="Times New Roman"/>
                <w:sz w:val="20"/>
              </w:rPr>
              <w:t>3.810.354,</w:t>
            </w:r>
            <w:r w:rsidR="003F27B9" w:rsidRPr="00B62861">
              <w:rPr>
                <w:rFonts w:eastAsia="Times New Roman"/>
                <w:sz w:val="20"/>
              </w:rPr>
              <w:t>40</w:t>
            </w:r>
          </w:p>
        </w:tc>
      </w:tr>
      <w:tr w:rsidR="003F27B9" w:rsidRPr="00B62861" w:rsidTr="00E354EE">
        <w:tc>
          <w:tcPr>
            <w:tcW w:w="2802" w:type="dxa"/>
            <w:shd w:val="clear" w:color="auto" w:fill="auto"/>
          </w:tcPr>
          <w:p w:rsidR="003F27B9" w:rsidRPr="00B62861" w:rsidRDefault="003F27B9" w:rsidP="00286FE3">
            <w:pPr>
              <w:spacing w:after="240"/>
              <w:rPr>
                <w:rFonts w:eastAsia="Times New Roman"/>
                <w:sz w:val="20"/>
              </w:rPr>
            </w:pPr>
            <w:r w:rsidRPr="00B62861">
              <w:rPr>
                <w:rFonts w:eastAsia="Times New Roman"/>
                <w:sz w:val="20"/>
              </w:rPr>
              <w:t>PA 4</w:t>
            </w:r>
          </w:p>
        </w:tc>
        <w:tc>
          <w:tcPr>
            <w:tcW w:w="2693" w:type="dxa"/>
            <w:shd w:val="clear" w:color="auto" w:fill="auto"/>
          </w:tcPr>
          <w:p w:rsidR="003F27B9" w:rsidRPr="00B62861" w:rsidRDefault="003F27B9" w:rsidP="00B8035B">
            <w:pPr>
              <w:suppressAutoHyphens/>
              <w:spacing w:after="0"/>
              <w:rPr>
                <w:rFonts w:eastAsia="Times New Roman"/>
                <w:sz w:val="20"/>
              </w:rPr>
            </w:pPr>
            <w:r w:rsidRPr="00B62861">
              <w:rPr>
                <w:rFonts w:eastAsia="Times New Roman"/>
                <w:sz w:val="20"/>
              </w:rPr>
              <w:t>02 Small Urban areas (intermediate density &gt; 5 000 population)</w:t>
            </w:r>
          </w:p>
        </w:tc>
        <w:tc>
          <w:tcPr>
            <w:tcW w:w="2977" w:type="dxa"/>
            <w:shd w:val="clear" w:color="auto" w:fill="auto"/>
          </w:tcPr>
          <w:p w:rsidR="003F27B9" w:rsidRPr="00B62861" w:rsidRDefault="003F27B9" w:rsidP="002D2408">
            <w:pPr>
              <w:spacing w:after="240"/>
              <w:jc w:val="left"/>
              <w:rPr>
                <w:rFonts w:eastAsia="Times New Roman"/>
                <w:sz w:val="20"/>
              </w:rPr>
            </w:pPr>
            <w:r w:rsidRPr="00B62861">
              <w:rPr>
                <w:rFonts w:eastAsia="Times New Roman"/>
                <w:sz w:val="20"/>
              </w:rPr>
              <w:t>3.810.354,40</w:t>
            </w:r>
          </w:p>
        </w:tc>
      </w:tr>
      <w:tr w:rsidR="003F27B9" w:rsidRPr="00B62861" w:rsidTr="00E354EE">
        <w:tc>
          <w:tcPr>
            <w:tcW w:w="2802" w:type="dxa"/>
            <w:shd w:val="clear" w:color="auto" w:fill="auto"/>
          </w:tcPr>
          <w:p w:rsidR="003F27B9" w:rsidRPr="00B62861" w:rsidRDefault="003F27B9" w:rsidP="00286FE3">
            <w:pPr>
              <w:spacing w:after="240"/>
              <w:rPr>
                <w:rFonts w:eastAsia="Times New Roman"/>
                <w:sz w:val="20"/>
              </w:rPr>
            </w:pPr>
            <w:r w:rsidRPr="00B62861">
              <w:rPr>
                <w:rFonts w:eastAsia="Times New Roman"/>
                <w:sz w:val="20"/>
              </w:rPr>
              <w:t>PA 4</w:t>
            </w:r>
          </w:p>
        </w:tc>
        <w:tc>
          <w:tcPr>
            <w:tcW w:w="2693" w:type="dxa"/>
            <w:shd w:val="clear" w:color="auto" w:fill="auto"/>
          </w:tcPr>
          <w:p w:rsidR="003F27B9" w:rsidRPr="00B62861" w:rsidRDefault="003F27B9" w:rsidP="00B8035B">
            <w:pPr>
              <w:suppressAutoHyphens/>
              <w:spacing w:after="0"/>
              <w:rPr>
                <w:rFonts w:eastAsia="Times New Roman"/>
                <w:sz w:val="20"/>
              </w:rPr>
            </w:pPr>
            <w:r w:rsidRPr="00B62861">
              <w:rPr>
                <w:rFonts w:eastAsia="Times New Roman"/>
                <w:sz w:val="20"/>
              </w:rPr>
              <w:t>03 Rural areas (thinly populated)</w:t>
            </w:r>
          </w:p>
        </w:tc>
        <w:tc>
          <w:tcPr>
            <w:tcW w:w="2977" w:type="dxa"/>
            <w:shd w:val="clear" w:color="auto" w:fill="auto"/>
          </w:tcPr>
          <w:p w:rsidR="003F27B9" w:rsidRPr="00B62861" w:rsidRDefault="003F27B9" w:rsidP="002D2408">
            <w:pPr>
              <w:spacing w:after="240"/>
              <w:jc w:val="left"/>
              <w:rPr>
                <w:rFonts w:eastAsia="Times New Roman"/>
                <w:sz w:val="20"/>
              </w:rPr>
            </w:pPr>
            <w:r w:rsidRPr="00B62861">
              <w:rPr>
                <w:rFonts w:eastAsia="Times New Roman"/>
                <w:sz w:val="20"/>
              </w:rPr>
              <w:t>3.810.354,40</w:t>
            </w:r>
          </w:p>
        </w:tc>
      </w:tr>
    </w:tbl>
    <w:p w:rsidR="00487D34" w:rsidRPr="00B76110" w:rsidRDefault="00487D34" w:rsidP="00487D34">
      <w:pPr>
        <w:suppressAutoHyphens/>
        <w:spacing w:after="240"/>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7D34" w:rsidRPr="00B62861" w:rsidTr="00E354EE">
        <w:trPr>
          <w:trHeight w:val="364"/>
        </w:trPr>
        <w:tc>
          <w:tcPr>
            <w:tcW w:w="8472" w:type="dxa"/>
            <w:gridSpan w:val="3"/>
            <w:shd w:val="clear" w:color="auto" w:fill="auto"/>
          </w:tcPr>
          <w:p w:rsidR="00487D34" w:rsidRPr="00B62861" w:rsidRDefault="00487D34" w:rsidP="00E354EE">
            <w:pPr>
              <w:autoSpaceDE w:val="0"/>
              <w:autoSpaceDN w:val="0"/>
              <w:adjustRightInd w:val="0"/>
              <w:spacing w:after="0"/>
              <w:rPr>
                <w:rFonts w:eastAsia="Times New Roman"/>
                <w:b/>
                <w:color w:val="000000"/>
                <w:sz w:val="20"/>
              </w:rPr>
            </w:pPr>
            <w:r w:rsidRPr="00B62861">
              <w:rPr>
                <w:rFonts w:eastAsia="Times New Roman"/>
                <w:b/>
                <w:bCs/>
                <w:color w:val="000000"/>
                <w:sz w:val="20"/>
              </w:rPr>
              <w:lastRenderedPageBreak/>
              <w:t xml:space="preserve">Table 8: Dimension 6 </w:t>
            </w:r>
            <w:r w:rsidRPr="00B62861">
              <w:rPr>
                <w:rFonts w:eastAsia="Times New Roman"/>
                <w:b/>
                <w:color w:val="000000"/>
                <w:sz w:val="20"/>
              </w:rPr>
              <w:t>Territorial delivery mechanisms</w:t>
            </w:r>
          </w:p>
        </w:tc>
      </w:tr>
      <w:tr w:rsidR="00487D34" w:rsidRPr="00B62861" w:rsidTr="00E354EE">
        <w:trPr>
          <w:trHeight w:val="267"/>
        </w:trPr>
        <w:tc>
          <w:tcPr>
            <w:tcW w:w="2802" w:type="dxa"/>
            <w:shd w:val="clear" w:color="auto" w:fill="auto"/>
          </w:tcPr>
          <w:p w:rsidR="00487D34" w:rsidRPr="00B62861" w:rsidRDefault="00487D34" w:rsidP="00E354EE">
            <w:pPr>
              <w:spacing w:after="240"/>
              <w:jc w:val="center"/>
              <w:rPr>
                <w:rFonts w:eastAsia="Times New Roman"/>
                <w:b/>
                <w:sz w:val="20"/>
              </w:rPr>
            </w:pPr>
            <w:r w:rsidRPr="00B62861">
              <w:rPr>
                <w:rFonts w:eastAsia="Times New Roman"/>
                <w:b/>
                <w:sz w:val="20"/>
              </w:rPr>
              <w:t>Priority axis</w:t>
            </w:r>
          </w:p>
        </w:tc>
        <w:tc>
          <w:tcPr>
            <w:tcW w:w="2693" w:type="dxa"/>
            <w:shd w:val="clear" w:color="auto" w:fill="auto"/>
          </w:tcPr>
          <w:p w:rsidR="00487D34" w:rsidRPr="00B62861" w:rsidRDefault="00487D34" w:rsidP="00E354EE">
            <w:pPr>
              <w:spacing w:after="240"/>
              <w:jc w:val="center"/>
              <w:rPr>
                <w:rFonts w:eastAsia="Times New Roman"/>
                <w:sz w:val="20"/>
              </w:rPr>
            </w:pPr>
            <w:r w:rsidRPr="00B62861">
              <w:rPr>
                <w:rFonts w:eastAsia="Times New Roman"/>
                <w:b/>
                <w:sz w:val="20"/>
              </w:rPr>
              <w:t>Code</w:t>
            </w:r>
          </w:p>
        </w:tc>
        <w:tc>
          <w:tcPr>
            <w:tcW w:w="2977" w:type="dxa"/>
            <w:shd w:val="clear" w:color="auto" w:fill="auto"/>
          </w:tcPr>
          <w:p w:rsidR="00487D34" w:rsidRPr="00B62861" w:rsidRDefault="00487D34" w:rsidP="00E354EE">
            <w:pPr>
              <w:spacing w:after="240"/>
              <w:jc w:val="center"/>
              <w:rPr>
                <w:rFonts w:eastAsia="Times New Roman"/>
                <w:sz w:val="20"/>
              </w:rPr>
            </w:pPr>
            <w:r w:rsidRPr="00B62861">
              <w:rPr>
                <w:b/>
                <w:sz w:val="20"/>
              </w:rPr>
              <w:t>Amount (EUR)</w:t>
            </w:r>
          </w:p>
        </w:tc>
      </w:tr>
      <w:tr w:rsidR="00487D34" w:rsidRPr="00B62861" w:rsidTr="00E354EE">
        <w:tc>
          <w:tcPr>
            <w:tcW w:w="2802" w:type="dxa"/>
            <w:shd w:val="clear" w:color="auto" w:fill="auto"/>
          </w:tcPr>
          <w:p w:rsidR="00487D34" w:rsidRPr="00B62861" w:rsidRDefault="00487D34" w:rsidP="00E354EE">
            <w:pPr>
              <w:spacing w:after="240"/>
              <w:rPr>
                <w:rFonts w:eastAsia="Times New Roman"/>
                <w:sz w:val="20"/>
              </w:rPr>
            </w:pPr>
            <w:r w:rsidRPr="00B62861">
              <w:rPr>
                <w:rFonts w:eastAsia="Times New Roman"/>
                <w:sz w:val="20"/>
              </w:rPr>
              <w:t>PA 3</w:t>
            </w:r>
          </w:p>
        </w:tc>
        <w:tc>
          <w:tcPr>
            <w:tcW w:w="2693" w:type="dxa"/>
            <w:shd w:val="clear" w:color="auto" w:fill="auto"/>
          </w:tcPr>
          <w:p w:rsidR="00487D34" w:rsidRPr="00B62861" w:rsidRDefault="00487D34" w:rsidP="00E354EE">
            <w:pPr>
              <w:spacing w:after="0"/>
              <w:rPr>
                <w:rFonts w:eastAsia="Times New Roman"/>
                <w:sz w:val="20"/>
              </w:rPr>
            </w:pPr>
            <w:r w:rsidRPr="00B62861">
              <w:rPr>
                <w:rFonts w:eastAsia="Times New Roman"/>
                <w:sz w:val="20"/>
              </w:rPr>
              <w:t>07 Not applicable</w:t>
            </w:r>
          </w:p>
        </w:tc>
        <w:tc>
          <w:tcPr>
            <w:tcW w:w="2977" w:type="dxa"/>
            <w:shd w:val="clear" w:color="auto" w:fill="auto"/>
          </w:tcPr>
          <w:p w:rsidR="00487D34" w:rsidRPr="00B62861" w:rsidRDefault="00487D34" w:rsidP="00E354EE">
            <w:pPr>
              <w:spacing w:after="240"/>
              <w:jc w:val="right"/>
              <w:rPr>
                <w:rFonts w:eastAsia="Times New Roman"/>
                <w:sz w:val="20"/>
              </w:rPr>
            </w:pPr>
          </w:p>
        </w:tc>
      </w:tr>
    </w:tbl>
    <w:p w:rsidR="00487D34" w:rsidRDefault="00487D34" w:rsidP="00487D34">
      <w:pPr>
        <w:spacing w:after="240"/>
        <w:ind w:left="709" w:hanging="709"/>
        <w:rPr>
          <w:rFonts w:eastAsia="Times New Roman"/>
          <w:b/>
        </w:rPr>
      </w:pPr>
    </w:p>
    <w:p w:rsidR="00487D34" w:rsidRPr="00567F19" w:rsidRDefault="00487D34" w:rsidP="00487D34">
      <w:pPr>
        <w:spacing w:after="240"/>
        <w:ind w:left="709" w:hanging="709"/>
      </w:pPr>
      <w:r w:rsidRPr="00B76110">
        <w:rPr>
          <w:rFonts w:eastAsia="Times New Roman"/>
          <w:b/>
        </w:rPr>
        <w:t>2.</w:t>
      </w:r>
      <w:r w:rsidR="00A71B6A">
        <w:rPr>
          <w:rFonts w:eastAsia="Times New Roman"/>
          <w:b/>
        </w:rPr>
        <w:t>4</w:t>
      </w:r>
      <w:r w:rsidRPr="00B76110">
        <w:rPr>
          <w:rFonts w:eastAsia="Times New Roman"/>
          <w:b/>
        </w:rPr>
        <w:t>.</w:t>
      </w:r>
      <w:r>
        <w:rPr>
          <w:rFonts w:eastAsia="Times New Roman"/>
          <w:b/>
        </w:rPr>
        <w:t>8</w:t>
      </w:r>
      <w:r w:rsidRPr="00B76110">
        <w:rPr>
          <w:rFonts w:eastAsia="Times New Roman"/>
          <w:b/>
        </w:rPr>
        <w:t xml:space="preserve">. A summary of the planned use of technical assistance including, where necessary, actions to reinforce the administrative capacity of authorities involved in the management and control of the programmes and beneficiaries and, where necessary, actions for </w:t>
      </w:r>
      <w:r>
        <w:rPr>
          <w:rFonts w:eastAsia="Times New Roman"/>
          <w:b/>
        </w:rPr>
        <w:t xml:space="preserve">to enhance </w:t>
      </w:r>
      <w:r w:rsidRPr="00B76110">
        <w:rPr>
          <w:rFonts w:eastAsia="Times New Roman"/>
          <w:b/>
        </w:rPr>
        <w:t xml:space="preserve">the administrative capacity of relevant partners to participate in the implementation of programmes </w:t>
      </w:r>
      <w:r>
        <w:t xml:space="preserve"> </w:t>
      </w:r>
      <w:r w:rsidRPr="00567F19">
        <w:t>(where appropriate)</w:t>
      </w:r>
    </w:p>
    <w:p w:rsidR="00487D34" w:rsidRPr="00567F19" w:rsidRDefault="00487D34" w:rsidP="00487D34">
      <w:r w:rsidRPr="00567F19">
        <w:t xml:space="preserve">(Reference: </w:t>
      </w:r>
      <w:r>
        <w:t xml:space="preserve">point (b)(vi) of </w:t>
      </w:r>
      <w:r w:rsidRPr="00567F19">
        <w:t>Article 8(2) of Regulation (EU) No 1299/2013)</w:t>
      </w:r>
    </w:p>
    <w:p w:rsidR="00487D34" w:rsidRPr="00FA3CE3" w:rsidRDefault="00487D34" w:rsidP="00487D34">
      <w:pPr>
        <w:spacing w:after="240"/>
        <w:rPr>
          <w:rFonts w:eastAsia="Times New Roman"/>
          <w:b/>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487D34" w:rsidRPr="00B62861" w:rsidTr="00E354EE">
        <w:trPr>
          <w:trHeight w:val="518"/>
        </w:trPr>
        <w:tc>
          <w:tcPr>
            <w:tcW w:w="2235" w:type="dxa"/>
            <w:shd w:val="clear" w:color="auto" w:fill="auto"/>
          </w:tcPr>
          <w:p w:rsidR="00487D34" w:rsidRPr="00B62861" w:rsidRDefault="00487D34" w:rsidP="00E354EE">
            <w:pPr>
              <w:spacing w:after="240"/>
              <w:rPr>
                <w:rFonts w:eastAsia="Times New Roman"/>
                <w:i/>
                <w:color w:val="8DB3E2"/>
                <w:sz w:val="20"/>
              </w:rPr>
            </w:pPr>
            <w:r w:rsidRPr="00B62861">
              <w:rPr>
                <w:rFonts w:eastAsia="Times New Roman"/>
                <w:i/>
                <w:sz w:val="20"/>
              </w:rPr>
              <w:t>Priority axis</w:t>
            </w:r>
          </w:p>
        </w:tc>
        <w:tc>
          <w:tcPr>
            <w:tcW w:w="6443" w:type="dxa"/>
            <w:shd w:val="clear" w:color="auto" w:fill="auto"/>
          </w:tcPr>
          <w:p w:rsidR="00487D34" w:rsidRPr="00B62861" w:rsidRDefault="00487D34" w:rsidP="00A71B6A">
            <w:pPr>
              <w:spacing w:after="240"/>
              <w:rPr>
                <w:rFonts w:eastAsia="Times New Roman"/>
                <w:color w:val="8DB3E2"/>
                <w:sz w:val="20"/>
              </w:rPr>
            </w:pPr>
            <w:r w:rsidRPr="00B62861">
              <w:rPr>
                <w:rFonts w:eastAsia="Times New Roman"/>
                <w:sz w:val="20"/>
              </w:rPr>
              <w:t xml:space="preserve">PA </w:t>
            </w:r>
            <w:r w:rsidR="00A71B6A" w:rsidRPr="00B62861">
              <w:rPr>
                <w:rFonts w:eastAsia="Times New Roman"/>
                <w:sz w:val="20"/>
              </w:rPr>
              <w:t>4</w:t>
            </w:r>
          </w:p>
        </w:tc>
      </w:tr>
      <w:tr w:rsidR="00487D34" w:rsidRPr="00B62861" w:rsidTr="00E354EE">
        <w:trPr>
          <w:trHeight w:val="467"/>
        </w:trPr>
        <w:tc>
          <w:tcPr>
            <w:tcW w:w="8678" w:type="dxa"/>
            <w:gridSpan w:val="2"/>
            <w:shd w:val="clear" w:color="auto" w:fill="auto"/>
          </w:tcPr>
          <w:p w:rsidR="00487D34" w:rsidRPr="00B62861" w:rsidRDefault="00487D34" w:rsidP="00E354EE">
            <w:pPr>
              <w:spacing w:after="240"/>
              <w:rPr>
                <w:rFonts w:eastAsia="Times New Roman"/>
                <w:sz w:val="20"/>
              </w:rPr>
            </w:pPr>
            <w:r w:rsidRPr="00B62861">
              <w:rPr>
                <w:rFonts w:eastAsia="Times New Roman"/>
                <w:sz w:val="20"/>
              </w:rPr>
              <w:t>N/A</w:t>
            </w:r>
          </w:p>
        </w:tc>
      </w:tr>
    </w:tbl>
    <w:p w:rsidR="00487D34" w:rsidRDefault="00487D34" w:rsidP="00487D34">
      <w:pPr>
        <w:rPr>
          <w:b/>
        </w:rPr>
      </w:pPr>
    </w:p>
    <w:p w:rsidR="00B62861" w:rsidRDefault="00B62861">
      <w:pPr>
        <w:spacing w:before="0" w:after="0"/>
        <w:jc w:val="left"/>
        <w:rPr>
          <w:b/>
        </w:rPr>
      </w:pPr>
      <w:r>
        <w:rPr>
          <w:b/>
        </w:rPr>
        <w:br w:type="page"/>
      </w:r>
    </w:p>
    <w:p w:rsidR="005D0A11" w:rsidRDefault="005D0A11" w:rsidP="005D0A11">
      <w:pPr>
        <w:spacing w:before="0" w:after="0" w:line="280" w:lineRule="atLeast"/>
        <w:rPr>
          <w:b/>
        </w:rPr>
      </w:pPr>
      <w:r w:rsidRPr="00A366E4">
        <w:rPr>
          <w:b/>
        </w:rPr>
        <w:lastRenderedPageBreak/>
        <w:t xml:space="preserve">Section </w:t>
      </w:r>
      <w:r w:rsidRPr="00B76110">
        <w:rPr>
          <w:b/>
        </w:rPr>
        <w:t>2.</w:t>
      </w:r>
      <w:r>
        <w:rPr>
          <w:b/>
        </w:rPr>
        <w:t>5</w:t>
      </w:r>
      <w:r w:rsidRPr="00B76110">
        <w:rPr>
          <w:b/>
        </w:rPr>
        <w:tab/>
      </w:r>
      <w:r>
        <w:rPr>
          <w:b/>
        </w:rPr>
        <w:t>D</w:t>
      </w:r>
      <w:r w:rsidRPr="00B76110">
        <w:rPr>
          <w:b/>
        </w:rPr>
        <w:t>escription of the priority ax</w:t>
      </w:r>
      <w:r>
        <w:rPr>
          <w:b/>
        </w:rPr>
        <w:t>e</w:t>
      </w:r>
      <w:r w:rsidRPr="00B76110">
        <w:rPr>
          <w:b/>
        </w:rPr>
        <w:t xml:space="preserve">s for technical assistance </w:t>
      </w:r>
    </w:p>
    <w:p w:rsidR="005D0A11" w:rsidRPr="00567F19" w:rsidRDefault="005D0A11" w:rsidP="005D0A11">
      <w:pPr>
        <w:spacing w:before="0" w:after="0" w:line="280" w:lineRule="atLeast"/>
      </w:pPr>
      <w:r w:rsidRPr="00567F19">
        <w:t xml:space="preserve">(Reference: </w:t>
      </w:r>
      <w:r>
        <w:t xml:space="preserve">point (c) of </w:t>
      </w:r>
      <w:r w:rsidRPr="00567F19">
        <w:t>Article 8(2) of Regulation (EU) No 1299/2013)</w:t>
      </w:r>
    </w:p>
    <w:p w:rsidR="005D0A11" w:rsidRPr="00965678" w:rsidRDefault="005D0A11" w:rsidP="005D0A11">
      <w:pPr>
        <w:spacing w:before="0" w:after="0" w:line="280" w:lineRule="atLeast"/>
        <w:ind w:left="1701" w:hanging="1701"/>
        <w:rPr>
          <w:b/>
        </w:rPr>
      </w:pPr>
    </w:p>
    <w:p w:rsidR="005D0A11" w:rsidRPr="00B76110" w:rsidRDefault="005D0A11" w:rsidP="005D0A11">
      <w:pPr>
        <w:spacing w:before="0" w:after="0" w:line="280" w:lineRule="atLeast"/>
        <w:rPr>
          <w:rFonts w:eastAsia="Times New Roman"/>
          <w:b/>
        </w:rPr>
      </w:pPr>
      <w:r>
        <w:rPr>
          <w:rFonts w:eastAsia="Times New Roman"/>
          <w:b/>
        </w:rPr>
        <w:t>2.5.1 Priority axis</w:t>
      </w:r>
      <w:r w:rsidRPr="00B76110">
        <w:rPr>
          <w:rFonts w:eastAsia="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5D0A11" w:rsidRPr="00B76110" w:rsidTr="00165043">
        <w:trPr>
          <w:trHeight w:val="491"/>
        </w:trPr>
        <w:tc>
          <w:tcPr>
            <w:tcW w:w="3510" w:type="dxa"/>
            <w:shd w:val="clear" w:color="auto" w:fill="auto"/>
          </w:tcPr>
          <w:p w:rsidR="005D0A11" w:rsidRPr="00B76110" w:rsidRDefault="005D0A11" w:rsidP="00165043">
            <w:pPr>
              <w:spacing w:before="0" w:after="0" w:line="280" w:lineRule="atLeast"/>
              <w:rPr>
                <w:rFonts w:eastAsia="Times New Roman"/>
                <w:i/>
              </w:rPr>
            </w:pPr>
            <w:r w:rsidRPr="00B76110">
              <w:rPr>
                <w:rFonts w:eastAsia="Times New Roman"/>
                <w:i/>
              </w:rPr>
              <w:t>ID</w:t>
            </w:r>
          </w:p>
        </w:tc>
        <w:tc>
          <w:tcPr>
            <w:tcW w:w="4962" w:type="dxa"/>
            <w:shd w:val="clear" w:color="auto" w:fill="auto"/>
          </w:tcPr>
          <w:p w:rsidR="005D0A11" w:rsidRPr="00B76110" w:rsidRDefault="005D0A11" w:rsidP="00165043">
            <w:pPr>
              <w:spacing w:before="0" w:after="0" w:line="280" w:lineRule="atLeast"/>
            </w:pPr>
            <w:r>
              <w:t>PA</w:t>
            </w:r>
            <w:r w:rsidR="004B4D7A">
              <w:t xml:space="preserve"> </w:t>
            </w:r>
            <w:r>
              <w:t>5</w:t>
            </w:r>
          </w:p>
        </w:tc>
      </w:tr>
      <w:tr w:rsidR="005D0A11" w:rsidRPr="00B76110" w:rsidTr="00165043">
        <w:trPr>
          <w:trHeight w:val="466"/>
        </w:trPr>
        <w:tc>
          <w:tcPr>
            <w:tcW w:w="3510" w:type="dxa"/>
            <w:shd w:val="clear" w:color="auto" w:fill="auto"/>
          </w:tcPr>
          <w:p w:rsidR="005D0A11" w:rsidRPr="00B76110" w:rsidRDefault="005D0A11" w:rsidP="00165043">
            <w:pPr>
              <w:spacing w:before="0" w:after="0" w:line="280" w:lineRule="atLeast"/>
              <w:rPr>
                <w:rFonts w:eastAsia="Times New Roman"/>
                <w:i/>
              </w:rPr>
            </w:pPr>
            <w:r w:rsidRPr="00B76110">
              <w:rPr>
                <w:rFonts w:eastAsia="Times New Roman"/>
                <w:i/>
              </w:rPr>
              <w:t>Title</w:t>
            </w:r>
          </w:p>
        </w:tc>
        <w:tc>
          <w:tcPr>
            <w:tcW w:w="4962" w:type="dxa"/>
            <w:shd w:val="clear" w:color="auto" w:fill="auto"/>
          </w:tcPr>
          <w:p w:rsidR="005D0A11" w:rsidRPr="00B76110" w:rsidRDefault="005D0A11" w:rsidP="00165043">
            <w:pPr>
              <w:spacing w:before="0" w:after="0" w:line="280" w:lineRule="atLeast"/>
            </w:pPr>
            <w:r>
              <w:t>Technical Assistance</w:t>
            </w:r>
          </w:p>
        </w:tc>
      </w:tr>
    </w:tbl>
    <w:p w:rsidR="005D0A11" w:rsidRPr="00B76110" w:rsidRDefault="005D0A11" w:rsidP="005D0A11">
      <w:pPr>
        <w:spacing w:before="0" w:after="0" w:line="280" w:lineRule="atLeast"/>
        <w:ind w:firstLine="720"/>
        <w:rPr>
          <w:rFonts w:eastAsia="Times New Roman"/>
          <w:b/>
        </w:rPr>
      </w:pPr>
    </w:p>
    <w:p w:rsidR="005D0A11" w:rsidRPr="00B76110" w:rsidRDefault="005D0A11" w:rsidP="005D0A11">
      <w:pPr>
        <w:spacing w:before="0" w:after="0" w:line="280" w:lineRule="atLeast"/>
        <w:rPr>
          <w:b/>
        </w:rPr>
      </w:pPr>
      <w:r>
        <w:rPr>
          <w:b/>
        </w:rPr>
        <w:t xml:space="preserve">2.5.2 </w:t>
      </w:r>
      <w:r w:rsidRPr="00B76110">
        <w:rPr>
          <w:b/>
        </w:rPr>
        <w:t>Fund</w:t>
      </w:r>
      <w:r>
        <w:rPr>
          <w:b/>
        </w:rPr>
        <w:t xml:space="preserve"> and calculation basis for Union support</w:t>
      </w:r>
      <w:r w:rsidRPr="00B76110">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4962"/>
      </w:tblGrid>
      <w:tr w:rsidR="005D0A11" w:rsidRPr="00B76110" w:rsidTr="00165043">
        <w:trPr>
          <w:jc w:val="center"/>
        </w:trPr>
        <w:tc>
          <w:tcPr>
            <w:tcW w:w="3671" w:type="dxa"/>
            <w:shd w:val="clear" w:color="auto" w:fill="auto"/>
          </w:tcPr>
          <w:p w:rsidR="005D0A11" w:rsidRPr="00B76110" w:rsidRDefault="005D0A11" w:rsidP="00165043">
            <w:pPr>
              <w:spacing w:before="0" w:after="0" w:line="280" w:lineRule="atLeast"/>
              <w:rPr>
                <w:rFonts w:eastAsia="Times New Roman"/>
                <w:i/>
              </w:rPr>
            </w:pPr>
            <w:r w:rsidRPr="00B76110">
              <w:rPr>
                <w:rFonts w:eastAsia="Times New Roman"/>
                <w:i/>
              </w:rPr>
              <w:t>Fund</w:t>
            </w:r>
          </w:p>
        </w:tc>
        <w:tc>
          <w:tcPr>
            <w:tcW w:w="4962" w:type="dxa"/>
            <w:shd w:val="clear" w:color="auto" w:fill="auto"/>
          </w:tcPr>
          <w:p w:rsidR="005D0A11" w:rsidRPr="00B76110" w:rsidRDefault="00BD0BD9" w:rsidP="00165043">
            <w:pPr>
              <w:spacing w:before="0" w:after="0" w:line="280" w:lineRule="atLeast"/>
            </w:pPr>
            <w:r>
              <w:t>IPA</w:t>
            </w:r>
          </w:p>
        </w:tc>
      </w:tr>
      <w:tr w:rsidR="005D0A11" w:rsidRPr="00B76110" w:rsidTr="00165043">
        <w:trPr>
          <w:jc w:val="center"/>
        </w:trPr>
        <w:tc>
          <w:tcPr>
            <w:tcW w:w="3671" w:type="dxa"/>
            <w:tcBorders>
              <w:top w:val="single" w:sz="4" w:space="0" w:color="auto"/>
              <w:left w:val="single" w:sz="4" w:space="0" w:color="auto"/>
              <w:bottom w:val="single" w:sz="4" w:space="0" w:color="auto"/>
              <w:right w:val="single" w:sz="4" w:space="0" w:color="auto"/>
            </w:tcBorders>
            <w:shd w:val="clear" w:color="auto" w:fill="auto"/>
          </w:tcPr>
          <w:p w:rsidR="005D0A11" w:rsidRPr="00B76110" w:rsidRDefault="005D0A11" w:rsidP="00165043">
            <w:pPr>
              <w:spacing w:before="0" w:after="0" w:line="280" w:lineRule="atLeast"/>
              <w:rPr>
                <w:rFonts w:eastAsia="Times New Roman"/>
                <w:i/>
              </w:rPr>
            </w:pPr>
            <w:r w:rsidRPr="00B76110">
              <w:rPr>
                <w:rFonts w:eastAsia="Times New Roman"/>
                <w:i/>
              </w:rPr>
              <w:t>Calculation Basis</w:t>
            </w:r>
            <w:r>
              <w:rPr>
                <w:rFonts w:eastAsia="Times New Roman"/>
                <w:i/>
              </w:rPr>
              <w:t xml:space="preserve"> (total </w:t>
            </w:r>
            <w:r w:rsidRPr="008F41E8">
              <w:rPr>
                <w:rFonts w:eastAsia="Times New Roman"/>
                <w:i/>
              </w:rPr>
              <w:t>eligible expenditure or public eligible expenditure</w:t>
            </w:r>
            <w:r>
              <w:rPr>
                <w:rFonts w:eastAsia="Times New Roman"/>
                <w:i/>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D0A11" w:rsidRPr="00B76110" w:rsidRDefault="00443B89" w:rsidP="00165043">
            <w:pPr>
              <w:spacing w:before="0" w:after="0" w:line="280" w:lineRule="atLeast"/>
            </w:pPr>
            <w:r w:rsidRPr="00443B89">
              <w:t>Total eligible expenditure</w:t>
            </w:r>
          </w:p>
        </w:tc>
      </w:tr>
      <w:tr w:rsidR="005D0A11" w:rsidRPr="00B76110" w:rsidTr="00165043">
        <w:trPr>
          <w:jc w:val="center"/>
        </w:trPr>
        <w:tc>
          <w:tcPr>
            <w:tcW w:w="3671" w:type="dxa"/>
            <w:tcBorders>
              <w:top w:val="single" w:sz="4" w:space="0" w:color="auto"/>
              <w:left w:val="single" w:sz="4" w:space="0" w:color="auto"/>
              <w:bottom w:val="single" w:sz="4" w:space="0" w:color="auto"/>
              <w:right w:val="single" w:sz="4" w:space="0" w:color="auto"/>
            </w:tcBorders>
            <w:shd w:val="clear" w:color="auto" w:fill="auto"/>
          </w:tcPr>
          <w:p w:rsidR="005D0A11" w:rsidRPr="00B76110" w:rsidRDefault="005D0A11" w:rsidP="00165043">
            <w:pPr>
              <w:spacing w:before="0" w:after="0" w:line="280" w:lineRule="atLeast"/>
              <w:rPr>
                <w:rFonts w:eastAsia="Times New Roman"/>
                <w:i/>
              </w:rPr>
            </w:pPr>
            <w:r w:rsidRPr="00BC4BC3">
              <w:rPr>
                <w:rFonts w:eastAsia="Times New Roman"/>
                <w:i/>
              </w:rPr>
              <w:t>Justification of the calculation basis choice</w:t>
            </w:r>
            <w:r>
              <w:rPr>
                <w:rFonts w:eastAsia="Times New Roman"/>
                <w:i/>
              </w:rPr>
              <w:t xml:space="preserve"> </w:t>
            </w:r>
            <w:r w:rsidRPr="00A366E4">
              <w:rPr>
                <w:rFonts w:eastAsia="Times New Roman"/>
                <w:i/>
                <w:sz w:val="18"/>
                <w:szCs w:val="18"/>
              </w:rPr>
              <w:t>(only if total eligible expenditure basis selected)</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D0A11" w:rsidRPr="00FD0495" w:rsidRDefault="00443B89" w:rsidP="00165043">
            <w:pPr>
              <w:spacing w:before="0" w:after="0" w:line="280" w:lineRule="atLeast"/>
              <w:rPr>
                <w:rFonts w:eastAsia="Times New Roman"/>
                <w:color w:val="8DB3E2"/>
                <w:szCs w:val="24"/>
              </w:rPr>
            </w:pPr>
            <w:r w:rsidRPr="00FD37BC">
              <w:t>10% of the total Programme EU funding</w:t>
            </w:r>
          </w:p>
        </w:tc>
      </w:tr>
    </w:tbl>
    <w:p w:rsidR="005D0A11" w:rsidRDefault="005D0A11" w:rsidP="005D0A11">
      <w:pPr>
        <w:spacing w:before="0" w:after="0" w:line="280" w:lineRule="atLeast"/>
        <w:rPr>
          <w:rFonts w:eastAsia="Times New Roman"/>
          <w:b/>
        </w:rPr>
      </w:pPr>
    </w:p>
    <w:p w:rsidR="005D0A11" w:rsidRDefault="005D0A11" w:rsidP="005D0A11">
      <w:pPr>
        <w:spacing w:before="0" w:after="0" w:line="280" w:lineRule="atLeast"/>
        <w:rPr>
          <w:rFonts w:eastAsia="Times New Roman"/>
          <w:b/>
        </w:rPr>
      </w:pPr>
      <w:r w:rsidRPr="00B76110">
        <w:rPr>
          <w:rFonts w:eastAsia="Times New Roman"/>
          <w:b/>
        </w:rPr>
        <w:t>2.</w:t>
      </w:r>
      <w:r>
        <w:rPr>
          <w:rFonts w:eastAsia="Times New Roman"/>
          <w:b/>
        </w:rPr>
        <w:t>5</w:t>
      </w:r>
      <w:r w:rsidRPr="00B76110">
        <w:rPr>
          <w:rFonts w:eastAsia="Times New Roman"/>
          <w:b/>
        </w:rPr>
        <w:t>.</w:t>
      </w:r>
      <w:r>
        <w:rPr>
          <w:rFonts w:eastAsia="Times New Roman"/>
          <w:b/>
        </w:rPr>
        <w:t>3</w:t>
      </w:r>
      <w:r w:rsidRPr="00B76110">
        <w:rPr>
          <w:rFonts w:eastAsia="Times New Roman"/>
          <w:b/>
        </w:rPr>
        <w:t xml:space="preserve">. </w:t>
      </w:r>
      <w:r>
        <w:rPr>
          <w:rFonts w:eastAsia="Times New Roman"/>
          <w:b/>
        </w:rPr>
        <w:t>The s</w:t>
      </w:r>
      <w:r w:rsidRPr="00B76110">
        <w:rPr>
          <w:rFonts w:eastAsia="Times New Roman"/>
          <w:b/>
        </w:rPr>
        <w:t>pecific objectives</w:t>
      </w:r>
      <w:r>
        <w:rPr>
          <w:rFonts w:eastAsia="Times New Roman"/>
          <w:b/>
        </w:rPr>
        <w:t xml:space="preserve"> of the priority axis</w:t>
      </w:r>
      <w:r w:rsidRPr="00B76110">
        <w:rPr>
          <w:rFonts w:eastAsia="Times New Roman"/>
          <w:b/>
        </w:rPr>
        <w:t xml:space="preserve"> and </w:t>
      </w:r>
      <w:r>
        <w:rPr>
          <w:rFonts w:eastAsia="Times New Roman"/>
          <w:b/>
        </w:rPr>
        <w:t xml:space="preserve">the </w:t>
      </w:r>
      <w:r w:rsidRPr="00B76110">
        <w:rPr>
          <w:rFonts w:eastAsia="Times New Roman"/>
          <w:b/>
        </w:rPr>
        <w:t xml:space="preserve">expected results </w:t>
      </w:r>
    </w:p>
    <w:p w:rsidR="005D0A11" w:rsidRPr="00567F19" w:rsidRDefault="005D0A11" w:rsidP="005D0A11">
      <w:pPr>
        <w:spacing w:before="0" w:after="0" w:line="280" w:lineRule="atLeast"/>
      </w:pPr>
      <w:r w:rsidRPr="00567F19">
        <w:t xml:space="preserve">(Reference: </w:t>
      </w:r>
      <w:r>
        <w:t xml:space="preserve">points (c)(i) and (ii) of </w:t>
      </w:r>
      <w:r w:rsidRPr="00567F19">
        <w:t>Article 8(2) of Regulation (EU) No 1299/2013)</w:t>
      </w:r>
    </w:p>
    <w:p w:rsidR="005D0A11" w:rsidRPr="00567F19" w:rsidRDefault="005D0A11" w:rsidP="005D0A11">
      <w:pPr>
        <w:spacing w:before="0" w:after="0" w:line="280" w:lineRule="atLeast"/>
        <w:rPr>
          <w:rFonts w:eastAsia="Times New Roman"/>
          <w:b/>
        </w:rPr>
      </w:pPr>
    </w:p>
    <w:p w:rsidR="005D0A11" w:rsidRPr="00B76110" w:rsidRDefault="005D0A11" w:rsidP="005D0A11">
      <w:pPr>
        <w:spacing w:before="0" w:after="0" w:line="280" w:lineRule="atLeast"/>
        <w:rPr>
          <w:rFonts w:eastAsia="Times New Roman"/>
          <w:b/>
        </w:rPr>
      </w:pPr>
      <w:r w:rsidRPr="00B76110">
        <w:rPr>
          <w:rFonts w:eastAsia="Times New Roman"/>
          <w:b/>
        </w:rPr>
        <w:t xml:space="preserve">Specific </w:t>
      </w:r>
      <w:r>
        <w:rPr>
          <w:rFonts w:eastAsia="Times New Roman"/>
          <w:b/>
        </w:rPr>
        <w:t>o</w:t>
      </w:r>
      <w:r w:rsidRPr="00B76110">
        <w:rPr>
          <w:rFonts w:eastAsia="Times New Roman"/>
          <w:b/>
        </w:rPr>
        <w:t>bjective</w:t>
      </w:r>
      <w:r w:rsidRPr="00B76110">
        <w:rPr>
          <w:rFonts w:eastAsia="Times New Roman"/>
          <w:i/>
        </w:rPr>
        <w:t xml:space="preserve"> </w:t>
      </w:r>
      <w:r w:rsidRPr="00B76110">
        <w:rPr>
          <w:rFonts w:eastAsia="Times New Roman"/>
        </w:rPr>
        <w:t>(repeated for each specific objective)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529"/>
      </w:tblGrid>
      <w:tr w:rsidR="00BE14B5" w:rsidRPr="00BE14B5" w:rsidTr="000A7373">
        <w:trPr>
          <w:trHeight w:val="491"/>
        </w:trPr>
        <w:tc>
          <w:tcPr>
            <w:tcW w:w="3510" w:type="dxa"/>
          </w:tcPr>
          <w:p w:rsidR="00BE14B5" w:rsidRPr="00BE14B5" w:rsidRDefault="00BE14B5" w:rsidP="00BE14B5">
            <w:pPr>
              <w:spacing w:before="0" w:after="0" w:line="280" w:lineRule="atLeast"/>
              <w:rPr>
                <w:i/>
              </w:rPr>
            </w:pPr>
            <w:r w:rsidRPr="00BE14B5">
              <w:rPr>
                <w:i/>
              </w:rPr>
              <w:t>ID</w:t>
            </w:r>
          </w:p>
        </w:tc>
        <w:tc>
          <w:tcPr>
            <w:tcW w:w="5529" w:type="dxa"/>
          </w:tcPr>
          <w:p w:rsidR="00BE14B5" w:rsidRPr="00B62861" w:rsidRDefault="00B62861" w:rsidP="00BE14B5">
            <w:pPr>
              <w:spacing w:before="0" w:after="0" w:line="280" w:lineRule="atLeast"/>
            </w:pPr>
            <w:r w:rsidRPr="00B62861">
              <w:t>5.1.</w:t>
            </w:r>
          </w:p>
        </w:tc>
      </w:tr>
      <w:tr w:rsidR="00BE14B5" w:rsidRPr="00BE14B5" w:rsidTr="000A7373">
        <w:trPr>
          <w:trHeight w:val="360"/>
        </w:trPr>
        <w:tc>
          <w:tcPr>
            <w:tcW w:w="3510" w:type="dxa"/>
          </w:tcPr>
          <w:p w:rsidR="00BE14B5" w:rsidRPr="005059A8" w:rsidRDefault="00BE14B5" w:rsidP="00B62861">
            <w:pPr>
              <w:spacing w:before="0" w:after="0" w:line="280" w:lineRule="atLeast"/>
              <w:rPr>
                <w:i/>
              </w:rPr>
            </w:pPr>
            <w:r w:rsidRPr="005059A8">
              <w:rPr>
                <w:i/>
              </w:rPr>
              <w:t xml:space="preserve">Specific objective </w:t>
            </w:r>
          </w:p>
        </w:tc>
        <w:tc>
          <w:tcPr>
            <w:tcW w:w="5529" w:type="dxa"/>
          </w:tcPr>
          <w:p w:rsidR="00BE14B5" w:rsidRPr="00BE14B5" w:rsidRDefault="00BE14B5" w:rsidP="00BE14B5">
            <w:pPr>
              <w:spacing w:before="0" w:after="0" w:line="280" w:lineRule="atLeast"/>
            </w:pPr>
            <w:r w:rsidRPr="00BE14B5">
              <w:t>To manage and implement the programme effectively and efficiently</w:t>
            </w:r>
          </w:p>
        </w:tc>
      </w:tr>
      <w:tr w:rsidR="00BE14B5" w:rsidRPr="00BE14B5" w:rsidTr="000A7373">
        <w:trPr>
          <w:trHeight w:val="360"/>
        </w:trPr>
        <w:tc>
          <w:tcPr>
            <w:tcW w:w="3510" w:type="dxa"/>
          </w:tcPr>
          <w:p w:rsidR="00BE14B5" w:rsidRPr="00BE14B5" w:rsidRDefault="00BE14B5" w:rsidP="00BE14B5">
            <w:pPr>
              <w:spacing w:before="0" w:after="0" w:line="280" w:lineRule="atLeast"/>
              <w:rPr>
                <w:i/>
              </w:rPr>
            </w:pPr>
            <w:r w:rsidRPr="00BE14B5">
              <w:rPr>
                <w:i/>
              </w:rPr>
              <w:t xml:space="preserve">Results that the partner States seek to achieve with Union support </w:t>
            </w:r>
            <w:r w:rsidRPr="00BE14B5">
              <w:rPr>
                <w:vertAlign w:val="superscript"/>
              </w:rPr>
              <w:footnoteReference w:id="5"/>
            </w:r>
          </w:p>
        </w:tc>
        <w:tc>
          <w:tcPr>
            <w:tcW w:w="5529" w:type="dxa"/>
          </w:tcPr>
          <w:p w:rsidR="00BE14B5" w:rsidRPr="00BE14B5" w:rsidRDefault="00BE14B5" w:rsidP="00BE14B5">
            <w:pPr>
              <w:spacing w:before="0" w:after="0" w:line="280" w:lineRule="atLeast"/>
            </w:pPr>
            <w:r w:rsidRPr="00BE14B5">
              <w:t>A sound management of the cross border cooperation programme is the pre-condition for its effective implementation. The result expected within this specific objective is thus directly linked to the need of ensuring an adequate management and control environment of the programme, safeguarding that all programme implementation steps (including launching of calls, contracting, monitoring of operations and programme achievements, reimbursement of expenditure, etc.) are timely executed.</w:t>
            </w:r>
          </w:p>
          <w:p w:rsidR="00BE14B5" w:rsidRPr="00BE14B5" w:rsidRDefault="00BE14B5" w:rsidP="00BE14B5">
            <w:pPr>
              <w:spacing w:before="0" w:after="0" w:line="280" w:lineRule="atLeast"/>
            </w:pPr>
            <w:r w:rsidRPr="00BE14B5">
              <w:t>The following result is expected to be achieved within SO 5.1</w:t>
            </w:r>
            <w:r w:rsidR="005059A8">
              <w:t>.</w:t>
            </w:r>
            <w:r w:rsidRPr="00BE14B5">
              <w:t>:</w:t>
            </w:r>
          </w:p>
          <w:p w:rsidR="00BE14B5" w:rsidRPr="00BE14B5" w:rsidRDefault="00BE14B5" w:rsidP="00BE14B5">
            <w:pPr>
              <w:spacing w:before="0" w:after="0" w:line="280" w:lineRule="atLeast"/>
            </w:pPr>
            <w:r w:rsidRPr="00BE14B5">
              <w:t xml:space="preserve">5.1. Programme managed and implemented effectively and efficiently </w:t>
            </w:r>
          </w:p>
        </w:tc>
      </w:tr>
    </w:tbl>
    <w:p w:rsidR="005D0A11" w:rsidRDefault="005D0A11" w:rsidP="005D0A11">
      <w:pPr>
        <w:spacing w:before="0" w:after="0" w:line="280" w:lineRule="atLeast"/>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529"/>
      </w:tblGrid>
      <w:tr w:rsidR="0079451A" w:rsidRPr="00030E3C" w:rsidTr="000A7373">
        <w:trPr>
          <w:trHeight w:val="491"/>
        </w:trPr>
        <w:tc>
          <w:tcPr>
            <w:tcW w:w="3510" w:type="dxa"/>
          </w:tcPr>
          <w:p w:rsidR="0079451A" w:rsidRPr="00030E3C" w:rsidRDefault="0079451A" w:rsidP="0079451A">
            <w:pPr>
              <w:spacing w:before="0" w:after="0" w:line="280" w:lineRule="atLeast"/>
              <w:rPr>
                <w:i/>
              </w:rPr>
            </w:pPr>
            <w:r w:rsidRPr="00030E3C">
              <w:rPr>
                <w:i/>
              </w:rPr>
              <w:t>ID</w:t>
            </w:r>
          </w:p>
        </w:tc>
        <w:tc>
          <w:tcPr>
            <w:tcW w:w="5529" w:type="dxa"/>
          </w:tcPr>
          <w:p w:rsidR="0079451A" w:rsidRPr="00030E3C" w:rsidRDefault="0079451A" w:rsidP="0079451A">
            <w:pPr>
              <w:spacing w:before="0" w:after="0" w:line="280" w:lineRule="atLeast"/>
            </w:pPr>
            <w:r w:rsidRPr="00030E3C">
              <w:t>PA</w:t>
            </w:r>
            <w:r w:rsidR="007E5895">
              <w:t xml:space="preserve"> </w:t>
            </w:r>
            <w:r w:rsidRPr="00030E3C">
              <w:t>5</w:t>
            </w:r>
          </w:p>
        </w:tc>
      </w:tr>
      <w:tr w:rsidR="0079451A" w:rsidRPr="00030E3C" w:rsidTr="000A7373">
        <w:trPr>
          <w:trHeight w:val="360"/>
        </w:trPr>
        <w:tc>
          <w:tcPr>
            <w:tcW w:w="3510" w:type="dxa"/>
          </w:tcPr>
          <w:p w:rsidR="0079451A" w:rsidRPr="00030E3C" w:rsidRDefault="0079451A" w:rsidP="0079451A">
            <w:pPr>
              <w:spacing w:before="0" w:after="0" w:line="280" w:lineRule="atLeast"/>
              <w:rPr>
                <w:i/>
              </w:rPr>
            </w:pPr>
            <w:r w:rsidRPr="00030E3C">
              <w:rPr>
                <w:i/>
              </w:rPr>
              <w:t xml:space="preserve">Specific objective </w:t>
            </w:r>
            <w:r w:rsidR="005059A8" w:rsidRPr="005059A8">
              <w:rPr>
                <w:i/>
              </w:rPr>
              <w:t>5.2.</w:t>
            </w:r>
          </w:p>
        </w:tc>
        <w:tc>
          <w:tcPr>
            <w:tcW w:w="5529" w:type="dxa"/>
          </w:tcPr>
          <w:p w:rsidR="0079451A" w:rsidRPr="00030E3C" w:rsidRDefault="0079451A" w:rsidP="0079451A">
            <w:pPr>
              <w:spacing w:before="0" w:after="0" w:line="280" w:lineRule="atLeast"/>
            </w:pPr>
            <w:r w:rsidRPr="00030E3C">
              <w:rPr>
                <w:iCs/>
              </w:rPr>
              <w:t>To support applicants and beneficiaries and to strengthen the involvement of relevant partners in programme implementation</w:t>
            </w:r>
          </w:p>
        </w:tc>
      </w:tr>
      <w:tr w:rsidR="0079451A" w:rsidRPr="00030E3C" w:rsidTr="000A7373">
        <w:trPr>
          <w:trHeight w:val="360"/>
        </w:trPr>
        <w:tc>
          <w:tcPr>
            <w:tcW w:w="3510" w:type="dxa"/>
          </w:tcPr>
          <w:p w:rsidR="0079451A" w:rsidRPr="00030E3C" w:rsidRDefault="0079451A" w:rsidP="0079451A">
            <w:pPr>
              <w:spacing w:before="0" w:after="0" w:line="280" w:lineRule="atLeast"/>
              <w:rPr>
                <w:i/>
              </w:rPr>
            </w:pPr>
            <w:r w:rsidRPr="00030E3C">
              <w:rPr>
                <w:i/>
              </w:rPr>
              <w:t xml:space="preserve">Results that the partner States </w:t>
            </w:r>
            <w:r w:rsidRPr="00030E3C">
              <w:rPr>
                <w:i/>
              </w:rPr>
              <w:lastRenderedPageBreak/>
              <w:t xml:space="preserve">seek to achieve with Union support </w:t>
            </w:r>
            <w:r w:rsidRPr="00030E3C">
              <w:rPr>
                <w:vertAlign w:val="superscript"/>
              </w:rPr>
              <w:footnoteReference w:id="6"/>
            </w:r>
          </w:p>
        </w:tc>
        <w:tc>
          <w:tcPr>
            <w:tcW w:w="5529" w:type="dxa"/>
          </w:tcPr>
          <w:p w:rsidR="0079451A" w:rsidRPr="00030E3C" w:rsidRDefault="0079451A" w:rsidP="0079451A">
            <w:pPr>
              <w:spacing w:before="0" w:after="0" w:line="280" w:lineRule="atLeast"/>
            </w:pPr>
            <w:r w:rsidRPr="00030E3C">
              <w:lastRenderedPageBreak/>
              <w:t xml:space="preserve">Besides a sound programme management, the capacity </w:t>
            </w:r>
            <w:r w:rsidRPr="00030E3C">
              <w:lastRenderedPageBreak/>
              <w:t>of applicants and beneficiaries to participate in the programme as well as the direct involvement of relevant partners (i.e. competent regional and local bodies representing public institutions at all relevant levels, socio-economic bodies and the civil society as defined in Article 5 of the CPR) are key factors for effective programme implementation.</w:t>
            </w:r>
          </w:p>
          <w:p w:rsidR="0079451A" w:rsidRPr="00030E3C" w:rsidRDefault="0079451A" w:rsidP="0079451A">
            <w:pPr>
              <w:spacing w:before="0" w:after="0" w:line="280" w:lineRule="atLeast"/>
            </w:pPr>
            <w:r w:rsidRPr="00030E3C">
              <w:t>In the framework of this specific objective the programme will address the need to further build capacity of applicants and beneficiaries to participate in operations and to take up results. Moreover, the need to improve the advisory role of relevant partners in programme implementation (e.g. in the preparation of targeted or strategic calls for proposals) will be addressed within Specific Objective 5.2.</w:t>
            </w:r>
          </w:p>
          <w:p w:rsidR="0079451A" w:rsidRPr="00030E3C" w:rsidRDefault="0079451A" w:rsidP="0079451A">
            <w:pPr>
              <w:spacing w:before="0" w:after="0" w:line="280" w:lineRule="atLeast"/>
            </w:pPr>
            <w:r w:rsidRPr="00030E3C">
              <w:t>Accordingly, the following result is expected to be achieved within SO 5.2</w:t>
            </w:r>
            <w:r w:rsidR="005059A8">
              <w:t>.</w:t>
            </w:r>
            <w:r w:rsidRPr="00030E3C">
              <w:t>:</w:t>
            </w:r>
          </w:p>
          <w:p w:rsidR="0079451A" w:rsidRPr="00030E3C" w:rsidRDefault="0079451A" w:rsidP="0079451A">
            <w:pPr>
              <w:spacing w:before="0" w:after="0" w:line="280" w:lineRule="atLeast"/>
            </w:pPr>
            <w:r w:rsidRPr="00030E3C">
              <w:t>5.2. Increased capacity of applicants and beneficiaries to participate in the programme and strengthened involvement of relevant partners in programme implementation.</w:t>
            </w:r>
          </w:p>
        </w:tc>
      </w:tr>
    </w:tbl>
    <w:p w:rsidR="0079451A" w:rsidRDefault="0079451A" w:rsidP="005D0A11">
      <w:pPr>
        <w:spacing w:before="0" w:after="0" w:line="280" w:lineRule="atLeast"/>
        <w:rPr>
          <w:b/>
        </w:rPr>
      </w:pPr>
    </w:p>
    <w:p w:rsidR="0079451A" w:rsidRDefault="0079451A" w:rsidP="005D0A11">
      <w:pPr>
        <w:spacing w:before="0" w:after="0" w:line="280" w:lineRule="atLeast"/>
        <w:rPr>
          <w:b/>
        </w:rPr>
      </w:pPr>
    </w:p>
    <w:p w:rsidR="005D0A11" w:rsidRDefault="005D0A11" w:rsidP="005D0A11">
      <w:pPr>
        <w:spacing w:before="0" w:after="0" w:line="280" w:lineRule="atLeast"/>
      </w:pPr>
      <w:r w:rsidRPr="00567F19">
        <w:rPr>
          <w:b/>
        </w:rPr>
        <w:t>2.</w:t>
      </w:r>
      <w:r>
        <w:rPr>
          <w:b/>
        </w:rPr>
        <w:t>5</w:t>
      </w:r>
      <w:r w:rsidRPr="00567F19">
        <w:rPr>
          <w:b/>
        </w:rPr>
        <w:t>.</w:t>
      </w:r>
      <w:r>
        <w:rPr>
          <w:b/>
        </w:rPr>
        <w:t>4</w:t>
      </w:r>
      <w:r w:rsidRPr="00567F19">
        <w:rPr>
          <w:b/>
        </w:rPr>
        <w:t xml:space="preserve">. </w:t>
      </w:r>
      <w:r>
        <w:rPr>
          <w:b/>
        </w:rPr>
        <w:t>A</w:t>
      </w:r>
      <w:r w:rsidRPr="00567F19">
        <w:rPr>
          <w:b/>
        </w:rPr>
        <w:t xml:space="preserve">ctions to be supported and their expected contribution to the </w:t>
      </w:r>
      <w:r>
        <w:rPr>
          <w:b/>
        </w:rPr>
        <w:t>programme implementation</w:t>
      </w:r>
      <w:r w:rsidRPr="00B76110">
        <w:t xml:space="preserve"> </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5D0A11" w:rsidRPr="00B76110" w:rsidTr="00165043">
        <w:trPr>
          <w:trHeight w:val="518"/>
        </w:trPr>
        <w:tc>
          <w:tcPr>
            <w:tcW w:w="2235" w:type="dxa"/>
            <w:shd w:val="clear" w:color="auto" w:fill="auto"/>
          </w:tcPr>
          <w:p w:rsidR="005D0A11" w:rsidRPr="00B76110" w:rsidRDefault="005D0A11" w:rsidP="00165043">
            <w:pPr>
              <w:spacing w:before="0" w:after="0" w:line="280" w:lineRule="atLeast"/>
              <w:rPr>
                <w:rFonts w:eastAsia="Times New Roman"/>
                <w:i/>
                <w:color w:val="8DB3E2"/>
                <w:sz w:val="18"/>
                <w:szCs w:val="18"/>
              </w:rPr>
            </w:pPr>
            <w:r w:rsidRPr="00B76110">
              <w:rPr>
                <w:rFonts w:eastAsia="Times New Roman"/>
                <w:i/>
              </w:rPr>
              <w:t>Priority axis</w:t>
            </w:r>
          </w:p>
        </w:tc>
        <w:tc>
          <w:tcPr>
            <w:tcW w:w="6443" w:type="dxa"/>
            <w:shd w:val="clear" w:color="auto" w:fill="auto"/>
          </w:tcPr>
          <w:p w:rsidR="005D0A11" w:rsidRPr="00B76110" w:rsidRDefault="005D0A11" w:rsidP="00165043">
            <w:pPr>
              <w:spacing w:before="0" w:after="0" w:line="280" w:lineRule="atLeast"/>
              <w:rPr>
                <w:rFonts w:eastAsia="Times New Roman"/>
                <w:i/>
                <w:color w:val="8DB3E2"/>
                <w:sz w:val="18"/>
                <w:szCs w:val="18"/>
              </w:rPr>
            </w:pPr>
            <w:r>
              <w:t>PA</w:t>
            </w:r>
            <w:r w:rsidR="007E5895">
              <w:t xml:space="preserve"> </w:t>
            </w:r>
            <w:r>
              <w:t>5 Technical Assistance</w:t>
            </w:r>
          </w:p>
        </w:tc>
      </w:tr>
      <w:tr w:rsidR="005D0A11" w:rsidRPr="00F41C51" w:rsidTr="00165043">
        <w:trPr>
          <w:trHeight w:val="662"/>
        </w:trPr>
        <w:tc>
          <w:tcPr>
            <w:tcW w:w="8678" w:type="dxa"/>
            <w:gridSpan w:val="2"/>
            <w:shd w:val="clear" w:color="auto" w:fill="auto"/>
          </w:tcPr>
          <w:p w:rsidR="005D0A11" w:rsidRDefault="005D0A11" w:rsidP="00241F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80" w:lineRule="atLeast"/>
              <w:rPr>
                <w:color w:val="000000"/>
                <w:szCs w:val="24"/>
                <w:lang w:val="en-US"/>
              </w:rPr>
            </w:pPr>
          </w:p>
          <w:p w:rsidR="0079451A" w:rsidRPr="0079451A" w:rsidRDefault="0079451A" w:rsidP="00241F01">
            <w:pPr>
              <w:autoSpaceDE w:val="0"/>
              <w:autoSpaceDN w:val="0"/>
              <w:adjustRightInd w:val="0"/>
              <w:spacing w:before="0" w:after="0" w:line="280" w:lineRule="atLeast"/>
              <w:rPr>
                <w:szCs w:val="24"/>
              </w:rPr>
            </w:pPr>
            <w:r w:rsidRPr="0079451A">
              <w:rPr>
                <w:b/>
                <w:szCs w:val="24"/>
              </w:rPr>
              <w:t>Actions to support managing and implementing the programme effectively and efficiently:</w:t>
            </w:r>
            <w:r w:rsidRPr="0079451A">
              <w:rPr>
                <w:b/>
                <w:szCs w:val="24"/>
              </w:rPr>
              <w:br/>
            </w:r>
            <w:r w:rsidRPr="0079451A">
              <w:rPr>
                <w:szCs w:val="24"/>
              </w:rPr>
              <w:t>In line with Article 59 of the CPR, actions within Specific Objectives within this Priority Axis  include the preparation, management, monitoring, evaluation, information and communication, networking, complaint resolution, and control and audit tasks of the programme. Moreover, actions referring to this specific objective have to address the reduction of administrative burden for beneficiaries.</w:t>
            </w:r>
          </w:p>
          <w:p w:rsidR="0079451A" w:rsidRPr="0079451A" w:rsidRDefault="0079451A" w:rsidP="00241F01">
            <w:pPr>
              <w:autoSpaceDE w:val="0"/>
              <w:autoSpaceDN w:val="0"/>
              <w:adjustRightInd w:val="0"/>
              <w:spacing w:before="0" w:after="0" w:line="280" w:lineRule="atLeast"/>
              <w:rPr>
                <w:szCs w:val="24"/>
              </w:rPr>
            </w:pPr>
            <w:r w:rsidRPr="0079451A">
              <w:rPr>
                <w:szCs w:val="24"/>
              </w:rPr>
              <w:t>Indicative actions supported under specific objective 5.1 are listed below:</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Setting up and managing of a joint secretariat supporting the managing authority and assisting the joint monitoring committee in the implementation and day-to-day management of the programme</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Preparing and implementing calls for proposals, including the development of guidance documents setting out the conditions for the support of operations</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Setting-up and implementing procedures for the quality assessment, monitoring and control of operations implemented under the cooperation programme, (making use of experts where relevant) and contributing to the reduction of administrative burden for beneficiaries</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 xml:space="preserve">Collecting data concerning the progress of the programme in achieving its </w:t>
            </w:r>
            <w:r w:rsidRPr="0079451A">
              <w:rPr>
                <w:szCs w:val="24"/>
              </w:rPr>
              <w:lastRenderedPageBreak/>
              <w:t>objectives, as well as financial data and data relating to indicators and targets, and reporting to the joint monitoring committee and the European Commission</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Drafting and implementing the programme communication strategy, including the setting up and implementation of information and communication measures and tools in line with Article 115 of the CPR</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Drafting and implementing the programme evaluation plan and follow-up of findings of independent programme evaluations</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Setting up, running and maintaining a computerised system to record and store data on each operation necessary for the monitoring, evaluation, financial management, verification and audit (including data on individual participants in operations where applicable, in compliance with electronic data exchange requirements provided for in Article 122(3) of the CPR and in related implementing acts) and contributing to the reduction of administrative burden for beneficiaries</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 xml:space="preserve">Setting up a network of financial controllers, coordinated by the </w:t>
            </w:r>
            <w:r w:rsidR="00693EB4">
              <w:rPr>
                <w:szCs w:val="24"/>
              </w:rPr>
              <w:t>Managing Authority/</w:t>
            </w:r>
            <w:r w:rsidRPr="0079451A">
              <w:rPr>
                <w:szCs w:val="24"/>
              </w:rPr>
              <w:t>joint secretariat, with the purpose of exchanging information and best practices at programme level</w:t>
            </w:r>
          </w:p>
          <w:p w:rsidR="0079451A" w:rsidRDefault="0079451A" w:rsidP="000653D2">
            <w:pPr>
              <w:numPr>
                <w:ilvl w:val="0"/>
                <w:numId w:val="56"/>
              </w:numPr>
              <w:autoSpaceDE w:val="0"/>
              <w:autoSpaceDN w:val="0"/>
              <w:adjustRightInd w:val="0"/>
              <w:spacing w:before="0" w:after="0" w:line="280" w:lineRule="atLeast"/>
              <w:rPr>
                <w:szCs w:val="24"/>
              </w:rPr>
            </w:pPr>
            <w:r w:rsidRPr="0079451A">
              <w:rPr>
                <w:szCs w:val="24"/>
              </w:rPr>
              <w:t>Setting up and executing audits on the programme management and control system as well as on operations</w:t>
            </w:r>
          </w:p>
          <w:p w:rsidR="00CB77DA" w:rsidRDefault="00D26297" w:rsidP="000653D2">
            <w:pPr>
              <w:numPr>
                <w:ilvl w:val="0"/>
                <w:numId w:val="56"/>
              </w:numPr>
              <w:autoSpaceDE w:val="0"/>
              <w:autoSpaceDN w:val="0"/>
              <w:adjustRightInd w:val="0"/>
              <w:spacing w:before="0" w:after="0" w:line="280" w:lineRule="atLeast"/>
              <w:rPr>
                <w:szCs w:val="24"/>
              </w:rPr>
            </w:pPr>
            <w:r w:rsidRPr="0079451A">
              <w:rPr>
                <w:szCs w:val="24"/>
              </w:rPr>
              <w:t>Ensuring trainings and capacity building to</w:t>
            </w:r>
            <w:r>
              <w:rPr>
                <w:szCs w:val="24"/>
              </w:rPr>
              <w:t xml:space="preserve"> </w:t>
            </w:r>
            <w:r w:rsidRPr="0079451A">
              <w:rPr>
                <w:szCs w:val="24"/>
              </w:rPr>
              <w:t>the programme management structure in order to contribute to the successful implementation of the programme</w:t>
            </w:r>
          </w:p>
          <w:p w:rsidR="00377BA1" w:rsidRPr="00377BA1" w:rsidRDefault="00377BA1" w:rsidP="000653D2">
            <w:pPr>
              <w:numPr>
                <w:ilvl w:val="0"/>
                <w:numId w:val="56"/>
              </w:numPr>
              <w:autoSpaceDE w:val="0"/>
              <w:autoSpaceDN w:val="0"/>
              <w:adjustRightInd w:val="0"/>
              <w:spacing w:before="0" w:after="0" w:line="280" w:lineRule="atLeast"/>
              <w:rPr>
                <w:szCs w:val="24"/>
              </w:rPr>
            </w:pPr>
            <w:r w:rsidRPr="00377BA1">
              <w:rPr>
                <w:szCs w:val="24"/>
              </w:rPr>
              <w:t xml:space="preserve">Preparing 2021-2027 programme and ensuring related ex-ante evaluation and SEA </w:t>
            </w:r>
          </w:p>
          <w:p w:rsidR="0079451A" w:rsidRPr="0079451A" w:rsidRDefault="0079451A" w:rsidP="00241F01">
            <w:pPr>
              <w:autoSpaceDE w:val="0"/>
              <w:autoSpaceDN w:val="0"/>
              <w:adjustRightInd w:val="0"/>
              <w:spacing w:before="0" w:after="0" w:line="280" w:lineRule="atLeast"/>
              <w:rPr>
                <w:szCs w:val="24"/>
              </w:rPr>
            </w:pPr>
          </w:p>
          <w:p w:rsidR="0079451A" w:rsidRPr="0079451A" w:rsidRDefault="0079451A" w:rsidP="00241F01">
            <w:pPr>
              <w:autoSpaceDE w:val="0"/>
              <w:autoSpaceDN w:val="0"/>
              <w:adjustRightInd w:val="0"/>
              <w:spacing w:before="0" w:after="0" w:line="280" w:lineRule="atLeast"/>
              <w:rPr>
                <w:b/>
                <w:szCs w:val="24"/>
              </w:rPr>
            </w:pPr>
            <w:r w:rsidRPr="0079451A">
              <w:rPr>
                <w:b/>
                <w:szCs w:val="24"/>
              </w:rPr>
              <w:t xml:space="preserve">Actions to support applicants and beneficiaries and to strengthen the involvement of relevant partners in programme implementation </w:t>
            </w:r>
          </w:p>
          <w:p w:rsidR="0079451A" w:rsidRPr="0079451A" w:rsidRDefault="0079451A" w:rsidP="00241F01">
            <w:pPr>
              <w:autoSpaceDE w:val="0"/>
              <w:autoSpaceDN w:val="0"/>
              <w:adjustRightInd w:val="0"/>
              <w:spacing w:before="0" w:after="0" w:line="280" w:lineRule="atLeast"/>
              <w:rPr>
                <w:szCs w:val="24"/>
              </w:rPr>
            </w:pPr>
            <w:r w:rsidRPr="0079451A">
              <w:rPr>
                <w:szCs w:val="24"/>
              </w:rPr>
              <w:t>In line with Article 59 of the CPR, actions within specific objective 5.2 include the reinforcement of capacity of applicants and beneficiaries as well as strengthening of the involvement of relevant partners (including the exchange of good practices among partners).</w:t>
            </w:r>
          </w:p>
          <w:p w:rsidR="0079451A" w:rsidRPr="0079451A" w:rsidRDefault="0079451A" w:rsidP="00241F01">
            <w:pPr>
              <w:autoSpaceDE w:val="0"/>
              <w:autoSpaceDN w:val="0"/>
              <w:adjustRightInd w:val="0"/>
              <w:spacing w:before="0" w:after="0" w:line="280" w:lineRule="atLeast"/>
              <w:rPr>
                <w:szCs w:val="24"/>
              </w:rPr>
            </w:pPr>
            <w:r w:rsidRPr="0079451A">
              <w:rPr>
                <w:szCs w:val="24"/>
              </w:rPr>
              <w:t>Indicative actions supported within Specific Objective 5.2 are listed below:</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Drafting of information documents for applicants and beneficiaries to guide them in the preparation of applications and the implementation, evaluation, control and communication of approved operations</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Organising consultation, information, training and exchange events to strengthen the capacity of applicants to develop applications directly contributing to the programme specific objectives and expected results</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Organising trainings on specific implementation issues such as project and financial management, reporting, control, audit, communication and networking to strengthen the capacity of beneficiaries to implement approved operations</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 xml:space="preserve">Developing information and exchange tools (e.g. analytical documents, bilateral meetings, targeted events, etc.) and organising cross-border and national events to strengthen the involvement of relevant partners in the implementation of the programme </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Setting-up and coordinating the joint secretariat in implementing tasks related to the implementation of the programme at national level.</w:t>
            </w:r>
          </w:p>
          <w:p w:rsidR="0079451A" w:rsidRPr="0079451A" w:rsidRDefault="0079451A" w:rsidP="000653D2">
            <w:pPr>
              <w:numPr>
                <w:ilvl w:val="0"/>
                <w:numId w:val="56"/>
              </w:numPr>
              <w:autoSpaceDE w:val="0"/>
              <w:autoSpaceDN w:val="0"/>
              <w:adjustRightInd w:val="0"/>
              <w:spacing w:before="0" w:after="0" w:line="280" w:lineRule="atLeast"/>
              <w:rPr>
                <w:szCs w:val="24"/>
              </w:rPr>
            </w:pPr>
            <w:r w:rsidRPr="0079451A">
              <w:rPr>
                <w:szCs w:val="24"/>
              </w:rPr>
              <w:t>Executing studies, reports and surveys on strategic matters (or on issues of public interest) that can contribute to the sustainability and take-up of programme results and achievements into policies, strategies, investments (making use of experts where relevant).</w:t>
            </w:r>
          </w:p>
          <w:p w:rsidR="005D0A11" w:rsidRPr="005D20DA" w:rsidRDefault="0079451A" w:rsidP="00241F01">
            <w:pPr>
              <w:autoSpaceDE w:val="0"/>
              <w:autoSpaceDN w:val="0"/>
              <w:adjustRightInd w:val="0"/>
              <w:spacing w:before="0" w:after="0" w:line="280" w:lineRule="atLeast"/>
              <w:rPr>
                <w:szCs w:val="24"/>
              </w:rPr>
            </w:pPr>
            <w:r w:rsidRPr="0079451A">
              <w:rPr>
                <w:szCs w:val="24"/>
              </w:rPr>
              <w:t xml:space="preserve">Technical assistance actions shall be implemented by all authorities involved in the </w:t>
            </w:r>
            <w:r w:rsidRPr="0079451A">
              <w:rPr>
                <w:szCs w:val="24"/>
              </w:rPr>
              <w:lastRenderedPageBreak/>
              <w:t>management of the programme.</w:t>
            </w:r>
          </w:p>
        </w:tc>
      </w:tr>
    </w:tbl>
    <w:p w:rsidR="005D0A11" w:rsidRPr="00B76110" w:rsidRDefault="005D0A11" w:rsidP="005D0A11">
      <w:pPr>
        <w:spacing w:before="0" w:after="0" w:line="280" w:lineRule="atLeast"/>
        <w:rPr>
          <w:rFonts w:eastAsia="Times New Roman"/>
          <w:b/>
        </w:rPr>
      </w:pPr>
    </w:p>
    <w:p w:rsidR="005D0A11" w:rsidRPr="00B76110" w:rsidRDefault="005D0A11" w:rsidP="005D0A11">
      <w:pPr>
        <w:spacing w:before="0" w:after="0" w:line="280" w:lineRule="atLeast"/>
        <w:rPr>
          <w:rFonts w:eastAsia="Times New Roman"/>
          <w:b/>
        </w:rPr>
      </w:pPr>
      <w:r w:rsidRPr="00A366E4">
        <w:rPr>
          <w:b/>
        </w:rPr>
        <w:t>2</w:t>
      </w:r>
      <w:r w:rsidRPr="0059168F">
        <w:rPr>
          <w:rFonts w:eastAsia="Times New Roman"/>
          <w:b/>
        </w:rPr>
        <w:t>.</w:t>
      </w:r>
      <w:r>
        <w:rPr>
          <w:rFonts w:eastAsia="Times New Roman"/>
          <w:b/>
        </w:rPr>
        <w:t>5</w:t>
      </w:r>
      <w:r w:rsidRPr="00B76110">
        <w:rPr>
          <w:rFonts w:eastAsia="Times New Roman"/>
          <w:b/>
        </w:rPr>
        <w:t>.</w:t>
      </w:r>
      <w:r>
        <w:rPr>
          <w:rFonts w:eastAsia="Times New Roman"/>
          <w:b/>
        </w:rPr>
        <w:t>5</w:t>
      </w:r>
      <w:r w:rsidRPr="00B76110">
        <w:rPr>
          <w:rFonts w:eastAsia="Times New Roman"/>
          <w:b/>
        </w:rPr>
        <w:t xml:space="preserve">. </w:t>
      </w:r>
      <w:r>
        <w:rPr>
          <w:rFonts w:eastAsia="Times New Roman"/>
          <w:b/>
        </w:rPr>
        <w:t xml:space="preserve">Programme specific </w:t>
      </w:r>
      <w:r w:rsidRPr="00B76110">
        <w:rPr>
          <w:rFonts w:eastAsia="Times New Roman"/>
          <w:b/>
        </w:rPr>
        <w:t>indicators</w:t>
      </w:r>
      <w:r w:rsidRPr="00B76110">
        <w:rPr>
          <w:rStyle w:val="FootnoteReference"/>
        </w:rPr>
        <w:footnoteReference w:id="7"/>
      </w:r>
    </w:p>
    <w:p w:rsidR="00415C35" w:rsidRPr="00B76110" w:rsidRDefault="00415C35" w:rsidP="005D0A11">
      <w:pPr>
        <w:spacing w:before="0" w:after="0" w:line="280" w:lineRule="atLeast"/>
        <w:rPr>
          <w:rFonts w:eastAsia="Times New Roman"/>
          <w:b/>
        </w:rPr>
      </w:pPr>
    </w:p>
    <w:p w:rsidR="005D0A11" w:rsidRDefault="005D0A11" w:rsidP="005D0A11">
      <w:pPr>
        <w:spacing w:before="0" w:after="0" w:line="280" w:lineRule="atLeast"/>
        <w:rPr>
          <w:rFonts w:eastAsia="Times New Roman"/>
          <w:b/>
          <w:i/>
        </w:rPr>
      </w:pPr>
      <w:r w:rsidRPr="00B76110">
        <w:rPr>
          <w:rFonts w:eastAsia="Times New Roman"/>
          <w:b/>
          <w:i/>
        </w:rPr>
        <w:t>2.</w:t>
      </w:r>
      <w:r>
        <w:rPr>
          <w:rFonts w:eastAsia="Times New Roman"/>
          <w:b/>
          <w:i/>
        </w:rPr>
        <w:t>5</w:t>
      </w:r>
      <w:r w:rsidRPr="00B76110">
        <w:rPr>
          <w:rFonts w:eastAsia="Times New Roman"/>
          <w:b/>
          <w:i/>
        </w:rPr>
        <w:t>.</w:t>
      </w:r>
      <w:r>
        <w:rPr>
          <w:rFonts w:eastAsia="Times New Roman"/>
          <w:b/>
          <w:i/>
        </w:rPr>
        <w:t>5</w:t>
      </w:r>
      <w:r w:rsidRPr="00B76110">
        <w:rPr>
          <w:rFonts w:eastAsia="Times New Roman"/>
          <w:b/>
          <w:i/>
        </w:rPr>
        <w:t>.</w:t>
      </w:r>
      <w:r w:rsidR="0079451A">
        <w:rPr>
          <w:rFonts w:eastAsia="Times New Roman"/>
          <w:b/>
          <w:i/>
        </w:rPr>
        <w:t>1</w:t>
      </w:r>
      <w:r w:rsidR="0079451A" w:rsidRPr="00B76110">
        <w:rPr>
          <w:rFonts w:eastAsia="Times New Roman"/>
          <w:b/>
          <w:i/>
        </w:rPr>
        <w:t xml:space="preserve"> </w:t>
      </w:r>
      <w:r>
        <w:rPr>
          <w:rFonts w:eastAsia="Times New Roman"/>
          <w:b/>
          <w:i/>
        </w:rPr>
        <w:t>Programme specific o</w:t>
      </w:r>
      <w:r w:rsidRPr="00B76110">
        <w:rPr>
          <w:rFonts w:eastAsia="Times New Roman"/>
          <w:b/>
          <w:i/>
        </w:rPr>
        <w:t>utput indicators expected to contribute to results</w:t>
      </w:r>
    </w:p>
    <w:p w:rsidR="005D0A11" w:rsidRPr="00965678" w:rsidRDefault="005D0A11" w:rsidP="005D0A11">
      <w:pPr>
        <w:spacing w:before="0" w:after="0" w:line="280" w:lineRule="atLeast"/>
        <w:rPr>
          <w:rFonts w:eastAsia="Times New Roman"/>
          <w:b/>
          <w:i/>
        </w:rPr>
      </w:pPr>
      <w:r w:rsidRPr="00FA3CE3">
        <w:rPr>
          <w:rFonts w:eastAsia="Times New Roman"/>
        </w:rPr>
        <w:t>(</w:t>
      </w:r>
      <w:r w:rsidRPr="00050A46">
        <w:rPr>
          <w:rFonts w:eastAsia="Times New Roman"/>
        </w:rPr>
        <w:t xml:space="preserve">Reference: </w:t>
      </w:r>
      <w:r>
        <w:t xml:space="preserve">point (c)(iv) of </w:t>
      </w:r>
      <w:r w:rsidRPr="00050A46">
        <w:rPr>
          <w:rFonts w:eastAsia="Times New Roman"/>
        </w:rPr>
        <w:t xml:space="preserve">Article </w:t>
      </w:r>
      <w:r w:rsidRPr="005C07F9">
        <w:rPr>
          <w:rFonts w:eastAsia="Times New Roman"/>
        </w:rPr>
        <w:t>8</w:t>
      </w:r>
      <w:r w:rsidRPr="005F0A7B">
        <w:rPr>
          <w:rFonts w:eastAsia="Times New Roman"/>
        </w:rPr>
        <w:t xml:space="preserve">(2) </w:t>
      </w:r>
      <w:r w:rsidRPr="00567F19">
        <w:rPr>
          <w:rFonts w:eastAsia="Times New Roman"/>
        </w:rPr>
        <w:t>of Regulation (EU) No 1299/2013</w:t>
      </w:r>
      <w:r w:rsidRPr="00965678">
        <w:rPr>
          <w:rFonts w:eastAsia="Times New Roman"/>
        </w:rPr>
        <w:t>)</w:t>
      </w:r>
    </w:p>
    <w:p w:rsidR="005D0A11" w:rsidRDefault="005D0A11" w:rsidP="005D0A11">
      <w:pPr>
        <w:spacing w:before="0" w:after="0" w:line="280" w:lineRule="atLeast"/>
        <w:rPr>
          <w:rFonts w:eastAsia="Times New Roman"/>
          <w:b/>
        </w:rPr>
      </w:pPr>
      <w:r w:rsidRPr="00B76110">
        <w:rPr>
          <w:rFonts w:eastAsia="Times New Roman"/>
          <w:b/>
        </w:rPr>
        <w:t>Table 1</w:t>
      </w:r>
      <w:r>
        <w:rPr>
          <w:rFonts w:eastAsia="Times New Roman"/>
          <w:b/>
        </w:rPr>
        <w:t>0</w:t>
      </w:r>
      <w:r w:rsidRPr="00B76110">
        <w:rPr>
          <w:rFonts w:eastAsia="Times New Roman"/>
          <w:b/>
        </w:rPr>
        <w:t xml:space="preserve">: </w:t>
      </w:r>
      <w:r>
        <w:rPr>
          <w:rFonts w:eastAsia="Times New Roman"/>
          <w:b/>
        </w:rPr>
        <w:t>Programme specific o</w:t>
      </w:r>
      <w:r w:rsidRPr="00B76110">
        <w:rPr>
          <w:rFonts w:eastAsia="Times New Roman"/>
          <w:b/>
        </w:rPr>
        <w:t>utput indicators</w:t>
      </w:r>
    </w:p>
    <w:p w:rsidR="00AC23A9" w:rsidRPr="00B76110" w:rsidRDefault="00AC23A9" w:rsidP="005D0A11">
      <w:pPr>
        <w:spacing w:before="0" w:after="0" w:line="280" w:lineRule="atLeast"/>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6"/>
        <w:gridCol w:w="2383"/>
        <w:gridCol w:w="1629"/>
        <w:gridCol w:w="1503"/>
        <w:gridCol w:w="1693"/>
      </w:tblGrid>
      <w:tr w:rsidR="0079451A" w:rsidRPr="0079451A" w:rsidTr="000C4759">
        <w:trPr>
          <w:trHeight w:val="358"/>
        </w:trPr>
        <w:tc>
          <w:tcPr>
            <w:tcW w:w="1626" w:type="dxa"/>
          </w:tcPr>
          <w:p w:rsidR="0079451A" w:rsidRPr="0079451A" w:rsidRDefault="0079451A" w:rsidP="0079451A">
            <w:pPr>
              <w:keepNext/>
              <w:spacing w:before="0" w:after="0" w:line="280" w:lineRule="atLeast"/>
              <w:outlineLvl w:val="2"/>
              <w:rPr>
                <w:rFonts w:eastAsia="Times New Roman"/>
                <w:b/>
              </w:rPr>
            </w:pPr>
            <w:r w:rsidRPr="0079451A">
              <w:rPr>
                <w:rFonts w:eastAsia="Times New Roman"/>
                <w:b/>
              </w:rPr>
              <w:lastRenderedPageBreak/>
              <w:t>ID</w:t>
            </w:r>
          </w:p>
        </w:tc>
        <w:tc>
          <w:tcPr>
            <w:tcW w:w="2383" w:type="dxa"/>
          </w:tcPr>
          <w:p w:rsidR="0079451A" w:rsidRPr="0079451A" w:rsidRDefault="0079451A" w:rsidP="0079451A">
            <w:pPr>
              <w:keepNext/>
              <w:spacing w:before="0" w:after="0" w:line="280" w:lineRule="atLeast"/>
              <w:outlineLvl w:val="2"/>
              <w:rPr>
                <w:rFonts w:eastAsia="Times New Roman"/>
                <w:b/>
              </w:rPr>
            </w:pPr>
            <w:r w:rsidRPr="0079451A">
              <w:rPr>
                <w:rFonts w:eastAsia="Times New Roman"/>
                <w:b/>
              </w:rPr>
              <w:t xml:space="preserve">Indicator </w:t>
            </w:r>
          </w:p>
        </w:tc>
        <w:tc>
          <w:tcPr>
            <w:tcW w:w="1629" w:type="dxa"/>
          </w:tcPr>
          <w:p w:rsidR="0079451A" w:rsidRPr="0079451A" w:rsidRDefault="0079451A" w:rsidP="0079451A">
            <w:pPr>
              <w:keepNext/>
              <w:spacing w:before="0" w:after="0" w:line="280" w:lineRule="atLeast"/>
              <w:outlineLvl w:val="2"/>
              <w:rPr>
                <w:rFonts w:eastAsia="Times New Roman"/>
                <w:b/>
              </w:rPr>
            </w:pPr>
            <w:r w:rsidRPr="0079451A">
              <w:rPr>
                <w:rFonts w:eastAsia="Times New Roman"/>
                <w:b/>
              </w:rPr>
              <w:t>Measurement unit</w:t>
            </w:r>
          </w:p>
        </w:tc>
        <w:tc>
          <w:tcPr>
            <w:tcW w:w="1503" w:type="dxa"/>
          </w:tcPr>
          <w:p w:rsidR="0079451A" w:rsidRPr="0079451A" w:rsidRDefault="0079451A" w:rsidP="0079451A">
            <w:pPr>
              <w:keepNext/>
              <w:spacing w:before="0" w:after="0" w:line="280" w:lineRule="atLeast"/>
              <w:outlineLvl w:val="2"/>
              <w:rPr>
                <w:rFonts w:eastAsia="Times New Roman"/>
                <w:b/>
              </w:rPr>
            </w:pPr>
            <w:r w:rsidRPr="0079451A">
              <w:rPr>
                <w:rFonts w:eastAsia="Times New Roman"/>
                <w:b/>
              </w:rPr>
              <w:t>Target value (2023)</w:t>
            </w:r>
          </w:p>
          <w:p w:rsidR="0079451A" w:rsidRPr="0079451A" w:rsidRDefault="0079451A" w:rsidP="0079451A">
            <w:pPr>
              <w:keepNext/>
              <w:spacing w:before="0" w:after="0" w:line="280" w:lineRule="atLeast"/>
              <w:outlineLvl w:val="2"/>
              <w:rPr>
                <w:rFonts w:eastAsia="Times New Roman"/>
                <w:b/>
              </w:rPr>
            </w:pPr>
            <w:r w:rsidRPr="0079451A">
              <w:rPr>
                <w:rFonts w:eastAsia="Times New Roman"/>
                <w:b/>
              </w:rPr>
              <w:t>(optional)</w:t>
            </w:r>
          </w:p>
        </w:tc>
        <w:tc>
          <w:tcPr>
            <w:tcW w:w="1693" w:type="dxa"/>
          </w:tcPr>
          <w:p w:rsidR="0079451A" w:rsidRPr="0079451A" w:rsidRDefault="0079451A" w:rsidP="007D1EAB">
            <w:pPr>
              <w:keepNext/>
              <w:spacing w:before="0" w:after="0" w:line="280" w:lineRule="atLeast"/>
              <w:jc w:val="left"/>
              <w:outlineLvl w:val="2"/>
              <w:rPr>
                <w:rFonts w:eastAsia="Times New Roman"/>
                <w:b/>
              </w:rPr>
            </w:pPr>
            <w:r w:rsidRPr="0079451A">
              <w:rPr>
                <w:rFonts w:eastAsia="Times New Roman"/>
                <w:b/>
              </w:rPr>
              <w:t>Source of data</w:t>
            </w:r>
          </w:p>
        </w:tc>
      </w:tr>
      <w:tr w:rsidR="000C4759" w:rsidRPr="0079451A" w:rsidTr="000C4759">
        <w:trPr>
          <w:trHeight w:val="664"/>
        </w:trPr>
        <w:tc>
          <w:tcPr>
            <w:tcW w:w="1626" w:type="dxa"/>
          </w:tcPr>
          <w:p w:rsidR="000C4759" w:rsidRPr="0079451A" w:rsidRDefault="000C4759" w:rsidP="0079451A">
            <w:pPr>
              <w:keepNext/>
              <w:spacing w:before="0" w:after="0" w:line="280" w:lineRule="atLeast"/>
              <w:outlineLvl w:val="2"/>
              <w:rPr>
                <w:rFonts w:eastAsia="Times New Roman"/>
                <w:b/>
              </w:rPr>
            </w:pPr>
            <w:r w:rsidRPr="001C26FA">
              <w:t>5.1</w:t>
            </w:r>
          </w:p>
        </w:tc>
        <w:tc>
          <w:tcPr>
            <w:tcW w:w="2383" w:type="dxa"/>
          </w:tcPr>
          <w:p w:rsidR="000C4759" w:rsidRPr="0079451A" w:rsidRDefault="000C4759" w:rsidP="0079451A">
            <w:pPr>
              <w:keepNext/>
              <w:spacing w:before="0" w:after="0" w:line="280" w:lineRule="atLeast"/>
              <w:outlineLvl w:val="2"/>
              <w:rPr>
                <w:rFonts w:eastAsia="Times New Roman"/>
                <w:b/>
              </w:rPr>
            </w:pPr>
            <w:r w:rsidRPr="0079451A">
              <w:rPr>
                <w:rFonts w:eastAsia="Times New Roman"/>
                <w:lang w:val="en-US"/>
              </w:rPr>
              <w:t>Joint secretariat established</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1</w:t>
            </w: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5.2</w:t>
            </w:r>
          </w:p>
        </w:tc>
        <w:tc>
          <w:tcPr>
            <w:tcW w:w="2383" w:type="dxa"/>
          </w:tcPr>
          <w:p w:rsidR="000C4759" w:rsidRPr="0079451A" w:rsidRDefault="000C4759" w:rsidP="0079451A">
            <w:pPr>
              <w:keepNext/>
              <w:spacing w:before="0" w:after="0" w:line="280" w:lineRule="atLeast"/>
              <w:outlineLvl w:val="2"/>
              <w:rPr>
                <w:rFonts w:eastAsia="Times New Roman"/>
                <w:i/>
              </w:rPr>
            </w:pPr>
            <w:r w:rsidRPr="0079451A">
              <w:rPr>
                <w:rFonts w:eastAsia="Times New Roman"/>
              </w:rPr>
              <w:t>Calls for proposals successfully launched and closed</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r w:rsidRPr="0079451A">
              <w:rPr>
                <w:rFonts w:eastAsia="Times New Roman"/>
              </w:rPr>
              <w:t xml:space="preserve"> e-Monitoring System</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5.3</w:t>
            </w:r>
          </w:p>
        </w:tc>
        <w:tc>
          <w:tcPr>
            <w:tcW w:w="2383" w:type="dxa"/>
          </w:tcPr>
          <w:p w:rsidR="000C4759" w:rsidRPr="0079451A" w:rsidRDefault="000C4759" w:rsidP="0079451A">
            <w:pPr>
              <w:keepNext/>
              <w:spacing w:before="0" w:after="0" w:line="280" w:lineRule="atLeast"/>
              <w:outlineLvl w:val="2"/>
              <w:rPr>
                <w:rFonts w:eastAsia="Times New Roman"/>
                <w:i/>
              </w:rPr>
            </w:pPr>
            <w:r w:rsidRPr="0079451A">
              <w:rPr>
                <w:rFonts w:eastAsia="Times New Roman"/>
              </w:rPr>
              <w:t>Operations approved following calls for proposals</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r w:rsidRPr="0079451A">
              <w:rPr>
                <w:rFonts w:eastAsia="Times New Roman"/>
              </w:rPr>
              <w:t xml:space="preserve"> e-Monitoring System</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5.4</w:t>
            </w:r>
          </w:p>
        </w:tc>
        <w:tc>
          <w:tcPr>
            <w:tcW w:w="2383" w:type="dxa"/>
          </w:tcPr>
          <w:p w:rsidR="000C4759" w:rsidRPr="0079451A" w:rsidRDefault="000C4759" w:rsidP="0079451A">
            <w:pPr>
              <w:keepNext/>
              <w:spacing w:before="0" w:after="0" w:line="280" w:lineRule="atLeast"/>
              <w:outlineLvl w:val="2"/>
              <w:rPr>
                <w:rFonts w:eastAsia="Times New Roman"/>
                <w:i/>
              </w:rPr>
            </w:pPr>
            <w:r w:rsidRPr="0079451A">
              <w:rPr>
                <w:rFonts w:eastAsia="Times New Roman"/>
              </w:rPr>
              <w:t>Periodic progress reports of operations monitored and paid</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r w:rsidRPr="0079451A">
              <w:rPr>
                <w:rFonts w:eastAsia="Times New Roman"/>
              </w:rPr>
              <w:t xml:space="preserve"> e-Monitoring System</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5.5</w:t>
            </w:r>
          </w:p>
        </w:tc>
        <w:tc>
          <w:tcPr>
            <w:tcW w:w="2383" w:type="dxa"/>
          </w:tcPr>
          <w:p w:rsidR="000C4759" w:rsidRPr="0079451A" w:rsidRDefault="000C4759" w:rsidP="0079451A">
            <w:pPr>
              <w:keepNext/>
              <w:spacing w:before="0" w:after="0" w:line="280" w:lineRule="atLeast"/>
              <w:outlineLvl w:val="2"/>
              <w:rPr>
                <w:rFonts w:eastAsia="Times New Roman"/>
              </w:rPr>
            </w:pPr>
            <w:r w:rsidRPr="0079451A">
              <w:rPr>
                <w:rFonts w:eastAsia="Times New Roman"/>
              </w:rPr>
              <w:t>Joint Monitoring Committee meetings held</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9</w:t>
            </w: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5.6</w:t>
            </w:r>
          </w:p>
        </w:tc>
        <w:tc>
          <w:tcPr>
            <w:tcW w:w="2383" w:type="dxa"/>
          </w:tcPr>
          <w:p w:rsidR="000C4759" w:rsidRPr="0079451A" w:rsidRDefault="000C4759" w:rsidP="0079451A">
            <w:pPr>
              <w:keepNext/>
              <w:spacing w:before="0" w:after="0" w:line="280" w:lineRule="atLeast"/>
              <w:outlineLvl w:val="2"/>
              <w:rPr>
                <w:rFonts w:eastAsia="Times New Roman"/>
              </w:rPr>
            </w:pPr>
            <w:r w:rsidRPr="0079451A">
              <w:rPr>
                <w:rFonts w:eastAsia="Times New Roman"/>
              </w:rPr>
              <w:t>On-the-spot visits carried out</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r w:rsidRPr="0079451A">
              <w:rPr>
                <w:rFonts w:eastAsia="Times New Roman"/>
              </w:rPr>
              <w:t xml:space="preserve"> e-Monitoring System</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5.7</w:t>
            </w:r>
          </w:p>
        </w:tc>
        <w:tc>
          <w:tcPr>
            <w:tcW w:w="2383" w:type="dxa"/>
          </w:tcPr>
          <w:p w:rsidR="000C4759" w:rsidRPr="0079451A" w:rsidRDefault="000C4759" w:rsidP="0079451A">
            <w:pPr>
              <w:keepNext/>
              <w:spacing w:before="0" w:after="0" w:line="280" w:lineRule="atLeast"/>
              <w:outlineLvl w:val="2"/>
              <w:rPr>
                <w:rFonts w:eastAsia="Times New Roman"/>
                <w:i/>
              </w:rPr>
            </w:pPr>
            <w:r w:rsidRPr="0079451A">
              <w:rPr>
                <w:rFonts w:eastAsia="Times New Roman"/>
              </w:rPr>
              <w:t>Programme communication strategy developed and implemented</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1</w:t>
            </w: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5.8</w:t>
            </w:r>
          </w:p>
        </w:tc>
        <w:tc>
          <w:tcPr>
            <w:tcW w:w="2383" w:type="dxa"/>
          </w:tcPr>
          <w:p w:rsidR="000C4759" w:rsidRPr="0079451A" w:rsidRDefault="000C4759" w:rsidP="0079451A">
            <w:pPr>
              <w:keepNext/>
              <w:spacing w:before="0" w:after="0" w:line="280" w:lineRule="atLeast"/>
              <w:outlineLvl w:val="2"/>
              <w:rPr>
                <w:rFonts w:eastAsia="Times New Roman"/>
                <w:i/>
              </w:rPr>
            </w:pPr>
            <w:r w:rsidRPr="0079451A">
              <w:rPr>
                <w:rFonts w:eastAsia="Times New Roman"/>
              </w:rPr>
              <w:t>Independent programme evaluations implemented (ex-ante and during programme implementation)</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2</w:t>
            </w: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5.9</w:t>
            </w:r>
          </w:p>
        </w:tc>
        <w:tc>
          <w:tcPr>
            <w:tcW w:w="2383" w:type="dxa"/>
          </w:tcPr>
          <w:p w:rsidR="000C4759" w:rsidRPr="0079451A" w:rsidRDefault="000C4759" w:rsidP="0079451A">
            <w:pPr>
              <w:keepNext/>
              <w:spacing w:before="0" w:after="0" w:line="280" w:lineRule="atLeast"/>
              <w:outlineLvl w:val="2"/>
              <w:rPr>
                <w:rFonts w:eastAsia="Times New Roman"/>
                <w:i/>
              </w:rPr>
            </w:pPr>
            <w:r w:rsidRPr="0079451A">
              <w:rPr>
                <w:rFonts w:eastAsia="Times New Roman"/>
              </w:rPr>
              <w:t>Programme e-Monitoring System developed, implemented and used</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1</w:t>
            </w: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r w:rsidRPr="0079451A">
              <w:rPr>
                <w:rFonts w:eastAsia="Times New Roman"/>
              </w:rPr>
              <w:t xml:space="preserve"> e-Monitoring System</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5.10</w:t>
            </w:r>
          </w:p>
        </w:tc>
        <w:tc>
          <w:tcPr>
            <w:tcW w:w="2383" w:type="dxa"/>
          </w:tcPr>
          <w:p w:rsidR="000C4759" w:rsidRPr="0079451A" w:rsidRDefault="000C4759" w:rsidP="0079451A">
            <w:pPr>
              <w:keepNext/>
              <w:spacing w:before="0" w:after="0" w:line="280" w:lineRule="atLeast"/>
              <w:outlineLvl w:val="2"/>
              <w:rPr>
                <w:rFonts w:eastAsia="Times New Roman"/>
                <w:i/>
              </w:rPr>
            </w:pPr>
            <w:r w:rsidRPr="0079451A">
              <w:rPr>
                <w:rFonts w:eastAsia="Times New Roman"/>
              </w:rPr>
              <w:t>Network of controllers established</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1</w:t>
            </w: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5.11</w:t>
            </w:r>
          </w:p>
        </w:tc>
        <w:tc>
          <w:tcPr>
            <w:tcW w:w="2383" w:type="dxa"/>
          </w:tcPr>
          <w:p w:rsidR="000C4759" w:rsidRPr="0079451A" w:rsidRDefault="000C4759" w:rsidP="0079451A">
            <w:pPr>
              <w:keepNext/>
              <w:spacing w:before="0" w:after="0" w:line="280" w:lineRule="atLeast"/>
              <w:outlineLvl w:val="2"/>
              <w:rPr>
                <w:rFonts w:eastAsia="Times New Roman"/>
                <w:i/>
              </w:rPr>
            </w:pPr>
            <w:r w:rsidRPr="0079451A">
              <w:rPr>
                <w:rFonts w:eastAsia="Times New Roman"/>
              </w:rPr>
              <w:t>Audits on programme management and control system and on operations conducted</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5.12</w:t>
            </w:r>
          </w:p>
        </w:tc>
        <w:tc>
          <w:tcPr>
            <w:tcW w:w="2383" w:type="dxa"/>
          </w:tcPr>
          <w:p w:rsidR="000C4759" w:rsidRPr="0079451A" w:rsidRDefault="000C4759" w:rsidP="0079451A">
            <w:pPr>
              <w:keepNext/>
              <w:spacing w:before="0" w:after="0" w:line="280" w:lineRule="atLeast"/>
              <w:outlineLvl w:val="2"/>
              <w:rPr>
                <w:rFonts w:eastAsia="Times New Roman"/>
                <w:i/>
              </w:rPr>
            </w:pPr>
            <w:r w:rsidRPr="0079451A">
              <w:rPr>
                <w:rFonts w:eastAsia="Times New Roman"/>
              </w:rPr>
              <w:t>Information documents addressed to applicants and beneficiaries</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p>
        </w:tc>
        <w:tc>
          <w:tcPr>
            <w:tcW w:w="1693" w:type="dxa"/>
          </w:tcPr>
          <w:p w:rsidR="000C4759" w:rsidRPr="0079451A" w:rsidRDefault="000C4759" w:rsidP="007D1EAB">
            <w:pPr>
              <w:keepNext/>
              <w:spacing w:before="0" w:after="0" w:line="280" w:lineRule="atLeast"/>
              <w:jc w:val="left"/>
              <w:outlineLvl w:val="2"/>
              <w:rPr>
                <w:rFonts w:eastAsia="Times New Roman"/>
                <w:lang w:val="en-US"/>
              </w:rPr>
            </w:pPr>
            <w:r w:rsidRPr="0079451A">
              <w:rPr>
                <w:rFonts w:eastAsia="Times New Roman"/>
                <w:lang w:val="en-US"/>
              </w:rPr>
              <w:t>AIR</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5.13</w:t>
            </w:r>
          </w:p>
        </w:tc>
        <w:tc>
          <w:tcPr>
            <w:tcW w:w="2383" w:type="dxa"/>
          </w:tcPr>
          <w:p w:rsidR="000C4759" w:rsidRPr="0079451A" w:rsidRDefault="000C4759" w:rsidP="0079451A">
            <w:pPr>
              <w:keepNext/>
              <w:spacing w:before="0" w:after="0" w:line="280" w:lineRule="atLeast"/>
              <w:outlineLvl w:val="2"/>
              <w:rPr>
                <w:rFonts w:eastAsia="Times New Roman"/>
                <w:i/>
              </w:rPr>
            </w:pPr>
            <w:r w:rsidRPr="0079451A">
              <w:rPr>
                <w:rFonts w:eastAsia="Times New Roman"/>
              </w:rPr>
              <w:t xml:space="preserve">Consultation, information, training and exchange </w:t>
            </w:r>
            <w:r w:rsidRPr="0079451A">
              <w:rPr>
                <w:rFonts w:eastAsia="Times New Roman"/>
              </w:rPr>
              <w:lastRenderedPageBreak/>
              <w:t>workshops for applicants and beneficiaries organised</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lastRenderedPageBreak/>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p>
        </w:tc>
        <w:tc>
          <w:tcPr>
            <w:tcW w:w="1693"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AIR</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lastRenderedPageBreak/>
              <w:t>5.14</w:t>
            </w:r>
          </w:p>
        </w:tc>
        <w:tc>
          <w:tcPr>
            <w:tcW w:w="2383" w:type="dxa"/>
          </w:tcPr>
          <w:p w:rsidR="000C4759" w:rsidRPr="0079451A" w:rsidRDefault="000C4759" w:rsidP="0079451A">
            <w:pPr>
              <w:keepNext/>
              <w:spacing w:before="0" w:after="0" w:line="280" w:lineRule="atLeast"/>
              <w:outlineLvl w:val="2"/>
              <w:rPr>
                <w:rFonts w:eastAsia="Times New Roman"/>
              </w:rPr>
            </w:pPr>
            <w:r w:rsidRPr="0079451A">
              <w:rPr>
                <w:rFonts w:eastAsia="Times New Roman"/>
              </w:rPr>
              <w:t>Studies, reports and surveys on strategic matters concerning the programme carried out</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p>
        </w:tc>
        <w:tc>
          <w:tcPr>
            <w:tcW w:w="1693"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AIR</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5.15</w:t>
            </w:r>
          </w:p>
        </w:tc>
        <w:tc>
          <w:tcPr>
            <w:tcW w:w="2383" w:type="dxa"/>
          </w:tcPr>
          <w:p w:rsidR="000C4759" w:rsidRPr="0079451A" w:rsidRDefault="000C4759" w:rsidP="0079451A">
            <w:pPr>
              <w:keepNext/>
              <w:spacing w:before="0" w:after="0" w:line="280" w:lineRule="atLeast"/>
              <w:outlineLvl w:val="2"/>
              <w:rPr>
                <w:rFonts w:eastAsia="Times New Roman"/>
              </w:rPr>
            </w:pPr>
            <w:r w:rsidRPr="0079451A">
              <w:rPr>
                <w:rFonts w:eastAsia="Times New Roman"/>
              </w:rPr>
              <w:t>Training and building capacity for programme management structure ensured</w:t>
            </w:r>
          </w:p>
        </w:tc>
        <w:tc>
          <w:tcPr>
            <w:tcW w:w="1629"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p>
        </w:tc>
        <w:tc>
          <w:tcPr>
            <w:tcW w:w="1693" w:type="dxa"/>
          </w:tcPr>
          <w:p w:rsidR="000C4759" w:rsidRPr="0079451A" w:rsidRDefault="000C4759" w:rsidP="0079451A">
            <w:pPr>
              <w:keepNext/>
              <w:spacing w:before="0" w:after="0" w:line="280" w:lineRule="atLeast"/>
              <w:outlineLvl w:val="2"/>
              <w:rPr>
                <w:rFonts w:eastAsia="Times New Roman"/>
                <w:lang w:val="en-US"/>
              </w:rPr>
            </w:pPr>
            <w:r w:rsidRPr="0079451A">
              <w:rPr>
                <w:rFonts w:eastAsia="Times New Roman"/>
                <w:lang w:val="en-US"/>
              </w:rPr>
              <w:t>AIR</w:t>
            </w:r>
          </w:p>
        </w:tc>
      </w:tr>
      <w:tr w:rsidR="000C4759" w:rsidRPr="0079451A" w:rsidTr="000C4759">
        <w:trPr>
          <w:trHeight w:val="79"/>
        </w:trPr>
        <w:tc>
          <w:tcPr>
            <w:tcW w:w="1626" w:type="dxa"/>
          </w:tcPr>
          <w:p w:rsidR="000C4759" w:rsidRPr="0079451A" w:rsidRDefault="000C4759" w:rsidP="0079451A">
            <w:pPr>
              <w:keepNext/>
              <w:spacing w:before="0" w:after="0" w:line="280" w:lineRule="atLeast"/>
              <w:outlineLvl w:val="2"/>
              <w:rPr>
                <w:rFonts w:eastAsia="Times New Roman"/>
                <w:i/>
              </w:rPr>
            </w:pPr>
            <w:r w:rsidRPr="001C26FA">
              <w:t>5.16</w:t>
            </w:r>
          </w:p>
        </w:tc>
        <w:tc>
          <w:tcPr>
            <w:tcW w:w="2383" w:type="dxa"/>
          </w:tcPr>
          <w:p w:rsidR="000C4759" w:rsidRPr="0079451A" w:rsidRDefault="000C4759" w:rsidP="0079451A">
            <w:pPr>
              <w:keepNext/>
              <w:spacing w:before="0" w:after="0" w:line="280" w:lineRule="atLeast"/>
              <w:outlineLvl w:val="2"/>
              <w:rPr>
                <w:rFonts w:eastAsia="Times New Roman"/>
              </w:rPr>
            </w:pPr>
            <w:r w:rsidRPr="00B46296">
              <w:rPr>
                <w:rFonts w:eastAsia="Times New Roman"/>
              </w:rPr>
              <w:t>Programme 2021-2027 prepared and related ex-ante evaluation and SEA conducted</w:t>
            </w:r>
          </w:p>
        </w:tc>
        <w:tc>
          <w:tcPr>
            <w:tcW w:w="1629" w:type="dxa"/>
          </w:tcPr>
          <w:p w:rsidR="000C4759" w:rsidRPr="0079451A" w:rsidRDefault="007D1EAB" w:rsidP="0079451A">
            <w:pPr>
              <w:keepNext/>
              <w:spacing w:before="0" w:after="0" w:line="280" w:lineRule="atLeast"/>
              <w:outlineLvl w:val="2"/>
              <w:rPr>
                <w:rFonts w:eastAsia="Times New Roman"/>
                <w:lang w:val="en-US"/>
              </w:rPr>
            </w:pPr>
            <w:r w:rsidRPr="0079451A">
              <w:rPr>
                <w:rFonts w:eastAsia="Times New Roman"/>
                <w:lang w:val="en-US"/>
              </w:rPr>
              <w:t>Number</w:t>
            </w:r>
          </w:p>
        </w:tc>
        <w:tc>
          <w:tcPr>
            <w:tcW w:w="1503" w:type="dxa"/>
          </w:tcPr>
          <w:p w:rsidR="000C4759" w:rsidRPr="0079451A" w:rsidRDefault="000C4759" w:rsidP="0079451A">
            <w:pPr>
              <w:keepNext/>
              <w:spacing w:before="0" w:after="0" w:line="280" w:lineRule="atLeast"/>
              <w:outlineLvl w:val="2"/>
              <w:rPr>
                <w:rFonts w:eastAsia="Times New Roman"/>
                <w:lang w:val="en-US"/>
              </w:rPr>
            </w:pPr>
          </w:p>
        </w:tc>
        <w:tc>
          <w:tcPr>
            <w:tcW w:w="1693" w:type="dxa"/>
          </w:tcPr>
          <w:p w:rsidR="000C4759" w:rsidRPr="0079451A" w:rsidRDefault="007D1EAB" w:rsidP="0079451A">
            <w:pPr>
              <w:keepNext/>
              <w:spacing w:before="0" w:after="0" w:line="280" w:lineRule="atLeast"/>
              <w:outlineLvl w:val="2"/>
              <w:rPr>
                <w:rFonts w:eastAsia="Times New Roman"/>
                <w:lang w:val="en-US"/>
              </w:rPr>
            </w:pPr>
            <w:r w:rsidRPr="0079451A">
              <w:rPr>
                <w:rFonts w:eastAsia="Times New Roman"/>
                <w:lang w:val="en-US"/>
              </w:rPr>
              <w:t>AIR</w:t>
            </w:r>
          </w:p>
        </w:tc>
      </w:tr>
    </w:tbl>
    <w:p w:rsidR="005D0A11" w:rsidRPr="00030E3C" w:rsidRDefault="005D0A11" w:rsidP="00030E3C">
      <w:pPr>
        <w:keepNext/>
        <w:spacing w:before="0" w:after="0" w:line="280" w:lineRule="atLeast"/>
        <w:outlineLvl w:val="2"/>
        <w:rPr>
          <w:rFonts w:eastAsia="Times New Roman"/>
        </w:rPr>
      </w:pPr>
    </w:p>
    <w:p w:rsidR="005D0A11" w:rsidRDefault="005D0A11" w:rsidP="005D0A11">
      <w:pPr>
        <w:spacing w:before="0" w:after="0" w:line="280" w:lineRule="atLeast"/>
        <w:rPr>
          <w:rFonts w:eastAsia="Times New Roman"/>
          <w:b/>
        </w:rPr>
      </w:pPr>
      <w:r w:rsidRPr="00B76110">
        <w:rPr>
          <w:rFonts w:eastAsia="Times New Roman"/>
          <w:b/>
        </w:rPr>
        <w:t>2.</w:t>
      </w:r>
      <w:r>
        <w:rPr>
          <w:rFonts w:eastAsia="Times New Roman"/>
          <w:b/>
        </w:rPr>
        <w:t>5</w:t>
      </w:r>
      <w:r w:rsidRPr="00B76110">
        <w:rPr>
          <w:rFonts w:eastAsia="Times New Roman"/>
          <w:b/>
        </w:rPr>
        <w:t>.</w:t>
      </w:r>
      <w:r>
        <w:rPr>
          <w:rFonts w:eastAsia="Times New Roman"/>
          <w:b/>
        </w:rPr>
        <w:t>6</w:t>
      </w:r>
      <w:r w:rsidRPr="00B76110">
        <w:rPr>
          <w:rFonts w:eastAsia="Times New Roman"/>
          <w:b/>
        </w:rPr>
        <w:t xml:space="preserve">. Categories of intervention </w:t>
      </w:r>
    </w:p>
    <w:p w:rsidR="005D0A11" w:rsidRPr="00965678" w:rsidRDefault="005D0A11" w:rsidP="005D0A11">
      <w:pPr>
        <w:spacing w:before="0" w:after="0" w:line="280" w:lineRule="atLeast"/>
        <w:rPr>
          <w:rFonts w:eastAsia="Times New Roman"/>
          <w:b/>
        </w:rPr>
      </w:pPr>
      <w:r w:rsidRPr="00567F19">
        <w:t xml:space="preserve">(Reference: </w:t>
      </w:r>
      <w:r>
        <w:t xml:space="preserve">point (c)(v) of </w:t>
      </w:r>
      <w:r w:rsidRPr="00567F19">
        <w:t>Article 8(2) of Regulation (EU) No 1299/2013</w:t>
      </w:r>
      <w:r w:rsidRPr="00965678">
        <w:rPr>
          <w:rFonts w:eastAsia="Times New Roman"/>
          <w:b/>
        </w:rPr>
        <w:t>)</w:t>
      </w:r>
    </w:p>
    <w:p w:rsidR="005D0A11" w:rsidRPr="00B76110" w:rsidRDefault="005D0A11" w:rsidP="005D0A11">
      <w:pPr>
        <w:suppressAutoHyphens/>
        <w:spacing w:before="0" w:after="0" w:line="280" w:lineRule="atLeast"/>
        <w:rPr>
          <w:rFonts w:eastAsia="Times New Roman"/>
        </w:rPr>
      </w:pPr>
      <w:r>
        <w:rPr>
          <w:rFonts w:eastAsia="Times New Roman"/>
        </w:rPr>
        <w:t xml:space="preserve">Corresponding </w:t>
      </w:r>
      <w:r w:rsidRPr="00B76110">
        <w:rPr>
          <w:rFonts w:eastAsia="Times New Roman"/>
        </w:rPr>
        <w:t>categories of intervention based on a nomenclature adopted by the Commission, and an indicative breakdown of Union support.</w:t>
      </w:r>
    </w:p>
    <w:p w:rsidR="005D0A11" w:rsidRPr="00B76110" w:rsidRDefault="005D0A11" w:rsidP="005D0A11">
      <w:pPr>
        <w:suppressAutoHyphens/>
        <w:spacing w:before="0" w:after="0" w:line="280" w:lineRule="atLeast"/>
        <w:rPr>
          <w:rFonts w:eastAsia="Times New Roman"/>
        </w:rPr>
      </w:pPr>
    </w:p>
    <w:p w:rsidR="005D0A11" w:rsidRDefault="005D0A11" w:rsidP="005D0A11">
      <w:pPr>
        <w:spacing w:before="0" w:after="0" w:line="280" w:lineRule="atLeast"/>
        <w:rPr>
          <w:rFonts w:eastAsia="Times New Roman"/>
          <w:b/>
        </w:rPr>
      </w:pPr>
      <w:r w:rsidRPr="00B76110">
        <w:rPr>
          <w:rFonts w:eastAsia="Times New Roman"/>
          <w:b/>
        </w:rPr>
        <w:t>Tables 1</w:t>
      </w:r>
      <w:r>
        <w:rPr>
          <w:rFonts w:eastAsia="Times New Roman"/>
          <w:b/>
        </w:rPr>
        <w:t>1</w:t>
      </w:r>
      <w:r w:rsidRPr="00B76110">
        <w:rPr>
          <w:rFonts w:eastAsia="Times New Roman"/>
          <w:b/>
        </w:rPr>
        <w:t>-1</w:t>
      </w:r>
      <w:r>
        <w:rPr>
          <w:rFonts w:eastAsia="Times New Roman"/>
          <w:b/>
        </w:rPr>
        <w:t>3</w:t>
      </w:r>
      <w:r w:rsidRPr="00B76110">
        <w:rPr>
          <w:rFonts w:eastAsia="Times New Roman"/>
          <w:b/>
        </w:rPr>
        <w:t>: Categories of intervention</w:t>
      </w:r>
    </w:p>
    <w:p w:rsidR="005F350A" w:rsidRPr="00B76110" w:rsidRDefault="005F350A" w:rsidP="005D0A11">
      <w:pPr>
        <w:spacing w:before="0" w:after="0" w:line="280" w:lineRule="atLeast"/>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79451A" w:rsidRPr="0079451A" w:rsidTr="000A7373">
        <w:trPr>
          <w:trHeight w:val="364"/>
        </w:trPr>
        <w:tc>
          <w:tcPr>
            <w:tcW w:w="8472" w:type="dxa"/>
            <w:gridSpan w:val="3"/>
          </w:tcPr>
          <w:p w:rsidR="0079451A" w:rsidRPr="0079451A" w:rsidRDefault="0079451A" w:rsidP="0079451A">
            <w:pPr>
              <w:suppressAutoHyphens/>
              <w:spacing w:before="0" w:after="0" w:line="280" w:lineRule="atLeast"/>
              <w:rPr>
                <w:rFonts w:eastAsia="Times New Roman"/>
                <w:b/>
              </w:rPr>
            </w:pPr>
            <w:r w:rsidRPr="0079451A">
              <w:rPr>
                <w:rFonts w:eastAsia="Times New Roman"/>
                <w:b/>
                <w:bCs/>
              </w:rPr>
              <w:t xml:space="preserve">Table 11: Dimension 1 </w:t>
            </w:r>
            <w:r w:rsidRPr="0079451A">
              <w:rPr>
                <w:rFonts w:eastAsia="Times New Roman"/>
                <w:b/>
              </w:rPr>
              <w:t>Intervention field</w:t>
            </w:r>
          </w:p>
        </w:tc>
      </w:tr>
      <w:tr w:rsidR="0079451A" w:rsidRPr="0079451A" w:rsidTr="000A7373">
        <w:trPr>
          <w:trHeight w:val="254"/>
        </w:trPr>
        <w:tc>
          <w:tcPr>
            <w:tcW w:w="2802" w:type="dxa"/>
          </w:tcPr>
          <w:p w:rsidR="0079451A" w:rsidRPr="0079451A" w:rsidRDefault="0079451A" w:rsidP="0079451A">
            <w:pPr>
              <w:suppressAutoHyphens/>
              <w:spacing w:before="0" w:after="0" w:line="280" w:lineRule="atLeast"/>
              <w:rPr>
                <w:rFonts w:eastAsia="Times New Roman"/>
                <w:b/>
              </w:rPr>
            </w:pPr>
            <w:r w:rsidRPr="0079451A">
              <w:rPr>
                <w:rFonts w:eastAsia="Times New Roman"/>
                <w:b/>
              </w:rPr>
              <w:t>Priority axis</w:t>
            </w:r>
          </w:p>
        </w:tc>
        <w:tc>
          <w:tcPr>
            <w:tcW w:w="2693" w:type="dxa"/>
          </w:tcPr>
          <w:p w:rsidR="0079451A" w:rsidRPr="0079451A" w:rsidRDefault="0079451A" w:rsidP="0079451A">
            <w:pPr>
              <w:suppressAutoHyphens/>
              <w:spacing w:before="0" w:after="0" w:line="280" w:lineRule="atLeast"/>
              <w:rPr>
                <w:rFonts w:eastAsia="Times New Roman"/>
              </w:rPr>
            </w:pPr>
            <w:r w:rsidRPr="0079451A">
              <w:rPr>
                <w:rFonts w:eastAsia="Times New Roman"/>
                <w:b/>
              </w:rPr>
              <w:t>Code</w:t>
            </w:r>
          </w:p>
        </w:tc>
        <w:tc>
          <w:tcPr>
            <w:tcW w:w="2977" w:type="dxa"/>
          </w:tcPr>
          <w:p w:rsidR="0079451A" w:rsidRPr="0079451A" w:rsidRDefault="0079451A" w:rsidP="0079451A">
            <w:pPr>
              <w:suppressAutoHyphens/>
              <w:spacing w:before="0" w:after="0" w:line="280" w:lineRule="atLeast"/>
              <w:rPr>
                <w:rFonts w:eastAsia="Times New Roman"/>
              </w:rPr>
            </w:pPr>
            <w:r w:rsidRPr="0079451A">
              <w:rPr>
                <w:rFonts w:eastAsia="Times New Roman"/>
                <w:b/>
              </w:rPr>
              <w:t>Amount (EUR)</w:t>
            </w:r>
          </w:p>
        </w:tc>
      </w:tr>
      <w:tr w:rsidR="0079451A" w:rsidRPr="0079451A" w:rsidTr="000A7373">
        <w:tc>
          <w:tcPr>
            <w:tcW w:w="2802" w:type="dxa"/>
          </w:tcPr>
          <w:p w:rsidR="0079451A" w:rsidRPr="0079451A" w:rsidRDefault="0079451A" w:rsidP="0079451A">
            <w:pPr>
              <w:suppressAutoHyphens/>
              <w:spacing w:before="0" w:after="0" w:line="280" w:lineRule="atLeast"/>
              <w:rPr>
                <w:rFonts w:eastAsia="Times New Roman"/>
              </w:rPr>
            </w:pPr>
            <w:r w:rsidRPr="0079451A">
              <w:rPr>
                <w:rFonts w:eastAsia="Times New Roman"/>
              </w:rPr>
              <w:t>PA5</w:t>
            </w:r>
          </w:p>
        </w:tc>
        <w:tc>
          <w:tcPr>
            <w:tcW w:w="2693" w:type="dxa"/>
          </w:tcPr>
          <w:p w:rsidR="0079451A" w:rsidRPr="0079451A" w:rsidRDefault="0079451A" w:rsidP="0079451A">
            <w:pPr>
              <w:suppressAutoHyphens/>
              <w:spacing w:before="0" w:after="0" w:line="280" w:lineRule="atLeast"/>
              <w:rPr>
                <w:rFonts w:eastAsia="Times New Roman"/>
              </w:rPr>
            </w:pPr>
            <w:r w:rsidRPr="0079451A">
              <w:rPr>
                <w:rFonts w:eastAsia="Times New Roman"/>
              </w:rPr>
              <w:t>121 Preparation, implementation, monitoring and inspection</w:t>
            </w:r>
          </w:p>
        </w:tc>
        <w:tc>
          <w:tcPr>
            <w:tcW w:w="2977" w:type="dxa"/>
          </w:tcPr>
          <w:p w:rsidR="0079451A" w:rsidRPr="0079451A" w:rsidRDefault="008F675E" w:rsidP="0079451A">
            <w:pPr>
              <w:suppressAutoHyphens/>
              <w:spacing w:before="0" w:after="0" w:line="280" w:lineRule="atLeast"/>
              <w:rPr>
                <w:rFonts w:eastAsia="Times New Roman"/>
              </w:rPr>
            </w:pPr>
            <w:r>
              <w:rPr>
                <w:rFonts w:eastAsia="Times New Roman"/>
              </w:rPr>
              <w:t>1.905.177,2</w:t>
            </w:r>
            <w:r w:rsidR="000C4759">
              <w:rPr>
                <w:rFonts w:eastAsia="Times New Roman"/>
              </w:rPr>
              <w:t>0</w:t>
            </w:r>
          </w:p>
        </w:tc>
      </w:tr>
      <w:tr w:rsidR="008F675E" w:rsidRPr="0079451A" w:rsidTr="000A7373">
        <w:tc>
          <w:tcPr>
            <w:tcW w:w="2802" w:type="dxa"/>
          </w:tcPr>
          <w:p w:rsidR="008F675E" w:rsidRPr="0079451A" w:rsidRDefault="008F675E" w:rsidP="0079451A">
            <w:pPr>
              <w:suppressAutoHyphens/>
              <w:spacing w:before="0" w:after="0" w:line="280" w:lineRule="atLeast"/>
              <w:rPr>
                <w:rFonts w:eastAsia="Times New Roman"/>
              </w:rPr>
            </w:pPr>
            <w:r w:rsidRPr="0079451A">
              <w:rPr>
                <w:rFonts w:eastAsia="Times New Roman"/>
              </w:rPr>
              <w:t>PA5</w:t>
            </w:r>
          </w:p>
        </w:tc>
        <w:tc>
          <w:tcPr>
            <w:tcW w:w="2693" w:type="dxa"/>
          </w:tcPr>
          <w:p w:rsidR="008F675E" w:rsidRPr="0079451A" w:rsidRDefault="008F675E" w:rsidP="0079451A">
            <w:pPr>
              <w:suppressAutoHyphens/>
              <w:spacing w:before="0" w:after="0" w:line="280" w:lineRule="atLeast"/>
              <w:rPr>
                <w:rFonts w:eastAsia="Times New Roman"/>
              </w:rPr>
            </w:pPr>
            <w:r w:rsidRPr="0079451A">
              <w:rPr>
                <w:rFonts w:eastAsia="Times New Roman"/>
              </w:rPr>
              <w:t>122 Evaluation and studies</w:t>
            </w:r>
          </w:p>
        </w:tc>
        <w:tc>
          <w:tcPr>
            <w:tcW w:w="2977" w:type="dxa"/>
          </w:tcPr>
          <w:p w:rsidR="008F675E" w:rsidRPr="0079451A" w:rsidRDefault="008F675E" w:rsidP="0079451A">
            <w:pPr>
              <w:suppressAutoHyphens/>
              <w:spacing w:before="0" w:after="0" w:line="280" w:lineRule="atLeast"/>
              <w:rPr>
                <w:rFonts w:eastAsia="Times New Roman"/>
              </w:rPr>
            </w:pPr>
            <w:r w:rsidRPr="00ED6FDE">
              <w:rPr>
                <w:rFonts w:eastAsia="Times New Roman"/>
              </w:rPr>
              <w:t>1.905.177,2</w:t>
            </w:r>
            <w:r w:rsidR="000C4759">
              <w:rPr>
                <w:rFonts w:eastAsia="Times New Roman"/>
              </w:rPr>
              <w:t>0</w:t>
            </w:r>
          </w:p>
        </w:tc>
      </w:tr>
      <w:tr w:rsidR="008F675E" w:rsidRPr="0079451A" w:rsidTr="000A7373">
        <w:tc>
          <w:tcPr>
            <w:tcW w:w="2802" w:type="dxa"/>
          </w:tcPr>
          <w:p w:rsidR="008F675E" w:rsidRPr="0079451A" w:rsidRDefault="008F675E" w:rsidP="0079451A">
            <w:pPr>
              <w:suppressAutoHyphens/>
              <w:spacing w:before="0" w:after="0" w:line="280" w:lineRule="atLeast"/>
              <w:rPr>
                <w:rFonts w:eastAsia="Times New Roman"/>
              </w:rPr>
            </w:pPr>
            <w:r w:rsidRPr="0079451A">
              <w:rPr>
                <w:rFonts w:eastAsia="Times New Roman"/>
              </w:rPr>
              <w:t>PA5</w:t>
            </w:r>
          </w:p>
        </w:tc>
        <w:tc>
          <w:tcPr>
            <w:tcW w:w="2693" w:type="dxa"/>
          </w:tcPr>
          <w:p w:rsidR="008F675E" w:rsidRPr="0079451A" w:rsidRDefault="008F675E" w:rsidP="0079451A">
            <w:pPr>
              <w:suppressAutoHyphens/>
              <w:spacing w:before="0" w:after="0" w:line="280" w:lineRule="atLeast"/>
              <w:rPr>
                <w:rFonts w:eastAsia="Times New Roman"/>
              </w:rPr>
            </w:pPr>
            <w:r w:rsidRPr="0079451A">
              <w:rPr>
                <w:rFonts w:eastAsia="Times New Roman"/>
              </w:rPr>
              <w:t>123 Information and communication</w:t>
            </w:r>
          </w:p>
        </w:tc>
        <w:tc>
          <w:tcPr>
            <w:tcW w:w="2977" w:type="dxa"/>
          </w:tcPr>
          <w:p w:rsidR="008F675E" w:rsidRPr="0079451A" w:rsidRDefault="008F675E" w:rsidP="0079451A">
            <w:pPr>
              <w:suppressAutoHyphens/>
              <w:spacing w:before="0" w:after="0" w:line="280" w:lineRule="atLeast"/>
              <w:rPr>
                <w:rFonts w:eastAsia="Times New Roman"/>
              </w:rPr>
            </w:pPr>
            <w:r w:rsidRPr="00ED6FDE">
              <w:rPr>
                <w:rFonts w:eastAsia="Times New Roman"/>
              </w:rPr>
              <w:t>1.905.177,2</w:t>
            </w:r>
            <w:r w:rsidR="000C4759">
              <w:rPr>
                <w:rFonts w:eastAsia="Times New Roman"/>
              </w:rPr>
              <w:t>0</w:t>
            </w:r>
          </w:p>
        </w:tc>
      </w:tr>
    </w:tbl>
    <w:p w:rsidR="005D0A11" w:rsidRDefault="005D0A11" w:rsidP="005D0A11">
      <w:pPr>
        <w:suppressAutoHyphens/>
        <w:spacing w:before="0" w:after="0" w:line="280" w:lineRule="atLeast"/>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79451A" w:rsidRPr="0079451A" w:rsidTr="000A7373">
        <w:trPr>
          <w:trHeight w:val="364"/>
        </w:trPr>
        <w:tc>
          <w:tcPr>
            <w:tcW w:w="8472" w:type="dxa"/>
            <w:gridSpan w:val="3"/>
          </w:tcPr>
          <w:p w:rsidR="0079451A" w:rsidRPr="0079451A" w:rsidRDefault="0079451A" w:rsidP="0079451A">
            <w:pPr>
              <w:suppressAutoHyphens/>
              <w:spacing w:before="0" w:after="0" w:line="280" w:lineRule="atLeast"/>
              <w:rPr>
                <w:rFonts w:eastAsia="Times New Roman"/>
                <w:b/>
              </w:rPr>
            </w:pPr>
            <w:r w:rsidRPr="0079451A">
              <w:rPr>
                <w:rFonts w:eastAsia="Times New Roman"/>
                <w:b/>
                <w:bCs/>
              </w:rPr>
              <w:t>Table 12: Dimension 2</w:t>
            </w:r>
            <w:r w:rsidRPr="0079451A">
              <w:rPr>
                <w:rFonts w:eastAsia="Times New Roman"/>
              </w:rPr>
              <w:t xml:space="preserve"> </w:t>
            </w:r>
            <w:r w:rsidRPr="0079451A">
              <w:rPr>
                <w:rFonts w:eastAsia="Times New Roman"/>
                <w:b/>
                <w:bCs/>
              </w:rPr>
              <w:t>Form of finance</w:t>
            </w:r>
          </w:p>
        </w:tc>
      </w:tr>
      <w:tr w:rsidR="0079451A" w:rsidRPr="0079451A" w:rsidTr="000A7373">
        <w:trPr>
          <w:trHeight w:val="254"/>
        </w:trPr>
        <w:tc>
          <w:tcPr>
            <w:tcW w:w="2802" w:type="dxa"/>
          </w:tcPr>
          <w:p w:rsidR="0079451A" w:rsidRPr="0079451A" w:rsidRDefault="0079451A" w:rsidP="0079451A">
            <w:pPr>
              <w:suppressAutoHyphens/>
              <w:spacing w:before="0" w:after="0" w:line="280" w:lineRule="atLeast"/>
              <w:rPr>
                <w:rFonts w:eastAsia="Times New Roman"/>
                <w:b/>
              </w:rPr>
            </w:pPr>
            <w:r w:rsidRPr="0079451A">
              <w:rPr>
                <w:rFonts w:eastAsia="Times New Roman"/>
                <w:b/>
              </w:rPr>
              <w:t>Priority axis</w:t>
            </w:r>
          </w:p>
        </w:tc>
        <w:tc>
          <w:tcPr>
            <w:tcW w:w="2693" w:type="dxa"/>
          </w:tcPr>
          <w:p w:rsidR="0079451A" w:rsidRPr="0079451A" w:rsidRDefault="0079451A" w:rsidP="0079451A">
            <w:pPr>
              <w:suppressAutoHyphens/>
              <w:spacing w:before="0" w:after="0" w:line="280" w:lineRule="atLeast"/>
              <w:rPr>
                <w:rFonts w:eastAsia="Times New Roman"/>
              </w:rPr>
            </w:pPr>
            <w:r w:rsidRPr="0079451A">
              <w:rPr>
                <w:rFonts w:eastAsia="Times New Roman"/>
                <w:b/>
              </w:rPr>
              <w:t>Code</w:t>
            </w:r>
          </w:p>
        </w:tc>
        <w:tc>
          <w:tcPr>
            <w:tcW w:w="2977" w:type="dxa"/>
          </w:tcPr>
          <w:p w:rsidR="0079451A" w:rsidRPr="0079451A" w:rsidRDefault="0079451A" w:rsidP="0079451A">
            <w:pPr>
              <w:suppressAutoHyphens/>
              <w:spacing w:before="0" w:after="0" w:line="280" w:lineRule="atLeast"/>
              <w:rPr>
                <w:rFonts w:eastAsia="Times New Roman"/>
              </w:rPr>
            </w:pPr>
            <w:r w:rsidRPr="0079451A">
              <w:rPr>
                <w:rFonts w:eastAsia="Times New Roman"/>
                <w:b/>
              </w:rPr>
              <w:t>Amount (EUR)</w:t>
            </w:r>
          </w:p>
        </w:tc>
      </w:tr>
      <w:tr w:rsidR="0079451A" w:rsidRPr="0079451A" w:rsidTr="000A7373">
        <w:tc>
          <w:tcPr>
            <w:tcW w:w="2802" w:type="dxa"/>
          </w:tcPr>
          <w:p w:rsidR="0079451A" w:rsidRPr="0079451A" w:rsidRDefault="0079451A" w:rsidP="0079451A">
            <w:pPr>
              <w:suppressAutoHyphens/>
              <w:spacing w:before="0" w:after="0" w:line="280" w:lineRule="atLeast"/>
              <w:rPr>
                <w:rFonts w:eastAsia="Times New Roman"/>
              </w:rPr>
            </w:pPr>
            <w:r w:rsidRPr="0079451A">
              <w:rPr>
                <w:rFonts w:eastAsia="Times New Roman"/>
              </w:rPr>
              <w:t>PA5</w:t>
            </w:r>
          </w:p>
        </w:tc>
        <w:tc>
          <w:tcPr>
            <w:tcW w:w="2693" w:type="dxa"/>
          </w:tcPr>
          <w:p w:rsidR="0079451A" w:rsidRPr="0079451A" w:rsidRDefault="000653D2" w:rsidP="0079451A">
            <w:pPr>
              <w:suppressAutoHyphens/>
              <w:spacing w:before="0" w:after="0" w:line="280" w:lineRule="atLeast"/>
              <w:rPr>
                <w:rFonts w:eastAsia="Times New Roman"/>
              </w:rPr>
            </w:pPr>
            <w:r w:rsidRPr="000653D2">
              <w:rPr>
                <w:rFonts w:eastAsia="Times New Roman"/>
              </w:rPr>
              <w:t>01 Non-repayable grant</w:t>
            </w:r>
          </w:p>
        </w:tc>
        <w:tc>
          <w:tcPr>
            <w:tcW w:w="2977" w:type="dxa"/>
          </w:tcPr>
          <w:p w:rsidR="0079451A" w:rsidRPr="0079451A" w:rsidRDefault="000653D2" w:rsidP="0079451A">
            <w:pPr>
              <w:suppressAutoHyphens/>
              <w:spacing w:before="0" w:after="0" w:line="280" w:lineRule="atLeast"/>
              <w:rPr>
                <w:rFonts w:eastAsia="Times New Roman"/>
              </w:rPr>
            </w:pPr>
            <w:r>
              <w:rPr>
                <w:rFonts w:eastAsia="Times New Roman"/>
              </w:rPr>
              <w:t>5.715.531,6</w:t>
            </w:r>
            <w:r w:rsidR="000C4759">
              <w:rPr>
                <w:rFonts w:eastAsia="Times New Roman"/>
              </w:rPr>
              <w:t>0</w:t>
            </w:r>
          </w:p>
        </w:tc>
      </w:tr>
    </w:tbl>
    <w:p w:rsidR="0079451A" w:rsidRPr="00B76110" w:rsidRDefault="0079451A" w:rsidP="005D0A11">
      <w:pPr>
        <w:suppressAutoHyphens/>
        <w:spacing w:before="0" w:after="0" w:line="280" w:lineRule="atLeast"/>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79451A" w:rsidRPr="0079451A" w:rsidTr="000A7373">
        <w:trPr>
          <w:trHeight w:val="364"/>
        </w:trPr>
        <w:tc>
          <w:tcPr>
            <w:tcW w:w="8472" w:type="dxa"/>
            <w:gridSpan w:val="3"/>
          </w:tcPr>
          <w:p w:rsidR="0079451A" w:rsidRPr="0079451A" w:rsidRDefault="0079451A" w:rsidP="0079451A">
            <w:pPr>
              <w:suppressAutoHyphens/>
              <w:spacing w:before="0" w:after="0" w:line="280" w:lineRule="atLeast"/>
              <w:rPr>
                <w:rFonts w:eastAsia="Times New Roman"/>
                <w:b/>
              </w:rPr>
            </w:pPr>
            <w:r w:rsidRPr="0079451A">
              <w:rPr>
                <w:rFonts w:eastAsia="Times New Roman"/>
                <w:b/>
                <w:bCs/>
              </w:rPr>
              <w:t>Table 13: Dimension 3 Territory type</w:t>
            </w:r>
          </w:p>
        </w:tc>
      </w:tr>
      <w:tr w:rsidR="0079451A" w:rsidRPr="0079451A" w:rsidTr="000A7373">
        <w:trPr>
          <w:trHeight w:val="254"/>
        </w:trPr>
        <w:tc>
          <w:tcPr>
            <w:tcW w:w="2802" w:type="dxa"/>
          </w:tcPr>
          <w:p w:rsidR="0079451A" w:rsidRPr="0079451A" w:rsidRDefault="0079451A" w:rsidP="0079451A">
            <w:pPr>
              <w:suppressAutoHyphens/>
              <w:spacing w:before="0" w:after="0" w:line="280" w:lineRule="atLeast"/>
              <w:rPr>
                <w:rFonts w:eastAsia="Times New Roman"/>
                <w:b/>
              </w:rPr>
            </w:pPr>
            <w:r w:rsidRPr="0079451A">
              <w:rPr>
                <w:rFonts w:eastAsia="Times New Roman"/>
                <w:b/>
              </w:rPr>
              <w:t>Priority axis</w:t>
            </w:r>
          </w:p>
        </w:tc>
        <w:tc>
          <w:tcPr>
            <w:tcW w:w="2693" w:type="dxa"/>
          </w:tcPr>
          <w:p w:rsidR="0079451A" w:rsidRPr="0079451A" w:rsidRDefault="0079451A" w:rsidP="0079451A">
            <w:pPr>
              <w:suppressAutoHyphens/>
              <w:spacing w:before="0" w:after="0" w:line="280" w:lineRule="atLeast"/>
              <w:rPr>
                <w:rFonts w:eastAsia="Times New Roman"/>
              </w:rPr>
            </w:pPr>
            <w:r w:rsidRPr="0079451A">
              <w:rPr>
                <w:rFonts w:eastAsia="Times New Roman"/>
                <w:b/>
              </w:rPr>
              <w:t>Code</w:t>
            </w:r>
          </w:p>
        </w:tc>
        <w:tc>
          <w:tcPr>
            <w:tcW w:w="2977" w:type="dxa"/>
          </w:tcPr>
          <w:p w:rsidR="0079451A" w:rsidRPr="0079451A" w:rsidRDefault="0079451A" w:rsidP="0079451A">
            <w:pPr>
              <w:suppressAutoHyphens/>
              <w:spacing w:before="0" w:after="0" w:line="280" w:lineRule="atLeast"/>
              <w:rPr>
                <w:rFonts w:eastAsia="Times New Roman"/>
              </w:rPr>
            </w:pPr>
            <w:r w:rsidRPr="0079451A">
              <w:rPr>
                <w:rFonts w:eastAsia="Times New Roman"/>
                <w:b/>
              </w:rPr>
              <w:t>Amount (EUR)</w:t>
            </w:r>
          </w:p>
        </w:tc>
      </w:tr>
      <w:tr w:rsidR="0079451A" w:rsidRPr="0079451A" w:rsidTr="000A7373">
        <w:tc>
          <w:tcPr>
            <w:tcW w:w="2802" w:type="dxa"/>
          </w:tcPr>
          <w:p w:rsidR="0079451A" w:rsidRPr="0079451A" w:rsidRDefault="0079451A" w:rsidP="0079451A">
            <w:pPr>
              <w:suppressAutoHyphens/>
              <w:spacing w:before="0" w:after="0" w:line="280" w:lineRule="atLeast"/>
              <w:rPr>
                <w:rFonts w:eastAsia="Times New Roman"/>
              </w:rPr>
            </w:pPr>
            <w:r w:rsidRPr="0079451A">
              <w:rPr>
                <w:rFonts w:eastAsia="Times New Roman"/>
              </w:rPr>
              <w:t>PA 5</w:t>
            </w:r>
          </w:p>
        </w:tc>
        <w:tc>
          <w:tcPr>
            <w:tcW w:w="2693" w:type="dxa"/>
          </w:tcPr>
          <w:p w:rsidR="0079451A" w:rsidRPr="0079451A" w:rsidRDefault="0079451A" w:rsidP="0079451A">
            <w:pPr>
              <w:suppressAutoHyphens/>
              <w:spacing w:before="0" w:after="0" w:line="280" w:lineRule="atLeast"/>
              <w:rPr>
                <w:rFonts w:eastAsia="Times New Roman"/>
              </w:rPr>
            </w:pPr>
            <w:r w:rsidRPr="0079451A">
              <w:rPr>
                <w:rFonts w:eastAsia="Times New Roman"/>
              </w:rPr>
              <w:t>01 Large Urban areas (densely populated &gt; 50 000 population)</w:t>
            </w:r>
          </w:p>
        </w:tc>
        <w:tc>
          <w:tcPr>
            <w:tcW w:w="2977" w:type="dxa"/>
          </w:tcPr>
          <w:p w:rsidR="0079451A" w:rsidRPr="0079451A" w:rsidRDefault="000653D2" w:rsidP="0079451A">
            <w:pPr>
              <w:suppressAutoHyphens/>
              <w:spacing w:before="0" w:after="0" w:line="280" w:lineRule="atLeast"/>
              <w:rPr>
                <w:rFonts w:eastAsia="Times New Roman"/>
              </w:rPr>
            </w:pPr>
            <w:r>
              <w:rPr>
                <w:rFonts w:eastAsia="Times New Roman"/>
              </w:rPr>
              <w:t>1.428.882,9</w:t>
            </w:r>
            <w:r w:rsidR="000C4759">
              <w:rPr>
                <w:rFonts w:eastAsia="Times New Roman"/>
              </w:rPr>
              <w:t>0</w:t>
            </w:r>
          </w:p>
        </w:tc>
      </w:tr>
      <w:tr w:rsidR="000653D2" w:rsidRPr="0079451A" w:rsidTr="000A7373">
        <w:tc>
          <w:tcPr>
            <w:tcW w:w="2802" w:type="dxa"/>
          </w:tcPr>
          <w:p w:rsidR="000653D2" w:rsidRPr="0079451A" w:rsidRDefault="000653D2" w:rsidP="0079451A">
            <w:pPr>
              <w:suppressAutoHyphens/>
              <w:spacing w:before="0" w:after="0" w:line="280" w:lineRule="atLeast"/>
              <w:rPr>
                <w:rFonts w:eastAsia="Times New Roman"/>
              </w:rPr>
            </w:pPr>
            <w:r w:rsidRPr="0079451A">
              <w:rPr>
                <w:rFonts w:eastAsia="Times New Roman"/>
              </w:rPr>
              <w:lastRenderedPageBreak/>
              <w:t>PA 5</w:t>
            </w:r>
          </w:p>
        </w:tc>
        <w:tc>
          <w:tcPr>
            <w:tcW w:w="2693" w:type="dxa"/>
          </w:tcPr>
          <w:p w:rsidR="000653D2" w:rsidRPr="0079451A" w:rsidRDefault="000653D2" w:rsidP="0079451A">
            <w:pPr>
              <w:suppressAutoHyphens/>
              <w:spacing w:before="0" w:after="0" w:line="280" w:lineRule="atLeast"/>
              <w:rPr>
                <w:rFonts w:eastAsia="Times New Roman"/>
              </w:rPr>
            </w:pPr>
            <w:r w:rsidRPr="0079451A">
              <w:rPr>
                <w:rFonts w:eastAsia="Times New Roman"/>
              </w:rPr>
              <w:t>02 Small Urban areas (intermediate density &gt; 5 000 population)</w:t>
            </w:r>
          </w:p>
        </w:tc>
        <w:tc>
          <w:tcPr>
            <w:tcW w:w="2977" w:type="dxa"/>
          </w:tcPr>
          <w:p w:rsidR="000653D2" w:rsidRPr="0079451A" w:rsidRDefault="000653D2" w:rsidP="0079451A">
            <w:pPr>
              <w:suppressAutoHyphens/>
              <w:spacing w:before="0" w:after="0" w:line="280" w:lineRule="atLeast"/>
              <w:rPr>
                <w:rFonts w:eastAsia="Times New Roman"/>
              </w:rPr>
            </w:pPr>
            <w:r w:rsidRPr="006C587D">
              <w:rPr>
                <w:rFonts w:eastAsia="Times New Roman"/>
              </w:rPr>
              <w:t>1.428.882,9</w:t>
            </w:r>
          </w:p>
        </w:tc>
      </w:tr>
      <w:tr w:rsidR="000653D2" w:rsidRPr="0079451A" w:rsidTr="000A7373">
        <w:tc>
          <w:tcPr>
            <w:tcW w:w="2802" w:type="dxa"/>
          </w:tcPr>
          <w:p w:rsidR="000653D2" w:rsidRPr="0079451A" w:rsidRDefault="000653D2" w:rsidP="0079451A">
            <w:pPr>
              <w:suppressAutoHyphens/>
              <w:spacing w:before="0" w:after="0" w:line="280" w:lineRule="atLeast"/>
              <w:rPr>
                <w:rFonts w:eastAsia="Times New Roman"/>
              </w:rPr>
            </w:pPr>
            <w:r w:rsidRPr="0079451A">
              <w:rPr>
                <w:rFonts w:eastAsia="Times New Roman"/>
              </w:rPr>
              <w:t>PA 5</w:t>
            </w:r>
          </w:p>
        </w:tc>
        <w:tc>
          <w:tcPr>
            <w:tcW w:w="2693" w:type="dxa"/>
          </w:tcPr>
          <w:p w:rsidR="000653D2" w:rsidRPr="0079451A" w:rsidRDefault="000653D2" w:rsidP="0079451A">
            <w:pPr>
              <w:suppressAutoHyphens/>
              <w:spacing w:before="0" w:after="0" w:line="280" w:lineRule="atLeast"/>
              <w:rPr>
                <w:rFonts w:eastAsia="Times New Roman"/>
              </w:rPr>
            </w:pPr>
            <w:r w:rsidRPr="0079451A">
              <w:rPr>
                <w:rFonts w:eastAsia="Times New Roman"/>
              </w:rPr>
              <w:t>03 Rural areas (thinly populated)</w:t>
            </w:r>
          </w:p>
        </w:tc>
        <w:tc>
          <w:tcPr>
            <w:tcW w:w="2977" w:type="dxa"/>
          </w:tcPr>
          <w:p w:rsidR="000653D2" w:rsidRPr="0079451A" w:rsidRDefault="000653D2" w:rsidP="0079451A">
            <w:pPr>
              <w:suppressAutoHyphens/>
              <w:spacing w:before="0" w:after="0" w:line="280" w:lineRule="atLeast"/>
              <w:rPr>
                <w:rFonts w:eastAsia="Times New Roman"/>
              </w:rPr>
            </w:pPr>
            <w:r w:rsidRPr="006C587D">
              <w:rPr>
                <w:rFonts w:eastAsia="Times New Roman"/>
              </w:rPr>
              <w:t>1.428.882,9</w:t>
            </w:r>
          </w:p>
        </w:tc>
      </w:tr>
      <w:tr w:rsidR="000653D2" w:rsidRPr="0079451A" w:rsidTr="000A7373">
        <w:tc>
          <w:tcPr>
            <w:tcW w:w="2802" w:type="dxa"/>
          </w:tcPr>
          <w:p w:rsidR="000653D2" w:rsidRPr="0079451A" w:rsidRDefault="000653D2" w:rsidP="0079451A">
            <w:pPr>
              <w:suppressAutoHyphens/>
              <w:spacing w:before="0" w:after="0" w:line="280" w:lineRule="atLeast"/>
              <w:rPr>
                <w:rFonts w:eastAsia="Times New Roman"/>
              </w:rPr>
            </w:pPr>
            <w:r w:rsidRPr="0079451A">
              <w:rPr>
                <w:rFonts w:eastAsia="Times New Roman"/>
              </w:rPr>
              <w:t>PA 5</w:t>
            </w:r>
          </w:p>
        </w:tc>
        <w:tc>
          <w:tcPr>
            <w:tcW w:w="2693" w:type="dxa"/>
          </w:tcPr>
          <w:p w:rsidR="000653D2" w:rsidRPr="0079451A" w:rsidRDefault="000653D2" w:rsidP="0079451A">
            <w:pPr>
              <w:suppressAutoHyphens/>
              <w:spacing w:before="0" w:after="0" w:line="280" w:lineRule="atLeast"/>
              <w:rPr>
                <w:rFonts w:eastAsia="Times New Roman"/>
              </w:rPr>
            </w:pPr>
            <w:r w:rsidRPr="0079451A">
              <w:rPr>
                <w:rFonts w:eastAsia="Times New Roman"/>
              </w:rPr>
              <w:t>04 Macro regional cooperation area</w:t>
            </w:r>
          </w:p>
        </w:tc>
        <w:tc>
          <w:tcPr>
            <w:tcW w:w="2977" w:type="dxa"/>
          </w:tcPr>
          <w:p w:rsidR="000653D2" w:rsidRPr="0079451A" w:rsidRDefault="000653D2" w:rsidP="0079451A">
            <w:pPr>
              <w:suppressAutoHyphens/>
              <w:spacing w:before="0" w:after="0" w:line="280" w:lineRule="atLeast"/>
              <w:rPr>
                <w:rFonts w:eastAsia="Times New Roman"/>
              </w:rPr>
            </w:pPr>
            <w:r w:rsidRPr="006C587D">
              <w:rPr>
                <w:rFonts w:eastAsia="Times New Roman"/>
              </w:rPr>
              <w:t>1.428.882,9</w:t>
            </w:r>
          </w:p>
        </w:tc>
      </w:tr>
    </w:tbl>
    <w:p w:rsidR="005D0A11" w:rsidRPr="00B76110" w:rsidRDefault="005D0A11" w:rsidP="005D0A11">
      <w:pPr>
        <w:suppressAutoHyphens/>
        <w:spacing w:before="0" w:after="0" w:line="280" w:lineRule="atLeast"/>
        <w:rPr>
          <w:rFonts w:eastAsia="Times New Roman"/>
        </w:rPr>
      </w:pPr>
    </w:p>
    <w:p w:rsidR="005D0A11" w:rsidRDefault="005D0A11" w:rsidP="005D0A11">
      <w:pPr>
        <w:keepNext/>
        <w:spacing w:before="0" w:after="0" w:line="280" w:lineRule="atLeast"/>
        <w:outlineLvl w:val="0"/>
        <w:rPr>
          <w:rFonts w:eastAsia="Times New Roman"/>
          <w:b/>
          <w:bCs/>
          <w:smallCaps/>
          <w:szCs w:val="24"/>
        </w:rPr>
      </w:pPr>
    </w:p>
    <w:p w:rsidR="00E178FB" w:rsidRDefault="00FB701A" w:rsidP="005D0A11">
      <w:pPr>
        <w:keepNext/>
        <w:spacing w:before="360" w:after="240"/>
        <w:outlineLvl w:val="0"/>
        <w:rPr>
          <w:rFonts w:eastAsia="Times New Roman"/>
          <w:b/>
          <w:bCs/>
          <w:smallCaps/>
          <w:szCs w:val="24"/>
        </w:rPr>
      </w:pPr>
      <w:r w:rsidRPr="00B76110">
        <w:rPr>
          <w:rFonts w:eastAsia="Times New Roman"/>
          <w:b/>
          <w:bCs/>
          <w:smallCaps/>
          <w:szCs w:val="24"/>
        </w:rPr>
        <w:br w:type="page"/>
      </w:r>
    </w:p>
    <w:p w:rsidR="00E178FB" w:rsidRPr="00A366E4" w:rsidRDefault="00E178FB" w:rsidP="00A366E4">
      <w:pPr>
        <w:rPr>
          <w:b/>
        </w:rPr>
      </w:pPr>
      <w:r w:rsidRPr="00A366E4">
        <w:rPr>
          <w:b/>
        </w:rPr>
        <w:lastRenderedPageBreak/>
        <w:t>Section 2.</w:t>
      </w:r>
      <w:r w:rsidR="00E36DC6">
        <w:rPr>
          <w:b/>
        </w:rPr>
        <w:t>6</w:t>
      </w:r>
      <w:r w:rsidRPr="00A366E4">
        <w:rPr>
          <w:b/>
        </w:rPr>
        <w:t xml:space="preserve"> </w:t>
      </w:r>
      <w:r w:rsidR="006F5014">
        <w:rPr>
          <w:b/>
        </w:rPr>
        <w:t xml:space="preserve">  </w:t>
      </w:r>
      <w:r w:rsidRPr="00A366E4">
        <w:rPr>
          <w:b/>
        </w:rPr>
        <w:t>Overview table of indicators</w:t>
      </w:r>
      <w:r w:rsidR="008C194E">
        <w:rPr>
          <w:b/>
        </w:rPr>
        <w:t xml:space="preserve"> per priority axis and thematic priority</w:t>
      </w:r>
    </w:p>
    <w:p w:rsidR="006F5014" w:rsidRDefault="006F5014" w:rsidP="00A366E4">
      <w:pPr>
        <w:rPr>
          <w:b/>
        </w:rPr>
      </w:pPr>
    </w:p>
    <w:p w:rsidR="00E178FB" w:rsidRPr="00A366E4" w:rsidRDefault="006F5014" w:rsidP="00A366E4">
      <w:pPr>
        <w:rPr>
          <w:b/>
        </w:rPr>
      </w:pPr>
      <w:r w:rsidRPr="00A366E4">
        <w:rPr>
          <w:b/>
        </w:rPr>
        <w:t xml:space="preserve">Table 14: </w:t>
      </w:r>
      <w:r w:rsidR="00E178FB" w:rsidRPr="00A366E4">
        <w:rPr>
          <w:b/>
        </w:rPr>
        <w:t xml:space="preserve">Table </w:t>
      </w:r>
      <w:r w:rsidRPr="00A366E4">
        <w:rPr>
          <w:b/>
        </w:rPr>
        <w:t>of common and programme specific output and result indicators</w:t>
      </w:r>
      <w:r w:rsidR="00124575">
        <w:rPr>
          <w:rStyle w:val="FootnoteReference"/>
          <w:b/>
        </w:rPr>
        <w:footnoteReference w:id="8"/>
      </w:r>
    </w:p>
    <w:tbl>
      <w:tblPr>
        <w:tblW w:w="5604" w:type="pct"/>
        <w:tblLayout w:type="fixed"/>
        <w:tblCellMar>
          <w:left w:w="0" w:type="dxa"/>
          <w:right w:w="0" w:type="dxa"/>
        </w:tblCellMar>
        <w:tblLook w:val="04A0" w:firstRow="1" w:lastRow="0" w:firstColumn="1" w:lastColumn="0" w:noHBand="0" w:noVBand="1"/>
      </w:tblPr>
      <w:tblGrid>
        <w:gridCol w:w="1143"/>
        <w:gridCol w:w="1560"/>
        <w:gridCol w:w="2270"/>
        <w:gridCol w:w="1704"/>
        <w:gridCol w:w="3114"/>
      </w:tblGrid>
      <w:tr w:rsidR="006B2F33" w:rsidRPr="008C194E" w:rsidTr="00D3063D">
        <w:tc>
          <w:tcPr>
            <w:tcW w:w="584" w:type="pct"/>
            <w:tcBorders>
              <w:top w:val="single" w:sz="8" w:space="0" w:color="auto"/>
              <w:left w:val="single" w:sz="8" w:space="0" w:color="auto"/>
              <w:bottom w:val="single" w:sz="8" w:space="0" w:color="auto"/>
              <w:right w:val="single" w:sz="8" w:space="0" w:color="auto"/>
            </w:tcBorders>
          </w:tcPr>
          <w:p w:rsidR="007720F4" w:rsidRPr="008C194E" w:rsidRDefault="007720F4" w:rsidP="00B8035B">
            <w:pPr>
              <w:autoSpaceDE w:val="0"/>
              <w:spacing w:before="0" w:after="200" w:line="276" w:lineRule="auto"/>
              <w:contextualSpacing/>
              <w:jc w:val="left"/>
              <w:rPr>
                <w:b/>
                <w:bCs/>
                <w:szCs w:val="24"/>
                <w:lang w:eastAsia="ar-SA"/>
              </w:rPr>
            </w:pPr>
            <w:r>
              <w:rPr>
                <w:b/>
                <w:bCs/>
                <w:szCs w:val="24"/>
                <w:lang w:eastAsia="ar-SA"/>
              </w:rPr>
              <w:t>Priority axis</w:t>
            </w: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20F4" w:rsidRPr="00A366E4" w:rsidRDefault="007720F4" w:rsidP="00B8035B">
            <w:pPr>
              <w:autoSpaceDE w:val="0"/>
              <w:spacing w:before="0" w:after="200" w:line="276" w:lineRule="auto"/>
              <w:contextualSpacing/>
              <w:jc w:val="left"/>
              <w:rPr>
                <w:b/>
                <w:bCs/>
                <w:szCs w:val="24"/>
                <w:lang w:eastAsia="ar-SA"/>
              </w:rPr>
            </w:pPr>
            <w:r w:rsidRPr="00A366E4">
              <w:rPr>
                <w:b/>
                <w:bCs/>
                <w:szCs w:val="24"/>
                <w:lang w:eastAsia="ar-SA"/>
              </w:rPr>
              <w:t xml:space="preserve">Thematic priority </w:t>
            </w:r>
          </w:p>
        </w:tc>
        <w:tc>
          <w:tcPr>
            <w:tcW w:w="11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20F4" w:rsidRPr="00A366E4" w:rsidRDefault="007720F4" w:rsidP="00B8035B">
            <w:pPr>
              <w:autoSpaceDE w:val="0"/>
              <w:spacing w:before="0" w:after="200" w:line="276" w:lineRule="auto"/>
              <w:contextualSpacing/>
              <w:jc w:val="left"/>
              <w:rPr>
                <w:b/>
                <w:bCs/>
                <w:szCs w:val="24"/>
                <w:lang w:eastAsia="ar-SA"/>
              </w:rPr>
            </w:pPr>
            <w:r w:rsidRPr="00A366E4">
              <w:rPr>
                <w:b/>
                <w:bCs/>
                <w:szCs w:val="24"/>
                <w:lang w:eastAsia="ar-SA"/>
              </w:rPr>
              <w:t xml:space="preserve">Specific objective(s) </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720F4" w:rsidRPr="00A366E4" w:rsidRDefault="007720F4" w:rsidP="00B8035B">
            <w:pPr>
              <w:autoSpaceDE w:val="0"/>
              <w:spacing w:before="0" w:after="200" w:line="276" w:lineRule="auto"/>
              <w:contextualSpacing/>
              <w:jc w:val="left"/>
              <w:rPr>
                <w:b/>
                <w:bCs/>
                <w:szCs w:val="24"/>
                <w:lang w:eastAsia="ar-SA"/>
              </w:rPr>
            </w:pPr>
            <w:r>
              <w:rPr>
                <w:b/>
                <w:bCs/>
                <w:szCs w:val="24"/>
                <w:lang w:eastAsia="ar-SA"/>
              </w:rPr>
              <w:t>Selected r</w:t>
            </w:r>
            <w:r w:rsidRPr="00A366E4">
              <w:rPr>
                <w:b/>
                <w:bCs/>
                <w:szCs w:val="24"/>
                <w:lang w:eastAsia="ar-SA"/>
              </w:rPr>
              <w:t xml:space="preserve">esults </w:t>
            </w:r>
            <w:r>
              <w:rPr>
                <w:b/>
                <w:bCs/>
                <w:szCs w:val="24"/>
                <w:lang w:eastAsia="ar-SA"/>
              </w:rPr>
              <w:t>indicators</w:t>
            </w:r>
          </w:p>
          <w:p w:rsidR="007720F4" w:rsidRPr="00A366E4" w:rsidRDefault="007720F4" w:rsidP="00B8035B">
            <w:pPr>
              <w:autoSpaceDE w:val="0"/>
              <w:spacing w:before="0" w:after="200" w:line="276" w:lineRule="auto"/>
              <w:contextualSpacing/>
              <w:jc w:val="left"/>
              <w:rPr>
                <w:b/>
                <w:bCs/>
                <w:szCs w:val="24"/>
                <w:lang w:eastAsia="ar-SA"/>
              </w:rPr>
            </w:pPr>
          </w:p>
        </w:tc>
        <w:tc>
          <w:tcPr>
            <w:tcW w:w="159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720F4" w:rsidRDefault="007720F4" w:rsidP="00B8035B">
            <w:pPr>
              <w:autoSpaceDE w:val="0"/>
              <w:spacing w:before="0" w:after="200" w:line="276" w:lineRule="auto"/>
              <w:contextualSpacing/>
              <w:jc w:val="left"/>
              <w:rPr>
                <w:b/>
                <w:bCs/>
                <w:szCs w:val="24"/>
                <w:lang w:eastAsia="ar-SA"/>
              </w:rPr>
            </w:pPr>
            <w:r>
              <w:rPr>
                <w:b/>
                <w:bCs/>
                <w:szCs w:val="24"/>
                <w:lang w:eastAsia="ar-SA"/>
              </w:rPr>
              <w:t xml:space="preserve">Selected </w:t>
            </w:r>
          </w:p>
          <w:p w:rsidR="007720F4" w:rsidRPr="00A366E4" w:rsidRDefault="007720F4" w:rsidP="00B8035B">
            <w:pPr>
              <w:autoSpaceDE w:val="0"/>
              <w:spacing w:before="0" w:after="200" w:line="276" w:lineRule="auto"/>
              <w:contextualSpacing/>
              <w:jc w:val="left"/>
              <w:rPr>
                <w:b/>
                <w:bCs/>
                <w:szCs w:val="24"/>
                <w:lang w:eastAsia="ar-SA"/>
              </w:rPr>
            </w:pPr>
            <w:r>
              <w:rPr>
                <w:b/>
                <w:bCs/>
                <w:szCs w:val="24"/>
                <w:lang w:eastAsia="ar-SA"/>
              </w:rPr>
              <w:t>output i</w:t>
            </w:r>
            <w:r w:rsidRPr="00A366E4">
              <w:rPr>
                <w:b/>
                <w:bCs/>
                <w:szCs w:val="24"/>
                <w:lang w:eastAsia="ar-SA"/>
              </w:rPr>
              <w:t>ndicators</w:t>
            </w:r>
          </w:p>
          <w:p w:rsidR="007720F4" w:rsidRPr="00A366E4" w:rsidRDefault="007720F4" w:rsidP="00B8035B">
            <w:pPr>
              <w:autoSpaceDE w:val="0"/>
              <w:spacing w:before="0" w:after="200" w:line="276" w:lineRule="auto"/>
              <w:contextualSpacing/>
              <w:jc w:val="left"/>
              <w:rPr>
                <w:b/>
                <w:bCs/>
                <w:szCs w:val="24"/>
                <w:lang w:eastAsia="ar-SA"/>
              </w:rPr>
            </w:pPr>
          </w:p>
        </w:tc>
      </w:tr>
      <w:tr w:rsidR="00D3063D" w:rsidRPr="0006313C" w:rsidTr="00D3063D">
        <w:trPr>
          <w:trHeight w:val="1905"/>
        </w:trPr>
        <w:tc>
          <w:tcPr>
            <w:tcW w:w="584" w:type="pct"/>
            <w:tcBorders>
              <w:left w:val="single" w:sz="8" w:space="0" w:color="auto"/>
              <w:bottom w:val="single" w:sz="8" w:space="0" w:color="auto"/>
              <w:right w:val="single" w:sz="8" w:space="0" w:color="auto"/>
            </w:tcBorders>
          </w:tcPr>
          <w:p w:rsidR="00D3063D" w:rsidRPr="0006313C" w:rsidRDefault="00114DC7" w:rsidP="00B8035B">
            <w:pPr>
              <w:autoSpaceDE w:val="0"/>
              <w:spacing w:before="0" w:after="200" w:line="276" w:lineRule="auto"/>
              <w:contextualSpacing/>
              <w:jc w:val="left"/>
              <w:rPr>
                <w:bCs/>
                <w:szCs w:val="24"/>
                <w:lang w:eastAsia="ar-SA"/>
              </w:rPr>
            </w:pPr>
            <w:r>
              <w:rPr>
                <w:bCs/>
                <w:szCs w:val="24"/>
                <w:lang w:eastAsia="ar-SA"/>
              </w:rPr>
              <w:t>PA 1</w:t>
            </w:r>
          </w:p>
        </w:tc>
        <w:tc>
          <w:tcPr>
            <w:tcW w:w="797" w:type="pct"/>
            <w:tcBorders>
              <w:left w:val="single" w:sz="8" w:space="0" w:color="auto"/>
              <w:bottom w:val="single" w:sz="8" w:space="0" w:color="auto"/>
              <w:right w:val="single" w:sz="8" w:space="0" w:color="auto"/>
            </w:tcBorders>
            <w:tcMar>
              <w:top w:w="0" w:type="dxa"/>
              <w:left w:w="108" w:type="dxa"/>
              <w:bottom w:w="0" w:type="dxa"/>
              <w:right w:w="108" w:type="dxa"/>
            </w:tcMar>
          </w:tcPr>
          <w:p w:rsidR="009C66A3" w:rsidRDefault="009C66A3" w:rsidP="009C66A3">
            <w:pPr>
              <w:jc w:val="left"/>
              <w:rPr>
                <w:szCs w:val="24"/>
              </w:rPr>
            </w:pPr>
            <w:r w:rsidRPr="009F1EC6">
              <w:rPr>
                <w:szCs w:val="24"/>
              </w:rPr>
              <w:t>Public health and social care sector</w:t>
            </w:r>
          </w:p>
          <w:p w:rsidR="00D3063D" w:rsidRPr="006B2F33" w:rsidRDefault="00D3063D" w:rsidP="009C66A3">
            <w:pPr>
              <w:autoSpaceDE w:val="0"/>
              <w:spacing w:before="0" w:after="200" w:line="276" w:lineRule="auto"/>
              <w:contextualSpacing/>
              <w:jc w:val="left"/>
              <w:rPr>
                <w:bCs/>
                <w:szCs w:val="24"/>
                <w:lang w:eastAsia="ar-SA"/>
              </w:rPr>
            </w:pPr>
          </w:p>
        </w:tc>
        <w:tc>
          <w:tcPr>
            <w:tcW w:w="115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3063D" w:rsidRPr="00A50B4D" w:rsidRDefault="00196114" w:rsidP="00A50B4D">
            <w:pPr>
              <w:autoSpaceDE w:val="0"/>
              <w:spacing w:after="200" w:line="276" w:lineRule="auto"/>
              <w:contextualSpacing/>
              <w:jc w:val="left"/>
              <w:rPr>
                <w:bCs/>
                <w:szCs w:val="24"/>
                <w:lang w:eastAsia="ar-SA"/>
              </w:rPr>
            </w:pPr>
            <w:r w:rsidRPr="00A50B4D">
              <w:rPr>
                <w:bCs/>
                <w:szCs w:val="24"/>
                <w:lang w:eastAsia="ar-SA"/>
              </w:rPr>
              <w:t xml:space="preserve"> </w:t>
            </w:r>
            <w:r w:rsidR="00A50B4D" w:rsidRPr="00A50B4D">
              <w:rPr>
                <w:bCs/>
                <w:szCs w:val="24"/>
                <w:lang w:eastAsia="ar-SA"/>
              </w:rPr>
              <w:t>1.</w:t>
            </w:r>
            <w:r w:rsidR="00B54D88">
              <w:rPr>
                <w:bCs/>
                <w:szCs w:val="24"/>
                <w:lang w:eastAsia="ar-SA"/>
              </w:rPr>
              <w:t>1.</w:t>
            </w:r>
            <w:r w:rsidR="00A50B4D" w:rsidRPr="00A50B4D">
              <w:rPr>
                <w:bCs/>
                <w:szCs w:val="24"/>
                <w:lang w:eastAsia="ar-SA"/>
              </w:rPr>
              <w:t xml:space="preserve"> </w:t>
            </w:r>
            <w:r w:rsidR="00B54D88" w:rsidRPr="00B54D88">
              <w:rPr>
                <w:bCs/>
                <w:szCs w:val="24"/>
                <w:lang w:eastAsia="ar-SA"/>
              </w:rPr>
              <w:t>To improve the quality of the services in public health and social care sector across the borders</w:t>
            </w:r>
          </w:p>
        </w:tc>
        <w:tc>
          <w:tcPr>
            <w:tcW w:w="87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3063D" w:rsidRPr="0006313C" w:rsidRDefault="00A50B4D" w:rsidP="007720F4">
            <w:pPr>
              <w:autoSpaceDE w:val="0"/>
              <w:spacing w:before="0" w:after="200" w:line="276" w:lineRule="auto"/>
              <w:contextualSpacing/>
              <w:jc w:val="left"/>
              <w:rPr>
                <w:bCs/>
                <w:szCs w:val="24"/>
                <w:lang w:eastAsia="ar-SA"/>
              </w:rPr>
            </w:pPr>
            <w:r w:rsidRPr="00A50B4D">
              <w:rPr>
                <w:bCs/>
                <w:szCs w:val="24"/>
                <w:lang w:eastAsia="ar-SA"/>
              </w:rPr>
              <w:t>Percentage of institutions providing improved public health care or social care services in the programme area</w:t>
            </w:r>
          </w:p>
        </w:tc>
        <w:tc>
          <w:tcPr>
            <w:tcW w:w="159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C458D" w:rsidRPr="00CC458D" w:rsidRDefault="00CC458D" w:rsidP="00CC458D">
            <w:pPr>
              <w:autoSpaceDE w:val="0"/>
              <w:spacing w:before="0" w:after="200" w:line="276" w:lineRule="auto"/>
              <w:contextualSpacing/>
              <w:jc w:val="left"/>
              <w:rPr>
                <w:bCs/>
                <w:szCs w:val="24"/>
                <w:lang w:eastAsia="ar-SA"/>
              </w:rPr>
            </w:pPr>
            <w:r w:rsidRPr="00CC458D">
              <w:rPr>
                <w:bCs/>
                <w:szCs w:val="24"/>
                <w:lang w:eastAsia="ar-SA"/>
              </w:rPr>
              <w:t>Number of jointly developed and/or implemented tools /services/pilot projects that enable better quality of health and/or social care services</w:t>
            </w:r>
          </w:p>
          <w:p w:rsidR="00CC458D" w:rsidRPr="00CC458D" w:rsidRDefault="00CC458D" w:rsidP="00CC458D">
            <w:pPr>
              <w:autoSpaceDE w:val="0"/>
              <w:spacing w:before="0" w:after="200" w:line="276" w:lineRule="auto"/>
              <w:contextualSpacing/>
              <w:jc w:val="left"/>
              <w:rPr>
                <w:bCs/>
                <w:szCs w:val="24"/>
                <w:lang w:eastAsia="ar-SA"/>
              </w:rPr>
            </w:pPr>
          </w:p>
          <w:p w:rsidR="00CC458D" w:rsidRPr="00CC458D" w:rsidRDefault="00CC458D" w:rsidP="00CC458D">
            <w:pPr>
              <w:autoSpaceDE w:val="0"/>
              <w:spacing w:before="0" w:after="200" w:line="276" w:lineRule="auto"/>
              <w:contextualSpacing/>
              <w:jc w:val="left"/>
              <w:rPr>
                <w:bCs/>
                <w:szCs w:val="24"/>
                <w:lang w:eastAsia="ar-SA"/>
              </w:rPr>
            </w:pPr>
            <w:r w:rsidRPr="00CC458D">
              <w:rPr>
                <w:bCs/>
                <w:szCs w:val="24"/>
                <w:lang w:eastAsia="ar-SA"/>
              </w:rPr>
              <w:t>Number of participants in joint education and training schemes on health and/or social care</w:t>
            </w:r>
          </w:p>
          <w:p w:rsidR="00CC458D" w:rsidRPr="00CC458D" w:rsidRDefault="00CC458D" w:rsidP="00CC458D">
            <w:pPr>
              <w:autoSpaceDE w:val="0"/>
              <w:spacing w:before="0" w:after="200" w:line="276" w:lineRule="auto"/>
              <w:contextualSpacing/>
              <w:jc w:val="left"/>
              <w:rPr>
                <w:bCs/>
                <w:szCs w:val="24"/>
                <w:lang w:eastAsia="ar-SA"/>
              </w:rPr>
            </w:pPr>
          </w:p>
          <w:p w:rsidR="00D3063D" w:rsidRPr="0006313C" w:rsidRDefault="00CC458D" w:rsidP="00CC458D">
            <w:pPr>
              <w:autoSpaceDE w:val="0"/>
              <w:spacing w:before="0" w:after="200" w:line="276" w:lineRule="auto"/>
              <w:contextualSpacing/>
              <w:jc w:val="left"/>
              <w:rPr>
                <w:bCs/>
                <w:szCs w:val="24"/>
                <w:lang w:eastAsia="ar-SA"/>
              </w:rPr>
            </w:pPr>
            <w:r w:rsidRPr="00CC458D">
              <w:rPr>
                <w:bCs/>
                <w:szCs w:val="24"/>
                <w:lang w:eastAsia="ar-SA"/>
              </w:rPr>
              <w:t>Population covered with improved health and/or social care services (CI)</w:t>
            </w:r>
          </w:p>
        </w:tc>
      </w:tr>
    </w:tbl>
    <w:p w:rsidR="007720F4" w:rsidRDefault="007720F4" w:rsidP="00297A73">
      <w:pPr>
        <w:keepNext/>
        <w:spacing w:before="360" w:after="240"/>
        <w:outlineLvl w:val="0"/>
        <w:rPr>
          <w:rFonts w:eastAsia="Times New Roman"/>
          <w:b/>
          <w:bCs/>
          <w:smallCaps/>
          <w:szCs w:val="24"/>
        </w:rPr>
      </w:pPr>
    </w:p>
    <w:tbl>
      <w:tblPr>
        <w:tblW w:w="5604" w:type="pct"/>
        <w:tblLayout w:type="fixed"/>
        <w:tblCellMar>
          <w:left w:w="0" w:type="dxa"/>
          <w:right w:w="0" w:type="dxa"/>
        </w:tblCellMar>
        <w:tblLook w:val="04A0" w:firstRow="1" w:lastRow="0" w:firstColumn="1" w:lastColumn="0" w:noHBand="0" w:noVBand="1"/>
      </w:tblPr>
      <w:tblGrid>
        <w:gridCol w:w="1143"/>
        <w:gridCol w:w="1560"/>
        <w:gridCol w:w="2270"/>
        <w:gridCol w:w="1704"/>
        <w:gridCol w:w="3114"/>
      </w:tblGrid>
      <w:tr w:rsidR="00523197" w:rsidRPr="008C194E" w:rsidTr="009C66A3">
        <w:tc>
          <w:tcPr>
            <w:tcW w:w="584" w:type="pct"/>
            <w:tcBorders>
              <w:top w:val="single" w:sz="8" w:space="0" w:color="auto"/>
              <w:left w:val="single" w:sz="8" w:space="0" w:color="auto"/>
              <w:bottom w:val="single" w:sz="8" w:space="0" w:color="auto"/>
              <w:right w:val="single" w:sz="8" w:space="0" w:color="auto"/>
            </w:tcBorders>
          </w:tcPr>
          <w:p w:rsidR="00523197" w:rsidRPr="008C194E" w:rsidRDefault="00523197" w:rsidP="00B8035B">
            <w:pPr>
              <w:autoSpaceDE w:val="0"/>
              <w:spacing w:before="0" w:after="200" w:line="276" w:lineRule="auto"/>
              <w:contextualSpacing/>
              <w:jc w:val="left"/>
              <w:rPr>
                <w:b/>
                <w:bCs/>
                <w:szCs w:val="24"/>
                <w:lang w:eastAsia="ar-SA"/>
              </w:rPr>
            </w:pPr>
            <w:r>
              <w:rPr>
                <w:b/>
                <w:bCs/>
                <w:szCs w:val="24"/>
                <w:lang w:eastAsia="ar-SA"/>
              </w:rPr>
              <w:t>Priority axis</w:t>
            </w: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3197" w:rsidRPr="00A366E4" w:rsidRDefault="00523197" w:rsidP="00B8035B">
            <w:pPr>
              <w:autoSpaceDE w:val="0"/>
              <w:spacing w:before="0" w:after="200" w:line="276" w:lineRule="auto"/>
              <w:contextualSpacing/>
              <w:jc w:val="left"/>
              <w:rPr>
                <w:b/>
                <w:bCs/>
                <w:szCs w:val="24"/>
                <w:lang w:eastAsia="ar-SA"/>
              </w:rPr>
            </w:pPr>
            <w:r w:rsidRPr="00A366E4">
              <w:rPr>
                <w:b/>
                <w:bCs/>
                <w:szCs w:val="24"/>
                <w:lang w:eastAsia="ar-SA"/>
              </w:rPr>
              <w:t xml:space="preserve">Thematic priority </w:t>
            </w:r>
          </w:p>
        </w:tc>
        <w:tc>
          <w:tcPr>
            <w:tcW w:w="11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3197" w:rsidRPr="00A366E4" w:rsidRDefault="00523197" w:rsidP="00B8035B">
            <w:pPr>
              <w:autoSpaceDE w:val="0"/>
              <w:spacing w:before="0" w:after="200" w:line="276" w:lineRule="auto"/>
              <w:contextualSpacing/>
              <w:jc w:val="left"/>
              <w:rPr>
                <w:b/>
                <w:bCs/>
                <w:szCs w:val="24"/>
                <w:lang w:eastAsia="ar-SA"/>
              </w:rPr>
            </w:pPr>
            <w:r w:rsidRPr="00A366E4">
              <w:rPr>
                <w:b/>
                <w:bCs/>
                <w:szCs w:val="24"/>
                <w:lang w:eastAsia="ar-SA"/>
              </w:rPr>
              <w:t xml:space="preserve">Specific objective(s) </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23197" w:rsidRPr="00A366E4" w:rsidRDefault="00523197" w:rsidP="00B8035B">
            <w:pPr>
              <w:autoSpaceDE w:val="0"/>
              <w:spacing w:before="0" w:after="200" w:line="276" w:lineRule="auto"/>
              <w:contextualSpacing/>
              <w:jc w:val="left"/>
              <w:rPr>
                <w:b/>
                <w:bCs/>
                <w:szCs w:val="24"/>
                <w:lang w:eastAsia="ar-SA"/>
              </w:rPr>
            </w:pPr>
            <w:r>
              <w:rPr>
                <w:b/>
                <w:bCs/>
                <w:szCs w:val="24"/>
                <w:lang w:eastAsia="ar-SA"/>
              </w:rPr>
              <w:t>Selected r</w:t>
            </w:r>
            <w:r w:rsidRPr="00A366E4">
              <w:rPr>
                <w:b/>
                <w:bCs/>
                <w:szCs w:val="24"/>
                <w:lang w:eastAsia="ar-SA"/>
              </w:rPr>
              <w:t xml:space="preserve">esults </w:t>
            </w:r>
            <w:r>
              <w:rPr>
                <w:b/>
                <w:bCs/>
                <w:szCs w:val="24"/>
                <w:lang w:eastAsia="ar-SA"/>
              </w:rPr>
              <w:t>indicators</w:t>
            </w:r>
          </w:p>
          <w:p w:rsidR="00523197" w:rsidRPr="00A366E4" w:rsidRDefault="00523197" w:rsidP="00B8035B">
            <w:pPr>
              <w:autoSpaceDE w:val="0"/>
              <w:spacing w:before="0" w:after="200" w:line="276" w:lineRule="auto"/>
              <w:contextualSpacing/>
              <w:jc w:val="left"/>
              <w:rPr>
                <w:b/>
                <w:bCs/>
                <w:szCs w:val="24"/>
                <w:lang w:eastAsia="ar-SA"/>
              </w:rPr>
            </w:pPr>
          </w:p>
        </w:tc>
        <w:tc>
          <w:tcPr>
            <w:tcW w:w="159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23197" w:rsidRDefault="00523197" w:rsidP="00B8035B">
            <w:pPr>
              <w:autoSpaceDE w:val="0"/>
              <w:spacing w:before="0" w:after="200" w:line="276" w:lineRule="auto"/>
              <w:contextualSpacing/>
              <w:jc w:val="left"/>
              <w:rPr>
                <w:b/>
                <w:bCs/>
                <w:szCs w:val="24"/>
                <w:lang w:eastAsia="ar-SA"/>
              </w:rPr>
            </w:pPr>
            <w:r>
              <w:rPr>
                <w:b/>
                <w:bCs/>
                <w:szCs w:val="24"/>
                <w:lang w:eastAsia="ar-SA"/>
              </w:rPr>
              <w:t xml:space="preserve">Selected </w:t>
            </w:r>
          </w:p>
          <w:p w:rsidR="00523197" w:rsidRPr="00A366E4" w:rsidRDefault="00523197" w:rsidP="00B8035B">
            <w:pPr>
              <w:autoSpaceDE w:val="0"/>
              <w:spacing w:before="0" w:after="200" w:line="276" w:lineRule="auto"/>
              <w:contextualSpacing/>
              <w:jc w:val="left"/>
              <w:rPr>
                <w:b/>
                <w:bCs/>
                <w:szCs w:val="24"/>
                <w:lang w:eastAsia="ar-SA"/>
              </w:rPr>
            </w:pPr>
            <w:r>
              <w:rPr>
                <w:b/>
                <w:bCs/>
                <w:szCs w:val="24"/>
                <w:lang w:eastAsia="ar-SA"/>
              </w:rPr>
              <w:t>output i</w:t>
            </w:r>
            <w:r w:rsidRPr="00A366E4">
              <w:rPr>
                <w:b/>
                <w:bCs/>
                <w:szCs w:val="24"/>
                <w:lang w:eastAsia="ar-SA"/>
              </w:rPr>
              <w:t>ndicators</w:t>
            </w:r>
          </w:p>
          <w:p w:rsidR="00523197" w:rsidRPr="00A366E4" w:rsidRDefault="00523197" w:rsidP="00B8035B">
            <w:pPr>
              <w:autoSpaceDE w:val="0"/>
              <w:spacing w:before="0" w:after="200" w:line="276" w:lineRule="auto"/>
              <w:contextualSpacing/>
              <w:jc w:val="left"/>
              <w:rPr>
                <w:b/>
                <w:bCs/>
                <w:szCs w:val="24"/>
                <w:lang w:eastAsia="ar-SA"/>
              </w:rPr>
            </w:pPr>
          </w:p>
        </w:tc>
      </w:tr>
      <w:tr w:rsidR="00F6235A" w:rsidRPr="0006313C" w:rsidTr="0002780D">
        <w:trPr>
          <w:trHeight w:val="690"/>
        </w:trPr>
        <w:tc>
          <w:tcPr>
            <w:tcW w:w="584" w:type="pct"/>
            <w:vMerge w:val="restart"/>
            <w:tcBorders>
              <w:top w:val="single" w:sz="8" w:space="0" w:color="auto"/>
              <w:left w:val="single" w:sz="8" w:space="0" w:color="auto"/>
              <w:right w:val="single" w:sz="8" w:space="0" w:color="auto"/>
            </w:tcBorders>
          </w:tcPr>
          <w:p w:rsidR="00F6235A" w:rsidRPr="0006313C" w:rsidRDefault="00F6235A" w:rsidP="00B8035B">
            <w:pPr>
              <w:autoSpaceDE w:val="0"/>
              <w:spacing w:before="0" w:after="200" w:line="276" w:lineRule="auto"/>
              <w:contextualSpacing/>
              <w:jc w:val="left"/>
              <w:rPr>
                <w:bCs/>
                <w:szCs w:val="24"/>
                <w:lang w:eastAsia="ar-SA"/>
              </w:rPr>
            </w:pPr>
            <w:r>
              <w:rPr>
                <w:bCs/>
                <w:szCs w:val="24"/>
                <w:lang w:eastAsia="ar-SA"/>
              </w:rPr>
              <w:t>PA 2</w:t>
            </w:r>
          </w:p>
          <w:p w:rsidR="00F6235A" w:rsidRPr="0006313C" w:rsidRDefault="00F6235A" w:rsidP="00B8035B">
            <w:pPr>
              <w:autoSpaceDE w:val="0"/>
              <w:spacing w:before="0" w:after="200" w:line="276" w:lineRule="auto"/>
              <w:contextualSpacing/>
              <w:jc w:val="left"/>
              <w:rPr>
                <w:bCs/>
                <w:szCs w:val="24"/>
                <w:lang w:eastAsia="ar-SA"/>
              </w:rPr>
            </w:pPr>
          </w:p>
          <w:p w:rsidR="00F6235A" w:rsidRPr="0006313C" w:rsidRDefault="00F6235A" w:rsidP="00B8035B">
            <w:pPr>
              <w:autoSpaceDE w:val="0"/>
              <w:spacing w:before="0" w:after="200" w:line="276" w:lineRule="auto"/>
              <w:contextualSpacing/>
              <w:jc w:val="left"/>
              <w:rPr>
                <w:bCs/>
                <w:szCs w:val="24"/>
                <w:lang w:eastAsia="ar-SA"/>
              </w:rPr>
            </w:pPr>
          </w:p>
          <w:p w:rsidR="00F6235A" w:rsidRPr="0006313C" w:rsidRDefault="00F6235A" w:rsidP="00B8035B">
            <w:pPr>
              <w:autoSpaceDE w:val="0"/>
              <w:spacing w:before="0" w:after="200" w:line="276" w:lineRule="auto"/>
              <w:contextualSpacing/>
              <w:jc w:val="left"/>
              <w:rPr>
                <w:bCs/>
                <w:szCs w:val="24"/>
                <w:lang w:eastAsia="ar-SA"/>
              </w:rPr>
            </w:pPr>
          </w:p>
          <w:p w:rsidR="00F6235A" w:rsidRPr="0006313C" w:rsidRDefault="00F6235A" w:rsidP="00B8035B">
            <w:pPr>
              <w:autoSpaceDE w:val="0"/>
              <w:spacing w:before="0" w:after="200" w:line="276" w:lineRule="auto"/>
              <w:contextualSpacing/>
              <w:jc w:val="left"/>
              <w:rPr>
                <w:bCs/>
                <w:szCs w:val="24"/>
                <w:lang w:eastAsia="ar-SA"/>
              </w:rPr>
            </w:pPr>
          </w:p>
          <w:p w:rsidR="00F6235A" w:rsidRPr="0006313C" w:rsidRDefault="00F6235A" w:rsidP="00B8035B">
            <w:pPr>
              <w:autoSpaceDE w:val="0"/>
              <w:spacing w:before="0" w:after="200" w:line="276" w:lineRule="auto"/>
              <w:contextualSpacing/>
              <w:jc w:val="left"/>
              <w:rPr>
                <w:bCs/>
                <w:szCs w:val="24"/>
                <w:lang w:eastAsia="ar-SA"/>
              </w:rPr>
            </w:pPr>
          </w:p>
          <w:p w:rsidR="00F6235A" w:rsidRPr="0006313C" w:rsidRDefault="00F6235A" w:rsidP="00B8035B">
            <w:pPr>
              <w:autoSpaceDE w:val="0"/>
              <w:spacing w:before="0" w:after="200" w:line="276" w:lineRule="auto"/>
              <w:contextualSpacing/>
              <w:jc w:val="left"/>
              <w:rPr>
                <w:bCs/>
                <w:szCs w:val="24"/>
                <w:lang w:eastAsia="ar-SA"/>
              </w:rPr>
            </w:pPr>
          </w:p>
          <w:p w:rsidR="00F6235A" w:rsidRPr="0006313C" w:rsidRDefault="00F6235A" w:rsidP="00B8035B">
            <w:pPr>
              <w:autoSpaceDE w:val="0"/>
              <w:spacing w:before="0" w:after="200" w:line="276" w:lineRule="auto"/>
              <w:contextualSpacing/>
              <w:jc w:val="left"/>
              <w:rPr>
                <w:bCs/>
                <w:szCs w:val="24"/>
                <w:lang w:eastAsia="ar-SA"/>
              </w:rPr>
            </w:pPr>
          </w:p>
          <w:p w:rsidR="00F6235A" w:rsidRPr="0006313C" w:rsidRDefault="00F6235A" w:rsidP="00B8035B">
            <w:pPr>
              <w:autoSpaceDE w:val="0"/>
              <w:spacing w:before="0" w:after="200" w:line="276" w:lineRule="auto"/>
              <w:contextualSpacing/>
              <w:jc w:val="left"/>
              <w:rPr>
                <w:bCs/>
                <w:szCs w:val="24"/>
                <w:lang w:eastAsia="ar-SA"/>
              </w:rPr>
            </w:pPr>
          </w:p>
          <w:p w:rsidR="00F6235A" w:rsidRPr="0006313C" w:rsidRDefault="00F6235A" w:rsidP="00B8035B">
            <w:pPr>
              <w:autoSpaceDE w:val="0"/>
              <w:spacing w:before="0" w:after="200" w:line="276" w:lineRule="auto"/>
              <w:contextualSpacing/>
              <w:jc w:val="left"/>
              <w:rPr>
                <w:bCs/>
                <w:szCs w:val="24"/>
                <w:lang w:eastAsia="ar-SA"/>
              </w:rPr>
            </w:pPr>
          </w:p>
          <w:p w:rsidR="00F6235A" w:rsidRPr="0006313C" w:rsidRDefault="00F6235A" w:rsidP="00B8035B">
            <w:pPr>
              <w:autoSpaceDE w:val="0"/>
              <w:spacing w:before="0" w:after="200" w:line="276" w:lineRule="auto"/>
              <w:contextualSpacing/>
              <w:jc w:val="left"/>
              <w:rPr>
                <w:bCs/>
                <w:szCs w:val="24"/>
                <w:lang w:eastAsia="ar-SA"/>
              </w:rPr>
            </w:pPr>
          </w:p>
          <w:p w:rsidR="00F6235A" w:rsidRPr="0006313C" w:rsidRDefault="00F6235A" w:rsidP="00B8035B">
            <w:pPr>
              <w:autoSpaceDE w:val="0"/>
              <w:spacing w:before="0" w:after="200" w:line="276" w:lineRule="auto"/>
              <w:contextualSpacing/>
              <w:jc w:val="left"/>
              <w:rPr>
                <w:bCs/>
                <w:szCs w:val="24"/>
                <w:lang w:eastAsia="ar-SA"/>
              </w:rPr>
            </w:pPr>
          </w:p>
        </w:tc>
        <w:tc>
          <w:tcPr>
            <w:tcW w:w="797" w:type="pct"/>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F6235A" w:rsidRPr="0006313C" w:rsidRDefault="00114DC7" w:rsidP="00114DC7">
            <w:pPr>
              <w:autoSpaceDE w:val="0"/>
              <w:spacing w:before="0" w:after="200" w:line="276" w:lineRule="auto"/>
              <w:contextualSpacing/>
              <w:jc w:val="left"/>
              <w:rPr>
                <w:bCs/>
                <w:szCs w:val="24"/>
                <w:lang w:eastAsia="ar-SA"/>
              </w:rPr>
            </w:pPr>
            <w:r w:rsidRPr="00114DC7">
              <w:rPr>
                <w:bCs/>
                <w:szCs w:val="24"/>
                <w:lang w:eastAsia="ar-SA"/>
              </w:rPr>
              <w:t xml:space="preserve">Environment, </w:t>
            </w:r>
            <w:r>
              <w:rPr>
                <w:bCs/>
                <w:szCs w:val="24"/>
                <w:lang w:eastAsia="ar-SA"/>
              </w:rPr>
              <w:t>b</w:t>
            </w:r>
            <w:r w:rsidRPr="00114DC7">
              <w:rPr>
                <w:bCs/>
                <w:szCs w:val="24"/>
                <w:lang w:eastAsia="ar-SA"/>
              </w:rPr>
              <w:t xml:space="preserve">iodiversity, </w:t>
            </w:r>
            <w:r>
              <w:rPr>
                <w:bCs/>
                <w:szCs w:val="24"/>
                <w:lang w:eastAsia="ar-SA"/>
              </w:rPr>
              <w:t>r</w:t>
            </w:r>
            <w:r w:rsidRPr="00114DC7">
              <w:rPr>
                <w:bCs/>
                <w:szCs w:val="24"/>
                <w:lang w:eastAsia="ar-SA"/>
              </w:rPr>
              <w:t xml:space="preserve">isk </w:t>
            </w:r>
            <w:r>
              <w:rPr>
                <w:bCs/>
                <w:szCs w:val="24"/>
                <w:lang w:eastAsia="ar-SA"/>
              </w:rPr>
              <w:t>p</w:t>
            </w:r>
            <w:r w:rsidRPr="00114DC7">
              <w:rPr>
                <w:bCs/>
                <w:szCs w:val="24"/>
                <w:lang w:eastAsia="ar-SA"/>
              </w:rPr>
              <w:t xml:space="preserve">revention, </w:t>
            </w:r>
            <w:r>
              <w:rPr>
                <w:bCs/>
                <w:szCs w:val="24"/>
                <w:lang w:eastAsia="ar-SA"/>
              </w:rPr>
              <w:t>s</w:t>
            </w:r>
            <w:r w:rsidRPr="00114DC7">
              <w:rPr>
                <w:bCs/>
                <w:szCs w:val="24"/>
                <w:lang w:eastAsia="ar-SA"/>
              </w:rPr>
              <w:t xml:space="preserve">ustainable </w:t>
            </w:r>
            <w:r>
              <w:rPr>
                <w:bCs/>
                <w:szCs w:val="24"/>
                <w:lang w:eastAsia="ar-SA"/>
              </w:rPr>
              <w:t>e</w:t>
            </w:r>
            <w:r w:rsidRPr="00114DC7">
              <w:rPr>
                <w:bCs/>
                <w:szCs w:val="24"/>
                <w:lang w:eastAsia="ar-SA"/>
              </w:rPr>
              <w:t xml:space="preserve">nergy  and </w:t>
            </w:r>
            <w:r>
              <w:rPr>
                <w:bCs/>
                <w:szCs w:val="24"/>
                <w:lang w:eastAsia="ar-SA"/>
              </w:rPr>
              <w:t>e</w:t>
            </w:r>
            <w:r w:rsidRPr="00114DC7">
              <w:rPr>
                <w:bCs/>
                <w:szCs w:val="24"/>
                <w:lang w:eastAsia="ar-SA"/>
              </w:rPr>
              <w:t xml:space="preserve">nergy </w:t>
            </w:r>
            <w:r>
              <w:rPr>
                <w:bCs/>
                <w:szCs w:val="24"/>
                <w:lang w:eastAsia="ar-SA"/>
              </w:rPr>
              <w:t>e</w:t>
            </w:r>
            <w:r w:rsidRPr="00114DC7">
              <w:rPr>
                <w:bCs/>
                <w:szCs w:val="24"/>
                <w:lang w:eastAsia="ar-SA"/>
              </w:rPr>
              <w:t>fficiency</w:t>
            </w:r>
          </w:p>
        </w:tc>
        <w:tc>
          <w:tcPr>
            <w:tcW w:w="11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35A" w:rsidRPr="0006313C" w:rsidRDefault="00974A32" w:rsidP="00B8035B">
            <w:pPr>
              <w:autoSpaceDE w:val="0"/>
              <w:spacing w:before="0" w:after="200" w:line="276" w:lineRule="auto"/>
              <w:contextualSpacing/>
              <w:jc w:val="left"/>
              <w:rPr>
                <w:bCs/>
                <w:szCs w:val="24"/>
                <w:lang w:eastAsia="ar-SA"/>
              </w:rPr>
            </w:pPr>
            <w:r w:rsidRPr="00974A32">
              <w:rPr>
                <w:bCs/>
                <w:szCs w:val="24"/>
                <w:lang w:eastAsia="ar-SA"/>
              </w:rPr>
              <w:t>2.1. To promote and improve environment and nature protection and management systems for risk prevention</w:t>
            </w:r>
          </w:p>
        </w:tc>
        <w:tc>
          <w:tcPr>
            <w:tcW w:w="870"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F6235A" w:rsidRPr="0006313C" w:rsidRDefault="00974A32" w:rsidP="00974A32">
            <w:pPr>
              <w:autoSpaceDE w:val="0"/>
              <w:spacing w:before="0" w:after="200" w:line="276" w:lineRule="auto"/>
              <w:contextualSpacing/>
              <w:jc w:val="left"/>
              <w:rPr>
                <w:bCs/>
                <w:szCs w:val="24"/>
                <w:lang w:eastAsia="ar-SA"/>
              </w:rPr>
            </w:pPr>
            <w:r w:rsidRPr="00974A32">
              <w:rPr>
                <w:bCs/>
                <w:szCs w:val="24"/>
                <w:lang w:eastAsia="ar-SA"/>
              </w:rPr>
              <w:t>Number of km2 covered by improved management systems for risk prevention in the programme area</w:t>
            </w:r>
          </w:p>
        </w:tc>
        <w:tc>
          <w:tcPr>
            <w:tcW w:w="1590"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974A32" w:rsidRPr="00974A32" w:rsidRDefault="00974A32" w:rsidP="00974A32">
            <w:pPr>
              <w:keepNext/>
              <w:keepLines/>
              <w:tabs>
                <w:tab w:val="left" w:pos="134"/>
                <w:tab w:val="left" w:pos="173"/>
              </w:tabs>
              <w:spacing w:after="0" w:line="260" w:lineRule="atLeast"/>
              <w:contextualSpacing/>
              <w:jc w:val="left"/>
              <w:rPr>
                <w:bCs/>
                <w:szCs w:val="24"/>
                <w:lang w:eastAsia="ar-SA"/>
              </w:rPr>
            </w:pPr>
            <w:r w:rsidRPr="00974A32">
              <w:rPr>
                <w:bCs/>
                <w:szCs w:val="24"/>
                <w:lang w:eastAsia="ar-SA"/>
              </w:rPr>
              <w:t>Surface area of habitats supported in order to attain a better conservation status (ha) (CI)</w:t>
            </w:r>
          </w:p>
          <w:p w:rsidR="00974A32" w:rsidRPr="00974A32" w:rsidRDefault="00974A32" w:rsidP="00974A32">
            <w:pPr>
              <w:keepNext/>
              <w:keepLines/>
              <w:tabs>
                <w:tab w:val="left" w:pos="134"/>
                <w:tab w:val="left" w:pos="173"/>
              </w:tabs>
              <w:spacing w:after="0" w:line="260" w:lineRule="atLeast"/>
              <w:contextualSpacing/>
              <w:jc w:val="left"/>
              <w:rPr>
                <w:bCs/>
                <w:szCs w:val="24"/>
                <w:lang w:eastAsia="ar-SA"/>
              </w:rPr>
            </w:pPr>
          </w:p>
          <w:p w:rsidR="00974A32" w:rsidRPr="00974A32" w:rsidRDefault="00974A32" w:rsidP="00974A32">
            <w:pPr>
              <w:keepNext/>
              <w:keepLines/>
              <w:tabs>
                <w:tab w:val="left" w:pos="134"/>
                <w:tab w:val="left" w:pos="173"/>
              </w:tabs>
              <w:spacing w:after="0" w:line="260" w:lineRule="atLeast"/>
              <w:contextualSpacing/>
              <w:jc w:val="left"/>
              <w:rPr>
                <w:bCs/>
                <w:szCs w:val="24"/>
                <w:lang w:eastAsia="ar-SA"/>
              </w:rPr>
            </w:pPr>
            <w:r w:rsidRPr="00974A32">
              <w:rPr>
                <w:bCs/>
                <w:szCs w:val="24"/>
                <w:lang w:eastAsia="ar-SA"/>
              </w:rPr>
              <w:t>Area covered by improved emergency preparedness and risk prevention systems (km2)</w:t>
            </w:r>
          </w:p>
          <w:p w:rsidR="00974A32" w:rsidRPr="00974A32" w:rsidRDefault="00974A32" w:rsidP="00974A32">
            <w:pPr>
              <w:keepNext/>
              <w:keepLines/>
              <w:tabs>
                <w:tab w:val="left" w:pos="134"/>
                <w:tab w:val="left" w:pos="173"/>
              </w:tabs>
              <w:spacing w:after="0" w:line="260" w:lineRule="atLeast"/>
              <w:contextualSpacing/>
              <w:jc w:val="left"/>
              <w:rPr>
                <w:bCs/>
                <w:szCs w:val="24"/>
                <w:lang w:eastAsia="ar-SA"/>
              </w:rPr>
            </w:pPr>
          </w:p>
          <w:p w:rsidR="00974A32" w:rsidRPr="00974A32" w:rsidRDefault="00974A32" w:rsidP="00974A32">
            <w:pPr>
              <w:keepNext/>
              <w:keepLines/>
              <w:tabs>
                <w:tab w:val="left" w:pos="134"/>
                <w:tab w:val="left" w:pos="173"/>
              </w:tabs>
              <w:spacing w:after="0" w:line="260" w:lineRule="atLeast"/>
              <w:contextualSpacing/>
              <w:jc w:val="left"/>
              <w:rPr>
                <w:bCs/>
                <w:szCs w:val="24"/>
                <w:lang w:eastAsia="ar-SA"/>
              </w:rPr>
            </w:pPr>
            <w:r w:rsidRPr="00974A32">
              <w:rPr>
                <w:bCs/>
                <w:szCs w:val="24"/>
                <w:lang w:eastAsia="ar-SA"/>
              </w:rPr>
              <w:t>Number of pilot and demonstration projects on risk prevention and mitigation implemented</w:t>
            </w:r>
          </w:p>
          <w:p w:rsidR="00974A32" w:rsidRPr="00974A32" w:rsidRDefault="00974A32" w:rsidP="00974A32">
            <w:pPr>
              <w:keepNext/>
              <w:keepLines/>
              <w:tabs>
                <w:tab w:val="left" w:pos="134"/>
                <w:tab w:val="left" w:pos="173"/>
              </w:tabs>
              <w:spacing w:after="0" w:line="260" w:lineRule="atLeast"/>
              <w:contextualSpacing/>
              <w:jc w:val="left"/>
              <w:rPr>
                <w:bCs/>
                <w:szCs w:val="24"/>
                <w:lang w:eastAsia="ar-SA"/>
              </w:rPr>
            </w:pPr>
          </w:p>
          <w:p w:rsidR="00F6235A" w:rsidRPr="002F3A27" w:rsidRDefault="00974A32" w:rsidP="00974A32">
            <w:pPr>
              <w:keepNext/>
              <w:keepLines/>
              <w:tabs>
                <w:tab w:val="left" w:pos="134"/>
                <w:tab w:val="left" w:pos="173"/>
              </w:tabs>
              <w:spacing w:after="0" w:line="260" w:lineRule="atLeast"/>
              <w:contextualSpacing/>
              <w:jc w:val="left"/>
              <w:rPr>
                <w:bCs/>
                <w:szCs w:val="24"/>
                <w:lang w:eastAsia="ar-SA"/>
              </w:rPr>
            </w:pPr>
            <w:r w:rsidRPr="00974A32">
              <w:rPr>
                <w:bCs/>
                <w:szCs w:val="24"/>
                <w:lang w:eastAsia="ar-SA"/>
              </w:rPr>
              <w:lastRenderedPageBreak/>
              <w:t>Population benefiting from flood protection measures (CI)</w:t>
            </w:r>
          </w:p>
        </w:tc>
      </w:tr>
      <w:tr w:rsidR="00F6235A" w:rsidRPr="0006313C" w:rsidTr="009C66A3">
        <w:trPr>
          <w:trHeight w:val="1905"/>
        </w:trPr>
        <w:tc>
          <w:tcPr>
            <w:tcW w:w="584" w:type="pct"/>
            <w:vMerge/>
            <w:tcBorders>
              <w:left w:val="single" w:sz="8" w:space="0" w:color="auto"/>
              <w:bottom w:val="single" w:sz="8" w:space="0" w:color="auto"/>
              <w:right w:val="single" w:sz="8" w:space="0" w:color="auto"/>
            </w:tcBorders>
          </w:tcPr>
          <w:p w:rsidR="00F6235A" w:rsidRDefault="00F6235A" w:rsidP="00B8035B">
            <w:pPr>
              <w:autoSpaceDE w:val="0"/>
              <w:spacing w:before="0" w:after="200" w:line="276" w:lineRule="auto"/>
              <w:contextualSpacing/>
              <w:jc w:val="left"/>
              <w:rPr>
                <w:bCs/>
                <w:szCs w:val="24"/>
                <w:lang w:eastAsia="ar-SA"/>
              </w:rPr>
            </w:pPr>
          </w:p>
        </w:tc>
        <w:tc>
          <w:tcPr>
            <w:tcW w:w="797" w:type="pct"/>
            <w:vMerge/>
            <w:tcBorders>
              <w:left w:val="single" w:sz="8" w:space="0" w:color="auto"/>
              <w:bottom w:val="single" w:sz="8" w:space="0" w:color="auto"/>
              <w:right w:val="single" w:sz="8" w:space="0" w:color="auto"/>
            </w:tcBorders>
            <w:tcMar>
              <w:top w:w="0" w:type="dxa"/>
              <w:left w:w="108" w:type="dxa"/>
              <w:bottom w:w="0" w:type="dxa"/>
              <w:right w:w="108" w:type="dxa"/>
            </w:tcMar>
          </w:tcPr>
          <w:p w:rsidR="00F6235A" w:rsidRPr="000F0DC1" w:rsidRDefault="00F6235A" w:rsidP="00B8035B">
            <w:pPr>
              <w:autoSpaceDE w:val="0"/>
              <w:spacing w:before="0" w:after="200" w:line="276" w:lineRule="auto"/>
              <w:contextualSpacing/>
              <w:jc w:val="left"/>
              <w:rPr>
                <w:bCs/>
                <w:szCs w:val="24"/>
                <w:lang w:eastAsia="ar-SA"/>
              </w:rPr>
            </w:pPr>
          </w:p>
        </w:tc>
        <w:tc>
          <w:tcPr>
            <w:tcW w:w="115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6235A" w:rsidRDefault="00294F67" w:rsidP="00F6235A">
            <w:pPr>
              <w:pStyle w:val="NumPar2"/>
              <w:numPr>
                <w:ilvl w:val="0"/>
                <w:numId w:val="0"/>
              </w:numPr>
              <w:jc w:val="left"/>
              <w:rPr>
                <w:lang w:eastAsia="ar-SA"/>
              </w:rPr>
            </w:pPr>
            <w:r w:rsidRPr="00294F67">
              <w:rPr>
                <w:lang w:eastAsia="ar-SA"/>
              </w:rPr>
              <w:t>2.2. To promote utilization of renewable energy resources and energy efficiency</w:t>
            </w:r>
          </w:p>
        </w:tc>
        <w:tc>
          <w:tcPr>
            <w:tcW w:w="87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F6235A" w:rsidRPr="0006313C" w:rsidRDefault="00294F67" w:rsidP="00B8035B">
            <w:pPr>
              <w:autoSpaceDE w:val="0"/>
              <w:spacing w:before="0" w:after="200" w:line="276" w:lineRule="auto"/>
              <w:contextualSpacing/>
              <w:jc w:val="left"/>
              <w:rPr>
                <w:bCs/>
                <w:szCs w:val="24"/>
                <w:lang w:eastAsia="ar-SA"/>
              </w:rPr>
            </w:pPr>
            <w:r w:rsidRPr="00294F67">
              <w:rPr>
                <w:bCs/>
                <w:szCs w:val="24"/>
                <w:lang w:eastAsia="ar-SA"/>
              </w:rPr>
              <w:t>Increase in percentage of energy saved in public buildings in the programme area</w:t>
            </w:r>
          </w:p>
        </w:tc>
        <w:tc>
          <w:tcPr>
            <w:tcW w:w="159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94F67" w:rsidRDefault="00294F67" w:rsidP="000B6D7A">
            <w:pPr>
              <w:keepNext/>
              <w:keepLines/>
              <w:tabs>
                <w:tab w:val="left" w:pos="134"/>
                <w:tab w:val="left" w:pos="173"/>
              </w:tabs>
              <w:spacing w:after="0" w:line="260" w:lineRule="atLeast"/>
              <w:contextualSpacing/>
              <w:jc w:val="left"/>
              <w:rPr>
                <w:bCs/>
                <w:szCs w:val="24"/>
                <w:lang w:eastAsia="ar-SA"/>
              </w:rPr>
            </w:pPr>
            <w:r w:rsidRPr="00294F67">
              <w:rPr>
                <w:bCs/>
                <w:szCs w:val="24"/>
                <w:lang w:eastAsia="ar-SA"/>
              </w:rPr>
              <w:t>Number of joint pilot projects implemented in the areas of sustainab</w:t>
            </w:r>
            <w:r w:rsidR="000B6D7A">
              <w:rPr>
                <w:bCs/>
                <w:szCs w:val="24"/>
                <w:lang w:eastAsia="ar-SA"/>
              </w:rPr>
              <w:t>le energy and energy efficiency</w:t>
            </w:r>
          </w:p>
          <w:p w:rsidR="000B6D7A" w:rsidRPr="00294F67" w:rsidRDefault="000B6D7A" w:rsidP="000B6D7A">
            <w:pPr>
              <w:keepNext/>
              <w:keepLines/>
              <w:tabs>
                <w:tab w:val="left" w:pos="134"/>
                <w:tab w:val="left" w:pos="173"/>
              </w:tabs>
              <w:spacing w:after="0" w:line="260" w:lineRule="atLeast"/>
              <w:contextualSpacing/>
              <w:jc w:val="left"/>
              <w:rPr>
                <w:bCs/>
                <w:szCs w:val="24"/>
                <w:lang w:eastAsia="ar-SA"/>
              </w:rPr>
            </w:pPr>
          </w:p>
          <w:p w:rsidR="00F6235A" w:rsidRPr="0006313C" w:rsidRDefault="00294F67" w:rsidP="000B6D7A">
            <w:pPr>
              <w:keepNext/>
              <w:keepLines/>
              <w:tabs>
                <w:tab w:val="left" w:pos="134"/>
                <w:tab w:val="left" w:pos="173"/>
              </w:tabs>
              <w:spacing w:after="0" w:line="260" w:lineRule="atLeast"/>
              <w:contextualSpacing/>
              <w:jc w:val="left"/>
              <w:rPr>
                <w:bCs/>
                <w:szCs w:val="24"/>
                <w:lang w:eastAsia="ar-SA"/>
              </w:rPr>
            </w:pPr>
            <w:r w:rsidRPr="00294F67">
              <w:rPr>
                <w:bCs/>
                <w:szCs w:val="24"/>
                <w:lang w:eastAsia="ar-SA"/>
              </w:rPr>
              <w:t>Additional capacity of renewable energy production (MW)</w:t>
            </w:r>
          </w:p>
        </w:tc>
      </w:tr>
    </w:tbl>
    <w:p w:rsidR="00114DC7" w:rsidRDefault="00114DC7" w:rsidP="00297A73">
      <w:pPr>
        <w:keepNext/>
        <w:spacing w:before="360" w:after="240"/>
        <w:outlineLvl w:val="0"/>
        <w:rPr>
          <w:rFonts w:eastAsia="Times New Roman"/>
          <w:b/>
          <w:bCs/>
          <w:smallCaps/>
          <w:szCs w:val="24"/>
        </w:rPr>
      </w:pPr>
    </w:p>
    <w:tbl>
      <w:tblPr>
        <w:tblW w:w="5604" w:type="pct"/>
        <w:tblLayout w:type="fixed"/>
        <w:tblCellMar>
          <w:left w:w="0" w:type="dxa"/>
          <w:right w:w="0" w:type="dxa"/>
        </w:tblCellMar>
        <w:tblLook w:val="04A0" w:firstRow="1" w:lastRow="0" w:firstColumn="1" w:lastColumn="0" w:noHBand="0" w:noVBand="1"/>
      </w:tblPr>
      <w:tblGrid>
        <w:gridCol w:w="1143"/>
        <w:gridCol w:w="1277"/>
        <w:gridCol w:w="2552"/>
        <w:gridCol w:w="1704"/>
        <w:gridCol w:w="3115"/>
      </w:tblGrid>
      <w:tr w:rsidR="00523197" w:rsidRPr="008C194E" w:rsidTr="00522E20">
        <w:tc>
          <w:tcPr>
            <w:tcW w:w="584" w:type="pct"/>
            <w:tcBorders>
              <w:top w:val="single" w:sz="8" w:space="0" w:color="auto"/>
              <w:left w:val="single" w:sz="8" w:space="0" w:color="auto"/>
              <w:bottom w:val="single" w:sz="8" w:space="0" w:color="auto"/>
              <w:right w:val="single" w:sz="8" w:space="0" w:color="auto"/>
            </w:tcBorders>
          </w:tcPr>
          <w:p w:rsidR="00523197" w:rsidRPr="008C194E" w:rsidRDefault="00523197" w:rsidP="00B8035B">
            <w:pPr>
              <w:autoSpaceDE w:val="0"/>
              <w:spacing w:before="0" w:after="200" w:line="276" w:lineRule="auto"/>
              <w:contextualSpacing/>
              <w:jc w:val="left"/>
              <w:rPr>
                <w:b/>
                <w:bCs/>
                <w:szCs w:val="24"/>
                <w:lang w:eastAsia="ar-SA"/>
              </w:rPr>
            </w:pPr>
            <w:r>
              <w:rPr>
                <w:b/>
                <w:bCs/>
                <w:szCs w:val="24"/>
                <w:lang w:eastAsia="ar-SA"/>
              </w:rPr>
              <w:t>Priority axis</w:t>
            </w:r>
          </w:p>
        </w:tc>
        <w:tc>
          <w:tcPr>
            <w:tcW w:w="6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3197" w:rsidRPr="00A366E4" w:rsidRDefault="00523197" w:rsidP="00B8035B">
            <w:pPr>
              <w:autoSpaceDE w:val="0"/>
              <w:spacing w:before="0" w:after="200" w:line="276" w:lineRule="auto"/>
              <w:contextualSpacing/>
              <w:jc w:val="left"/>
              <w:rPr>
                <w:b/>
                <w:bCs/>
                <w:szCs w:val="24"/>
                <w:lang w:eastAsia="ar-SA"/>
              </w:rPr>
            </w:pPr>
            <w:r w:rsidRPr="00A366E4">
              <w:rPr>
                <w:b/>
                <w:bCs/>
                <w:szCs w:val="24"/>
                <w:lang w:eastAsia="ar-SA"/>
              </w:rPr>
              <w:t xml:space="preserve">Thematic priority </w:t>
            </w:r>
          </w:p>
        </w:tc>
        <w:tc>
          <w:tcPr>
            <w:tcW w:w="1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3197" w:rsidRPr="00A366E4" w:rsidRDefault="00523197" w:rsidP="00B8035B">
            <w:pPr>
              <w:autoSpaceDE w:val="0"/>
              <w:spacing w:before="0" w:after="200" w:line="276" w:lineRule="auto"/>
              <w:contextualSpacing/>
              <w:jc w:val="left"/>
              <w:rPr>
                <w:b/>
                <w:bCs/>
                <w:szCs w:val="24"/>
                <w:lang w:eastAsia="ar-SA"/>
              </w:rPr>
            </w:pPr>
            <w:r w:rsidRPr="00A366E4">
              <w:rPr>
                <w:b/>
                <w:bCs/>
                <w:szCs w:val="24"/>
                <w:lang w:eastAsia="ar-SA"/>
              </w:rPr>
              <w:t xml:space="preserve">Specific objective(s) </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23197" w:rsidRPr="00A366E4" w:rsidRDefault="00523197" w:rsidP="00B8035B">
            <w:pPr>
              <w:autoSpaceDE w:val="0"/>
              <w:spacing w:before="0" w:after="200" w:line="276" w:lineRule="auto"/>
              <w:contextualSpacing/>
              <w:jc w:val="left"/>
              <w:rPr>
                <w:b/>
                <w:bCs/>
                <w:szCs w:val="24"/>
                <w:lang w:eastAsia="ar-SA"/>
              </w:rPr>
            </w:pPr>
            <w:r>
              <w:rPr>
                <w:b/>
                <w:bCs/>
                <w:szCs w:val="24"/>
                <w:lang w:eastAsia="ar-SA"/>
              </w:rPr>
              <w:t>Selected r</w:t>
            </w:r>
            <w:r w:rsidRPr="00A366E4">
              <w:rPr>
                <w:b/>
                <w:bCs/>
                <w:szCs w:val="24"/>
                <w:lang w:eastAsia="ar-SA"/>
              </w:rPr>
              <w:t xml:space="preserve">esults </w:t>
            </w:r>
            <w:r>
              <w:rPr>
                <w:b/>
                <w:bCs/>
                <w:szCs w:val="24"/>
                <w:lang w:eastAsia="ar-SA"/>
              </w:rPr>
              <w:t>indicators</w:t>
            </w:r>
          </w:p>
          <w:p w:rsidR="00523197" w:rsidRPr="00A366E4" w:rsidRDefault="00523197" w:rsidP="00B8035B">
            <w:pPr>
              <w:autoSpaceDE w:val="0"/>
              <w:spacing w:before="0" w:after="200" w:line="276" w:lineRule="auto"/>
              <w:contextualSpacing/>
              <w:jc w:val="left"/>
              <w:rPr>
                <w:b/>
                <w:bCs/>
                <w:szCs w:val="24"/>
                <w:lang w:eastAsia="ar-SA"/>
              </w:rPr>
            </w:pPr>
          </w:p>
        </w:tc>
        <w:tc>
          <w:tcPr>
            <w:tcW w:w="159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23197" w:rsidRDefault="00523197" w:rsidP="00B8035B">
            <w:pPr>
              <w:autoSpaceDE w:val="0"/>
              <w:spacing w:before="0" w:after="200" w:line="276" w:lineRule="auto"/>
              <w:contextualSpacing/>
              <w:jc w:val="left"/>
              <w:rPr>
                <w:b/>
                <w:bCs/>
                <w:szCs w:val="24"/>
                <w:lang w:eastAsia="ar-SA"/>
              </w:rPr>
            </w:pPr>
            <w:r>
              <w:rPr>
                <w:b/>
                <w:bCs/>
                <w:szCs w:val="24"/>
                <w:lang w:eastAsia="ar-SA"/>
              </w:rPr>
              <w:t xml:space="preserve">Selected </w:t>
            </w:r>
          </w:p>
          <w:p w:rsidR="00523197" w:rsidRPr="00A366E4" w:rsidRDefault="00523197" w:rsidP="00B8035B">
            <w:pPr>
              <w:autoSpaceDE w:val="0"/>
              <w:spacing w:before="0" w:after="200" w:line="276" w:lineRule="auto"/>
              <w:contextualSpacing/>
              <w:jc w:val="left"/>
              <w:rPr>
                <w:b/>
                <w:bCs/>
                <w:szCs w:val="24"/>
                <w:lang w:eastAsia="ar-SA"/>
              </w:rPr>
            </w:pPr>
            <w:r>
              <w:rPr>
                <w:b/>
                <w:bCs/>
                <w:szCs w:val="24"/>
                <w:lang w:eastAsia="ar-SA"/>
              </w:rPr>
              <w:t>output i</w:t>
            </w:r>
            <w:r w:rsidRPr="00A366E4">
              <w:rPr>
                <w:b/>
                <w:bCs/>
                <w:szCs w:val="24"/>
                <w:lang w:eastAsia="ar-SA"/>
              </w:rPr>
              <w:t>ndicators</w:t>
            </w:r>
          </w:p>
          <w:p w:rsidR="00523197" w:rsidRPr="00A366E4" w:rsidRDefault="00523197" w:rsidP="00B8035B">
            <w:pPr>
              <w:autoSpaceDE w:val="0"/>
              <w:spacing w:before="0" w:after="200" w:line="276" w:lineRule="auto"/>
              <w:contextualSpacing/>
              <w:jc w:val="left"/>
              <w:rPr>
                <w:b/>
                <w:bCs/>
                <w:szCs w:val="24"/>
                <w:lang w:eastAsia="ar-SA"/>
              </w:rPr>
            </w:pPr>
          </w:p>
        </w:tc>
      </w:tr>
      <w:tr w:rsidR="00522E20" w:rsidRPr="0006313C" w:rsidTr="00522E20">
        <w:trPr>
          <w:trHeight w:val="1905"/>
        </w:trPr>
        <w:tc>
          <w:tcPr>
            <w:tcW w:w="584" w:type="pct"/>
            <w:vMerge w:val="restart"/>
            <w:tcBorders>
              <w:top w:val="single" w:sz="8" w:space="0" w:color="auto"/>
              <w:left w:val="single" w:sz="8" w:space="0" w:color="auto"/>
              <w:right w:val="single" w:sz="8" w:space="0" w:color="auto"/>
            </w:tcBorders>
          </w:tcPr>
          <w:p w:rsidR="00522E20" w:rsidRPr="0006313C" w:rsidRDefault="00522E20" w:rsidP="00B8035B">
            <w:pPr>
              <w:autoSpaceDE w:val="0"/>
              <w:spacing w:before="0" w:after="200" w:line="276" w:lineRule="auto"/>
              <w:contextualSpacing/>
              <w:jc w:val="left"/>
              <w:rPr>
                <w:bCs/>
                <w:szCs w:val="24"/>
                <w:lang w:eastAsia="ar-SA"/>
              </w:rPr>
            </w:pPr>
            <w:r>
              <w:rPr>
                <w:bCs/>
                <w:szCs w:val="24"/>
                <w:lang w:eastAsia="ar-SA"/>
              </w:rPr>
              <w:t>PA 3</w:t>
            </w:r>
          </w:p>
          <w:p w:rsidR="00522E20" w:rsidRPr="0006313C" w:rsidRDefault="00522E20" w:rsidP="00B8035B">
            <w:pPr>
              <w:autoSpaceDE w:val="0"/>
              <w:spacing w:before="0" w:after="200" w:line="276" w:lineRule="auto"/>
              <w:contextualSpacing/>
              <w:jc w:val="left"/>
              <w:rPr>
                <w:bCs/>
                <w:szCs w:val="24"/>
                <w:lang w:eastAsia="ar-SA"/>
              </w:rPr>
            </w:pPr>
          </w:p>
          <w:p w:rsidR="00522E20" w:rsidRPr="0006313C" w:rsidRDefault="00522E20" w:rsidP="00B8035B">
            <w:pPr>
              <w:autoSpaceDE w:val="0"/>
              <w:spacing w:before="0" w:after="200" w:line="276" w:lineRule="auto"/>
              <w:contextualSpacing/>
              <w:jc w:val="left"/>
              <w:rPr>
                <w:bCs/>
                <w:szCs w:val="24"/>
                <w:lang w:eastAsia="ar-SA"/>
              </w:rPr>
            </w:pPr>
          </w:p>
          <w:p w:rsidR="00522E20" w:rsidRPr="0006313C" w:rsidRDefault="00522E20" w:rsidP="00B8035B">
            <w:pPr>
              <w:autoSpaceDE w:val="0"/>
              <w:spacing w:before="0" w:after="200" w:line="276" w:lineRule="auto"/>
              <w:contextualSpacing/>
              <w:jc w:val="left"/>
              <w:rPr>
                <w:bCs/>
                <w:szCs w:val="24"/>
                <w:lang w:eastAsia="ar-SA"/>
              </w:rPr>
            </w:pPr>
          </w:p>
          <w:p w:rsidR="00522E20" w:rsidRPr="0006313C" w:rsidRDefault="00522E20" w:rsidP="00B8035B">
            <w:pPr>
              <w:autoSpaceDE w:val="0"/>
              <w:spacing w:before="0" w:after="200" w:line="276" w:lineRule="auto"/>
              <w:contextualSpacing/>
              <w:jc w:val="left"/>
              <w:rPr>
                <w:bCs/>
                <w:szCs w:val="24"/>
                <w:lang w:eastAsia="ar-SA"/>
              </w:rPr>
            </w:pPr>
          </w:p>
          <w:p w:rsidR="00522E20" w:rsidRPr="0006313C" w:rsidRDefault="00522E20" w:rsidP="00B8035B">
            <w:pPr>
              <w:autoSpaceDE w:val="0"/>
              <w:spacing w:before="0" w:after="200" w:line="276" w:lineRule="auto"/>
              <w:contextualSpacing/>
              <w:jc w:val="left"/>
              <w:rPr>
                <w:bCs/>
                <w:szCs w:val="24"/>
                <w:lang w:eastAsia="ar-SA"/>
              </w:rPr>
            </w:pPr>
          </w:p>
          <w:p w:rsidR="00522E20" w:rsidRPr="0006313C" w:rsidRDefault="00522E20" w:rsidP="00B8035B">
            <w:pPr>
              <w:autoSpaceDE w:val="0"/>
              <w:spacing w:before="0" w:after="200" w:line="276" w:lineRule="auto"/>
              <w:contextualSpacing/>
              <w:jc w:val="left"/>
              <w:rPr>
                <w:bCs/>
                <w:szCs w:val="24"/>
                <w:lang w:eastAsia="ar-SA"/>
              </w:rPr>
            </w:pPr>
          </w:p>
          <w:p w:rsidR="00522E20" w:rsidRPr="0006313C" w:rsidRDefault="00522E20" w:rsidP="00B8035B">
            <w:pPr>
              <w:autoSpaceDE w:val="0"/>
              <w:spacing w:before="0" w:after="200" w:line="276" w:lineRule="auto"/>
              <w:contextualSpacing/>
              <w:jc w:val="left"/>
              <w:rPr>
                <w:bCs/>
                <w:szCs w:val="24"/>
                <w:lang w:eastAsia="ar-SA"/>
              </w:rPr>
            </w:pPr>
          </w:p>
          <w:p w:rsidR="00522E20" w:rsidRPr="0006313C" w:rsidRDefault="00522E20" w:rsidP="00B8035B">
            <w:pPr>
              <w:autoSpaceDE w:val="0"/>
              <w:spacing w:before="0" w:after="200" w:line="276" w:lineRule="auto"/>
              <w:contextualSpacing/>
              <w:jc w:val="left"/>
              <w:rPr>
                <w:bCs/>
                <w:szCs w:val="24"/>
                <w:lang w:eastAsia="ar-SA"/>
              </w:rPr>
            </w:pPr>
          </w:p>
          <w:p w:rsidR="00522E20" w:rsidRPr="0006313C" w:rsidRDefault="00522E20" w:rsidP="00B8035B">
            <w:pPr>
              <w:autoSpaceDE w:val="0"/>
              <w:spacing w:before="0" w:after="200" w:line="276" w:lineRule="auto"/>
              <w:contextualSpacing/>
              <w:jc w:val="left"/>
              <w:rPr>
                <w:bCs/>
                <w:szCs w:val="24"/>
                <w:lang w:eastAsia="ar-SA"/>
              </w:rPr>
            </w:pPr>
          </w:p>
          <w:p w:rsidR="00522E20" w:rsidRPr="0006313C" w:rsidRDefault="00522E20" w:rsidP="00B8035B">
            <w:pPr>
              <w:autoSpaceDE w:val="0"/>
              <w:spacing w:before="0" w:after="200" w:line="276" w:lineRule="auto"/>
              <w:contextualSpacing/>
              <w:jc w:val="left"/>
              <w:rPr>
                <w:bCs/>
                <w:szCs w:val="24"/>
                <w:lang w:eastAsia="ar-SA"/>
              </w:rPr>
            </w:pPr>
          </w:p>
          <w:p w:rsidR="00522E20" w:rsidRPr="0006313C" w:rsidRDefault="00522E20" w:rsidP="00B8035B">
            <w:pPr>
              <w:autoSpaceDE w:val="0"/>
              <w:spacing w:before="0" w:after="200" w:line="276" w:lineRule="auto"/>
              <w:contextualSpacing/>
              <w:jc w:val="left"/>
              <w:rPr>
                <w:bCs/>
                <w:szCs w:val="24"/>
                <w:lang w:eastAsia="ar-SA"/>
              </w:rPr>
            </w:pPr>
          </w:p>
        </w:tc>
        <w:tc>
          <w:tcPr>
            <w:tcW w:w="652" w:type="pct"/>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522E20" w:rsidRPr="0006313C" w:rsidRDefault="00522E20" w:rsidP="00B8035B">
            <w:pPr>
              <w:autoSpaceDE w:val="0"/>
              <w:spacing w:before="0" w:after="200" w:line="276" w:lineRule="auto"/>
              <w:contextualSpacing/>
              <w:jc w:val="left"/>
              <w:rPr>
                <w:bCs/>
                <w:szCs w:val="24"/>
                <w:lang w:eastAsia="ar-SA"/>
              </w:rPr>
            </w:pPr>
            <w:r w:rsidRPr="00D778F0">
              <w:rPr>
                <w:bCs/>
                <w:szCs w:val="24"/>
                <w:lang w:eastAsia="ar-SA"/>
              </w:rPr>
              <w:t>Tourism, cultural and natural heritage</w:t>
            </w:r>
          </w:p>
        </w:tc>
        <w:tc>
          <w:tcPr>
            <w:tcW w:w="130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522E20" w:rsidRPr="0006313C" w:rsidRDefault="002D1D85" w:rsidP="00B8035B">
            <w:pPr>
              <w:autoSpaceDE w:val="0"/>
              <w:spacing w:before="0" w:after="200" w:line="276" w:lineRule="auto"/>
              <w:contextualSpacing/>
              <w:jc w:val="left"/>
              <w:rPr>
                <w:bCs/>
                <w:szCs w:val="24"/>
                <w:lang w:eastAsia="ar-SA"/>
              </w:rPr>
            </w:pPr>
            <w:r w:rsidRPr="002D1D85">
              <w:rPr>
                <w:bCs/>
                <w:szCs w:val="24"/>
                <w:lang w:eastAsia="ar-SA"/>
              </w:rPr>
              <w:t>3.1. To strengthen and diversify the tourism offer through cross border approaches</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22E20" w:rsidRPr="0006313C" w:rsidRDefault="002D1D85" w:rsidP="00B8035B">
            <w:pPr>
              <w:autoSpaceDE w:val="0"/>
              <w:spacing w:before="0" w:after="200" w:line="276" w:lineRule="auto"/>
              <w:contextualSpacing/>
              <w:jc w:val="left"/>
              <w:rPr>
                <w:bCs/>
                <w:szCs w:val="24"/>
                <w:lang w:eastAsia="ar-SA"/>
              </w:rPr>
            </w:pPr>
            <w:r w:rsidRPr="002D1D85">
              <w:rPr>
                <w:bCs/>
                <w:szCs w:val="24"/>
                <w:lang w:eastAsia="ar-SA"/>
              </w:rPr>
              <w:t>Increase in number of tourist overnights in the programme area</w:t>
            </w:r>
          </w:p>
        </w:tc>
        <w:tc>
          <w:tcPr>
            <w:tcW w:w="1591"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2D1D85" w:rsidRPr="002D1D85" w:rsidRDefault="002D1D85" w:rsidP="002D1D85">
            <w:pPr>
              <w:spacing w:after="0" w:line="260" w:lineRule="atLeast"/>
              <w:contextualSpacing/>
              <w:jc w:val="left"/>
              <w:rPr>
                <w:bCs/>
                <w:szCs w:val="24"/>
                <w:lang w:eastAsia="ar-SA"/>
              </w:rPr>
            </w:pPr>
            <w:r w:rsidRPr="002D1D85">
              <w:rPr>
                <w:bCs/>
                <w:szCs w:val="24"/>
                <w:lang w:eastAsia="ar-SA"/>
              </w:rPr>
              <w:t>Number of joint tourism offers/products developed and/or implemented and promoted</w:t>
            </w:r>
          </w:p>
          <w:p w:rsidR="002D1D85" w:rsidRPr="002D1D85" w:rsidRDefault="002D1D85" w:rsidP="002D1D85">
            <w:pPr>
              <w:spacing w:after="0" w:line="260" w:lineRule="atLeast"/>
              <w:contextualSpacing/>
              <w:jc w:val="left"/>
              <w:rPr>
                <w:bCs/>
                <w:szCs w:val="24"/>
                <w:lang w:eastAsia="ar-SA"/>
              </w:rPr>
            </w:pPr>
          </w:p>
          <w:p w:rsidR="002D1D85" w:rsidRPr="002D1D85" w:rsidRDefault="002D1D85" w:rsidP="002D1D85">
            <w:pPr>
              <w:spacing w:after="0" w:line="260" w:lineRule="atLeast"/>
              <w:contextualSpacing/>
              <w:jc w:val="left"/>
              <w:rPr>
                <w:bCs/>
                <w:szCs w:val="24"/>
                <w:lang w:eastAsia="ar-SA"/>
              </w:rPr>
            </w:pPr>
            <w:r w:rsidRPr="002D1D85">
              <w:rPr>
                <w:bCs/>
                <w:szCs w:val="24"/>
                <w:lang w:eastAsia="ar-SA"/>
              </w:rPr>
              <w:t>Number of tourism providers with (international) certifications and standards</w:t>
            </w:r>
          </w:p>
          <w:p w:rsidR="002D1D85" w:rsidRPr="002D1D85" w:rsidRDefault="002D1D85" w:rsidP="002D1D85">
            <w:pPr>
              <w:spacing w:after="0" w:line="260" w:lineRule="atLeast"/>
              <w:contextualSpacing/>
              <w:jc w:val="left"/>
              <w:rPr>
                <w:bCs/>
                <w:szCs w:val="24"/>
                <w:lang w:eastAsia="ar-SA"/>
              </w:rPr>
            </w:pPr>
          </w:p>
          <w:p w:rsidR="00522E20" w:rsidRDefault="002D1D85" w:rsidP="002D1D85">
            <w:pPr>
              <w:spacing w:after="0" w:line="260" w:lineRule="atLeast"/>
              <w:contextualSpacing/>
              <w:jc w:val="left"/>
              <w:rPr>
                <w:bCs/>
                <w:szCs w:val="24"/>
                <w:lang w:eastAsia="ar-SA"/>
              </w:rPr>
            </w:pPr>
            <w:r w:rsidRPr="002D1D85">
              <w:rPr>
                <w:bCs/>
                <w:szCs w:val="24"/>
                <w:lang w:eastAsia="ar-SA"/>
              </w:rPr>
              <w:t>Number of tourism supporting facilities and/or tourism infrastructure developed and/or improved</w:t>
            </w:r>
          </w:p>
          <w:p w:rsidR="002D1D85" w:rsidRDefault="002D1D85" w:rsidP="002D1D85">
            <w:pPr>
              <w:spacing w:after="0" w:line="260" w:lineRule="atLeast"/>
              <w:contextualSpacing/>
              <w:jc w:val="left"/>
              <w:rPr>
                <w:bCs/>
                <w:szCs w:val="24"/>
                <w:lang w:eastAsia="ar-SA"/>
              </w:rPr>
            </w:pPr>
          </w:p>
          <w:p w:rsidR="002D1D85" w:rsidRPr="002D1D85" w:rsidRDefault="002D1D85" w:rsidP="002D1D85">
            <w:pPr>
              <w:spacing w:after="0" w:line="260" w:lineRule="atLeast"/>
              <w:contextualSpacing/>
              <w:jc w:val="left"/>
              <w:rPr>
                <w:bCs/>
                <w:szCs w:val="24"/>
                <w:lang w:eastAsia="ar-SA"/>
              </w:rPr>
            </w:pPr>
            <w:r w:rsidRPr="002D1D85">
              <w:rPr>
                <w:bCs/>
                <w:szCs w:val="24"/>
                <w:lang w:eastAsia="ar-SA"/>
              </w:rPr>
              <w:t>Creation of touristic product “Adriatic Hinterland”</w:t>
            </w:r>
            <w:r>
              <w:rPr>
                <w:bCs/>
                <w:szCs w:val="24"/>
                <w:lang w:eastAsia="ar-SA"/>
              </w:rPr>
              <w:t>*</w:t>
            </w:r>
          </w:p>
          <w:p w:rsidR="002D1D85" w:rsidRPr="002D1D85" w:rsidRDefault="002D1D85" w:rsidP="002D1D85">
            <w:pPr>
              <w:spacing w:after="0" w:line="260" w:lineRule="atLeast"/>
              <w:contextualSpacing/>
              <w:jc w:val="left"/>
              <w:rPr>
                <w:bCs/>
                <w:szCs w:val="24"/>
                <w:lang w:eastAsia="ar-SA"/>
              </w:rPr>
            </w:pPr>
          </w:p>
          <w:p w:rsidR="002D1D85" w:rsidRDefault="002D1D85" w:rsidP="002D1D85">
            <w:pPr>
              <w:spacing w:after="0" w:line="260" w:lineRule="atLeast"/>
              <w:contextualSpacing/>
              <w:jc w:val="left"/>
              <w:rPr>
                <w:bCs/>
                <w:szCs w:val="24"/>
                <w:lang w:eastAsia="ar-SA"/>
              </w:rPr>
            </w:pPr>
            <w:r w:rsidRPr="002D1D85">
              <w:rPr>
                <w:bCs/>
                <w:szCs w:val="24"/>
                <w:lang w:eastAsia="ar-SA"/>
              </w:rPr>
              <w:t>Number of local projects prepared for investments for further destination’s development</w:t>
            </w:r>
            <w:r>
              <w:rPr>
                <w:bCs/>
                <w:szCs w:val="24"/>
                <w:lang w:eastAsia="ar-SA"/>
              </w:rPr>
              <w:t>*</w:t>
            </w:r>
          </w:p>
          <w:p w:rsidR="002D1D85" w:rsidRPr="009C66A3" w:rsidRDefault="002D1D85" w:rsidP="002D1D85">
            <w:pPr>
              <w:spacing w:after="0" w:line="260" w:lineRule="atLeast"/>
              <w:contextualSpacing/>
              <w:jc w:val="left"/>
              <w:rPr>
                <w:bCs/>
                <w:szCs w:val="24"/>
                <w:lang w:eastAsia="ar-SA"/>
              </w:rPr>
            </w:pPr>
          </w:p>
        </w:tc>
      </w:tr>
      <w:tr w:rsidR="00522E20" w:rsidRPr="0006313C" w:rsidTr="009C66A3">
        <w:trPr>
          <w:trHeight w:val="1257"/>
        </w:trPr>
        <w:tc>
          <w:tcPr>
            <w:tcW w:w="584" w:type="pct"/>
            <w:vMerge/>
            <w:tcBorders>
              <w:left w:val="single" w:sz="8" w:space="0" w:color="auto"/>
              <w:bottom w:val="single" w:sz="8" w:space="0" w:color="auto"/>
              <w:right w:val="single" w:sz="8" w:space="0" w:color="auto"/>
            </w:tcBorders>
          </w:tcPr>
          <w:p w:rsidR="00522E20" w:rsidRDefault="00522E20" w:rsidP="00B8035B">
            <w:pPr>
              <w:autoSpaceDE w:val="0"/>
              <w:spacing w:before="0" w:after="200" w:line="276" w:lineRule="auto"/>
              <w:contextualSpacing/>
              <w:jc w:val="left"/>
              <w:rPr>
                <w:bCs/>
                <w:szCs w:val="24"/>
                <w:lang w:eastAsia="ar-SA"/>
              </w:rPr>
            </w:pPr>
          </w:p>
        </w:tc>
        <w:tc>
          <w:tcPr>
            <w:tcW w:w="652" w:type="pct"/>
            <w:vMerge/>
            <w:tcBorders>
              <w:left w:val="single" w:sz="8" w:space="0" w:color="auto"/>
              <w:bottom w:val="single" w:sz="8" w:space="0" w:color="auto"/>
              <w:right w:val="single" w:sz="8" w:space="0" w:color="auto"/>
            </w:tcBorders>
            <w:tcMar>
              <w:top w:w="0" w:type="dxa"/>
              <w:left w:w="108" w:type="dxa"/>
              <w:bottom w:w="0" w:type="dxa"/>
              <w:right w:w="108" w:type="dxa"/>
            </w:tcMar>
          </w:tcPr>
          <w:p w:rsidR="00522E20" w:rsidRPr="00D778F0" w:rsidRDefault="00522E20" w:rsidP="00B8035B">
            <w:pPr>
              <w:autoSpaceDE w:val="0"/>
              <w:spacing w:before="0" w:after="200" w:line="276" w:lineRule="auto"/>
              <w:contextualSpacing/>
              <w:jc w:val="left"/>
              <w:rPr>
                <w:bCs/>
                <w:szCs w:val="24"/>
                <w:lang w:eastAsia="ar-SA"/>
              </w:rPr>
            </w:pPr>
          </w:p>
        </w:tc>
        <w:tc>
          <w:tcPr>
            <w:tcW w:w="13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22E20" w:rsidRDefault="00522E20" w:rsidP="003D486A">
            <w:pPr>
              <w:autoSpaceDE w:val="0"/>
              <w:spacing w:before="0" w:after="200" w:line="276" w:lineRule="auto"/>
              <w:contextualSpacing/>
              <w:jc w:val="left"/>
              <w:rPr>
                <w:bCs/>
                <w:szCs w:val="24"/>
                <w:lang w:eastAsia="ar-SA"/>
              </w:rPr>
            </w:pPr>
            <w:r>
              <w:rPr>
                <w:bCs/>
                <w:szCs w:val="24"/>
                <w:lang w:eastAsia="ar-SA"/>
              </w:rPr>
              <w:t xml:space="preserve">3.2. </w:t>
            </w:r>
            <w:r w:rsidRPr="00057D7F">
              <w:rPr>
                <w:bCs/>
                <w:szCs w:val="24"/>
                <w:lang w:eastAsia="ar-SA"/>
              </w:rPr>
              <w:t>To enable a better management and sustainable use of cultural and natural heritage</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22E20" w:rsidRDefault="003D486A" w:rsidP="00B8035B">
            <w:pPr>
              <w:autoSpaceDE w:val="0"/>
              <w:spacing w:before="0" w:after="200" w:line="276" w:lineRule="auto"/>
              <w:contextualSpacing/>
              <w:jc w:val="left"/>
              <w:rPr>
                <w:bCs/>
                <w:szCs w:val="24"/>
                <w:lang w:eastAsia="ar-SA"/>
              </w:rPr>
            </w:pPr>
            <w:r w:rsidRPr="003D486A">
              <w:rPr>
                <w:bCs/>
                <w:szCs w:val="24"/>
                <w:lang w:eastAsia="ar-SA"/>
              </w:rPr>
              <w:t xml:space="preserve">Increase in number of visitors to supported sites of cultural and natural heritage in the </w:t>
            </w:r>
            <w:r w:rsidRPr="003D486A">
              <w:rPr>
                <w:bCs/>
                <w:szCs w:val="24"/>
                <w:lang w:eastAsia="ar-SA"/>
              </w:rPr>
              <w:lastRenderedPageBreak/>
              <w:t>programme area</w:t>
            </w:r>
          </w:p>
          <w:p w:rsidR="00522E20" w:rsidRPr="00196114" w:rsidRDefault="00522E20" w:rsidP="00B8035B">
            <w:pPr>
              <w:autoSpaceDE w:val="0"/>
              <w:spacing w:before="0" w:after="200" w:line="276" w:lineRule="auto"/>
              <w:contextualSpacing/>
              <w:jc w:val="left"/>
              <w:rPr>
                <w:bCs/>
                <w:szCs w:val="24"/>
                <w:lang w:eastAsia="ar-SA"/>
              </w:rPr>
            </w:pPr>
          </w:p>
        </w:tc>
        <w:tc>
          <w:tcPr>
            <w:tcW w:w="159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D486A" w:rsidRPr="003D486A" w:rsidRDefault="003D486A" w:rsidP="003D486A">
            <w:pPr>
              <w:spacing w:after="0" w:line="260" w:lineRule="atLeast"/>
              <w:contextualSpacing/>
              <w:jc w:val="left"/>
              <w:rPr>
                <w:bCs/>
                <w:szCs w:val="24"/>
                <w:lang w:eastAsia="ar-SA"/>
              </w:rPr>
            </w:pPr>
            <w:r w:rsidRPr="003D486A">
              <w:rPr>
                <w:bCs/>
                <w:szCs w:val="24"/>
                <w:lang w:eastAsia="ar-SA"/>
              </w:rPr>
              <w:lastRenderedPageBreak/>
              <w:t>Number of sustainable management plans for cultural and natural heritage sites developed and/or implemented</w:t>
            </w:r>
          </w:p>
          <w:p w:rsidR="003D486A" w:rsidRPr="003D486A" w:rsidRDefault="003D486A" w:rsidP="003D486A">
            <w:pPr>
              <w:spacing w:after="0" w:line="260" w:lineRule="atLeast"/>
              <w:contextualSpacing/>
              <w:jc w:val="left"/>
              <w:rPr>
                <w:bCs/>
                <w:szCs w:val="24"/>
                <w:lang w:eastAsia="ar-SA"/>
              </w:rPr>
            </w:pPr>
          </w:p>
          <w:p w:rsidR="003D486A" w:rsidRPr="003D486A" w:rsidRDefault="003D486A" w:rsidP="003D486A">
            <w:pPr>
              <w:spacing w:after="0" w:line="260" w:lineRule="atLeast"/>
              <w:contextualSpacing/>
              <w:jc w:val="left"/>
              <w:rPr>
                <w:bCs/>
                <w:szCs w:val="24"/>
                <w:lang w:eastAsia="ar-SA"/>
              </w:rPr>
            </w:pPr>
            <w:r w:rsidRPr="003D486A">
              <w:rPr>
                <w:bCs/>
                <w:szCs w:val="24"/>
                <w:lang w:eastAsia="ar-SA"/>
              </w:rPr>
              <w:t xml:space="preserve">Number of participants trained in quality assurance, </w:t>
            </w:r>
            <w:r w:rsidRPr="003D486A">
              <w:rPr>
                <w:bCs/>
                <w:szCs w:val="24"/>
                <w:lang w:eastAsia="ar-SA"/>
              </w:rPr>
              <w:lastRenderedPageBreak/>
              <w:t>standardisation on cultural and natural heritage and destination management</w:t>
            </w:r>
          </w:p>
          <w:p w:rsidR="003D486A" w:rsidRPr="003D486A" w:rsidRDefault="003D486A" w:rsidP="003D486A">
            <w:pPr>
              <w:spacing w:after="0" w:line="260" w:lineRule="atLeast"/>
              <w:contextualSpacing/>
              <w:jc w:val="left"/>
              <w:rPr>
                <w:bCs/>
                <w:szCs w:val="24"/>
                <w:lang w:eastAsia="ar-SA"/>
              </w:rPr>
            </w:pPr>
          </w:p>
          <w:p w:rsidR="00522E20" w:rsidRPr="009C66A3" w:rsidRDefault="003D486A" w:rsidP="003D486A">
            <w:pPr>
              <w:spacing w:after="0" w:line="260" w:lineRule="atLeast"/>
              <w:contextualSpacing/>
              <w:jc w:val="left"/>
              <w:rPr>
                <w:bCs/>
                <w:szCs w:val="24"/>
                <w:lang w:eastAsia="ar-SA"/>
              </w:rPr>
            </w:pPr>
            <w:r w:rsidRPr="003D486A">
              <w:rPr>
                <w:bCs/>
                <w:szCs w:val="24"/>
                <w:lang w:eastAsia="ar-SA"/>
              </w:rPr>
              <w:t>Number of cultural and natural assets developed and/or improved</w:t>
            </w:r>
          </w:p>
        </w:tc>
      </w:tr>
    </w:tbl>
    <w:p w:rsidR="002D1D85" w:rsidRDefault="002D1D85" w:rsidP="002D1D85">
      <w:pPr>
        <w:spacing w:after="0" w:line="260" w:lineRule="atLeast"/>
        <w:contextualSpacing/>
        <w:jc w:val="left"/>
        <w:rPr>
          <w:bCs/>
          <w:szCs w:val="24"/>
          <w:lang w:eastAsia="ar-SA"/>
        </w:rPr>
      </w:pPr>
      <w:r>
        <w:rPr>
          <w:bCs/>
          <w:szCs w:val="24"/>
          <w:lang w:eastAsia="ar-SA"/>
        </w:rPr>
        <w:lastRenderedPageBreak/>
        <w:t>*O</w:t>
      </w:r>
      <w:r w:rsidRPr="002D1D85">
        <w:rPr>
          <w:bCs/>
          <w:szCs w:val="24"/>
          <w:lang w:eastAsia="ar-SA"/>
        </w:rPr>
        <w:t>utput indicators</w:t>
      </w:r>
      <w:r>
        <w:rPr>
          <w:bCs/>
          <w:szCs w:val="24"/>
          <w:lang w:eastAsia="ar-SA"/>
        </w:rPr>
        <w:t xml:space="preserve"> related to the Strategic project</w:t>
      </w:r>
    </w:p>
    <w:p w:rsidR="00523197" w:rsidRDefault="00523197" w:rsidP="00297A73">
      <w:pPr>
        <w:keepNext/>
        <w:spacing w:before="360" w:after="240"/>
        <w:outlineLvl w:val="0"/>
        <w:rPr>
          <w:rFonts w:eastAsia="Times New Roman"/>
          <w:b/>
          <w:bCs/>
          <w:smallCaps/>
          <w:szCs w:val="24"/>
        </w:rPr>
      </w:pPr>
    </w:p>
    <w:tbl>
      <w:tblPr>
        <w:tblW w:w="5604" w:type="pct"/>
        <w:tblLayout w:type="fixed"/>
        <w:tblCellMar>
          <w:left w:w="0" w:type="dxa"/>
          <w:right w:w="0" w:type="dxa"/>
        </w:tblCellMar>
        <w:tblLook w:val="04A0" w:firstRow="1" w:lastRow="0" w:firstColumn="1" w:lastColumn="0" w:noHBand="0" w:noVBand="1"/>
      </w:tblPr>
      <w:tblGrid>
        <w:gridCol w:w="1143"/>
        <w:gridCol w:w="1560"/>
        <w:gridCol w:w="2270"/>
        <w:gridCol w:w="1704"/>
        <w:gridCol w:w="3114"/>
      </w:tblGrid>
      <w:tr w:rsidR="00523197" w:rsidRPr="008C194E" w:rsidTr="009C66A3">
        <w:tc>
          <w:tcPr>
            <w:tcW w:w="584" w:type="pct"/>
            <w:tcBorders>
              <w:top w:val="single" w:sz="8" w:space="0" w:color="auto"/>
              <w:left w:val="single" w:sz="8" w:space="0" w:color="auto"/>
              <w:bottom w:val="single" w:sz="8" w:space="0" w:color="auto"/>
              <w:right w:val="single" w:sz="8" w:space="0" w:color="auto"/>
            </w:tcBorders>
          </w:tcPr>
          <w:p w:rsidR="00523197" w:rsidRPr="008C194E" w:rsidRDefault="00523197" w:rsidP="00B8035B">
            <w:pPr>
              <w:autoSpaceDE w:val="0"/>
              <w:spacing w:before="0" w:after="200" w:line="276" w:lineRule="auto"/>
              <w:contextualSpacing/>
              <w:jc w:val="left"/>
              <w:rPr>
                <w:b/>
                <w:bCs/>
                <w:szCs w:val="24"/>
                <w:lang w:eastAsia="ar-SA"/>
              </w:rPr>
            </w:pPr>
            <w:r>
              <w:rPr>
                <w:b/>
                <w:bCs/>
                <w:szCs w:val="24"/>
                <w:lang w:eastAsia="ar-SA"/>
              </w:rPr>
              <w:t>Priority axis</w:t>
            </w: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3197" w:rsidRPr="00A366E4" w:rsidRDefault="00523197" w:rsidP="00B8035B">
            <w:pPr>
              <w:autoSpaceDE w:val="0"/>
              <w:spacing w:before="0" w:after="200" w:line="276" w:lineRule="auto"/>
              <w:contextualSpacing/>
              <w:jc w:val="left"/>
              <w:rPr>
                <w:b/>
                <w:bCs/>
                <w:szCs w:val="24"/>
                <w:lang w:eastAsia="ar-SA"/>
              </w:rPr>
            </w:pPr>
            <w:r w:rsidRPr="00A366E4">
              <w:rPr>
                <w:b/>
                <w:bCs/>
                <w:szCs w:val="24"/>
                <w:lang w:eastAsia="ar-SA"/>
              </w:rPr>
              <w:t xml:space="preserve">Thematic priority </w:t>
            </w:r>
          </w:p>
        </w:tc>
        <w:tc>
          <w:tcPr>
            <w:tcW w:w="11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3197" w:rsidRPr="00A366E4" w:rsidRDefault="00523197" w:rsidP="00B8035B">
            <w:pPr>
              <w:autoSpaceDE w:val="0"/>
              <w:spacing w:before="0" w:after="200" w:line="276" w:lineRule="auto"/>
              <w:contextualSpacing/>
              <w:jc w:val="left"/>
              <w:rPr>
                <w:b/>
                <w:bCs/>
                <w:szCs w:val="24"/>
                <w:lang w:eastAsia="ar-SA"/>
              </w:rPr>
            </w:pPr>
            <w:r w:rsidRPr="00A366E4">
              <w:rPr>
                <w:b/>
                <w:bCs/>
                <w:szCs w:val="24"/>
                <w:lang w:eastAsia="ar-SA"/>
              </w:rPr>
              <w:t xml:space="preserve">Specific objective(s) </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23197" w:rsidRPr="00A366E4" w:rsidRDefault="00523197" w:rsidP="00B8035B">
            <w:pPr>
              <w:autoSpaceDE w:val="0"/>
              <w:spacing w:before="0" w:after="200" w:line="276" w:lineRule="auto"/>
              <w:contextualSpacing/>
              <w:jc w:val="left"/>
              <w:rPr>
                <w:b/>
                <w:bCs/>
                <w:szCs w:val="24"/>
                <w:lang w:eastAsia="ar-SA"/>
              </w:rPr>
            </w:pPr>
            <w:r>
              <w:rPr>
                <w:b/>
                <w:bCs/>
                <w:szCs w:val="24"/>
                <w:lang w:eastAsia="ar-SA"/>
              </w:rPr>
              <w:t>Selected r</w:t>
            </w:r>
            <w:r w:rsidRPr="00A366E4">
              <w:rPr>
                <w:b/>
                <w:bCs/>
                <w:szCs w:val="24"/>
                <w:lang w:eastAsia="ar-SA"/>
              </w:rPr>
              <w:t xml:space="preserve">esults </w:t>
            </w:r>
            <w:r>
              <w:rPr>
                <w:b/>
                <w:bCs/>
                <w:szCs w:val="24"/>
                <w:lang w:eastAsia="ar-SA"/>
              </w:rPr>
              <w:t>indicators</w:t>
            </w:r>
          </w:p>
          <w:p w:rsidR="00523197" w:rsidRPr="00A366E4" w:rsidRDefault="00523197" w:rsidP="00B8035B">
            <w:pPr>
              <w:autoSpaceDE w:val="0"/>
              <w:spacing w:before="0" w:after="200" w:line="276" w:lineRule="auto"/>
              <w:contextualSpacing/>
              <w:jc w:val="left"/>
              <w:rPr>
                <w:b/>
                <w:bCs/>
                <w:szCs w:val="24"/>
                <w:lang w:eastAsia="ar-SA"/>
              </w:rPr>
            </w:pPr>
          </w:p>
        </w:tc>
        <w:tc>
          <w:tcPr>
            <w:tcW w:w="159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23197" w:rsidRDefault="00523197" w:rsidP="00B8035B">
            <w:pPr>
              <w:autoSpaceDE w:val="0"/>
              <w:spacing w:before="0" w:after="200" w:line="276" w:lineRule="auto"/>
              <w:contextualSpacing/>
              <w:jc w:val="left"/>
              <w:rPr>
                <w:b/>
                <w:bCs/>
                <w:szCs w:val="24"/>
                <w:lang w:eastAsia="ar-SA"/>
              </w:rPr>
            </w:pPr>
            <w:r>
              <w:rPr>
                <w:b/>
                <w:bCs/>
                <w:szCs w:val="24"/>
                <w:lang w:eastAsia="ar-SA"/>
              </w:rPr>
              <w:t xml:space="preserve">Selected </w:t>
            </w:r>
          </w:p>
          <w:p w:rsidR="00523197" w:rsidRPr="00A366E4" w:rsidRDefault="00523197" w:rsidP="00B8035B">
            <w:pPr>
              <w:autoSpaceDE w:val="0"/>
              <w:spacing w:before="0" w:after="200" w:line="276" w:lineRule="auto"/>
              <w:contextualSpacing/>
              <w:jc w:val="left"/>
              <w:rPr>
                <w:b/>
                <w:bCs/>
                <w:szCs w:val="24"/>
                <w:lang w:eastAsia="ar-SA"/>
              </w:rPr>
            </w:pPr>
            <w:r>
              <w:rPr>
                <w:b/>
                <w:bCs/>
                <w:szCs w:val="24"/>
                <w:lang w:eastAsia="ar-SA"/>
              </w:rPr>
              <w:t>output i</w:t>
            </w:r>
            <w:r w:rsidRPr="00A366E4">
              <w:rPr>
                <w:b/>
                <w:bCs/>
                <w:szCs w:val="24"/>
                <w:lang w:eastAsia="ar-SA"/>
              </w:rPr>
              <w:t>ndicators</w:t>
            </w:r>
          </w:p>
          <w:p w:rsidR="00523197" w:rsidRPr="00A366E4" w:rsidRDefault="00523197" w:rsidP="00B8035B">
            <w:pPr>
              <w:autoSpaceDE w:val="0"/>
              <w:spacing w:before="0" w:after="200" w:line="276" w:lineRule="auto"/>
              <w:contextualSpacing/>
              <w:jc w:val="left"/>
              <w:rPr>
                <w:b/>
                <w:bCs/>
                <w:szCs w:val="24"/>
                <w:lang w:eastAsia="ar-SA"/>
              </w:rPr>
            </w:pPr>
          </w:p>
        </w:tc>
      </w:tr>
      <w:tr w:rsidR="00523197" w:rsidRPr="0006313C" w:rsidTr="009C66A3">
        <w:tc>
          <w:tcPr>
            <w:tcW w:w="584" w:type="pct"/>
            <w:tcBorders>
              <w:top w:val="single" w:sz="8" w:space="0" w:color="auto"/>
              <w:left w:val="single" w:sz="8" w:space="0" w:color="auto"/>
              <w:bottom w:val="single" w:sz="8" w:space="0" w:color="auto"/>
              <w:right w:val="single" w:sz="8" w:space="0" w:color="auto"/>
            </w:tcBorders>
          </w:tcPr>
          <w:p w:rsidR="00523197" w:rsidRPr="0006313C" w:rsidRDefault="0006313C" w:rsidP="00B8035B">
            <w:pPr>
              <w:autoSpaceDE w:val="0"/>
              <w:spacing w:before="0" w:after="200" w:line="276" w:lineRule="auto"/>
              <w:contextualSpacing/>
              <w:jc w:val="left"/>
              <w:rPr>
                <w:bCs/>
                <w:szCs w:val="24"/>
                <w:lang w:eastAsia="ar-SA"/>
              </w:rPr>
            </w:pPr>
            <w:r>
              <w:rPr>
                <w:bCs/>
                <w:szCs w:val="24"/>
                <w:lang w:eastAsia="ar-SA"/>
              </w:rPr>
              <w:t>PA 4</w:t>
            </w:r>
          </w:p>
          <w:p w:rsidR="00523197" w:rsidRPr="0006313C" w:rsidRDefault="00523197" w:rsidP="00B8035B">
            <w:pPr>
              <w:autoSpaceDE w:val="0"/>
              <w:spacing w:before="0" w:after="200" w:line="276" w:lineRule="auto"/>
              <w:contextualSpacing/>
              <w:jc w:val="left"/>
              <w:rPr>
                <w:bCs/>
                <w:szCs w:val="24"/>
                <w:lang w:eastAsia="ar-SA"/>
              </w:rPr>
            </w:pPr>
          </w:p>
          <w:p w:rsidR="00523197" w:rsidRPr="0006313C" w:rsidRDefault="00523197" w:rsidP="00B8035B">
            <w:pPr>
              <w:autoSpaceDE w:val="0"/>
              <w:spacing w:before="0" w:after="200" w:line="276" w:lineRule="auto"/>
              <w:contextualSpacing/>
              <w:jc w:val="left"/>
              <w:rPr>
                <w:bCs/>
                <w:szCs w:val="24"/>
                <w:lang w:eastAsia="ar-SA"/>
              </w:rPr>
            </w:pPr>
          </w:p>
          <w:p w:rsidR="00523197" w:rsidRPr="0006313C" w:rsidRDefault="00523197" w:rsidP="00B8035B">
            <w:pPr>
              <w:autoSpaceDE w:val="0"/>
              <w:spacing w:before="0" w:after="200" w:line="276" w:lineRule="auto"/>
              <w:contextualSpacing/>
              <w:jc w:val="left"/>
              <w:rPr>
                <w:bCs/>
                <w:szCs w:val="24"/>
                <w:lang w:eastAsia="ar-SA"/>
              </w:rPr>
            </w:pPr>
          </w:p>
          <w:p w:rsidR="00523197" w:rsidRPr="0006313C" w:rsidRDefault="00523197" w:rsidP="00B8035B">
            <w:pPr>
              <w:autoSpaceDE w:val="0"/>
              <w:spacing w:before="0" w:after="200" w:line="276" w:lineRule="auto"/>
              <w:contextualSpacing/>
              <w:jc w:val="left"/>
              <w:rPr>
                <w:bCs/>
                <w:szCs w:val="24"/>
                <w:lang w:eastAsia="ar-SA"/>
              </w:rPr>
            </w:pPr>
          </w:p>
          <w:p w:rsidR="00523197" w:rsidRPr="0006313C" w:rsidRDefault="00523197" w:rsidP="00B8035B">
            <w:pPr>
              <w:autoSpaceDE w:val="0"/>
              <w:spacing w:before="0" w:after="200" w:line="276" w:lineRule="auto"/>
              <w:contextualSpacing/>
              <w:jc w:val="left"/>
              <w:rPr>
                <w:bCs/>
                <w:szCs w:val="24"/>
                <w:lang w:eastAsia="ar-SA"/>
              </w:rPr>
            </w:pPr>
          </w:p>
          <w:p w:rsidR="00523197" w:rsidRPr="0006313C" w:rsidRDefault="00523197" w:rsidP="00B8035B">
            <w:pPr>
              <w:autoSpaceDE w:val="0"/>
              <w:spacing w:before="0" w:after="200" w:line="276" w:lineRule="auto"/>
              <w:contextualSpacing/>
              <w:jc w:val="left"/>
              <w:rPr>
                <w:bCs/>
                <w:szCs w:val="24"/>
                <w:lang w:eastAsia="ar-SA"/>
              </w:rPr>
            </w:pPr>
          </w:p>
          <w:p w:rsidR="00523197" w:rsidRPr="0006313C" w:rsidRDefault="00523197" w:rsidP="00B8035B">
            <w:pPr>
              <w:autoSpaceDE w:val="0"/>
              <w:spacing w:before="0" w:after="200" w:line="276" w:lineRule="auto"/>
              <w:contextualSpacing/>
              <w:jc w:val="left"/>
              <w:rPr>
                <w:bCs/>
                <w:szCs w:val="24"/>
                <w:lang w:eastAsia="ar-SA"/>
              </w:rPr>
            </w:pPr>
          </w:p>
          <w:p w:rsidR="00523197" w:rsidRPr="0006313C" w:rsidRDefault="00523197" w:rsidP="00B8035B">
            <w:pPr>
              <w:autoSpaceDE w:val="0"/>
              <w:spacing w:before="0" w:after="200" w:line="276" w:lineRule="auto"/>
              <w:contextualSpacing/>
              <w:jc w:val="left"/>
              <w:rPr>
                <w:bCs/>
                <w:szCs w:val="24"/>
                <w:lang w:eastAsia="ar-SA"/>
              </w:rPr>
            </w:pPr>
          </w:p>
          <w:p w:rsidR="00523197" w:rsidRPr="0006313C" w:rsidRDefault="00523197" w:rsidP="00B8035B">
            <w:pPr>
              <w:autoSpaceDE w:val="0"/>
              <w:spacing w:before="0" w:after="200" w:line="276" w:lineRule="auto"/>
              <w:contextualSpacing/>
              <w:jc w:val="left"/>
              <w:rPr>
                <w:bCs/>
                <w:szCs w:val="24"/>
                <w:lang w:eastAsia="ar-SA"/>
              </w:rPr>
            </w:pPr>
          </w:p>
          <w:p w:rsidR="00523197" w:rsidRPr="0006313C" w:rsidRDefault="00523197" w:rsidP="00B8035B">
            <w:pPr>
              <w:autoSpaceDE w:val="0"/>
              <w:spacing w:before="0" w:after="200" w:line="276" w:lineRule="auto"/>
              <w:contextualSpacing/>
              <w:jc w:val="left"/>
              <w:rPr>
                <w:bCs/>
                <w:szCs w:val="24"/>
                <w:lang w:eastAsia="ar-SA"/>
              </w:rPr>
            </w:pPr>
          </w:p>
          <w:p w:rsidR="00523197" w:rsidRPr="0006313C" w:rsidRDefault="00523197" w:rsidP="00B8035B">
            <w:pPr>
              <w:autoSpaceDE w:val="0"/>
              <w:spacing w:before="0" w:after="200" w:line="276" w:lineRule="auto"/>
              <w:contextualSpacing/>
              <w:jc w:val="left"/>
              <w:rPr>
                <w:bCs/>
                <w:szCs w:val="24"/>
                <w:lang w:eastAsia="ar-SA"/>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3197" w:rsidRPr="0006313C" w:rsidRDefault="009C66A3" w:rsidP="00B8035B">
            <w:pPr>
              <w:autoSpaceDE w:val="0"/>
              <w:spacing w:before="0" w:after="200" w:line="276" w:lineRule="auto"/>
              <w:contextualSpacing/>
              <w:jc w:val="left"/>
              <w:rPr>
                <w:bCs/>
                <w:szCs w:val="24"/>
                <w:lang w:eastAsia="ar-SA"/>
              </w:rPr>
            </w:pPr>
            <w:r w:rsidRPr="009C66A3">
              <w:rPr>
                <w:bCs/>
                <w:szCs w:val="24"/>
                <w:lang w:eastAsia="ar-SA"/>
              </w:rPr>
              <w:t>Competitiveness and business environment development</w:t>
            </w:r>
          </w:p>
        </w:tc>
        <w:tc>
          <w:tcPr>
            <w:tcW w:w="11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3197" w:rsidRPr="00737911" w:rsidRDefault="00737911" w:rsidP="00737911">
            <w:pPr>
              <w:autoSpaceDE w:val="0"/>
              <w:spacing w:after="200" w:line="276" w:lineRule="auto"/>
              <w:contextualSpacing/>
              <w:jc w:val="left"/>
              <w:rPr>
                <w:bCs/>
                <w:szCs w:val="24"/>
                <w:lang w:eastAsia="ar-SA"/>
              </w:rPr>
            </w:pPr>
            <w:r w:rsidRPr="00737911">
              <w:rPr>
                <w:bCs/>
                <w:szCs w:val="24"/>
                <w:lang w:eastAsia="ar-SA"/>
              </w:rPr>
              <w:t>4.</w:t>
            </w:r>
            <w:r w:rsidR="009862F7">
              <w:rPr>
                <w:bCs/>
                <w:szCs w:val="24"/>
                <w:lang w:eastAsia="ar-SA"/>
              </w:rPr>
              <w:t>1.</w:t>
            </w:r>
            <w:r w:rsidRPr="00737911">
              <w:rPr>
                <w:bCs/>
                <w:szCs w:val="24"/>
                <w:lang w:eastAsia="ar-SA"/>
              </w:rPr>
              <w:t xml:space="preserve"> To enhance institutional infrastructure and services in order to accelerate the competitiveness and development of business environment in the programme area</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60D99" w:rsidRPr="0006313C" w:rsidRDefault="009C6CFA" w:rsidP="009C6CFA">
            <w:pPr>
              <w:autoSpaceDE w:val="0"/>
              <w:spacing w:before="0" w:after="200" w:line="276" w:lineRule="auto"/>
              <w:contextualSpacing/>
              <w:jc w:val="left"/>
              <w:rPr>
                <w:bCs/>
                <w:szCs w:val="24"/>
                <w:lang w:eastAsia="ar-SA"/>
              </w:rPr>
            </w:pPr>
            <w:r w:rsidRPr="009C6CFA">
              <w:rPr>
                <w:bCs/>
                <w:szCs w:val="24"/>
                <w:lang w:eastAsia="ar-SA"/>
              </w:rPr>
              <w:t>Increase in number of new products and/or services jointly developed or implemented</w:t>
            </w:r>
          </w:p>
        </w:tc>
        <w:tc>
          <w:tcPr>
            <w:tcW w:w="159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C6CFA" w:rsidRPr="009C6CFA" w:rsidRDefault="009C6CFA" w:rsidP="009C6CFA">
            <w:pPr>
              <w:spacing w:after="0" w:line="260" w:lineRule="atLeast"/>
              <w:contextualSpacing/>
              <w:jc w:val="left"/>
              <w:rPr>
                <w:color w:val="000000"/>
                <w:szCs w:val="24"/>
              </w:rPr>
            </w:pPr>
            <w:r w:rsidRPr="009C6CFA">
              <w:rPr>
                <w:color w:val="000000"/>
                <w:szCs w:val="24"/>
              </w:rPr>
              <w:t>Number of cross-border business clusters and/or networks developed and/or implemented</w:t>
            </w:r>
          </w:p>
          <w:p w:rsidR="009C6CFA" w:rsidRPr="009C6CFA" w:rsidRDefault="009C6CFA" w:rsidP="009C6CFA">
            <w:pPr>
              <w:spacing w:after="0" w:line="260" w:lineRule="atLeast"/>
              <w:contextualSpacing/>
              <w:jc w:val="left"/>
              <w:rPr>
                <w:color w:val="000000"/>
                <w:szCs w:val="24"/>
              </w:rPr>
            </w:pPr>
          </w:p>
          <w:p w:rsidR="009C6CFA" w:rsidRPr="009C6CFA" w:rsidRDefault="009C6CFA" w:rsidP="009C6CFA">
            <w:pPr>
              <w:spacing w:after="0" w:line="260" w:lineRule="atLeast"/>
              <w:contextualSpacing/>
              <w:jc w:val="left"/>
              <w:rPr>
                <w:color w:val="000000"/>
                <w:szCs w:val="24"/>
              </w:rPr>
            </w:pPr>
            <w:r w:rsidRPr="009C6CFA">
              <w:rPr>
                <w:color w:val="000000"/>
                <w:szCs w:val="24"/>
              </w:rPr>
              <w:t>Number of business support institutions supported</w:t>
            </w:r>
          </w:p>
          <w:p w:rsidR="009C6CFA" w:rsidRPr="009C6CFA" w:rsidRDefault="009C6CFA" w:rsidP="009C6CFA">
            <w:pPr>
              <w:spacing w:after="0" w:line="260" w:lineRule="atLeast"/>
              <w:contextualSpacing/>
              <w:jc w:val="left"/>
              <w:rPr>
                <w:color w:val="000000"/>
                <w:szCs w:val="24"/>
              </w:rPr>
            </w:pPr>
          </w:p>
          <w:p w:rsidR="009C6CFA" w:rsidRPr="009C6CFA" w:rsidRDefault="009C6CFA" w:rsidP="009C6CFA">
            <w:pPr>
              <w:spacing w:after="0" w:line="260" w:lineRule="atLeast"/>
              <w:contextualSpacing/>
              <w:jc w:val="left"/>
              <w:rPr>
                <w:color w:val="000000"/>
                <w:szCs w:val="24"/>
              </w:rPr>
            </w:pPr>
            <w:r w:rsidRPr="009C6CFA">
              <w:rPr>
                <w:color w:val="000000"/>
                <w:szCs w:val="24"/>
              </w:rPr>
              <w:t>Number of laboratories and/or competence centres jointly used by the entrepreneurs developed or improved</w:t>
            </w:r>
          </w:p>
          <w:p w:rsidR="009C6CFA" w:rsidRPr="009C6CFA" w:rsidRDefault="009C6CFA" w:rsidP="009C6CFA">
            <w:pPr>
              <w:spacing w:after="0" w:line="260" w:lineRule="atLeast"/>
              <w:contextualSpacing/>
              <w:jc w:val="left"/>
              <w:rPr>
                <w:color w:val="000000"/>
                <w:szCs w:val="24"/>
              </w:rPr>
            </w:pPr>
          </w:p>
          <w:p w:rsidR="00523197" w:rsidRPr="009C66A3" w:rsidRDefault="009C6CFA" w:rsidP="009C6CFA">
            <w:pPr>
              <w:spacing w:after="0" w:line="260" w:lineRule="atLeast"/>
              <w:contextualSpacing/>
              <w:jc w:val="left"/>
              <w:rPr>
                <w:rFonts w:ascii="Arial" w:hAnsi="Arial" w:cs="Arial"/>
                <w:color w:val="000000"/>
                <w:sz w:val="18"/>
                <w:szCs w:val="18"/>
              </w:rPr>
            </w:pPr>
            <w:r w:rsidRPr="009C6CFA">
              <w:rPr>
                <w:color w:val="000000"/>
                <w:szCs w:val="24"/>
              </w:rPr>
              <w:t>Number of enterprises and business support institutions cooperating with research institutions (CI)</w:t>
            </w:r>
          </w:p>
        </w:tc>
      </w:tr>
    </w:tbl>
    <w:p w:rsidR="00B62861" w:rsidRDefault="00B62861" w:rsidP="00297A73">
      <w:pPr>
        <w:keepNext/>
        <w:spacing w:before="360" w:after="240"/>
        <w:outlineLvl w:val="0"/>
        <w:rPr>
          <w:rFonts w:eastAsia="Times New Roman"/>
          <w:b/>
          <w:bCs/>
          <w:smallCaps/>
          <w:szCs w:val="24"/>
        </w:rPr>
      </w:pPr>
    </w:p>
    <w:p w:rsidR="00B62861" w:rsidRDefault="00B62861" w:rsidP="00B62861">
      <w:r>
        <w:br w:type="page"/>
      </w:r>
    </w:p>
    <w:p w:rsidR="00E4462B" w:rsidRPr="00690517" w:rsidRDefault="00FB701A" w:rsidP="00297A73">
      <w:pPr>
        <w:keepNext/>
        <w:spacing w:before="360" w:after="240"/>
        <w:outlineLvl w:val="0"/>
        <w:rPr>
          <w:rFonts w:eastAsia="Times New Roman"/>
          <w:b/>
          <w:bCs/>
          <w:smallCaps/>
          <w:szCs w:val="24"/>
        </w:rPr>
      </w:pPr>
      <w:r w:rsidRPr="00B76110">
        <w:rPr>
          <w:rFonts w:eastAsia="Times New Roman"/>
          <w:b/>
          <w:bCs/>
          <w:smallCaps/>
          <w:szCs w:val="24"/>
        </w:rPr>
        <w:lastRenderedPageBreak/>
        <w:t>SECTION 3</w:t>
      </w:r>
      <w:r w:rsidRPr="00B76110">
        <w:rPr>
          <w:rFonts w:eastAsia="Times New Roman"/>
          <w:b/>
          <w:bCs/>
          <w:smallCaps/>
          <w:szCs w:val="24"/>
        </w:rPr>
        <w:tab/>
      </w:r>
      <w:r w:rsidRPr="00690517">
        <w:rPr>
          <w:rFonts w:eastAsia="Times New Roman"/>
          <w:b/>
          <w:bCs/>
          <w:smallCaps/>
          <w:szCs w:val="24"/>
        </w:rPr>
        <w:t xml:space="preserve">financing plan </w:t>
      </w:r>
      <w:r w:rsidR="001C2D75">
        <w:rPr>
          <w:rFonts w:eastAsia="Times New Roman"/>
          <w:b/>
          <w:bCs/>
          <w:smallCaps/>
          <w:szCs w:val="24"/>
        </w:rPr>
        <w:t xml:space="preserve"> </w:t>
      </w:r>
    </w:p>
    <w:p w:rsidR="000F3E91" w:rsidRPr="00567F19" w:rsidRDefault="00FB701A" w:rsidP="00567F19">
      <w:pPr>
        <w:rPr>
          <w:szCs w:val="24"/>
        </w:rPr>
      </w:pPr>
      <w:r w:rsidRPr="00567F19">
        <w:rPr>
          <w:szCs w:val="24"/>
        </w:rPr>
        <w:t>(</w:t>
      </w:r>
      <w:r w:rsidR="00F4778D" w:rsidRPr="00567F19">
        <w:rPr>
          <w:szCs w:val="24"/>
        </w:rPr>
        <w:t>R</w:t>
      </w:r>
      <w:r w:rsidR="005609B2" w:rsidRPr="00567F19">
        <w:rPr>
          <w:szCs w:val="24"/>
        </w:rPr>
        <w:t xml:space="preserve">eference: </w:t>
      </w:r>
      <w:r w:rsidR="00C0542A">
        <w:t xml:space="preserve">point (d) of </w:t>
      </w:r>
      <w:r w:rsidR="00F4778D" w:rsidRPr="00567F19">
        <w:t xml:space="preserve">Article </w:t>
      </w:r>
      <w:r w:rsidR="00E4462B" w:rsidRPr="00567F19">
        <w:t>8</w:t>
      </w:r>
      <w:r w:rsidR="00F4778D" w:rsidRPr="00567F19">
        <w:t xml:space="preserve">(2) </w:t>
      </w:r>
      <w:r w:rsidR="00965678" w:rsidRPr="00567F19">
        <w:t>of Regulation (EU) No 1299/2013</w:t>
      </w:r>
      <w:r w:rsidR="00F4778D" w:rsidRPr="00567F19">
        <w:t>)</w:t>
      </w:r>
    </w:p>
    <w:p w:rsidR="004704E8" w:rsidRDefault="00FB701A" w:rsidP="00D17A3D">
      <w:pPr>
        <w:rPr>
          <w:rFonts w:eastAsia="Arial Unicode MS"/>
          <w:b/>
          <w:bCs/>
        </w:rPr>
      </w:pPr>
      <w:r w:rsidRPr="00B76110">
        <w:rPr>
          <w:rFonts w:eastAsia="Arial Unicode MS"/>
          <w:b/>
          <w:bCs/>
        </w:rPr>
        <w:t>3.1</w:t>
      </w:r>
      <w:r w:rsidRPr="00B76110">
        <w:rPr>
          <w:rFonts w:eastAsia="Times New Roman"/>
        </w:rPr>
        <w:t xml:space="preserve"> </w:t>
      </w:r>
      <w:r w:rsidR="00E4462B">
        <w:rPr>
          <w:rFonts w:eastAsia="Arial Unicode MS"/>
          <w:b/>
          <w:bCs/>
        </w:rPr>
        <w:t>F</w:t>
      </w:r>
      <w:r w:rsidRPr="00B76110">
        <w:rPr>
          <w:rFonts w:eastAsia="Arial Unicode MS"/>
          <w:b/>
          <w:bCs/>
        </w:rPr>
        <w:t xml:space="preserve">inancial appropriation from the </w:t>
      </w:r>
      <w:r w:rsidR="00A03B98">
        <w:rPr>
          <w:rFonts w:eastAsia="Arial Unicode MS"/>
          <w:b/>
          <w:bCs/>
        </w:rPr>
        <w:t xml:space="preserve">IPA </w:t>
      </w:r>
      <w:r w:rsidR="0067454E">
        <w:rPr>
          <w:rFonts w:eastAsia="Arial Unicode MS"/>
          <w:b/>
          <w:bCs/>
        </w:rPr>
        <w:t>(</w:t>
      </w:r>
      <w:r w:rsidR="004F222C">
        <w:rPr>
          <w:rFonts w:eastAsia="Arial Unicode MS"/>
          <w:b/>
          <w:bCs/>
        </w:rPr>
        <w:t xml:space="preserve">in </w:t>
      </w:r>
      <w:r w:rsidR="00150B41">
        <w:rPr>
          <w:rFonts w:eastAsia="Arial Unicode MS"/>
          <w:b/>
          <w:bCs/>
        </w:rPr>
        <w:t>EUR</w:t>
      </w:r>
      <w:r w:rsidR="0067454E">
        <w:rPr>
          <w:rFonts w:eastAsia="Arial Unicode MS"/>
          <w:b/>
          <w:bCs/>
        </w:rPr>
        <w:t>)</w:t>
      </w:r>
      <w:r w:rsidRPr="00B76110">
        <w:rPr>
          <w:rFonts w:eastAsia="Arial Unicode MS"/>
          <w:b/>
          <w:bCs/>
        </w:rPr>
        <w:t xml:space="preserve"> </w:t>
      </w:r>
    </w:p>
    <w:p w:rsidR="009F53CD" w:rsidRPr="00567F19" w:rsidRDefault="00FB701A" w:rsidP="00D17A3D">
      <w:pPr>
        <w:rPr>
          <w:rFonts w:eastAsia="Arial Unicode MS"/>
          <w:b/>
          <w:bCs/>
        </w:rPr>
      </w:pPr>
      <w:r w:rsidRPr="00567F19">
        <w:t>(</w:t>
      </w:r>
      <w:r w:rsidR="004704E8" w:rsidRPr="00567F19">
        <w:t xml:space="preserve">Reference: </w:t>
      </w:r>
      <w:r w:rsidR="00C0542A">
        <w:t xml:space="preserve">point (d)(i) of </w:t>
      </w:r>
      <w:r w:rsidRPr="00567F19">
        <w:t xml:space="preserve">Article </w:t>
      </w:r>
      <w:r w:rsidR="00E4462B" w:rsidRPr="00567F19">
        <w:t>8(</w:t>
      </w:r>
      <w:r w:rsidRPr="00567F19">
        <w:t>2</w:t>
      </w:r>
      <w:r w:rsidR="00E4462B" w:rsidRPr="00567F19">
        <w:t>)</w:t>
      </w:r>
      <w:r w:rsidRPr="00567F19">
        <w:t xml:space="preserve"> </w:t>
      </w:r>
      <w:r w:rsidR="00965678" w:rsidRPr="00567F19">
        <w:t>of Regulation (EU) No 1299/2013</w:t>
      </w:r>
      <w:r w:rsidRPr="00567F19">
        <w:t>)</w:t>
      </w:r>
    </w:p>
    <w:p w:rsidR="00FB701A" w:rsidRPr="00567F19" w:rsidRDefault="00FB701A" w:rsidP="00D17A3D">
      <w:pPr>
        <w:rPr>
          <w:rFonts w:eastAsia="Arial Unicode MS"/>
          <w:b/>
        </w:rPr>
      </w:pPr>
      <w:r w:rsidRPr="00567F19">
        <w:rPr>
          <w:rFonts w:eastAsia="Arial Unicode MS"/>
          <w:b/>
        </w:rPr>
        <w:t xml:space="preserve">Table </w:t>
      </w:r>
      <w:r w:rsidR="00AE61D4" w:rsidRPr="00567F19">
        <w:rPr>
          <w:rFonts w:eastAsia="Arial Unicode MS"/>
          <w:b/>
        </w:rPr>
        <w:t>1</w:t>
      </w:r>
      <w:r w:rsidR="006F5014">
        <w:rPr>
          <w:rFonts w:eastAsia="Arial Unicode MS"/>
          <w:b/>
        </w:rPr>
        <w:t>5</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6"/>
        <w:gridCol w:w="1276"/>
        <w:gridCol w:w="1276"/>
        <w:gridCol w:w="1276"/>
        <w:gridCol w:w="1275"/>
        <w:gridCol w:w="1276"/>
        <w:gridCol w:w="1276"/>
        <w:gridCol w:w="992"/>
      </w:tblGrid>
      <w:tr w:rsidR="007D084E" w:rsidRPr="00B76110" w:rsidTr="007D084E">
        <w:trPr>
          <w:trHeight w:val="525"/>
        </w:trPr>
        <w:tc>
          <w:tcPr>
            <w:tcW w:w="851" w:type="dxa"/>
            <w:shd w:val="clear" w:color="auto" w:fill="auto"/>
          </w:tcPr>
          <w:p w:rsidR="00FB701A" w:rsidRPr="00B76110" w:rsidRDefault="00FB701A" w:rsidP="00D17A3D">
            <w:pPr>
              <w:spacing w:after="240"/>
              <w:rPr>
                <w:rFonts w:eastAsia="Times New Roman"/>
                <w:b/>
              </w:rPr>
            </w:pPr>
            <w:r w:rsidRPr="00B76110">
              <w:rPr>
                <w:rFonts w:eastAsia="Times New Roman"/>
                <w:b/>
              </w:rPr>
              <w:t>Fund</w:t>
            </w:r>
          </w:p>
          <w:p w:rsidR="00FB701A" w:rsidRPr="00B76110" w:rsidRDefault="00FB701A" w:rsidP="00B76110">
            <w:pPr>
              <w:spacing w:after="240"/>
              <w:rPr>
                <w:rFonts w:eastAsia="Times New Roman"/>
                <w:b/>
              </w:rPr>
            </w:pPr>
          </w:p>
        </w:tc>
        <w:tc>
          <w:tcPr>
            <w:tcW w:w="1276" w:type="dxa"/>
            <w:shd w:val="clear" w:color="auto" w:fill="auto"/>
          </w:tcPr>
          <w:p w:rsidR="00FB701A" w:rsidRPr="00B76110" w:rsidRDefault="00FB701A" w:rsidP="00D17A3D">
            <w:pPr>
              <w:spacing w:after="240"/>
              <w:rPr>
                <w:rFonts w:eastAsia="Times New Roman"/>
                <w:b/>
              </w:rPr>
            </w:pPr>
            <w:r w:rsidRPr="00B76110">
              <w:rPr>
                <w:rFonts w:eastAsia="Times New Roman"/>
                <w:b/>
              </w:rPr>
              <w:t>2014</w:t>
            </w:r>
          </w:p>
        </w:tc>
        <w:tc>
          <w:tcPr>
            <w:tcW w:w="1276" w:type="dxa"/>
            <w:shd w:val="clear" w:color="auto" w:fill="auto"/>
          </w:tcPr>
          <w:p w:rsidR="00FB701A" w:rsidRPr="00B76110" w:rsidRDefault="00FB701A" w:rsidP="00D17A3D">
            <w:pPr>
              <w:spacing w:after="240"/>
              <w:rPr>
                <w:rFonts w:eastAsia="Times New Roman"/>
                <w:b/>
              </w:rPr>
            </w:pPr>
            <w:r w:rsidRPr="00B76110">
              <w:rPr>
                <w:rFonts w:eastAsia="Times New Roman"/>
                <w:b/>
              </w:rPr>
              <w:t>2015</w:t>
            </w:r>
          </w:p>
        </w:tc>
        <w:tc>
          <w:tcPr>
            <w:tcW w:w="1276" w:type="dxa"/>
            <w:shd w:val="clear" w:color="auto" w:fill="auto"/>
          </w:tcPr>
          <w:p w:rsidR="00FB701A" w:rsidRPr="00B76110" w:rsidRDefault="00FB701A" w:rsidP="00D17A3D">
            <w:pPr>
              <w:spacing w:after="240"/>
              <w:rPr>
                <w:rFonts w:eastAsia="Times New Roman"/>
                <w:b/>
              </w:rPr>
            </w:pPr>
            <w:r w:rsidRPr="00B76110">
              <w:rPr>
                <w:rFonts w:eastAsia="Times New Roman"/>
                <w:b/>
              </w:rPr>
              <w:t>2016</w:t>
            </w:r>
          </w:p>
        </w:tc>
        <w:tc>
          <w:tcPr>
            <w:tcW w:w="1276" w:type="dxa"/>
            <w:shd w:val="clear" w:color="auto" w:fill="auto"/>
          </w:tcPr>
          <w:p w:rsidR="00FB701A" w:rsidRPr="00B76110" w:rsidRDefault="00FB701A" w:rsidP="00D17A3D">
            <w:pPr>
              <w:spacing w:after="240"/>
              <w:rPr>
                <w:rFonts w:eastAsia="Times New Roman"/>
                <w:b/>
              </w:rPr>
            </w:pPr>
            <w:r w:rsidRPr="00B76110">
              <w:rPr>
                <w:rFonts w:eastAsia="Times New Roman"/>
                <w:b/>
              </w:rPr>
              <w:t>2017</w:t>
            </w:r>
          </w:p>
        </w:tc>
        <w:tc>
          <w:tcPr>
            <w:tcW w:w="1275" w:type="dxa"/>
            <w:shd w:val="clear" w:color="auto" w:fill="auto"/>
          </w:tcPr>
          <w:p w:rsidR="00FB701A" w:rsidRPr="00B76110" w:rsidRDefault="00FB701A" w:rsidP="00D17A3D">
            <w:pPr>
              <w:spacing w:after="240"/>
              <w:rPr>
                <w:rFonts w:eastAsia="Times New Roman"/>
                <w:b/>
              </w:rPr>
            </w:pPr>
            <w:r w:rsidRPr="00B76110">
              <w:rPr>
                <w:rFonts w:eastAsia="Times New Roman"/>
                <w:b/>
              </w:rPr>
              <w:t>2018</w:t>
            </w:r>
          </w:p>
        </w:tc>
        <w:tc>
          <w:tcPr>
            <w:tcW w:w="1276" w:type="dxa"/>
            <w:shd w:val="clear" w:color="auto" w:fill="auto"/>
          </w:tcPr>
          <w:p w:rsidR="00FB701A" w:rsidRPr="00B76110" w:rsidRDefault="00FB701A" w:rsidP="00D17A3D">
            <w:pPr>
              <w:spacing w:after="240"/>
              <w:rPr>
                <w:rFonts w:eastAsia="Times New Roman"/>
                <w:b/>
              </w:rPr>
            </w:pPr>
            <w:r w:rsidRPr="00B76110">
              <w:rPr>
                <w:rFonts w:eastAsia="Times New Roman"/>
                <w:b/>
              </w:rPr>
              <w:t>2019</w:t>
            </w:r>
          </w:p>
        </w:tc>
        <w:tc>
          <w:tcPr>
            <w:tcW w:w="1276" w:type="dxa"/>
            <w:shd w:val="clear" w:color="auto" w:fill="auto"/>
          </w:tcPr>
          <w:p w:rsidR="00FB701A" w:rsidRPr="00B76110" w:rsidRDefault="00FB701A" w:rsidP="00D17A3D">
            <w:pPr>
              <w:spacing w:after="240"/>
              <w:rPr>
                <w:rFonts w:eastAsia="Times New Roman"/>
                <w:b/>
              </w:rPr>
            </w:pPr>
            <w:r w:rsidRPr="00B76110">
              <w:rPr>
                <w:rFonts w:eastAsia="Times New Roman"/>
                <w:b/>
              </w:rPr>
              <w:t>2020</w:t>
            </w:r>
          </w:p>
        </w:tc>
        <w:tc>
          <w:tcPr>
            <w:tcW w:w="992" w:type="dxa"/>
            <w:shd w:val="clear" w:color="auto" w:fill="auto"/>
          </w:tcPr>
          <w:p w:rsidR="00FB701A" w:rsidRPr="00B76110" w:rsidRDefault="00FB701A" w:rsidP="00D17A3D">
            <w:pPr>
              <w:spacing w:after="240"/>
              <w:rPr>
                <w:rFonts w:eastAsia="Times New Roman"/>
                <w:b/>
              </w:rPr>
            </w:pPr>
            <w:r w:rsidRPr="00B76110">
              <w:rPr>
                <w:rFonts w:eastAsia="Times New Roman"/>
                <w:b/>
              </w:rPr>
              <w:t>Total</w:t>
            </w:r>
          </w:p>
        </w:tc>
      </w:tr>
      <w:tr w:rsidR="007D084E" w:rsidRPr="00CE2359" w:rsidDel="00F57C97" w:rsidTr="007D084E">
        <w:trPr>
          <w:trHeight w:val="525"/>
        </w:trPr>
        <w:tc>
          <w:tcPr>
            <w:tcW w:w="851" w:type="dxa"/>
            <w:shd w:val="clear" w:color="auto" w:fill="auto"/>
          </w:tcPr>
          <w:p w:rsidR="00FB701A" w:rsidRPr="00CE2359" w:rsidRDefault="00A03B98" w:rsidP="00D17A3D">
            <w:pPr>
              <w:spacing w:after="240"/>
              <w:rPr>
                <w:rFonts w:eastAsia="Times New Roman"/>
                <w:szCs w:val="24"/>
              </w:rPr>
            </w:pPr>
            <w:r w:rsidRPr="00CE2359">
              <w:rPr>
                <w:rFonts w:eastAsia="Times New Roman"/>
                <w:szCs w:val="24"/>
              </w:rPr>
              <w:t>IPA</w:t>
            </w:r>
          </w:p>
        </w:tc>
        <w:tc>
          <w:tcPr>
            <w:tcW w:w="1276" w:type="dxa"/>
            <w:shd w:val="clear" w:color="auto" w:fill="auto"/>
          </w:tcPr>
          <w:p w:rsidR="00FB701A" w:rsidRPr="00CE2359" w:rsidRDefault="007D084E" w:rsidP="00B76110">
            <w:pPr>
              <w:spacing w:after="240"/>
              <w:rPr>
                <w:rFonts w:eastAsia="Times New Roman"/>
                <w:szCs w:val="24"/>
                <w:lang w:val="nb-NO"/>
              </w:rPr>
            </w:pPr>
            <w:r w:rsidRPr="007D084E">
              <w:rPr>
                <w:rFonts w:eastAsia="Times New Roman"/>
                <w:szCs w:val="24"/>
                <w:lang w:val="nb-NO"/>
              </w:rPr>
              <w:t>1.417.474</w:t>
            </w:r>
          </w:p>
        </w:tc>
        <w:tc>
          <w:tcPr>
            <w:tcW w:w="1276" w:type="dxa"/>
            <w:shd w:val="clear" w:color="auto" w:fill="auto"/>
          </w:tcPr>
          <w:p w:rsidR="00FB701A" w:rsidRPr="00CE2359" w:rsidRDefault="007D084E" w:rsidP="00B76110">
            <w:pPr>
              <w:spacing w:after="240"/>
              <w:rPr>
                <w:rFonts w:eastAsia="Times New Roman"/>
                <w:szCs w:val="24"/>
                <w:lang w:val="nb-NO"/>
              </w:rPr>
            </w:pPr>
            <w:r>
              <w:rPr>
                <w:rFonts w:ascii="UICTFontTextStyleBody" w:eastAsia="Times New Roman" w:hAnsi="UICTFontTextStyleBody"/>
              </w:rPr>
              <w:t>2.069.704</w:t>
            </w:r>
          </w:p>
        </w:tc>
        <w:tc>
          <w:tcPr>
            <w:tcW w:w="1276" w:type="dxa"/>
            <w:shd w:val="clear" w:color="auto" w:fill="auto"/>
          </w:tcPr>
          <w:p w:rsidR="00FB701A" w:rsidRPr="00CE2359" w:rsidRDefault="007D084E" w:rsidP="00B76110">
            <w:pPr>
              <w:spacing w:after="240"/>
              <w:rPr>
                <w:rFonts w:eastAsia="Times New Roman"/>
                <w:szCs w:val="24"/>
                <w:lang w:val="nb-NO"/>
              </w:rPr>
            </w:pPr>
            <w:r>
              <w:rPr>
                <w:rFonts w:ascii="UICTFontTextStyleBody" w:eastAsia="Times New Roman" w:hAnsi="UICTFontTextStyleBody"/>
              </w:rPr>
              <w:t>2.955.668</w:t>
            </w:r>
          </w:p>
        </w:tc>
        <w:tc>
          <w:tcPr>
            <w:tcW w:w="1276" w:type="dxa"/>
            <w:shd w:val="clear" w:color="auto" w:fill="auto"/>
          </w:tcPr>
          <w:p w:rsidR="00FB701A" w:rsidRPr="00CE2359" w:rsidRDefault="007D084E" w:rsidP="009F3089">
            <w:pPr>
              <w:spacing w:after="240"/>
              <w:rPr>
                <w:rFonts w:eastAsia="Times New Roman"/>
                <w:szCs w:val="24"/>
                <w:lang w:val="nb-NO"/>
              </w:rPr>
            </w:pPr>
            <w:r>
              <w:rPr>
                <w:rFonts w:ascii="UICTFontTextStyleBody" w:eastAsia="Times New Roman" w:hAnsi="UICTFontTextStyleBody"/>
              </w:rPr>
              <w:t>5.370.430</w:t>
            </w:r>
          </w:p>
        </w:tc>
        <w:tc>
          <w:tcPr>
            <w:tcW w:w="1275" w:type="dxa"/>
            <w:shd w:val="clear" w:color="auto" w:fill="auto"/>
          </w:tcPr>
          <w:p w:rsidR="00FB701A" w:rsidRPr="00CE2359" w:rsidRDefault="007D084E" w:rsidP="00693173">
            <w:pPr>
              <w:spacing w:after="240"/>
              <w:rPr>
                <w:rFonts w:eastAsia="Times New Roman"/>
                <w:szCs w:val="24"/>
                <w:lang w:val="nb-NO"/>
              </w:rPr>
            </w:pPr>
            <w:r>
              <w:rPr>
                <w:rFonts w:ascii="UICTFontTextStyleBody" w:eastAsia="Times New Roman" w:hAnsi="UICTFontTextStyleBody"/>
              </w:rPr>
              <w:t>5.477.840</w:t>
            </w:r>
          </w:p>
        </w:tc>
        <w:tc>
          <w:tcPr>
            <w:tcW w:w="1276" w:type="dxa"/>
            <w:shd w:val="clear" w:color="auto" w:fill="auto"/>
          </w:tcPr>
          <w:p w:rsidR="00FB701A" w:rsidRPr="00CE2359" w:rsidRDefault="007D084E" w:rsidP="00F056AF">
            <w:pPr>
              <w:spacing w:after="240"/>
              <w:rPr>
                <w:rFonts w:eastAsia="Times New Roman"/>
                <w:szCs w:val="24"/>
                <w:lang w:val="nb-NO"/>
              </w:rPr>
            </w:pPr>
            <w:r>
              <w:rPr>
                <w:rFonts w:ascii="UICTFontTextStyleBody" w:eastAsia="Times New Roman" w:hAnsi="UICTFontTextStyleBody"/>
              </w:rPr>
              <w:t>5.587.397</w:t>
            </w:r>
          </w:p>
        </w:tc>
        <w:tc>
          <w:tcPr>
            <w:tcW w:w="1276" w:type="dxa"/>
            <w:shd w:val="clear" w:color="auto" w:fill="auto"/>
          </w:tcPr>
          <w:p w:rsidR="00FB701A" w:rsidRPr="00CE2359" w:rsidRDefault="007D084E" w:rsidP="006D701A">
            <w:pPr>
              <w:spacing w:after="240"/>
              <w:rPr>
                <w:rFonts w:eastAsia="Times New Roman"/>
                <w:szCs w:val="24"/>
                <w:lang w:val="nb-NO"/>
              </w:rPr>
            </w:pPr>
            <w:r>
              <w:rPr>
                <w:rFonts w:ascii="UICTFontTextStyleBody" w:eastAsia="Times New Roman" w:hAnsi="UICTFontTextStyleBody"/>
              </w:rPr>
              <w:t>5.699.145</w:t>
            </w:r>
          </w:p>
        </w:tc>
        <w:tc>
          <w:tcPr>
            <w:tcW w:w="992" w:type="dxa"/>
            <w:shd w:val="clear" w:color="auto" w:fill="auto"/>
          </w:tcPr>
          <w:p w:rsidR="00FB701A" w:rsidRPr="00CE2359" w:rsidDel="00F57C97" w:rsidRDefault="00DF4ACE" w:rsidP="00114DC7">
            <w:pPr>
              <w:spacing w:after="240"/>
              <w:rPr>
                <w:rFonts w:eastAsia="Times New Roman"/>
                <w:szCs w:val="24"/>
                <w:lang w:val="nb-NO"/>
              </w:rPr>
            </w:pPr>
            <w:r>
              <w:rPr>
                <w:rFonts w:eastAsia="Times New Roman"/>
                <w:szCs w:val="24"/>
                <w:lang w:val="nb-NO"/>
              </w:rPr>
              <w:t>28</w:t>
            </w:r>
            <w:r w:rsidR="00CE2359">
              <w:rPr>
                <w:rFonts w:eastAsia="Times New Roman"/>
                <w:szCs w:val="24"/>
                <w:lang w:val="nb-NO"/>
              </w:rPr>
              <w:t>.</w:t>
            </w:r>
            <w:r w:rsidR="00114DC7">
              <w:rPr>
                <w:rFonts w:eastAsia="Times New Roman"/>
                <w:szCs w:val="24"/>
                <w:lang w:val="nb-NO"/>
              </w:rPr>
              <w:t>577</w:t>
            </w:r>
            <w:r w:rsidR="00CE2359">
              <w:rPr>
                <w:rFonts w:eastAsia="Times New Roman"/>
                <w:szCs w:val="24"/>
                <w:lang w:val="nb-NO"/>
              </w:rPr>
              <w:t>.</w:t>
            </w:r>
            <w:r w:rsidR="00114DC7">
              <w:rPr>
                <w:rFonts w:eastAsia="Times New Roman"/>
                <w:szCs w:val="24"/>
                <w:lang w:val="nb-NO"/>
              </w:rPr>
              <w:t>658</w:t>
            </w:r>
            <w:r w:rsidR="00CE2359">
              <w:rPr>
                <w:rFonts w:eastAsia="Times New Roman"/>
                <w:szCs w:val="24"/>
                <w:lang w:val="nb-NO"/>
              </w:rPr>
              <w:t>,00</w:t>
            </w:r>
          </w:p>
        </w:tc>
      </w:tr>
      <w:tr w:rsidR="00DF4ACE" w:rsidRPr="00CE2359" w:rsidDel="00F57C97" w:rsidTr="007D084E">
        <w:trPr>
          <w:trHeight w:val="525"/>
        </w:trPr>
        <w:tc>
          <w:tcPr>
            <w:tcW w:w="851" w:type="dxa"/>
            <w:shd w:val="clear" w:color="auto" w:fill="auto"/>
          </w:tcPr>
          <w:p w:rsidR="00DF4ACE" w:rsidRPr="00CE2359" w:rsidRDefault="00DF4ACE" w:rsidP="0037732C">
            <w:pPr>
              <w:spacing w:after="240"/>
              <w:rPr>
                <w:rFonts w:eastAsia="Times New Roman"/>
                <w:szCs w:val="24"/>
              </w:rPr>
            </w:pPr>
            <w:r>
              <w:rPr>
                <w:rFonts w:eastAsia="Times New Roman"/>
                <w:szCs w:val="24"/>
              </w:rPr>
              <w:t>ERDF</w:t>
            </w:r>
          </w:p>
        </w:tc>
        <w:tc>
          <w:tcPr>
            <w:tcW w:w="1276" w:type="dxa"/>
            <w:shd w:val="clear" w:color="auto" w:fill="auto"/>
          </w:tcPr>
          <w:p w:rsidR="00DF4ACE" w:rsidRPr="00CE2359" w:rsidRDefault="00DF4ACE" w:rsidP="0037732C">
            <w:pPr>
              <w:spacing w:after="240"/>
              <w:rPr>
                <w:rFonts w:eastAsia="Times New Roman"/>
                <w:szCs w:val="24"/>
                <w:lang w:val="nb-NO"/>
              </w:rPr>
            </w:pPr>
            <w:r w:rsidRPr="007D084E">
              <w:rPr>
                <w:rFonts w:eastAsia="Times New Roman"/>
                <w:szCs w:val="24"/>
                <w:lang w:val="nb-NO"/>
              </w:rPr>
              <w:t>1.417.474</w:t>
            </w:r>
          </w:p>
        </w:tc>
        <w:tc>
          <w:tcPr>
            <w:tcW w:w="1276" w:type="dxa"/>
            <w:shd w:val="clear" w:color="auto" w:fill="auto"/>
          </w:tcPr>
          <w:p w:rsidR="00DF4ACE" w:rsidRPr="00CE2359" w:rsidRDefault="00DF4ACE" w:rsidP="0037732C">
            <w:pPr>
              <w:spacing w:after="240"/>
              <w:rPr>
                <w:rFonts w:eastAsia="Times New Roman"/>
                <w:szCs w:val="24"/>
                <w:lang w:val="nb-NO"/>
              </w:rPr>
            </w:pPr>
            <w:r>
              <w:rPr>
                <w:rFonts w:ascii="UICTFontTextStyleBody" w:eastAsia="Times New Roman" w:hAnsi="UICTFontTextStyleBody"/>
              </w:rPr>
              <w:t>2.069.704</w:t>
            </w:r>
          </w:p>
        </w:tc>
        <w:tc>
          <w:tcPr>
            <w:tcW w:w="1276" w:type="dxa"/>
            <w:shd w:val="clear" w:color="auto" w:fill="auto"/>
          </w:tcPr>
          <w:p w:rsidR="00DF4ACE" w:rsidRPr="00CE2359" w:rsidRDefault="00DF4ACE" w:rsidP="0037732C">
            <w:pPr>
              <w:spacing w:after="240"/>
              <w:rPr>
                <w:rFonts w:eastAsia="Times New Roman"/>
                <w:szCs w:val="24"/>
                <w:lang w:val="nb-NO"/>
              </w:rPr>
            </w:pPr>
            <w:r>
              <w:rPr>
                <w:rFonts w:ascii="UICTFontTextStyleBody" w:eastAsia="Times New Roman" w:hAnsi="UICTFontTextStyleBody"/>
              </w:rPr>
              <w:t>2.955.668</w:t>
            </w:r>
          </w:p>
        </w:tc>
        <w:tc>
          <w:tcPr>
            <w:tcW w:w="1276" w:type="dxa"/>
            <w:shd w:val="clear" w:color="auto" w:fill="auto"/>
          </w:tcPr>
          <w:p w:rsidR="00DF4ACE" w:rsidRPr="00CE2359" w:rsidRDefault="00DF4ACE" w:rsidP="0037732C">
            <w:pPr>
              <w:spacing w:after="240"/>
              <w:rPr>
                <w:rFonts w:eastAsia="Times New Roman"/>
                <w:szCs w:val="24"/>
                <w:lang w:val="nb-NO"/>
              </w:rPr>
            </w:pPr>
            <w:r>
              <w:rPr>
                <w:rFonts w:ascii="UICTFontTextStyleBody" w:eastAsia="Times New Roman" w:hAnsi="UICTFontTextStyleBody"/>
              </w:rPr>
              <w:t>5.370.430</w:t>
            </w:r>
          </w:p>
        </w:tc>
        <w:tc>
          <w:tcPr>
            <w:tcW w:w="1275" w:type="dxa"/>
            <w:shd w:val="clear" w:color="auto" w:fill="auto"/>
          </w:tcPr>
          <w:p w:rsidR="00DF4ACE" w:rsidRPr="00CE2359" w:rsidRDefault="00DF4ACE" w:rsidP="0037732C">
            <w:pPr>
              <w:spacing w:after="240"/>
              <w:rPr>
                <w:rFonts w:eastAsia="Times New Roman"/>
                <w:szCs w:val="24"/>
                <w:lang w:val="nb-NO"/>
              </w:rPr>
            </w:pPr>
            <w:r>
              <w:rPr>
                <w:rFonts w:ascii="UICTFontTextStyleBody" w:eastAsia="Times New Roman" w:hAnsi="UICTFontTextStyleBody"/>
              </w:rPr>
              <w:t>5.477.840</w:t>
            </w:r>
          </w:p>
        </w:tc>
        <w:tc>
          <w:tcPr>
            <w:tcW w:w="1276" w:type="dxa"/>
            <w:shd w:val="clear" w:color="auto" w:fill="auto"/>
          </w:tcPr>
          <w:p w:rsidR="00DF4ACE" w:rsidRPr="00CE2359" w:rsidRDefault="00DF4ACE" w:rsidP="0037732C">
            <w:pPr>
              <w:spacing w:after="240"/>
              <w:rPr>
                <w:rFonts w:eastAsia="Times New Roman"/>
                <w:szCs w:val="24"/>
                <w:lang w:val="nb-NO"/>
              </w:rPr>
            </w:pPr>
            <w:r>
              <w:rPr>
                <w:rFonts w:ascii="UICTFontTextStyleBody" w:eastAsia="Times New Roman" w:hAnsi="UICTFontTextStyleBody"/>
              </w:rPr>
              <w:t>5.587.397</w:t>
            </w:r>
          </w:p>
        </w:tc>
        <w:tc>
          <w:tcPr>
            <w:tcW w:w="1276" w:type="dxa"/>
            <w:shd w:val="clear" w:color="auto" w:fill="auto"/>
          </w:tcPr>
          <w:p w:rsidR="00DF4ACE" w:rsidRPr="00CE2359" w:rsidRDefault="00DF4ACE" w:rsidP="0037732C">
            <w:pPr>
              <w:spacing w:after="240"/>
              <w:rPr>
                <w:rFonts w:eastAsia="Times New Roman"/>
                <w:szCs w:val="24"/>
                <w:lang w:val="nb-NO"/>
              </w:rPr>
            </w:pPr>
            <w:r>
              <w:rPr>
                <w:rFonts w:ascii="UICTFontTextStyleBody" w:eastAsia="Times New Roman" w:hAnsi="UICTFontTextStyleBody"/>
              </w:rPr>
              <w:t>5.699.145</w:t>
            </w:r>
          </w:p>
        </w:tc>
        <w:tc>
          <w:tcPr>
            <w:tcW w:w="992" w:type="dxa"/>
            <w:shd w:val="clear" w:color="auto" w:fill="auto"/>
          </w:tcPr>
          <w:p w:rsidR="00DF4ACE" w:rsidRPr="00CE2359" w:rsidDel="00F57C97" w:rsidRDefault="00DF4ACE" w:rsidP="00114DC7">
            <w:pPr>
              <w:spacing w:after="240"/>
              <w:rPr>
                <w:rFonts w:eastAsia="Times New Roman"/>
                <w:szCs w:val="24"/>
                <w:lang w:val="nb-NO"/>
              </w:rPr>
            </w:pPr>
            <w:r>
              <w:rPr>
                <w:rFonts w:eastAsia="Times New Roman"/>
                <w:szCs w:val="24"/>
                <w:lang w:val="nb-NO"/>
              </w:rPr>
              <w:t>28.</w:t>
            </w:r>
            <w:r w:rsidR="00114DC7">
              <w:rPr>
                <w:rFonts w:eastAsia="Times New Roman"/>
                <w:szCs w:val="24"/>
                <w:lang w:val="nb-NO"/>
              </w:rPr>
              <w:t>577</w:t>
            </w:r>
            <w:r>
              <w:rPr>
                <w:rFonts w:eastAsia="Times New Roman"/>
                <w:szCs w:val="24"/>
                <w:lang w:val="nb-NO"/>
              </w:rPr>
              <w:t>.</w:t>
            </w:r>
            <w:r w:rsidR="00114DC7">
              <w:rPr>
                <w:rFonts w:eastAsia="Times New Roman"/>
                <w:szCs w:val="24"/>
                <w:lang w:val="nb-NO"/>
              </w:rPr>
              <w:t>658</w:t>
            </w:r>
            <w:r>
              <w:rPr>
                <w:rFonts w:eastAsia="Times New Roman"/>
                <w:szCs w:val="24"/>
                <w:lang w:val="nb-NO"/>
              </w:rPr>
              <w:t>,00</w:t>
            </w:r>
          </w:p>
        </w:tc>
      </w:tr>
    </w:tbl>
    <w:p w:rsidR="006A4BDD" w:rsidRDefault="006A4BDD" w:rsidP="00D17A3D">
      <w:pPr>
        <w:rPr>
          <w:rFonts w:eastAsia="Arial Unicode MS"/>
          <w:b/>
        </w:rPr>
        <w:sectPr w:rsidR="006A4BDD" w:rsidSect="006A4BDD">
          <w:headerReference w:type="default" r:id="rId47"/>
          <w:footerReference w:type="default" r:id="rId48"/>
          <w:headerReference w:type="first" r:id="rId49"/>
          <w:footerReference w:type="first" r:id="rId50"/>
          <w:pgSz w:w="11906" w:h="16838"/>
          <w:pgMar w:top="1020" w:right="1701" w:bottom="1020" w:left="1587" w:header="601" w:footer="1077" w:gutter="0"/>
          <w:cols w:space="720"/>
          <w:docGrid w:linePitch="326"/>
        </w:sectPr>
      </w:pPr>
    </w:p>
    <w:p w:rsidR="00F4778D" w:rsidRDefault="00FB701A" w:rsidP="00D17A3D">
      <w:pPr>
        <w:tabs>
          <w:tab w:val="left" w:pos="426"/>
        </w:tabs>
        <w:suppressAutoHyphens/>
        <w:spacing w:before="240"/>
        <w:rPr>
          <w:rFonts w:eastAsia="Arial Unicode MS"/>
          <w:b/>
          <w:szCs w:val="24"/>
          <w:lang w:eastAsia="ar-SA"/>
        </w:rPr>
      </w:pPr>
      <w:r w:rsidRPr="00B76110">
        <w:rPr>
          <w:rFonts w:eastAsia="Arial Unicode MS"/>
          <w:b/>
          <w:bCs/>
          <w:szCs w:val="24"/>
          <w:lang w:eastAsia="ar-SA"/>
        </w:rPr>
        <w:lastRenderedPageBreak/>
        <w:t>3.2.</w:t>
      </w:r>
      <w:r w:rsidR="00690517">
        <w:rPr>
          <w:rFonts w:eastAsia="Arial Unicode MS"/>
          <w:b/>
          <w:bCs/>
          <w:szCs w:val="24"/>
          <w:lang w:eastAsia="ar-SA"/>
        </w:rPr>
        <w:t>1</w:t>
      </w:r>
      <w:r w:rsidRPr="00B76110">
        <w:rPr>
          <w:rFonts w:eastAsia="Arial Unicode MS"/>
          <w:b/>
          <w:bCs/>
          <w:szCs w:val="24"/>
          <w:lang w:eastAsia="ar-SA"/>
        </w:rPr>
        <w:t xml:space="preserve"> </w:t>
      </w:r>
      <w:r w:rsidR="00D712D9">
        <w:rPr>
          <w:rFonts w:eastAsia="Arial Unicode MS"/>
          <w:b/>
          <w:bCs/>
          <w:szCs w:val="24"/>
          <w:lang w:eastAsia="ar-SA"/>
        </w:rPr>
        <w:t>T</w:t>
      </w:r>
      <w:r w:rsidRPr="00B76110">
        <w:rPr>
          <w:rFonts w:eastAsia="Arial Unicode MS"/>
          <w:b/>
          <w:bCs/>
          <w:szCs w:val="24"/>
          <w:lang w:eastAsia="ar-SA"/>
        </w:rPr>
        <w:t xml:space="preserve">otal financial appropriation from the </w:t>
      </w:r>
      <w:r w:rsidR="00A03B98">
        <w:rPr>
          <w:rFonts w:eastAsia="Arial Unicode MS"/>
          <w:b/>
          <w:bCs/>
          <w:szCs w:val="24"/>
          <w:lang w:eastAsia="ar-SA"/>
        </w:rPr>
        <w:t>IPA</w:t>
      </w:r>
      <w:r w:rsidR="00A03B98" w:rsidRPr="00B76110">
        <w:rPr>
          <w:rFonts w:eastAsia="Arial Unicode MS"/>
          <w:b/>
          <w:bCs/>
          <w:szCs w:val="24"/>
          <w:lang w:eastAsia="ar-SA"/>
        </w:rPr>
        <w:t xml:space="preserve"> </w:t>
      </w:r>
      <w:r w:rsidRPr="00B76110">
        <w:rPr>
          <w:rFonts w:eastAsia="Arial Unicode MS"/>
          <w:b/>
          <w:bCs/>
          <w:szCs w:val="24"/>
          <w:lang w:eastAsia="ar-SA"/>
        </w:rPr>
        <w:t>and national co-financing</w:t>
      </w:r>
      <w:r w:rsidR="00F4778D">
        <w:rPr>
          <w:rFonts w:eastAsia="Arial Unicode MS"/>
          <w:b/>
          <w:bCs/>
          <w:szCs w:val="24"/>
          <w:lang w:eastAsia="ar-SA"/>
        </w:rPr>
        <w:t xml:space="preserve"> </w:t>
      </w:r>
      <w:r w:rsidR="0067454E">
        <w:rPr>
          <w:rFonts w:eastAsia="Arial Unicode MS"/>
          <w:b/>
          <w:szCs w:val="24"/>
          <w:lang w:eastAsia="ar-SA"/>
        </w:rPr>
        <w:t>(</w:t>
      </w:r>
      <w:r w:rsidR="004F222C">
        <w:rPr>
          <w:rFonts w:eastAsia="Arial Unicode MS"/>
          <w:b/>
          <w:szCs w:val="24"/>
          <w:lang w:eastAsia="ar-SA"/>
        </w:rPr>
        <w:t xml:space="preserve">in </w:t>
      </w:r>
      <w:r w:rsidR="00C0542A">
        <w:rPr>
          <w:rFonts w:eastAsia="Arial Unicode MS"/>
          <w:b/>
          <w:szCs w:val="24"/>
          <w:lang w:eastAsia="ar-SA"/>
        </w:rPr>
        <w:t>EUR</w:t>
      </w:r>
      <w:r w:rsidR="0067454E">
        <w:rPr>
          <w:rFonts w:eastAsia="Arial Unicode MS"/>
          <w:b/>
          <w:szCs w:val="24"/>
          <w:lang w:eastAsia="ar-SA"/>
        </w:rPr>
        <w:t>)</w:t>
      </w:r>
      <w:r w:rsidRPr="00B76110">
        <w:rPr>
          <w:rFonts w:eastAsia="Arial Unicode MS"/>
          <w:b/>
          <w:szCs w:val="24"/>
          <w:lang w:eastAsia="ar-SA"/>
        </w:rPr>
        <w:t xml:space="preserve"> </w:t>
      </w:r>
    </w:p>
    <w:p w:rsidR="00FB701A" w:rsidRPr="00693EB4" w:rsidRDefault="00FB701A" w:rsidP="00693EB4">
      <w:pPr>
        <w:rPr>
          <w:lang w:eastAsia="ar-SA"/>
        </w:rPr>
      </w:pPr>
      <w:r w:rsidRPr="00567F19">
        <w:rPr>
          <w:lang w:eastAsia="ar-SA"/>
        </w:rPr>
        <w:t>(</w:t>
      </w:r>
      <w:r w:rsidR="005609B2" w:rsidRPr="00567F19">
        <w:rPr>
          <w:lang w:eastAsia="ar-SA"/>
        </w:rPr>
        <w:t xml:space="preserve">Reference: </w:t>
      </w:r>
      <w:r w:rsidR="00C0542A">
        <w:t xml:space="preserve">point (d)(ii) of </w:t>
      </w:r>
      <w:r w:rsidRPr="00567F19">
        <w:rPr>
          <w:lang w:eastAsia="ar-SA"/>
        </w:rPr>
        <w:t xml:space="preserve">Article </w:t>
      </w:r>
      <w:r w:rsidR="00D712D9" w:rsidRPr="00567F19">
        <w:rPr>
          <w:lang w:eastAsia="ar-SA"/>
        </w:rPr>
        <w:t>8</w:t>
      </w:r>
      <w:r w:rsidRPr="00567F19">
        <w:rPr>
          <w:lang w:eastAsia="ar-SA"/>
        </w:rPr>
        <w:t xml:space="preserve">(2) </w:t>
      </w:r>
      <w:r w:rsidR="00C14ABF" w:rsidRPr="00567F19">
        <w:rPr>
          <w:lang w:eastAsia="ar-SA"/>
        </w:rPr>
        <w:t xml:space="preserve">of </w:t>
      </w:r>
      <w:r w:rsidR="00C14ABF" w:rsidRPr="00FE67A0">
        <w:rPr>
          <w:lang w:eastAsia="ar-SA"/>
        </w:rPr>
        <w:t>Regulation</w:t>
      </w:r>
      <w:r w:rsidR="00C14ABF" w:rsidRPr="00567F19">
        <w:rPr>
          <w:lang w:eastAsia="ar-SA"/>
        </w:rPr>
        <w:t xml:space="preserve"> (EU) </w:t>
      </w:r>
      <w:r w:rsidR="00C14ABF">
        <w:rPr>
          <w:lang w:eastAsia="ar-SA"/>
        </w:rPr>
        <w:t>No 1299/2013</w:t>
      </w:r>
      <w:r w:rsidR="00A35CB2">
        <w:rPr>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FB701A" w:rsidRPr="00B76110" w:rsidTr="00FD37BC">
        <w:trPr>
          <w:trHeight w:val="776"/>
        </w:trPr>
        <w:tc>
          <w:tcPr>
            <w:tcW w:w="14034" w:type="dxa"/>
            <w:shd w:val="clear" w:color="auto" w:fill="auto"/>
          </w:tcPr>
          <w:p w:rsidR="00FB701A" w:rsidRPr="006A4BDD" w:rsidRDefault="00FB701A" w:rsidP="00FD37BC">
            <w:pPr>
              <w:numPr>
                <w:ilvl w:val="0"/>
                <w:numId w:val="17"/>
              </w:numPr>
              <w:tabs>
                <w:tab w:val="left" w:pos="426"/>
              </w:tabs>
              <w:suppressAutoHyphens/>
              <w:spacing w:before="0" w:after="0"/>
              <w:ind w:left="714" w:hanging="357"/>
              <w:rPr>
                <w:rFonts w:eastAsia="Arial Unicode MS"/>
                <w:i/>
                <w:sz w:val="16"/>
                <w:szCs w:val="16"/>
                <w:lang w:eastAsia="ar-SA"/>
              </w:rPr>
            </w:pPr>
            <w:r w:rsidRPr="006A4BDD">
              <w:rPr>
                <w:rFonts w:eastAsia="Arial Unicode MS"/>
                <w:i/>
                <w:sz w:val="16"/>
                <w:szCs w:val="16"/>
                <w:lang w:eastAsia="ar-SA"/>
              </w:rPr>
              <w:t xml:space="preserve">The financial table </w:t>
            </w:r>
            <w:r w:rsidR="00F4778D" w:rsidRPr="006A4BDD">
              <w:rPr>
                <w:rFonts w:eastAsia="Arial Unicode MS"/>
                <w:i/>
                <w:sz w:val="16"/>
                <w:szCs w:val="16"/>
                <w:lang w:eastAsia="ar-SA"/>
              </w:rPr>
              <w:t xml:space="preserve">sets out </w:t>
            </w:r>
            <w:r w:rsidRPr="006A4BDD">
              <w:rPr>
                <w:rFonts w:eastAsia="Arial Unicode MS"/>
                <w:i/>
                <w:sz w:val="16"/>
                <w:szCs w:val="16"/>
                <w:lang w:eastAsia="ar-SA"/>
              </w:rPr>
              <w:t xml:space="preserve">the financial plan of the cooperation programme by priority axis. </w:t>
            </w:r>
          </w:p>
          <w:p w:rsidR="00FB701A" w:rsidRPr="006A4BDD" w:rsidRDefault="00FB701A" w:rsidP="00FD37BC">
            <w:pPr>
              <w:numPr>
                <w:ilvl w:val="0"/>
                <w:numId w:val="17"/>
              </w:numPr>
              <w:tabs>
                <w:tab w:val="left" w:pos="426"/>
              </w:tabs>
              <w:suppressAutoHyphens/>
              <w:spacing w:before="0" w:after="0"/>
              <w:ind w:left="714" w:hanging="357"/>
              <w:rPr>
                <w:rFonts w:eastAsia="Arial Unicode MS"/>
                <w:i/>
                <w:sz w:val="16"/>
                <w:szCs w:val="16"/>
                <w:lang w:eastAsia="ar-SA"/>
              </w:rPr>
            </w:pPr>
            <w:r w:rsidRPr="006A4BDD">
              <w:rPr>
                <w:rFonts w:eastAsia="Arial Unicode MS"/>
                <w:i/>
                <w:sz w:val="16"/>
                <w:szCs w:val="16"/>
                <w:lang w:eastAsia="ar-SA"/>
              </w:rPr>
              <w:t>The financial table shall show for information purposes, any contribution from third countries participating in the cooperation programme (other than contributions from IPA and ENI)</w:t>
            </w:r>
          </w:p>
          <w:p w:rsidR="00FB701A" w:rsidRPr="00B76110" w:rsidRDefault="00FB701A" w:rsidP="00FD37BC">
            <w:pPr>
              <w:numPr>
                <w:ilvl w:val="0"/>
                <w:numId w:val="17"/>
              </w:numPr>
              <w:tabs>
                <w:tab w:val="left" w:pos="426"/>
              </w:tabs>
              <w:suppressAutoHyphens/>
              <w:spacing w:before="0" w:after="0"/>
              <w:ind w:left="714" w:hanging="357"/>
              <w:rPr>
                <w:rFonts w:eastAsia="Arial Unicode MS"/>
                <w:szCs w:val="24"/>
                <w:lang w:eastAsia="ar-SA"/>
              </w:rPr>
            </w:pPr>
            <w:r w:rsidRPr="006A4BDD">
              <w:rPr>
                <w:rFonts w:eastAsia="Arial Unicode MS"/>
                <w:i/>
                <w:sz w:val="16"/>
                <w:szCs w:val="16"/>
                <w:lang w:eastAsia="ar-SA"/>
              </w:rPr>
              <w:t>The EIB</w:t>
            </w:r>
            <w:r w:rsidR="00166627" w:rsidRPr="006A4BDD">
              <w:rPr>
                <w:rStyle w:val="FootnoteReference"/>
                <w:rFonts w:eastAsia="Arial Unicode MS"/>
                <w:i/>
                <w:sz w:val="16"/>
                <w:szCs w:val="16"/>
                <w:lang w:eastAsia="ar-SA"/>
              </w:rPr>
              <w:footnoteReference w:id="9"/>
            </w:r>
            <w:r w:rsidRPr="006A4BDD">
              <w:rPr>
                <w:rFonts w:eastAsia="Arial Unicode MS"/>
                <w:i/>
                <w:sz w:val="16"/>
                <w:szCs w:val="16"/>
                <w:lang w:eastAsia="ar-SA"/>
              </w:rPr>
              <w:t xml:space="preserve"> contribution </w:t>
            </w:r>
            <w:r w:rsidR="00F4778D" w:rsidRPr="006A4BDD">
              <w:rPr>
                <w:rFonts w:eastAsia="Arial Unicode MS"/>
                <w:i/>
                <w:sz w:val="16"/>
                <w:szCs w:val="16"/>
                <w:lang w:eastAsia="ar-SA"/>
              </w:rPr>
              <w:t xml:space="preserve">is </w:t>
            </w:r>
            <w:r w:rsidRPr="006A4BDD">
              <w:rPr>
                <w:rFonts w:eastAsia="Arial Unicode MS"/>
                <w:i/>
                <w:sz w:val="16"/>
                <w:szCs w:val="16"/>
                <w:lang w:eastAsia="ar-SA"/>
              </w:rPr>
              <w:t>presented at the level of the priority axis.</w:t>
            </w:r>
          </w:p>
        </w:tc>
      </w:tr>
    </w:tbl>
    <w:p w:rsidR="00FB701A" w:rsidRPr="00B76110" w:rsidRDefault="00FB701A" w:rsidP="00D17A3D">
      <w:pPr>
        <w:tabs>
          <w:tab w:val="left" w:pos="426"/>
        </w:tabs>
        <w:suppressAutoHyphens/>
        <w:rPr>
          <w:rFonts w:eastAsia="Arial Unicode MS"/>
          <w:b/>
          <w:szCs w:val="24"/>
          <w:lang w:eastAsia="ar-SA"/>
        </w:rPr>
      </w:pPr>
      <w:r w:rsidRPr="00B76110">
        <w:rPr>
          <w:rFonts w:eastAsia="Arial Unicode MS"/>
          <w:b/>
          <w:szCs w:val="24"/>
          <w:lang w:eastAsia="ar-SA"/>
        </w:rPr>
        <w:t xml:space="preserve">Table </w:t>
      </w:r>
      <w:r w:rsidR="00AE61D4" w:rsidRPr="00B76110">
        <w:rPr>
          <w:rFonts w:eastAsia="Arial Unicode MS"/>
          <w:b/>
          <w:szCs w:val="24"/>
          <w:lang w:eastAsia="ar-SA"/>
        </w:rPr>
        <w:t>1</w:t>
      </w:r>
      <w:r w:rsidR="006F5014">
        <w:rPr>
          <w:rFonts w:eastAsia="Arial Unicode MS"/>
          <w:b/>
          <w:szCs w:val="24"/>
          <w:lang w:eastAsia="ar-SA"/>
        </w:rPr>
        <w:t>6</w:t>
      </w:r>
      <w:r w:rsidR="00D712D9">
        <w:rPr>
          <w:rFonts w:eastAsia="Arial Unicode MS"/>
          <w:b/>
          <w:szCs w:val="24"/>
          <w:lang w:eastAsia="ar-SA"/>
        </w:rPr>
        <w:t>: Financing plan</w:t>
      </w:r>
      <w:r w:rsidR="00616B58">
        <w:rPr>
          <w:rStyle w:val="FootnoteReference"/>
          <w:rFonts w:eastAsia="Arial Unicode MS"/>
          <w:b/>
          <w:szCs w:val="24"/>
          <w:lang w:eastAsia="ar-SA"/>
        </w:rPr>
        <w:footnoteReference w:id="10"/>
      </w:r>
      <w:r w:rsidR="009D3D78">
        <w:rPr>
          <w:rFonts w:eastAsia="Arial Unicode MS"/>
          <w:b/>
          <w:szCs w:val="24"/>
          <w:lang w:eastAsia="ar-SA"/>
        </w:rPr>
        <w:t xml:space="preserve"> </w:t>
      </w:r>
    </w:p>
    <w:tbl>
      <w:tblPr>
        <w:tblW w:w="46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2040"/>
        <w:gridCol w:w="1560"/>
        <w:gridCol w:w="1417"/>
        <w:gridCol w:w="1274"/>
        <w:gridCol w:w="1134"/>
        <w:gridCol w:w="1280"/>
        <w:gridCol w:w="1437"/>
        <w:gridCol w:w="1170"/>
        <w:gridCol w:w="1499"/>
      </w:tblGrid>
      <w:tr w:rsidR="006750A9" w:rsidRPr="00B76110" w:rsidTr="00706034">
        <w:tc>
          <w:tcPr>
            <w:tcW w:w="435" w:type="pct"/>
            <w:vMerge w:val="restart"/>
            <w:shd w:val="clear" w:color="auto" w:fill="auto"/>
          </w:tcPr>
          <w:p w:rsidR="006A4BDD" w:rsidRPr="00B76110" w:rsidRDefault="006A4BDD" w:rsidP="00674929">
            <w:pPr>
              <w:spacing w:after="60"/>
              <w:ind w:left="34" w:right="1"/>
              <w:rPr>
                <w:rFonts w:eastAsia="Times New Roman"/>
                <w:sz w:val="16"/>
                <w:szCs w:val="16"/>
              </w:rPr>
            </w:pPr>
            <w:r>
              <w:rPr>
                <w:rFonts w:eastAsia="Times New Roman"/>
                <w:sz w:val="16"/>
                <w:szCs w:val="16"/>
              </w:rPr>
              <w:t>Priority axis</w:t>
            </w:r>
          </w:p>
        </w:tc>
        <w:tc>
          <w:tcPr>
            <w:tcW w:w="727" w:type="pct"/>
            <w:shd w:val="clear" w:color="auto" w:fill="auto"/>
          </w:tcPr>
          <w:p w:rsidR="006A4BDD" w:rsidRPr="00B76110" w:rsidRDefault="006A4BDD" w:rsidP="00674929">
            <w:pPr>
              <w:spacing w:after="60"/>
              <w:ind w:left="-75"/>
              <w:rPr>
                <w:rFonts w:eastAsia="Times New Roman"/>
                <w:sz w:val="16"/>
                <w:szCs w:val="16"/>
              </w:rPr>
            </w:pPr>
            <w:r w:rsidRPr="00B76110">
              <w:rPr>
                <w:rFonts w:eastAsia="Times New Roman"/>
                <w:sz w:val="16"/>
                <w:szCs w:val="16"/>
              </w:rPr>
              <w:t>Basis for calculation of Union support</w:t>
            </w:r>
          </w:p>
          <w:p w:rsidR="006A4BDD" w:rsidRPr="00B76110" w:rsidRDefault="006A4BDD" w:rsidP="00674929">
            <w:pPr>
              <w:spacing w:after="60"/>
              <w:ind w:left="-75"/>
              <w:rPr>
                <w:rFonts w:eastAsia="Times New Roman"/>
                <w:sz w:val="16"/>
                <w:szCs w:val="16"/>
              </w:rPr>
            </w:pPr>
            <w:r w:rsidRPr="00B76110">
              <w:rPr>
                <w:rFonts w:eastAsia="Times New Roman"/>
                <w:sz w:val="16"/>
                <w:szCs w:val="16"/>
              </w:rPr>
              <w:t>(Total eligible cost or public eligible cost)</w:t>
            </w:r>
          </w:p>
        </w:tc>
        <w:tc>
          <w:tcPr>
            <w:tcW w:w="556" w:type="pct"/>
            <w:shd w:val="clear" w:color="auto" w:fill="auto"/>
          </w:tcPr>
          <w:p w:rsidR="006A4BDD" w:rsidRPr="00B76110" w:rsidRDefault="006A4BDD" w:rsidP="00674929">
            <w:pPr>
              <w:spacing w:after="60"/>
              <w:ind w:left="-82"/>
              <w:rPr>
                <w:rFonts w:eastAsia="Times New Roman"/>
                <w:sz w:val="16"/>
                <w:szCs w:val="16"/>
              </w:rPr>
            </w:pPr>
            <w:r w:rsidRPr="00B76110">
              <w:rPr>
                <w:rFonts w:eastAsia="Times New Roman"/>
                <w:sz w:val="16"/>
                <w:szCs w:val="16"/>
              </w:rPr>
              <w:t>Union support (a)</w:t>
            </w:r>
          </w:p>
        </w:tc>
        <w:tc>
          <w:tcPr>
            <w:tcW w:w="505" w:type="pct"/>
            <w:shd w:val="clear" w:color="auto" w:fill="auto"/>
          </w:tcPr>
          <w:p w:rsidR="006A4BDD" w:rsidRPr="00B76110" w:rsidRDefault="006A4BDD" w:rsidP="00674929">
            <w:pPr>
              <w:spacing w:after="60"/>
              <w:ind w:left="-76"/>
              <w:rPr>
                <w:rFonts w:eastAsia="Times New Roman"/>
                <w:sz w:val="16"/>
                <w:szCs w:val="16"/>
              </w:rPr>
            </w:pPr>
            <w:r w:rsidRPr="00B76110">
              <w:rPr>
                <w:rFonts w:eastAsia="Times New Roman"/>
                <w:sz w:val="16"/>
                <w:szCs w:val="16"/>
              </w:rPr>
              <w:t>National counterpart</w:t>
            </w:r>
          </w:p>
          <w:p w:rsidR="006A4BDD" w:rsidRPr="00B76110" w:rsidRDefault="006A4BDD" w:rsidP="00674929">
            <w:pPr>
              <w:spacing w:after="60"/>
              <w:ind w:left="-76"/>
              <w:rPr>
                <w:rFonts w:eastAsia="Times New Roman"/>
                <w:sz w:val="16"/>
                <w:szCs w:val="16"/>
              </w:rPr>
            </w:pPr>
            <w:r w:rsidRPr="00B76110">
              <w:rPr>
                <w:rFonts w:eastAsia="Times New Roman"/>
                <w:sz w:val="16"/>
                <w:szCs w:val="16"/>
              </w:rPr>
              <w:t>(b) = (c) + (d))</w:t>
            </w:r>
          </w:p>
        </w:tc>
        <w:tc>
          <w:tcPr>
            <w:tcW w:w="858" w:type="pct"/>
            <w:gridSpan w:val="2"/>
            <w:shd w:val="clear" w:color="auto" w:fill="auto"/>
          </w:tcPr>
          <w:p w:rsidR="006A4BDD" w:rsidRPr="00B76110" w:rsidRDefault="006A4BDD" w:rsidP="00674929">
            <w:pPr>
              <w:spacing w:after="60"/>
              <w:rPr>
                <w:rFonts w:eastAsia="Times New Roman"/>
                <w:sz w:val="16"/>
                <w:szCs w:val="16"/>
              </w:rPr>
            </w:pPr>
            <w:r w:rsidRPr="00B76110">
              <w:rPr>
                <w:rFonts w:eastAsia="Times New Roman"/>
                <w:sz w:val="16"/>
                <w:szCs w:val="16"/>
              </w:rPr>
              <w:t>Indicative breakdown of the national counterpart</w:t>
            </w:r>
          </w:p>
        </w:tc>
        <w:tc>
          <w:tcPr>
            <w:tcW w:w="456" w:type="pct"/>
            <w:shd w:val="clear" w:color="auto" w:fill="auto"/>
          </w:tcPr>
          <w:p w:rsidR="006A4BDD" w:rsidRPr="00B76110" w:rsidRDefault="006A4BDD" w:rsidP="00674929">
            <w:pPr>
              <w:spacing w:after="60"/>
              <w:rPr>
                <w:rFonts w:eastAsia="Times New Roman"/>
                <w:sz w:val="16"/>
                <w:szCs w:val="16"/>
              </w:rPr>
            </w:pPr>
            <w:r w:rsidRPr="00B76110">
              <w:rPr>
                <w:rFonts w:eastAsia="Times New Roman"/>
                <w:sz w:val="16"/>
                <w:szCs w:val="16"/>
              </w:rPr>
              <w:t>Total funding</w:t>
            </w:r>
          </w:p>
          <w:p w:rsidR="006A4BDD" w:rsidRPr="00B76110" w:rsidRDefault="006A4BDD" w:rsidP="00674929">
            <w:pPr>
              <w:spacing w:after="60"/>
              <w:rPr>
                <w:rFonts w:eastAsia="Times New Roman"/>
                <w:sz w:val="16"/>
                <w:szCs w:val="16"/>
              </w:rPr>
            </w:pPr>
            <w:r w:rsidRPr="00B76110">
              <w:rPr>
                <w:rFonts w:eastAsia="Times New Roman"/>
                <w:sz w:val="16"/>
                <w:szCs w:val="16"/>
              </w:rPr>
              <w:t xml:space="preserve">(e) = (a) + (b) </w:t>
            </w:r>
            <w:hyperlink r:id="rId51" w:anchor="E0079#E0079" w:history="1"/>
            <w:r>
              <w:rPr>
                <w:rFonts w:eastAsia="Times New Roman"/>
                <w:noProof/>
                <w:color w:val="0000FF"/>
                <w:sz w:val="16"/>
                <w:szCs w:val="16"/>
                <w:u w:val="single"/>
              </w:rPr>
              <w:t xml:space="preserve"> </w:t>
            </w:r>
          </w:p>
        </w:tc>
        <w:tc>
          <w:tcPr>
            <w:tcW w:w="512" w:type="pct"/>
            <w:shd w:val="clear" w:color="auto" w:fill="auto"/>
          </w:tcPr>
          <w:p w:rsidR="006A4BDD" w:rsidRPr="00B76110" w:rsidRDefault="006A4BDD" w:rsidP="00674929">
            <w:pPr>
              <w:spacing w:after="60"/>
              <w:ind w:left="-58"/>
              <w:rPr>
                <w:rFonts w:eastAsia="Times New Roman"/>
                <w:sz w:val="16"/>
                <w:szCs w:val="16"/>
              </w:rPr>
            </w:pPr>
            <w:r w:rsidRPr="00B76110">
              <w:rPr>
                <w:rFonts w:eastAsia="Times New Roman"/>
                <w:sz w:val="16"/>
                <w:szCs w:val="16"/>
              </w:rPr>
              <w:t>Co-financing rate</w:t>
            </w:r>
          </w:p>
          <w:p w:rsidR="006A4BDD" w:rsidRPr="00B76110" w:rsidRDefault="006A4BDD" w:rsidP="00674929">
            <w:pPr>
              <w:spacing w:after="60"/>
              <w:ind w:left="-58"/>
              <w:rPr>
                <w:rFonts w:eastAsia="Times New Roman"/>
                <w:sz w:val="16"/>
                <w:szCs w:val="16"/>
              </w:rPr>
            </w:pPr>
            <w:r w:rsidRPr="00B76110">
              <w:rPr>
                <w:rFonts w:eastAsia="Times New Roman"/>
                <w:sz w:val="16"/>
                <w:szCs w:val="16"/>
              </w:rPr>
              <w:t>(f)  = (a)/(e)</w:t>
            </w:r>
            <w:r>
              <w:rPr>
                <w:rFonts w:eastAsia="Times New Roman"/>
                <w:sz w:val="16"/>
                <w:szCs w:val="16"/>
              </w:rPr>
              <w:t xml:space="preserve"> (2)</w:t>
            </w:r>
          </w:p>
        </w:tc>
        <w:tc>
          <w:tcPr>
            <w:tcW w:w="951" w:type="pct"/>
            <w:gridSpan w:val="2"/>
            <w:shd w:val="clear" w:color="auto" w:fill="auto"/>
          </w:tcPr>
          <w:p w:rsidR="006A4BDD" w:rsidRPr="00B76110" w:rsidRDefault="006A4BDD" w:rsidP="006A4BDD">
            <w:pPr>
              <w:spacing w:after="60"/>
              <w:ind w:left="-58" w:right="-86"/>
              <w:jc w:val="center"/>
            </w:pPr>
            <w:r w:rsidRPr="00B76110">
              <w:rPr>
                <w:rFonts w:eastAsia="Times New Roman"/>
                <w:sz w:val="16"/>
                <w:szCs w:val="16"/>
              </w:rPr>
              <w:t>For</w:t>
            </w:r>
            <w:r>
              <w:rPr>
                <w:rFonts w:eastAsia="Times New Roman"/>
                <w:sz w:val="16"/>
                <w:szCs w:val="16"/>
              </w:rPr>
              <w:t xml:space="preserve"> </w:t>
            </w:r>
            <w:r w:rsidRPr="00B76110">
              <w:rPr>
                <w:rFonts w:eastAsia="Times New Roman"/>
                <w:sz w:val="16"/>
                <w:szCs w:val="16"/>
              </w:rPr>
              <w:t>information</w:t>
            </w:r>
          </w:p>
        </w:tc>
      </w:tr>
      <w:tr w:rsidR="006750A9" w:rsidRPr="00B76110" w:rsidTr="00706034">
        <w:trPr>
          <w:trHeight w:val="634"/>
        </w:trPr>
        <w:tc>
          <w:tcPr>
            <w:tcW w:w="435" w:type="pct"/>
            <w:vMerge/>
            <w:shd w:val="clear" w:color="auto" w:fill="auto"/>
          </w:tcPr>
          <w:p w:rsidR="00A03B98" w:rsidRPr="00B76110" w:rsidRDefault="00A03B98" w:rsidP="00674929">
            <w:pPr>
              <w:spacing w:after="60"/>
              <w:ind w:left="34" w:right="1"/>
              <w:rPr>
                <w:rFonts w:eastAsia="Times New Roman"/>
                <w:sz w:val="16"/>
                <w:szCs w:val="16"/>
              </w:rPr>
            </w:pPr>
          </w:p>
        </w:tc>
        <w:tc>
          <w:tcPr>
            <w:tcW w:w="727" w:type="pct"/>
            <w:shd w:val="clear" w:color="auto" w:fill="auto"/>
          </w:tcPr>
          <w:p w:rsidR="00A03B98" w:rsidRPr="00B76110" w:rsidRDefault="00A03B98" w:rsidP="00674929">
            <w:pPr>
              <w:spacing w:after="60"/>
              <w:ind w:left="-75"/>
              <w:rPr>
                <w:rFonts w:eastAsia="Times New Roman"/>
                <w:sz w:val="16"/>
                <w:szCs w:val="16"/>
              </w:rPr>
            </w:pPr>
          </w:p>
        </w:tc>
        <w:tc>
          <w:tcPr>
            <w:tcW w:w="556" w:type="pct"/>
            <w:shd w:val="clear" w:color="auto" w:fill="auto"/>
          </w:tcPr>
          <w:p w:rsidR="00A03B98" w:rsidRPr="00B76110" w:rsidRDefault="00A03B98" w:rsidP="00674929">
            <w:pPr>
              <w:spacing w:after="60"/>
              <w:ind w:left="-82"/>
              <w:rPr>
                <w:rFonts w:eastAsia="Times New Roman"/>
                <w:sz w:val="16"/>
                <w:szCs w:val="16"/>
              </w:rPr>
            </w:pPr>
          </w:p>
        </w:tc>
        <w:tc>
          <w:tcPr>
            <w:tcW w:w="505" w:type="pct"/>
            <w:shd w:val="clear" w:color="auto" w:fill="auto"/>
          </w:tcPr>
          <w:p w:rsidR="00A03B98" w:rsidRPr="00B76110" w:rsidRDefault="00A03B98" w:rsidP="00674929">
            <w:pPr>
              <w:spacing w:after="60"/>
              <w:ind w:left="-76"/>
              <w:rPr>
                <w:rFonts w:eastAsia="Times New Roman"/>
                <w:sz w:val="16"/>
                <w:szCs w:val="16"/>
              </w:rPr>
            </w:pPr>
          </w:p>
        </w:tc>
        <w:tc>
          <w:tcPr>
            <w:tcW w:w="454" w:type="pct"/>
            <w:shd w:val="clear" w:color="auto" w:fill="auto"/>
          </w:tcPr>
          <w:p w:rsidR="00A03B98" w:rsidRPr="00B76110" w:rsidRDefault="00A03B98" w:rsidP="00674929">
            <w:pPr>
              <w:spacing w:after="60"/>
              <w:rPr>
                <w:rFonts w:eastAsia="Times New Roman"/>
                <w:sz w:val="16"/>
                <w:szCs w:val="16"/>
              </w:rPr>
            </w:pPr>
            <w:r w:rsidRPr="00B76110">
              <w:rPr>
                <w:rFonts w:eastAsia="Times New Roman"/>
                <w:sz w:val="16"/>
                <w:szCs w:val="16"/>
              </w:rPr>
              <w:t>National Public funding (c)</w:t>
            </w:r>
          </w:p>
        </w:tc>
        <w:tc>
          <w:tcPr>
            <w:tcW w:w="404" w:type="pct"/>
            <w:shd w:val="clear" w:color="auto" w:fill="auto"/>
          </w:tcPr>
          <w:p w:rsidR="00A03B98" w:rsidRPr="00B76110" w:rsidRDefault="00A03B98" w:rsidP="00674929">
            <w:pPr>
              <w:spacing w:after="60"/>
              <w:rPr>
                <w:rFonts w:eastAsia="Times New Roman"/>
                <w:sz w:val="16"/>
                <w:szCs w:val="16"/>
              </w:rPr>
            </w:pPr>
            <w:r w:rsidRPr="00B76110">
              <w:rPr>
                <w:rFonts w:eastAsia="Times New Roman"/>
                <w:sz w:val="16"/>
                <w:szCs w:val="16"/>
              </w:rPr>
              <w:t>National private funding  (d)</w:t>
            </w:r>
            <w:r>
              <w:rPr>
                <w:rFonts w:eastAsia="Times New Roman"/>
                <w:sz w:val="16"/>
                <w:szCs w:val="16"/>
              </w:rPr>
              <w:t xml:space="preserve"> (1)</w:t>
            </w:r>
          </w:p>
        </w:tc>
        <w:tc>
          <w:tcPr>
            <w:tcW w:w="456" w:type="pct"/>
            <w:shd w:val="clear" w:color="auto" w:fill="auto"/>
          </w:tcPr>
          <w:p w:rsidR="00A03B98" w:rsidRPr="00B76110" w:rsidRDefault="00A03B98" w:rsidP="00674929">
            <w:pPr>
              <w:spacing w:after="60"/>
              <w:rPr>
                <w:rFonts w:eastAsia="Times New Roman"/>
                <w:sz w:val="16"/>
                <w:szCs w:val="16"/>
              </w:rPr>
            </w:pPr>
          </w:p>
        </w:tc>
        <w:tc>
          <w:tcPr>
            <w:tcW w:w="512" w:type="pct"/>
            <w:shd w:val="clear" w:color="auto" w:fill="auto"/>
          </w:tcPr>
          <w:p w:rsidR="00A03B98" w:rsidRPr="00B76110" w:rsidRDefault="00A03B98" w:rsidP="00674929">
            <w:pPr>
              <w:spacing w:after="60"/>
              <w:ind w:left="-58"/>
              <w:rPr>
                <w:rFonts w:eastAsia="Times New Roman"/>
                <w:sz w:val="16"/>
                <w:szCs w:val="16"/>
              </w:rPr>
            </w:pPr>
          </w:p>
        </w:tc>
        <w:tc>
          <w:tcPr>
            <w:tcW w:w="417" w:type="pct"/>
            <w:shd w:val="clear" w:color="auto" w:fill="auto"/>
          </w:tcPr>
          <w:p w:rsidR="00A03B98" w:rsidRPr="00B76110" w:rsidRDefault="00A03B98" w:rsidP="00674929">
            <w:pPr>
              <w:spacing w:after="60"/>
              <w:ind w:left="-58" w:right="-86"/>
              <w:rPr>
                <w:rFonts w:eastAsia="Times New Roman"/>
                <w:sz w:val="16"/>
                <w:szCs w:val="16"/>
              </w:rPr>
            </w:pPr>
            <w:r w:rsidRPr="00B76110">
              <w:rPr>
                <w:rFonts w:eastAsia="Times New Roman"/>
                <w:sz w:val="16"/>
                <w:szCs w:val="16"/>
              </w:rPr>
              <w:t>Contributions from third countries</w:t>
            </w:r>
          </w:p>
        </w:tc>
        <w:tc>
          <w:tcPr>
            <w:tcW w:w="534" w:type="pct"/>
            <w:shd w:val="clear" w:color="auto" w:fill="auto"/>
          </w:tcPr>
          <w:p w:rsidR="00A03B98" w:rsidRPr="00B76110" w:rsidRDefault="00A03B98" w:rsidP="00766545">
            <w:pPr>
              <w:spacing w:after="60"/>
              <w:ind w:left="14" w:right="-82" w:firstLine="20"/>
              <w:rPr>
                <w:rFonts w:eastAsia="Times New Roman"/>
                <w:sz w:val="16"/>
                <w:szCs w:val="16"/>
              </w:rPr>
            </w:pPr>
            <w:r w:rsidRPr="00B76110">
              <w:rPr>
                <w:rFonts w:eastAsia="Times New Roman"/>
                <w:sz w:val="16"/>
                <w:szCs w:val="16"/>
              </w:rPr>
              <w:t>EIB contributions</w:t>
            </w:r>
          </w:p>
        </w:tc>
      </w:tr>
      <w:tr w:rsidR="00706034" w:rsidRPr="00B76110" w:rsidTr="00706034">
        <w:trPr>
          <w:trHeight w:val="70"/>
        </w:trPr>
        <w:tc>
          <w:tcPr>
            <w:tcW w:w="435" w:type="pct"/>
            <w:shd w:val="clear" w:color="auto" w:fill="auto"/>
          </w:tcPr>
          <w:p w:rsidR="00706034" w:rsidRPr="00B76110" w:rsidRDefault="00706034" w:rsidP="00674929">
            <w:pPr>
              <w:spacing w:after="60"/>
              <w:ind w:left="34" w:right="1"/>
              <w:rPr>
                <w:rFonts w:eastAsia="Times New Roman"/>
                <w:sz w:val="16"/>
                <w:szCs w:val="16"/>
              </w:rPr>
            </w:pPr>
            <w:r w:rsidRPr="00B76110">
              <w:rPr>
                <w:rFonts w:eastAsia="Times New Roman"/>
                <w:i/>
                <w:iCs/>
                <w:sz w:val="16"/>
                <w:szCs w:val="16"/>
              </w:rPr>
              <w:t>Priority axis 1</w:t>
            </w:r>
            <w:r w:rsidRPr="00B76110">
              <w:rPr>
                <w:rFonts w:eastAsia="Times New Roman"/>
                <w:sz w:val="16"/>
                <w:szCs w:val="16"/>
              </w:rPr>
              <w:t xml:space="preserve"> </w:t>
            </w:r>
          </w:p>
        </w:tc>
        <w:tc>
          <w:tcPr>
            <w:tcW w:w="727" w:type="pct"/>
            <w:shd w:val="clear" w:color="auto" w:fill="auto"/>
          </w:tcPr>
          <w:p w:rsidR="00706034" w:rsidRPr="006750A9" w:rsidRDefault="00706034" w:rsidP="00C20827">
            <w:pPr>
              <w:jc w:val="center"/>
              <w:rPr>
                <w:sz w:val="16"/>
                <w:szCs w:val="16"/>
              </w:rPr>
            </w:pPr>
            <w:r w:rsidRPr="006750A9">
              <w:rPr>
                <w:sz w:val="16"/>
                <w:szCs w:val="16"/>
              </w:rPr>
              <w:t>8.573.297,40</w:t>
            </w:r>
          </w:p>
        </w:tc>
        <w:tc>
          <w:tcPr>
            <w:tcW w:w="556" w:type="pct"/>
            <w:shd w:val="clear" w:color="auto" w:fill="auto"/>
          </w:tcPr>
          <w:p w:rsidR="00706034" w:rsidRPr="006750A9" w:rsidRDefault="00706034" w:rsidP="00124575">
            <w:pPr>
              <w:jc w:val="center"/>
              <w:rPr>
                <w:sz w:val="16"/>
                <w:szCs w:val="16"/>
              </w:rPr>
            </w:pPr>
            <w:r w:rsidRPr="006750A9">
              <w:rPr>
                <w:sz w:val="16"/>
                <w:szCs w:val="16"/>
              </w:rPr>
              <w:t>8.573.297,40</w:t>
            </w:r>
          </w:p>
        </w:tc>
        <w:tc>
          <w:tcPr>
            <w:tcW w:w="505" w:type="pct"/>
            <w:shd w:val="clear" w:color="auto" w:fill="auto"/>
          </w:tcPr>
          <w:p w:rsidR="00706034" w:rsidRPr="006750A9" w:rsidRDefault="00706034" w:rsidP="00124575">
            <w:pPr>
              <w:rPr>
                <w:sz w:val="16"/>
                <w:szCs w:val="16"/>
              </w:rPr>
            </w:pPr>
            <w:r w:rsidRPr="006750A9">
              <w:rPr>
                <w:sz w:val="16"/>
                <w:szCs w:val="16"/>
              </w:rPr>
              <w:t>1.512.934,84</w:t>
            </w:r>
          </w:p>
        </w:tc>
        <w:tc>
          <w:tcPr>
            <w:tcW w:w="454" w:type="pct"/>
            <w:shd w:val="clear" w:color="auto" w:fill="auto"/>
          </w:tcPr>
          <w:p w:rsidR="00706034" w:rsidRPr="006750A9" w:rsidRDefault="00706034" w:rsidP="00124575">
            <w:pPr>
              <w:rPr>
                <w:sz w:val="16"/>
                <w:szCs w:val="16"/>
              </w:rPr>
            </w:pPr>
            <w:r w:rsidRPr="006750A9">
              <w:rPr>
                <w:sz w:val="16"/>
                <w:szCs w:val="16"/>
              </w:rPr>
              <w:t>1.512.934,84</w:t>
            </w:r>
          </w:p>
        </w:tc>
        <w:tc>
          <w:tcPr>
            <w:tcW w:w="404" w:type="pct"/>
            <w:shd w:val="clear" w:color="auto" w:fill="auto"/>
          </w:tcPr>
          <w:p w:rsidR="00706034" w:rsidRPr="00B76110" w:rsidRDefault="00706034" w:rsidP="00674929">
            <w:pPr>
              <w:spacing w:after="60"/>
              <w:rPr>
                <w:rFonts w:eastAsia="Times New Roman"/>
                <w:sz w:val="16"/>
                <w:szCs w:val="16"/>
              </w:rPr>
            </w:pPr>
            <w:r w:rsidRPr="00B76110">
              <w:rPr>
                <w:rFonts w:eastAsia="Times New Roman"/>
                <w:sz w:val="16"/>
                <w:szCs w:val="16"/>
              </w:rPr>
              <w:t> </w:t>
            </w:r>
          </w:p>
        </w:tc>
        <w:tc>
          <w:tcPr>
            <w:tcW w:w="456" w:type="pct"/>
            <w:shd w:val="clear" w:color="auto" w:fill="auto"/>
          </w:tcPr>
          <w:p w:rsidR="00706034" w:rsidRPr="00706034" w:rsidRDefault="00706034" w:rsidP="00124575">
            <w:pPr>
              <w:rPr>
                <w:sz w:val="16"/>
                <w:szCs w:val="16"/>
              </w:rPr>
            </w:pPr>
            <w:r>
              <w:rPr>
                <w:sz w:val="16"/>
                <w:szCs w:val="16"/>
              </w:rPr>
              <w:t xml:space="preserve"> 10.086.232,24 </w:t>
            </w:r>
          </w:p>
        </w:tc>
        <w:tc>
          <w:tcPr>
            <w:tcW w:w="512" w:type="pct"/>
            <w:shd w:val="clear" w:color="auto" w:fill="auto"/>
          </w:tcPr>
          <w:p w:rsidR="00706034" w:rsidRPr="00B76110" w:rsidRDefault="00706034" w:rsidP="00674929">
            <w:pPr>
              <w:spacing w:after="60"/>
              <w:ind w:left="-58"/>
              <w:rPr>
                <w:rFonts w:eastAsia="Times New Roman"/>
                <w:sz w:val="16"/>
                <w:szCs w:val="16"/>
              </w:rPr>
            </w:pPr>
            <w:r w:rsidRPr="00B76110">
              <w:rPr>
                <w:rFonts w:eastAsia="Times New Roman"/>
                <w:sz w:val="16"/>
                <w:szCs w:val="16"/>
              </w:rPr>
              <w:t> </w:t>
            </w:r>
            <w:r>
              <w:rPr>
                <w:rFonts w:eastAsia="Times New Roman"/>
                <w:sz w:val="16"/>
                <w:szCs w:val="16"/>
              </w:rPr>
              <w:t>85%</w:t>
            </w:r>
          </w:p>
        </w:tc>
        <w:tc>
          <w:tcPr>
            <w:tcW w:w="417" w:type="pct"/>
            <w:shd w:val="clear" w:color="auto" w:fill="auto"/>
          </w:tcPr>
          <w:p w:rsidR="00706034" w:rsidRPr="00B76110" w:rsidRDefault="00706034" w:rsidP="00674929">
            <w:pPr>
              <w:spacing w:after="60"/>
              <w:ind w:left="-58" w:right="-86"/>
              <w:rPr>
                <w:rFonts w:eastAsia="Times New Roman"/>
                <w:sz w:val="16"/>
                <w:szCs w:val="16"/>
              </w:rPr>
            </w:pPr>
            <w:r w:rsidRPr="00B76110">
              <w:rPr>
                <w:rFonts w:eastAsia="Times New Roman"/>
                <w:sz w:val="16"/>
                <w:szCs w:val="16"/>
              </w:rPr>
              <w:t> </w:t>
            </w:r>
          </w:p>
          <w:p w:rsidR="00706034" w:rsidRPr="00B76110" w:rsidRDefault="00706034" w:rsidP="00674929">
            <w:pPr>
              <w:spacing w:after="60"/>
              <w:ind w:left="-58" w:right="-86"/>
              <w:rPr>
                <w:rFonts w:eastAsia="Times New Roman"/>
                <w:sz w:val="16"/>
                <w:szCs w:val="16"/>
              </w:rPr>
            </w:pPr>
            <w:r w:rsidRPr="00B76110">
              <w:rPr>
                <w:rFonts w:eastAsia="Times New Roman"/>
                <w:sz w:val="16"/>
                <w:szCs w:val="16"/>
              </w:rPr>
              <w:t> </w:t>
            </w:r>
          </w:p>
        </w:tc>
        <w:tc>
          <w:tcPr>
            <w:tcW w:w="534" w:type="pct"/>
            <w:shd w:val="clear" w:color="auto" w:fill="auto"/>
          </w:tcPr>
          <w:p w:rsidR="00706034" w:rsidRPr="00B76110" w:rsidRDefault="00706034" w:rsidP="00674929">
            <w:pPr>
              <w:spacing w:after="60"/>
              <w:ind w:left="-440"/>
              <w:rPr>
                <w:rFonts w:eastAsia="Times New Roman"/>
                <w:sz w:val="16"/>
                <w:szCs w:val="16"/>
              </w:rPr>
            </w:pPr>
          </w:p>
        </w:tc>
      </w:tr>
      <w:tr w:rsidR="00706034" w:rsidRPr="00B76110" w:rsidTr="00706034">
        <w:trPr>
          <w:trHeight w:val="289"/>
        </w:trPr>
        <w:tc>
          <w:tcPr>
            <w:tcW w:w="435" w:type="pct"/>
            <w:shd w:val="clear" w:color="auto" w:fill="auto"/>
          </w:tcPr>
          <w:p w:rsidR="00706034" w:rsidRPr="00B76110" w:rsidRDefault="00706034" w:rsidP="00674929">
            <w:pPr>
              <w:spacing w:after="60"/>
              <w:ind w:left="34" w:right="1"/>
              <w:rPr>
                <w:rFonts w:eastAsia="Times New Roman"/>
                <w:i/>
                <w:iCs/>
                <w:sz w:val="16"/>
                <w:szCs w:val="16"/>
              </w:rPr>
            </w:pPr>
            <w:r>
              <w:rPr>
                <w:rFonts w:eastAsia="Times New Roman"/>
                <w:i/>
                <w:iCs/>
                <w:sz w:val="16"/>
                <w:szCs w:val="16"/>
              </w:rPr>
              <w:t>Priority axis 2</w:t>
            </w:r>
          </w:p>
        </w:tc>
        <w:tc>
          <w:tcPr>
            <w:tcW w:w="727" w:type="pct"/>
            <w:shd w:val="clear" w:color="auto" w:fill="auto"/>
          </w:tcPr>
          <w:p w:rsidR="00706034" w:rsidRPr="006750A9" w:rsidRDefault="00706034" w:rsidP="00C20827">
            <w:pPr>
              <w:jc w:val="center"/>
              <w:rPr>
                <w:sz w:val="16"/>
                <w:szCs w:val="16"/>
              </w:rPr>
            </w:pPr>
            <w:r w:rsidRPr="006750A9">
              <w:rPr>
                <w:sz w:val="16"/>
                <w:szCs w:val="16"/>
              </w:rPr>
              <w:t>14.288.829,00</w:t>
            </w:r>
          </w:p>
        </w:tc>
        <w:tc>
          <w:tcPr>
            <w:tcW w:w="556" w:type="pct"/>
            <w:shd w:val="clear" w:color="auto" w:fill="auto"/>
          </w:tcPr>
          <w:p w:rsidR="00706034" w:rsidRPr="006750A9" w:rsidRDefault="00706034" w:rsidP="00124575">
            <w:pPr>
              <w:jc w:val="center"/>
              <w:rPr>
                <w:sz w:val="16"/>
                <w:szCs w:val="16"/>
              </w:rPr>
            </w:pPr>
            <w:r w:rsidRPr="006750A9">
              <w:rPr>
                <w:sz w:val="16"/>
                <w:szCs w:val="16"/>
              </w:rPr>
              <w:t>14.288.829,00</w:t>
            </w:r>
          </w:p>
        </w:tc>
        <w:tc>
          <w:tcPr>
            <w:tcW w:w="505" w:type="pct"/>
            <w:shd w:val="clear" w:color="auto" w:fill="auto"/>
          </w:tcPr>
          <w:p w:rsidR="00706034" w:rsidRPr="006750A9" w:rsidRDefault="00706034" w:rsidP="00124575">
            <w:pPr>
              <w:rPr>
                <w:sz w:val="16"/>
                <w:szCs w:val="16"/>
              </w:rPr>
            </w:pPr>
            <w:r w:rsidRPr="006750A9">
              <w:rPr>
                <w:sz w:val="16"/>
                <w:szCs w:val="16"/>
              </w:rPr>
              <w:t>2.521.558,06</w:t>
            </w:r>
          </w:p>
        </w:tc>
        <w:tc>
          <w:tcPr>
            <w:tcW w:w="454" w:type="pct"/>
            <w:shd w:val="clear" w:color="auto" w:fill="auto"/>
          </w:tcPr>
          <w:p w:rsidR="00706034" w:rsidRPr="006750A9" w:rsidRDefault="00706034" w:rsidP="00124575">
            <w:pPr>
              <w:rPr>
                <w:sz w:val="16"/>
                <w:szCs w:val="16"/>
              </w:rPr>
            </w:pPr>
            <w:r w:rsidRPr="006750A9">
              <w:rPr>
                <w:sz w:val="16"/>
                <w:szCs w:val="16"/>
              </w:rPr>
              <w:t>2.521.558,06</w:t>
            </w:r>
          </w:p>
        </w:tc>
        <w:tc>
          <w:tcPr>
            <w:tcW w:w="404" w:type="pct"/>
            <w:shd w:val="clear" w:color="auto" w:fill="auto"/>
          </w:tcPr>
          <w:p w:rsidR="00706034" w:rsidRPr="00B76110" w:rsidRDefault="00706034" w:rsidP="00674929">
            <w:pPr>
              <w:spacing w:after="60"/>
              <w:rPr>
                <w:rFonts w:eastAsia="Times New Roman"/>
                <w:sz w:val="16"/>
                <w:szCs w:val="16"/>
              </w:rPr>
            </w:pPr>
          </w:p>
        </w:tc>
        <w:tc>
          <w:tcPr>
            <w:tcW w:w="456" w:type="pct"/>
            <w:shd w:val="clear" w:color="auto" w:fill="auto"/>
          </w:tcPr>
          <w:p w:rsidR="00706034" w:rsidRPr="00706034" w:rsidRDefault="00706034" w:rsidP="00124575">
            <w:pPr>
              <w:rPr>
                <w:sz w:val="16"/>
                <w:szCs w:val="16"/>
              </w:rPr>
            </w:pPr>
            <w:r>
              <w:rPr>
                <w:sz w:val="16"/>
                <w:szCs w:val="16"/>
              </w:rPr>
              <w:t xml:space="preserve"> 16.810.387,06 </w:t>
            </w:r>
          </w:p>
        </w:tc>
        <w:tc>
          <w:tcPr>
            <w:tcW w:w="512" w:type="pct"/>
            <w:shd w:val="clear" w:color="auto" w:fill="auto"/>
          </w:tcPr>
          <w:p w:rsidR="00706034" w:rsidRDefault="00706034">
            <w:r w:rsidRPr="0017503D">
              <w:rPr>
                <w:rFonts w:eastAsia="Times New Roman"/>
                <w:sz w:val="16"/>
                <w:szCs w:val="16"/>
              </w:rPr>
              <w:t>85%</w:t>
            </w:r>
          </w:p>
        </w:tc>
        <w:tc>
          <w:tcPr>
            <w:tcW w:w="417" w:type="pct"/>
            <w:shd w:val="clear" w:color="auto" w:fill="auto"/>
          </w:tcPr>
          <w:p w:rsidR="00706034" w:rsidRPr="00B76110" w:rsidRDefault="00706034" w:rsidP="00674929">
            <w:pPr>
              <w:spacing w:after="60"/>
              <w:ind w:left="-58" w:right="-86"/>
              <w:rPr>
                <w:rFonts w:eastAsia="Times New Roman"/>
                <w:sz w:val="16"/>
                <w:szCs w:val="16"/>
              </w:rPr>
            </w:pPr>
          </w:p>
        </w:tc>
        <w:tc>
          <w:tcPr>
            <w:tcW w:w="534" w:type="pct"/>
            <w:shd w:val="clear" w:color="auto" w:fill="auto"/>
          </w:tcPr>
          <w:p w:rsidR="00706034" w:rsidRPr="00B76110" w:rsidRDefault="00706034" w:rsidP="00674929">
            <w:pPr>
              <w:spacing w:after="60"/>
              <w:ind w:left="-440"/>
              <w:rPr>
                <w:rFonts w:eastAsia="Times New Roman"/>
                <w:sz w:val="16"/>
                <w:szCs w:val="16"/>
              </w:rPr>
            </w:pPr>
          </w:p>
        </w:tc>
      </w:tr>
      <w:tr w:rsidR="00706034" w:rsidRPr="00B76110" w:rsidTr="00706034">
        <w:trPr>
          <w:trHeight w:val="289"/>
        </w:trPr>
        <w:tc>
          <w:tcPr>
            <w:tcW w:w="435" w:type="pct"/>
            <w:shd w:val="clear" w:color="auto" w:fill="auto"/>
          </w:tcPr>
          <w:p w:rsidR="00706034" w:rsidRDefault="00706034" w:rsidP="002B6CB9">
            <w:pPr>
              <w:spacing w:after="60"/>
              <w:ind w:left="34" w:right="1"/>
              <w:rPr>
                <w:rFonts w:eastAsia="Times New Roman"/>
                <w:i/>
                <w:iCs/>
                <w:sz w:val="16"/>
                <w:szCs w:val="16"/>
              </w:rPr>
            </w:pPr>
            <w:r>
              <w:rPr>
                <w:rFonts w:eastAsia="Times New Roman"/>
                <w:i/>
                <w:iCs/>
                <w:sz w:val="16"/>
                <w:szCs w:val="16"/>
              </w:rPr>
              <w:t>Priority axis 3</w:t>
            </w:r>
          </w:p>
        </w:tc>
        <w:tc>
          <w:tcPr>
            <w:tcW w:w="727" w:type="pct"/>
            <w:shd w:val="clear" w:color="auto" w:fill="auto"/>
          </w:tcPr>
          <w:p w:rsidR="00706034" w:rsidRPr="006750A9" w:rsidRDefault="00706034" w:rsidP="00C20827">
            <w:pPr>
              <w:jc w:val="center"/>
              <w:rPr>
                <w:sz w:val="16"/>
                <w:szCs w:val="16"/>
              </w:rPr>
            </w:pPr>
            <w:r w:rsidRPr="006750A9">
              <w:rPr>
                <w:sz w:val="16"/>
                <w:szCs w:val="16"/>
              </w:rPr>
              <w:t>17.146.594,80</w:t>
            </w:r>
          </w:p>
        </w:tc>
        <w:tc>
          <w:tcPr>
            <w:tcW w:w="556" w:type="pct"/>
            <w:shd w:val="clear" w:color="auto" w:fill="auto"/>
          </w:tcPr>
          <w:p w:rsidR="00706034" w:rsidRPr="006750A9" w:rsidRDefault="00706034" w:rsidP="00124575">
            <w:pPr>
              <w:jc w:val="center"/>
              <w:rPr>
                <w:sz w:val="16"/>
                <w:szCs w:val="16"/>
              </w:rPr>
            </w:pPr>
            <w:r w:rsidRPr="006750A9">
              <w:rPr>
                <w:sz w:val="16"/>
                <w:szCs w:val="16"/>
              </w:rPr>
              <w:t>17.146.594,80</w:t>
            </w:r>
          </w:p>
        </w:tc>
        <w:tc>
          <w:tcPr>
            <w:tcW w:w="505" w:type="pct"/>
            <w:shd w:val="clear" w:color="auto" w:fill="auto"/>
          </w:tcPr>
          <w:p w:rsidR="00706034" w:rsidRPr="006750A9" w:rsidRDefault="00706034" w:rsidP="00124575">
            <w:pPr>
              <w:rPr>
                <w:sz w:val="16"/>
                <w:szCs w:val="16"/>
              </w:rPr>
            </w:pPr>
            <w:r w:rsidRPr="006750A9">
              <w:rPr>
                <w:sz w:val="16"/>
                <w:szCs w:val="16"/>
              </w:rPr>
              <w:t>3.025.869,67</w:t>
            </w:r>
          </w:p>
        </w:tc>
        <w:tc>
          <w:tcPr>
            <w:tcW w:w="454" w:type="pct"/>
            <w:shd w:val="clear" w:color="auto" w:fill="auto"/>
          </w:tcPr>
          <w:p w:rsidR="00706034" w:rsidRPr="006750A9" w:rsidRDefault="00706034" w:rsidP="00124575">
            <w:pPr>
              <w:rPr>
                <w:sz w:val="16"/>
                <w:szCs w:val="16"/>
              </w:rPr>
            </w:pPr>
            <w:r w:rsidRPr="006750A9">
              <w:rPr>
                <w:sz w:val="16"/>
                <w:szCs w:val="16"/>
              </w:rPr>
              <w:t>3.025.869,67</w:t>
            </w:r>
          </w:p>
        </w:tc>
        <w:tc>
          <w:tcPr>
            <w:tcW w:w="404" w:type="pct"/>
            <w:shd w:val="clear" w:color="auto" w:fill="auto"/>
          </w:tcPr>
          <w:p w:rsidR="00706034" w:rsidRPr="00B76110" w:rsidRDefault="00706034" w:rsidP="00674929">
            <w:pPr>
              <w:spacing w:after="60"/>
              <w:rPr>
                <w:rFonts w:eastAsia="Times New Roman"/>
                <w:sz w:val="16"/>
                <w:szCs w:val="16"/>
              </w:rPr>
            </w:pPr>
          </w:p>
        </w:tc>
        <w:tc>
          <w:tcPr>
            <w:tcW w:w="456" w:type="pct"/>
            <w:shd w:val="clear" w:color="auto" w:fill="auto"/>
          </w:tcPr>
          <w:p w:rsidR="00706034" w:rsidRPr="00706034" w:rsidRDefault="00706034" w:rsidP="00124575">
            <w:pPr>
              <w:rPr>
                <w:sz w:val="16"/>
                <w:szCs w:val="16"/>
              </w:rPr>
            </w:pPr>
            <w:r>
              <w:rPr>
                <w:sz w:val="16"/>
                <w:szCs w:val="16"/>
              </w:rPr>
              <w:t xml:space="preserve"> 20.172.464,47 </w:t>
            </w:r>
          </w:p>
        </w:tc>
        <w:tc>
          <w:tcPr>
            <w:tcW w:w="512" w:type="pct"/>
            <w:shd w:val="clear" w:color="auto" w:fill="auto"/>
          </w:tcPr>
          <w:p w:rsidR="00706034" w:rsidRDefault="00706034">
            <w:r w:rsidRPr="0017503D">
              <w:rPr>
                <w:rFonts w:eastAsia="Times New Roman"/>
                <w:sz w:val="16"/>
                <w:szCs w:val="16"/>
              </w:rPr>
              <w:t>85%</w:t>
            </w:r>
          </w:p>
        </w:tc>
        <w:tc>
          <w:tcPr>
            <w:tcW w:w="417" w:type="pct"/>
            <w:shd w:val="clear" w:color="auto" w:fill="auto"/>
          </w:tcPr>
          <w:p w:rsidR="00706034" w:rsidRPr="00B76110" w:rsidRDefault="00706034" w:rsidP="00674929">
            <w:pPr>
              <w:spacing w:after="60"/>
              <w:ind w:left="-58" w:right="-86"/>
              <w:rPr>
                <w:rFonts w:eastAsia="Times New Roman"/>
                <w:sz w:val="16"/>
                <w:szCs w:val="16"/>
              </w:rPr>
            </w:pPr>
          </w:p>
        </w:tc>
        <w:tc>
          <w:tcPr>
            <w:tcW w:w="534" w:type="pct"/>
            <w:shd w:val="clear" w:color="auto" w:fill="auto"/>
          </w:tcPr>
          <w:p w:rsidR="00706034" w:rsidRPr="00B76110" w:rsidRDefault="00706034" w:rsidP="00674929">
            <w:pPr>
              <w:spacing w:after="60"/>
              <w:ind w:left="-440"/>
              <w:rPr>
                <w:rFonts w:eastAsia="Times New Roman"/>
                <w:sz w:val="16"/>
                <w:szCs w:val="16"/>
              </w:rPr>
            </w:pPr>
          </w:p>
        </w:tc>
      </w:tr>
      <w:tr w:rsidR="00706034" w:rsidRPr="00B76110" w:rsidTr="00706034">
        <w:trPr>
          <w:trHeight w:val="289"/>
        </w:trPr>
        <w:tc>
          <w:tcPr>
            <w:tcW w:w="435" w:type="pct"/>
            <w:shd w:val="clear" w:color="auto" w:fill="auto"/>
          </w:tcPr>
          <w:p w:rsidR="00706034" w:rsidRDefault="00706034" w:rsidP="002B6CB9">
            <w:pPr>
              <w:spacing w:after="60"/>
              <w:ind w:left="34" w:right="1"/>
              <w:rPr>
                <w:rFonts w:eastAsia="Times New Roman"/>
                <w:i/>
                <w:iCs/>
                <w:sz w:val="16"/>
                <w:szCs w:val="16"/>
              </w:rPr>
            </w:pPr>
            <w:r>
              <w:rPr>
                <w:rFonts w:eastAsia="Times New Roman"/>
                <w:i/>
                <w:iCs/>
                <w:sz w:val="16"/>
                <w:szCs w:val="16"/>
              </w:rPr>
              <w:t>Priority axis 4</w:t>
            </w:r>
          </w:p>
        </w:tc>
        <w:tc>
          <w:tcPr>
            <w:tcW w:w="727" w:type="pct"/>
            <w:shd w:val="clear" w:color="auto" w:fill="auto"/>
          </w:tcPr>
          <w:p w:rsidR="00706034" w:rsidRPr="006750A9" w:rsidRDefault="00706034" w:rsidP="00C20827">
            <w:pPr>
              <w:jc w:val="center"/>
              <w:rPr>
                <w:sz w:val="16"/>
                <w:szCs w:val="16"/>
              </w:rPr>
            </w:pPr>
            <w:r w:rsidRPr="006750A9">
              <w:rPr>
                <w:sz w:val="16"/>
                <w:szCs w:val="16"/>
              </w:rPr>
              <w:t>11.431.063,20</w:t>
            </w:r>
          </w:p>
        </w:tc>
        <w:tc>
          <w:tcPr>
            <w:tcW w:w="556" w:type="pct"/>
            <w:shd w:val="clear" w:color="auto" w:fill="auto"/>
          </w:tcPr>
          <w:p w:rsidR="00706034" w:rsidRPr="006750A9" w:rsidRDefault="00706034" w:rsidP="00124575">
            <w:pPr>
              <w:jc w:val="center"/>
              <w:rPr>
                <w:sz w:val="16"/>
                <w:szCs w:val="16"/>
              </w:rPr>
            </w:pPr>
            <w:r w:rsidRPr="006750A9">
              <w:rPr>
                <w:sz w:val="16"/>
                <w:szCs w:val="16"/>
              </w:rPr>
              <w:t>11.431.063,20</w:t>
            </w:r>
          </w:p>
        </w:tc>
        <w:tc>
          <w:tcPr>
            <w:tcW w:w="505" w:type="pct"/>
            <w:shd w:val="clear" w:color="auto" w:fill="auto"/>
          </w:tcPr>
          <w:p w:rsidR="00706034" w:rsidRPr="006750A9" w:rsidRDefault="00706034" w:rsidP="00124575">
            <w:pPr>
              <w:rPr>
                <w:sz w:val="16"/>
                <w:szCs w:val="16"/>
              </w:rPr>
            </w:pPr>
            <w:r w:rsidRPr="006750A9">
              <w:rPr>
                <w:sz w:val="16"/>
                <w:szCs w:val="16"/>
              </w:rPr>
              <w:t>2.017.246,45</w:t>
            </w:r>
          </w:p>
        </w:tc>
        <w:tc>
          <w:tcPr>
            <w:tcW w:w="454" w:type="pct"/>
            <w:shd w:val="clear" w:color="auto" w:fill="auto"/>
          </w:tcPr>
          <w:p w:rsidR="00706034" w:rsidRPr="006750A9" w:rsidRDefault="00706034" w:rsidP="00124575">
            <w:pPr>
              <w:rPr>
                <w:sz w:val="16"/>
                <w:szCs w:val="16"/>
              </w:rPr>
            </w:pPr>
            <w:r w:rsidRPr="006750A9">
              <w:rPr>
                <w:sz w:val="16"/>
                <w:szCs w:val="16"/>
              </w:rPr>
              <w:t>2.017.246,45</w:t>
            </w:r>
          </w:p>
        </w:tc>
        <w:tc>
          <w:tcPr>
            <w:tcW w:w="404" w:type="pct"/>
            <w:shd w:val="clear" w:color="auto" w:fill="auto"/>
          </w:tcPr>
          <w:p w:rsidR="00706034" w:rsidRPr="00B76110" w:rsidRDefault="00706034" w:rsidP="00674929">
            <w:pPr>
              <w:spacing w:after="60"/>
              <w:rPr>
                <w:rFonts w:eastAsia="Times New Roman"/>
                <w:sz w:val="16"/>
                <w:szCs w:val="16"/>
              </w:rPr>
            </w:pPr>
          </w:p>
        </w:tc>
        <w:tc>
          <w:tcPr>
            <w:tcW w:w="456" w:type="pct"/>
            <w:shd w:val="clear" w:color="auto" w:fill="auto"/>
          </w:tcPr>
          <w:p w:rsidR="00706034" w:rsidRPr="00706034" w:rsidRDefault="00706034" w:rsidP="00124575">
            <w:pPr>
              <w:rPr>
                <w:sz w:val="16"/>
                <w:szCs w:val="16"/>
              </w:rPr>
            </w:pPr>
            <w:r>
              <w:rPr>
                <w:sz w:val="16"/>
                <w:szCs w:val="16"/>
              </w:rPr>
              <w:t xml:space="preserve"> 13.448.309,65 </w:t>
            </w:r>
          </w:p>
        </w:tc>
        <w:tc>
          <w:tcPr>
            <w:tcW w:w="512" w:type="pct"/>
            <w:shd w:val="clear" w:color="auto" w:fill="auto"/>
          </w:tcPr>
          <w:p w:rsidR="00706034" w:rsidRDefault="00706034">
            <w:r w:rsidRPr="0017503D">
              <w:rPr>
                <w:rFonts w:eastAsia="Times New Roman"/>
                <w:sz w:val="16"/>
                <w:szCs w:val="16"/>
              </w:rPr>
              <w:t>85%</w:t>
            </w:r>
          </w:p>
        </w:tc>
        <w:tc>
          <w:tcPr>
            <w:tcW w:w="417" w:type="pct"/>
            <w:shd w:val="clear" w:color="auto" w:fill="auto"/>
          </w:tcPr>
          <w:p w:rsidR="00706034" w:rsidRPr="00B76110" w:rsidRDefault="00706034" w:rsidP="00674929">
            <w:pPr>
              <w:spacing w:after="60"/>
              <w:ind w:left="-58" w:right="-86"/>
              <w:rPr>
                <w:rFonts w:eastAsia="Times New Roman"/>
                <w:sz w:val="16"/>
                <w:szCs w:val="16"/>
              </w:rPr>
            </w:pPr>
          </w:p>
        </w:tc>
        <w:tc>
          <w:tcPr>
            <w:tcW w:w="534" w:type="pct"/>
            <w:shd w:val="clear" w:color="auto" w:fill="auto"/>
          </w:tcPr>
          <w:p w:rsidR="00706034" w:rsidRPr="00B76110" w:rsidRDefault="00706034" w:rsidP="00674929">
            <w:pPr>
              <w:spacing w:after="60"/>
              <w:ind w:left="-440"/>
              <w:rPr>
                <w:rFonts w:eastAsia="Times New Roman"/>
                <w:sz w:val="16"/>
                <w:szCs w:val="16"/>
              </w:rPr>
            </w:pPr>
          </w:p>
        </w:tc>
      </w:tr>
      <w:tr w:rsidR="00706034" w:rsidRPr="00B76110" w:rsidTr="00706034">
        <w:trPr>
          <w:trHeight w:val="289"/>
        </w:trPr>
        <w:tc>
          <w:tcPr>
            <w:tcW w:w="435" w:type="pct"/>
            <w:shd w:val="clear" w:color="auto" w:fill="auto"/>
          </w:tcPr>
          <w:p w:rsidR="00706034" w:rsidRDefault="00706034" w:rsidP="002B6CB9">
            <w:pPr>
              <w:spacing w:after="60"/>
              <w:ind w:left="34" w:right="1"/>
              <w:rPr>
                <w:rFonts w:eastAsia="Times New Roman"/>
                <w:i/>
                <w:iCs/>
                <w:sz w:val="16"/>
                <w:szCs w:val="16"/>
              </w:rPr>
            </w:pPr>
            <w:r>
              <w:rPr>
                <w:rFonts w:eastAsia="Times New Roman"/>
                <w:i/>
                <w:iCs/>
                <w:sz w:val="16"/>
                <w:szCs w:val="16"/>
              </w:rPr>
              <w:t>Priority axis 5</w:t>
            </w:r>
          </w:p>
        </w:tc>
        <w:tc>
          <w:tcPr>
            <w:tcW w:w="727" w:type="pct"/>
            <w:shd w:val="clear" w:color="auto" w:fill="auto"/>
          </w:tcPr>
          <w:p w:rsidR="00706034" w:rsidRPr="006750A9" w:rsidRDefault="00706034" w:rsidP="00C20827">
            <w:pPr>
              <w:jc w:val="center"/>
              <w:rPr>
                <w:sz w:val="16"/>
                <w:szCs w:val="16"/>
              </w:rPr>
            </w:pPr>
            <w:r w:rsidRPr="006750A9">
              <w:rPr>
                <w:sz w:val="16"/>
                <w:szCs w:val="16"/>
              </w:rPr>
              <w:t>5.715.531,60</w:t>
            </w:r>
          </w:p>
        </w:tc>
        <w:tc>
          <w:tcPr>
            <w:tcW w:w="556" w:type="pct"/>
            <w:shd w:val="clear" w:color="auto" w:fill="auto"/>
          </w:tcPr>
          <w:p w:rsidR="00706034" w:rsidRPr="006750A9" w:rsidRDefault="00706034" w:rsidP="00124575">
            <w:pPr>
              <w:jc w:val="center"/>
              <w:rPr>
                <w:sz w:val="16"/>
                <w:szCs w:val="16"/>
              </w:rPr>
            </w:pPr>
            <w:r w:rsidRPr="006750A9">
              <w:rPr>
                <w:sz w:val="16"/>
                <w:szCs w:val="16"/>
              </w:rPr>
              <w:t>5.715.531,60</w:t>
            </w:r>
          </w:p>
        </w:tc>
        <w:tc>
          <w:tcPr>
            <w:tcW w:w="505" w:type="pct"/>
            <w:shd w:val="clear" w:color="auto" w:fill="auto"/>
          </w:tcPr>
          <w:p w:rsidR="00706034" w:rsidRPr="006750A9" w:rsidRDefault="00706034" w:rsidP="00124575">
            <w:pPr>
              <w:rPr>
                <w:sz w:val="16"/>
                <w:szCs w:val="16"/>
              </w:rPr>
            </w:pPr>
            <w:r w:rsidRPr="006750A9">
              <w:rPr>
                <w:sz w:val="16"/>
                <w:szCs w:val="16"/>
              </w:rPr>
              <w:t>1.008.623,22</w:t>
            </w:r>
          </w:p>
        </w:tc>
        <w:tc>
          <w:tcPr>
            <w:tcW w:w="454" w:type="pct"/>
            <w:shd w:val="clear" w:color="auto" w:fill="auto"/>
          </w:tcPr>
          <w:p w:rsidR="00706034" w:rsidRPr="006750A9" w:rsidRDefault="00706034" w:rsidP="00124575">
            <w:pPr>
              <w:rPr>
                <w:sz w:val="16"/>
                <w:szCs w:val="16"/>
              </w:rPr>
            </w:pPr>
            <w:r w:rsidRPr="006750A9">
              <w:rPr>
                <w:sz w:val="16"/>
                <w:szCs w:val="16"/>
              </w:rPr>
              <w:t>1.008.623,22</w:t>
            </w:r>
          </w:p>
        </w:tc>
        <w:tc>
          <w:tcPr>
            <w:tcW w:w="404" w:type="pct"/>
            <w:shd w:val="clear" w:color="auto" w:fill="auto"/>
          </w:tcPr>
          <w:p w:rsidR="00706034" w:rsidRPr="00B76110" w:rsidRDefault="00706034" w:rsidP="00674929">
            <w:pPr>
              <w:spacing w:after="60"/>
              <w:rPr>
                <w:rFonts w:eastAsia="Times New Roman"/>
                <w:sz w:val="16"/>
                <w:szCs w:val="16"/>
              </w:rPr>
            </w:pPr>
          </w:p>
        </w:tc>
        <w:tc>
          <w:tcPr>
            <w:tcW w:w="456" w:type="pct"/>
            <w:shd w:val="clear" w:color="auto" w:fill="auto"/>
          </w:tcPr>
          <w:p w:rsidR="00706034" w:rsidRPr="00706034" w:rsidRDefault="00706034" w:rsidP="00124575">
            <w:pPr>
              <w:rPr>
                <w:sz w:val="16"/>
                <w:szCs w:val="16"/>
              </w:rPr>
            </w:pPr>
            <w:r>
              <w:rPr>
                <w:sz w:val="16"/>
                <w:szCs w:val="16"/>
              </w:rPr>
              <w:t xml:space="preserve">  6.724.154,82</w:t>
            </w:r>
            <w:r w:rsidRPr="00706034">
              <w:rPr>
                <w:sz w:val="16"/>
                <w:szCs w:val="16"/>
              </w:rPr>
              <w:t xml:space="preserve"> </w:t>
            </w:r>
          </w:p>
        </w:tc>
        <w:tc>
          <w:tcPr>
            <w:tcW w:w="512" w:type="pct"/>
            <w:shd w:val="clear" w:color="auto" w:fill="auto"/>
          </w:tcPr>
          <w:p w:rsidR="00706034" w:rsidRDefault="00706034">
            <w:r w:rsidRPr="0017503D">
              <w:rPr>
                <w:rFonts w:eastAsia="Times New Roman"/>
                <w:sz w:val="16"/>
                <w:szCs w:val="16"/>
              </w:rPr>
              <w:t>85%</w:t>
            </w:r>
          </w:p>
        </w:tc>
        <w:tc>
          <w:tcPr>
            <w:tcW w:w="417" w:type="pct"/>
            <w:shd w:val="clear" w:color="auto" w:fill="auto"/>
          </w:tcPr>
          <w:p w:rsidR="00706034" w:rsidRPr="00B76110" w:rsidRDefault="00706034" w:rsidP="00674929">
            <w:pPr>
              <w:spacing w:after="60"/>
              <w:ind w:left="-58" w:right="-86"/>
              <w:rPr>
                <w:rFonts w:eastAsia="Times New Roman"/>
                <w:sz w:val="16"/>
                <w:szCs w:val="16"/>
              </w:rPr>
            </w:pPr>
          </w:p>
        </w:tc>
        <w:tc>
          <w:tcPr>
            <w:tcW w:w="534" w:type="pct"/>
            <w:shd w:val="clear" w:color="auto" w:fill="auto"/>
          </w:tcPr>
          <w:p w:rsidR="00706034" w:rsidRPr="00B76110" w:rsidRDefault="00706034" w:rsidP="00674929">
            <w:pPr>
              <w:spacing w:after="60"/>
              <w:ind w:left="-440"/>
              <w:rPr>
                <w:rFonts w:eastAsia="Times New Roman"/>
                <w:sz w:val="16"/>
                <w:szCs w:val="16"/>
              </w:rPr>
            </w:pPr>
          </w:p>
        </w:tc>
      </w:tr>
      <w:tr w:rsidR="00706034" w:rsidRPr="00B76110" w:rsidTr="00706034">
        <w:tc>
          <w:tcPr>
            <w:tcW w:w="435" w:type="pct"/>
            <w:shd w:val="clear" w:color="auto" w:fill="auto"/>
          </w:tcPr>
          <w:p w:rsidR="00706034" w:rsidRPr="00B76110" w:rsidRDefault="00706034" w:rsidP="00674929">
            <w:pPr>
              <w:spacing w:after="60"/>
              <w:ind w:left="34" w:right="1"/>
              <w:rPr>
                <w:rFonts w:eastAsia="Times New Roman"/>
                <w:sz w:val="16"/>
                <w:szCs w:val="16"/>
              </w:rPr>
            </w:pPr>
            <w:r w:rsidRPr="00B76110">
              <w:rPr>
                <w:rFonts w:eastAsia="Times New Roman"/>
                <w:sz w:val="16"/>
                <w:szCs w:val="16"/>
              </w:rPr>
              <w:t>Total</w:t>
            </w:r>
          </w:p>
        </w:tc>
        <w:tc>
          <w:tcPr>
            <w:tcW w:w="727" w:type="pct"/>
            <w:shd w:val="clear" w:color="auto" w:fill="auto"/>
          </w:tcPr>
          <w:p w:rsidR="00706034" w:rsidRPr="006750A9" w:rsidRDefault="00706034" w:rsidP="00AE7CC9">
            <w:pPr>
              <w:spacing w:after="60"/>
              <w:ind w:left="-75"/>
              <w:jc w:val="center"/>
              <w:rPr>
                <w:rFonts w:eastAsia="Times New Roman"/>
                <w:sz w:val="16"/>
                <w:szCs w:val="16"/>
              </w:rPr>
            </w:pPr>
            <w:r w:rsidRPr="006750A9">
              <w:rPr>
                <w:sz w:val="16"/>
                <w:szCs w:val="16"/>
              </w:rPr>
              <w:t>57.155.316,00</w:t>
            </w:r>
          </w:p>
        </w:tc>
        <w:tc>
          <w:tcPr>
            <w:tcW w:w="556" w:type="pct"/>
            <w:shd w:val="clear" w:color="auto" w:fill="auto"/>
          </w:tcPr>
          <w:p w:rsidR="00706034" w:rsidRPr="006750A9" w:rsidRDefault="00706034" w:rsidP="00124575">
            <w:pPr>
              <w:spacing w:after="60"/>
              <w:ind w:left="-75"/>
              <w:jc w:val="center"/>
              <w:rPr>
                <w:rFonts w:eastAsia="Times New Roman"/>
                <w:sz w:val="16"/>
                <w:szCs w:val="16"/>
              </w:rPr>
            </w:pPr>
            <w:r w:rsidRPr="006750A9">
              <w:rPr>
                <w:sz w:val="16"/>
                <w:szCs w:val="16"/>
              </w:rPr>
              <w:t>57.155.316,00</w:t>
            </w:r>
          </w:p>
        </w:tc>
        <w:tc>
          <w:tcPr>
            <w:tcW w:w="505" w:type="pct"/>
            <w:shd w:val="clear" w:color="auto" w:fill="auto"/>
          </w:tcPr>
          <w:p w:rsidR="00706034" w:rsidRPr="006750A9" w:rsidRDefault="00706034" w:rsidP="00124575">
            <w:pPr>
              <w:rPr>
                <w:sz w:val="16"/>
                <w:szCs w:val="16"/>
              </w:rPr>
            </w:pPr>
            <w:r w:rsidRPr="006750A9">
              <w:rPr>
                <w:sz w:val="16"/>
                <w:szCs w:val="16"/>
              </w:rPr>
              <w:t>10.086.232,24</w:t>
            </w:r>
          </w:p>
        </w:tc>
        <w:tc>
          <w:tcPr>
            <w:tcW w:w="454" w:type="pct"/>
            <w:shd w:val="clear" w:color="auto" w:fill="auto"/>
          </w:tcPr>
          <w:p w:rsidR="00706034" w:rsidRPr="006750A9" w:rsidRDefault="00706034" w:rsidP="00124575">
            <w:pPr>
              <w:rPr>
                <w:sz w:val="16"/>
                <w:szCs w:val="16"/>
              </w:rPr>
            </w:pPr>
            <w:r w:rsidRPr="006750A9">
              <w:rPr>
                <w:sz w:val="16"/>
                <w:szCs w:val="16"/>
              </w:rPr>
              <w:t>10.086.232,24</w:t>
            </w:r>
          </w:p>
        </w:tc>
        <w:tc>
          <w:tcPr>
            <w:tcW w:w="404" w:type="pct"/>
            <w:shd w:val="clear" w:color="auto" w:fill="auto"/>
          </w:tcPr>
          <w:p w:rsidR="00706034" w:rsidRPr="00B76110" w:rsidRDefault="00706034" w:rsidP="00674929">
            <w:pPr>
              <w:spacing w:after="60"/>
              <w:rPr>
                <w:rFonts w:eastAsia="Times New Roman"/>
                <w:sz w:val="16"/>
                <w:szCs w:val="16"/>
              </w:rPr>
            </w:pPr>
          </w:p>
        </w:tc>
        <w:tc>
          <w:tcPr>
            <w:tcW w:w="456" w:type="pct"/>
            <w:shd w:val="clear" w:color="auto" w:fill="auto"/>
          </w:tcPr>
          <w:p w:rsidR="00706034" w:rsidRPr="00706034" w:rsidRDefault="00706034" w:rsidP="00124575">
            <w:pPr>
              <w:rPr>
                <w:sz w:val="16"/>
                <w:szCs w:val="16"/>
              </w:rPr>
            </w:pPr>
            <w:r>
              <w:rPr>
                <w:sz w:val="16"/>
                <w:szCs w:val="16"/>
              </w:rPr>
              <w:t xml:space="preserve"> 67.241.548,24 </w:t>
            </w:r>
          </w:p>
        </w:tc>
        <w:tc>
          <w:tcPr>
            <w:tcW w:w="512" w:type="pct"/>
            <w:shd w:val="clear" w:color="auto" w:fill="auto"/>
          </w:tcPr>
          <w:p w:rsidR="00706034" w:rsidRPr="00B76110" w:rsidRDefault="00706034" w:rsidP="00674929">
            <w:pPr>
              <w:spacing w:after="60"/>
              <w:ind w:left="-58"/>
              <w:rPr>
                <w:rFonts w:eastAsia="Times New Roman"/>
                <w:sz w:val="16"/>
                <w:szCs w:val="16"/>
              </w:rPr>
            </w:pPr>
            <w:r>
              <w:rPr>
                <w:rFonts w:eastAsia="Times New Roman"/>
                <w:sz w:val="16"/>
                <w:szCs w:val="16"/>
              </w:rPr>
              <w:t>85%</w:t>
            </w:r>
          </w:p>
        </w:tc>
        <w:tc>
          <w:tcPr>
            <w:tcW w:w="417" w:type="pct"/>
            <w:shd w:val="clear" w:color="auto" w:fill="auto"/>
          </w:tcPr>
          <w:p w:rsidR="00706034" w:rsidRPr="00B76110" w:rsidRDefault="00706034" w:rsidP="00674929">
            <w:pPr>
              <w:spacing w:after="60"/>
              <w:ind w:left="-58" w:right="-86"/>
              <w:rPr>
                <w:rFonts w:eastAsia="Times New Roman"/>
                <w:sz w:val="16"/>
                <w:szCs w:val="16"/>
              </w:rPr>
            </w:pPr>
          </w:p>
        </w:tc>
        <w:tc>
          <w:tcPr>
            <w:tcW w:w="534" w:type="pct"/>
            <w:shd w:val="clear" w:color="auto" w:fill="auto"/>
          </w:tcPr>
          <w:p w:rsidR="00706034" w:rsidRPr="00B76110" w:rsidRDefault="00706034" w:rsidP="00674929">
            <w:pPr>
              <w:spacing w:after="60"/>
              <w:ind w:left="-440"/>
              <w:rPr>
                <w:rFonts w:eastAsia="Times New Roman"/>
                <w:sz w:val="16"/>
                <w:szCs w:val="16"/>
              </w:rPr>
            </w:pPr>
          </w:p>
        </w:tc>
      </w:tr>
    </w:tbl>
    <w:p w:rsidR="00FB701A" w:rsidRPr="00B76110" w:rsidRDefault="00FB701A" w:rsidP="006A4BDD">
      <w:pPr>
        <w:spacing w:before="0" w:after="0"/>
        <w:rPr>
          <w:rFonts w:eastAsia="Times New Roman"/>
          <w:sz w:val="20"/>
        </w:rPr>
      </w:pPr>
      <w:r w:rsidRPr="00B76110">
        <w:rPr>
          <w:rFonts w:eastAsia="Times New Roman"/>
          <w:sz w:val="20"/>
        </w:rPr>
        <w:t>(1)   To be completed only when priority axes are expressed in total costs.</w:t>
      </w:r>
    </w:p>
    <w:p w:rsidR="006A4BDD" w:rsidRDefault="00FB701A" w:rsidP="006A4BDD">
      <w:pPr>
        <w:spacing w:before="0" w:after="0"/>
        <w:rPr>
          <w:rFonts w:eastAsia="Times New Roman"/>
          <w:sz w:val="20"/>
        </w:rPr>
      </w:pPr>
      <w:r w:rsidRPr="00B76110">
        <w:rPr>
          <w:rFonts w:eastAsia="Times New Roman"/>
          <w:sz w:val="20"/>
        </w:rPr>
        <w:t>(2)   This rate may be rounded to the nearest whole number in the table. The precise rate used to reimburse payments is the ratio (f).</w:t>
      </w:r>
    </w:p>
    <w:p w:rsidR="001A38A7" w:rsidRDefault="001A38A7" w:rsidP="006A4BDD">
      <w:pPr>
        <w:spacing w:before="0" w:after="0"/>
        <w:rPr>
          <w:rFonts w:eastAsia="Times New Roman"/>
          <w:sz w:val="20"/>
        </w:rPr>
        <w:sectPr w:rsidR="001A38A7" w:rsidSect="00706034">
          <w:headerReference w:type="default" r:id="rId52"/>
          <w:footerReference w:type="default" r:id="rId53"/>
          <w:headerReference w:type="first" r:id="rId54"/>
          <w:footerReference w:type="first" r:id="rId55"/>
          <w:pgSz w:w="16838" w:h="11906" w:orient="landscape"/>
          <w:pgMar w:top="1587" w:right="1020" w:bottom="1418" w:left="1020" w:header="601" w:footer="1077" w:gutter="0"/>
          <w:cols w:space="720"/>
          <w:docGrid w:linePitch="326"/>
        </w:sectPr>
      </w:pPr>
    </w:p>
    <w:p w:rsidR="00EC3C45" w:rsidRDefault="00FB701A" w:rsidP="00D17A3D">
      <w:pPr>
        <w:rPr>
          <w:rFonts w:eastAsia="Times New Roman"/>
          <w:b/>
          <w:szCs w:val="24"/>
        </w:rPr>
      </w:pPr>
      <w:r w:rsidRPr="00B76110">
        <w:rPr>
          <w:rFonts w:eastAsia="Times New Roman"/>
          <w:b/>
          <w:szCs w:val="24"/>
        </w:rPr>
        <w:lastRenderedPageBreak/>
        <w:t>3.2.</w:t>
      </w:r>
      <w:r w:rsidR="00690517">
        <w:rPr>
          <w:rFonts w:eastAsia="Times New Roman"/>
          <w:b/>
          <w:szCs w:val="24"/>
        </w:rPr>
        <w:t>2</w:t>
      </w:r>
      <w:r w:rsidRPr="00B76110">
        <w:rPr>
          <w:rFonts w:eastAsia="Times New Roman"/>
          <w:b/>
          <w:szCs w:val="24"/>
        </w:rPr>
        <w:tab/>
        <w:t xml:space="preserve">Breakdown by priority axis and thematic </w:t>
      </w:r>
      <w:r w:rsidR="00690517">
        <w:rPr>
          <w:rFonts w:eastAsia="Times New Roman"/>
          <w:b/>
          <w:szCs w:val="24"/>
        </w:rPr>
        <w:t>priority</w:t>
      </w:r>
      <w:r w:rsidR="00690517" w:rsidRPr="00B76110">
        <w:rPr>
          <w:rFonts w:eastAsia="Times New Roman"/>
          <w:b/>
          <w:szCs w:val="24"/>
        </w:rPr>
        <w:t xml:space="preserve"> </w:t>
      </w:r>
      <w:r w:rsidR="00375179" w:rsidRPr="00375179">
        <w:rPr>
          <w:rFonts w:eastAsia="Times New Roman"/>
          <w:b/>
          <w:szCs w:val="24"/>
        </w:rPr>
        <w:t>(in EUR)</w:t>
      </w:r>
    </w:p>
    <w:p w:rsidR="00FB701A" w:rsidRPr="00567F19" w:rsidRDefault="00EC3C45" w:rsidP="00BB2AAB">
      <w:r w:rsidRPr="00567F19">
        <w:t>(</w:t>
      </w:r>
      <w:r w:rsidR="005609B2" w:rsidRPr="00567F19">
        <w:t xml:space="preserve">Reference: </w:t>
      </w:r>
      <w:r w:rsidR="00C0542A">
        <w:t xml:space="preserve">point (d)(ii) of </w:t>
      </w:r>
      <w:r w:rsidR="00FB701A" w:rsidRPr="00567F19">
        <w:t xml:space="preserve">Article </w:t>
      </w:r>
      <w:r w:rsidRPr="00567F19">
        <w:t>8</w:t>
      </w:r>
      <w:r w:rsidR="00FB701A" w:rsidRPr="00567F19">
        <w:t xml:space="preserve">(2) </w:t>
      </w:r>
      <w:r w:rsidR="00965678" w:rsidRPr="00567F19">
        <w:t>of Regulation (EU) No 1299/2013</w:t>
      </w:r>
      <w:r w:rsidRPr="00567F19">
        <w:t>)</w:t>
      </w:r>
    </w:p>
    <w:p w:rsidR="00FB701A" w:rsidRPr="00B76110" w:rsidRDefault="00FB701A" w:rsidP="00D17A3D">
      <w:pPr>
        <w:rPr>
          <w:rFonts w:eastAsia="Times New Roman"/>
          <w:b/>
          <w:szCs w:val="24"/>
        </w:rPr>
      </w:pPr>
      <w:r w:rsidRPr="00B76110">
        <w:rPr>
          <w:rFonts w:eastAsia="Times New Roman"/>
          <w:b/>
          <w:szCs w:val="24"/>
        </w:rPr>
        <w:t xml:space="preserve">Table </w:t>
      </w:r>
      <w:r w:rsidR="00AE61D4" w:rsidRPr="00B76110">
        <w:rPr>
          <w:rFonts w:eastAsia="Times New Roman"/>
          <w:b/>
          <w:szCs w:val="24"/>
        </w:rPr>
        <w:t>1</w:t>
      </w:r>
      <w:r w:rsidR="006F5014">
        <w:rPr>
          <w:rFonts w:eastAsia="Times New Roman"/>
          <w:b/>
          <w:szCs w:val="24"/>
        </w:rPr>
        <w:t>7</w:t>
      </w:r>
      <w:r w:rsidR="00AE61D4" w:rsidRPr="00B76110">
        <w:rPr>
          <w:rFonts w:eastAsia="Times New Roman"/>
          <w:b/>
          <w:szCs w:val="24"/>
        </w:rPr>
        <w:t xml:space="preserve"> </w:t>
      </w: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152"/>
        <w:gridCol w:w="1537"/>
        <w:gridCol w:w="2130"/>
        <w:gridCol w:w="1838"/>
      </w:tblGrid>
      <w:tr w:rsidR="00FB701A" w:rsidRPr="00B76110" w:rsidTr="001C73C8">
        <w:tc>
          <w:tcPr>
            <w:tcW w:w="830" w:type="pct"/>
            <w:shd w:val="clear" w:color="auto" w:fill="auto"/>
          </w:tcPr>
          <w:p w:rsidR="00FB701A" w:rsidRPr="00B76110" w:rsidRDefault="00FB701A" w:rsidP="00D17A3D">
            <w:pPr>
              <w:spacing w:before="60" w:after="60"/>
              <w:rPr>
                <w:rFonts w:eastAsia="Times New Roman"/>
                <w:b/>
                <w:sz w:val="20"/>
              </w:rPr>
            </w:pPr>
            <w:r w:rsidRPr="00B76110">
              <w:rPr>
                <w:rFonts w:eastAsia="Times New Roman"/>
                <w:b/>
                <w:sz w:val="20"/>
              </w:rPr>
              <w:t>Priority axis</w:t>
            </w:r>
          </w:p>
        </w:tc>
        <w:tc>
          <w:tcPr>
            <w:tcW w:w="1172" w:type="pct"/>
            <w:shd w:val="clear" w:color="auto" w:fill="auto"/>
          </w:tcPr>
          <w:p w:rsidR="00FB701A" w:rsidRPr="00B76110" w:rsidRDefault="00FB701A" w:rsidP="00516ADD">
            <w:pPr>
              <w:spacing w:before="60" w:after="60"/>
              <w:rPr>
                <w:rFonts w:eastAsia="Times New Roman"/>
                <w:b/>
                <w:sz w:val="20"/>
              </w:rPr>
            </w:pPr>
            <w:r w:rsidRPr="00B76110">
              <w:rPr>
                <w:rFonts w:eastAsia="Times New Roman"/>
                <w:b/>
                <w:sz w:val="20"/>
              </w:rPr>
              <w:t xml:space="preserve">Thematic </w:t>
            </w:r>
            <w:r w:rsidR="00516ADD">
              <w:rPr>
                <w:rFonts w:eastAsia="Times New Roman"/>
                <w:b/>
                <w:sz w:val="20"/>
              </w:rPr>
              <w:t>priority</w:t>
            </w:r>
          </w:p>
        </w:tc>
        <w:tc>
          <w:tcPr>
            <w:tcW w:w="837" w:type="pct"/>
            <w:shd w:val="clear" w:color="auto" w:fill="auto"/>
          </w:tcPr>
          <w:p w:rsidR="00FB701A" w:rsidRPr="00B76110" w:rsidRDefault="00FB701A" w:rsidP="00D17A3D">
            <w:pPr>
              <w:spacing w:before="60" w:after="60"/>
              <w:rPr>
                <w:rFonts w:eastAsia="Times New Roman"/>
                <w:b/>
                <w:smallCaps/>
                <w:sz w:val="20"/>
              </w:rPr>
            </w:pPr>
            <w:r w:rsidRPr="00B76110">
              <w:rPr>
                <w:rFonts w:eastAsia="Times New Roman"/>
                <w:b/>
                <w:bCs/>
                <w:sz w:val="20"/>
              </w:rPr>
              <w:t>Union support</w:t>
            </w:r>
          </w:p>
        </w:tc>
        <w:tc>
          <w:tcPr>
            <w:tcW w:w="1160" w:type="pct"/>
            <w:shd w:val="clear" w:color="auto" w:fill="auto"/>
          </w:tcPr>
          <w:p w:rsidR="00FB701A" w:rsidRPr="00B76110" w:rsidRDefault="00FB701A" w:rsidP="00D17A3D">
            <w:pPr>
              <w:spacing w:before="60" w:after="60"/>
              <w:rPr>
                <w:rFonts w:eastAsia="Times New Roman"/>
                <w:b/>
                <w:smallCaps/>
                <w:sz w:val="20"/>
              </w:rPr>
            </w:pPr>
            <w:r w:rsidRPr="00B76110">
              <w:rPr>
                <w:rFonts w:eastAsia="Times New Roman"/>
                <w:b/>
                <w:bCs/>
                <w:sz w:val="20"/>
              </w:rPr>
              <w:t>National counterpart</w:t>
            </w:r>
          </w:p>
        </w:tc>
        <w:tc>
          <w:tcPr>
            <w:tcW w:w="1001" w:type="pct"/>
            <w:shd w:val="clear" w:color="auto" w:fill="auto"/>
          </w:tcPr>
          <w:p w:rsidR="00FB701A" w:rsidRPr="00B76110" w:rsidRDefault="00FB701A" w:rsidP="00D17A3D">
            <w:pPr>
              <w:spacing w:before="60" w:after="60"/>
              <w:rPr>
                <w:rFonts w:eastAsia="Times New Roman"/>
                <w:b/>
                <w:smallCaps/>
                <w:sz w:val="20"/>
              </w:rPr>
            </w:pPr>
            <w:r w:rsidRPr="00B76110">
              <w:rPr>
                <w:rFonts w:eastAsia="Times New Roman"/>
                <w:b/>
                <w:bCs/>
                <w:sz w:val="20"/>
              </w:rPr>
              <w:t>Total funding</w:t>
            </w:r>
          </w:p>
        </w:tc>
      </w:tr>
      <w:tr w:rsidR="0013082B" w:rsidRPr="00901CB6" w:rsidTr="00124575">
        <w:tc>
          <w:tcPr>
            <w:tcW w:w="830" w:type="pct"/>
            <w:shd w:val="clear" w:color="auto" w:fill="auto"/>
          </w:tcPr>
          <w:p w:rsidR="0013082B" w:rsidRPr="00567F19" w:rsidRDefault="0013082B" w:rsidP="00D17A3D">
            <w:pPr>
              <w:spacing w:before="60" w:after="60"/>
              <w:rPr>
                <w:rFonts w:eastAsia="Times New Roman"/>
                <w:sz w:val="20"/>
                <w:lang w:val="nb-NO"/>
              </w:rPr>
            </w:pPr>
            <w:r w:rsidRPr="009E154F">
              <w:rPr>
                <w:rFonts w:eastAsia="Times New Roman"/>
                <w:sz w:val="20"/>
                <w:lang w:val="nb-NO"/>
              </w:rPr>
              <w:t>Priority axis 1</w:t>
            </w:r>
          </w:p>
        </w:tc>
        <w:tc>
          <w:tcPr>
            <w:tcW w:w="1172" w:type="pct"/>
            <w:shd w:val="clear" w:color="auto" w:fill="auto"/>
          </w:tcPr>
          <w:p w:rsidR="0013082B" w:rsidRPr="006750A9" w:rsidRDefault="0013082B" w:rsidP="00124575">
            <w:pPr>
              <w:jc w:val="center"/>
              <w:rPr>
                <w:sz w:val="16"/>
                <w:szCs w:val="16"/>
              </w:rPr>
            </w:pPr>
            <w:r w:rsidRPr="006750A9">
              <w:rPr>
                <w:sz w:val="16"/>
                <w:szCs w:val="16"/>
              </w:rPr>
              <w:t>8.573.297,40</w:t>
            </w:r>
          </w:p>
        </w:tc>
        <w:tc>
          <w:tcPr>
            <w:tcW w:w="837" w:type="pct"/>
            <w:shd w:val="clear" w:color="auto" w:fill="auto"/>
          </w:tcPr>
          <w:p w:rsidR="0013082B" w:rsidRPr="006750A9" w:rsidRDefault="0013082B" w:rsidP="00124575">
            <w:pPr>
              <w:jc w:val="center"/>
              <w:rPr>
                <w:sz w:val="16"/>
                <w:szCs w:val="16"/>
              </w:rPr>
            </w:pPr>
            <w:r w:rsidRPr="006750A9">
              <w:rPr>
                <w:sz w:val="16"/>
                <w:szCs w:val="16"/>
              </w:rPr>
              <w:t>8.573.297,40</w:t>
            </w:r>
          </w:p>
        </w:tc>
        <w:tc>
          <w:tcPr>
            <w:tcW w:w="1160" w:type="pct"/>
            <w:shd w:val="clear" w:color="auto" w:fill="auto"/>
          </w:tcPr>
          <w:p w:rsidR="0013082B" w:rsidRPr="006750A9" w:rsidRDefault="0013082B" w:rsidP="00124575">
            <w:pPr>
              <w:rPr>
                <w:sz w:val="16"/>
                <w:szCs w:val="16"/>
              </w:rPr>
            </w:pPr>
            <w:r w:rsidRPr="006750A9">
              <w:rPr>
                <w:sz w:val="16"/>
                <w:szCs w:val="16"/>
              </w:rPr>
              <w:t>1.512.934,84</w:t>
            </w:r>
          </w:p>
        </w:tc>
        <w:tc>
          <w:tcPr>
            <w:tcW w:w="1001" w:type="pct"/>
            <w:shd w:val="clear" w:color="auto" w:fill="auto"/>
          </w:tcPr>
          <w:p w:rsidR="0013082B" w:rsidRPr="00706034" w:rsidRDefault="0013082B" w:rsidP="00124575">
            <w:pPr>
              <w:rPr>
                <w:sz w:val="16"/>
                <w:szCs w:val="16"/>
              </w:rPr>
            </w:pPr>
            <w:r>
              <w:rPr>
                <w:sz w:val="16"/>
                <w:szCs w:val="16"/>
              </w:rPr>
              <w:t xml:space="preserve"> 10.086.232,24 </w:t>
            </w:r>
          </w:p>
        </w:tc>
      </w:tr>
      <w:tr w:rsidR="0013082B" w:rsidRPr="00901CB6" w:rsidTr="00124575">
        <w:tc>
          <w:tcPr>
            <w:tcW w:w="830" w:type="pct"/>
            <w:shd w:val="clear" w:color="auto" w:fill="auto"/>
          </w:tcPr>
          <w:p w:rsidR="0013082B" w:rsidRPr="00567F19" w:rsidRDefault="0013082B" w:rsidP="009E154F">
            <w:pPr>
              <w:spacing w:before="60" w:after="60"/>
              <w:rPr>
                <w:rFonts w:eastAsia="Times New Roman"/>
                <w:sz w:val="20"/>
                <w:lang w:val="nb-NO"/>
              </w:rPr>
            </w:pPr>
            <w:r w:rsidRPr="009E154F">
              <w:rPr>
                <w:rFonts w:eastAsia="Times New Roman"/>
                <w:sz w:val="20"/>
                <w:lang w:val="nb-NO"/>
              </w:rPr>
              <w:t xml:space="preserve">Priority axis </w:t>
            </w:r>
            <w:r>
              <w:rPr>
                <w:rFonts w:eastAsia="Times New Roman"/>
                <w:sz w:val="20"/>
                <w:lang w:val="nb-NO"/>
              </w:rPr>
              <w:t>2</w:t>
            </w:r>
          </w:p>
        </w:tc>
        <w:tc>
          <w:tcPr>
            <w:tcW w:w="1172" w:type="pct"/>
            <w:shd w:val="clear" w:color="auto" w:fill="auto"/>
          </w:tcPr>
          <w:p w:rsidR="0013082B" w:rsidRPr="006750A9" w:rsidRDefault="0013082B" w:rsidP="00124575">
            <w:pPr>
              <w:jc w:val="center"/>
              <w:rPr>
                <w:sz w:val="16"/>
                <w:szCs w:val="16"/>
              </w:rPr>
            </w:pPr>
            <w:r w:rsidRPr="006750A9">
              <w:rPr>
                <w:sz w:val="16"/>
                <w:szCs w:val="16"/>
              </w:rPr>
              <w:t>14.288.829,00</w:t>
            </w:r>
          </w:p>
        </w:tc>
        <w:tc>
          <w:tcPr>
            <w:tcW w:w="837" w:type="pct"/>
            <w:shd w:val="clear" w:color="auto" w:fill="auto"/>
          </w:tcPr>
          <w:p w:rsidR="0013082B" w:rsidRPr="006750A9" w:rsidRDefault="0013082B" w:rsidP="00124575">
            <w:pPr>
              <w:jc w:val="center"/>
              <w:rPr>
                <w:sz w:val="16"/>
                <w:szCs w:val="16"/>
              </w:rPr>
            </w:pPr>
            <w:r w:rsidRPr="006750A9">
              <w:rPr>
                <w:sz w:val="16"/>
                <w:szCs w:val="16"/>
              </w:rPr>
              <w:t>14.288.829,00</w:t>
            </w:r>
          </w:p>
        </w:tc>
        <w:tc>
          <w:tcPr>
            <w:tcW w:w="1160" w:type="pct"/>
            <w:shd w:val="clear" w:color="auto" w:fill="auto"/>
          </w:tcPr>
          <w:p w:rsidR="0013082B" w:rsidRPr="006750A9" w:rsidRDefault="0013082B" w:rsidP="00124575">
            <w:pPr>
              <w:rPr>
                <w:sz w:val="16"/>
                <w:szCs w:val="16"/>
              </w:rPr>
            </w:pPr>
            <w:r w:rsidRPr="006750A9">
              <w:rPr>
                <w:sz w:val="16"/>
                <w:szCs w:val="16"/>
              </w:rPr>
              <w:t>2.521.558,06</w:t>
            </w:r>
          </w:p>
        </w:tc>
        <w:tc>
          <w:tcPr>
            <w:tcW w:w="1001" w:type="pct"/>
            <w:shd w:val="clear" w:color="auto" w:fill="auto"/>
          </w:tcPr>
          <w:p w:rsidR="0013082B" w:rsidRPr="00706034" w:rsidRDefault="0013082B" w:rsidP="00124575">
            <w:pPr>
              <w:rPr>
                <w:sz w:val="16"/>
                <w:szCs w:val="16"/>
              </w:rPr>
            </w:pPr>
            <w:r>
              <w:rPr>
                <w:sz w:val="16"/>
                <w:szCs w:val="16"/>
              </w:rPr>
              <w:t xml:space="preserve"> 16.810.387,06 </w:t>
            </w:r>
          </w:p>
        </w:tc>
      </w:tr>
      <w:tr w:rsidR="0013082B" w:rsidRPr="00901CB6" w:rsidTr="00124575">
        <w:tc>
          <w:tcPr>
            <w:tcW w:w="830" w:type="pct"/>
            <w:shd w:val="clear" w:color="auto" w:fill="auto"/>
          </w:tcPr>
          <w:p w:rsidR="0013082B" w:rsidRDefault="0013082B" w:rsidP="009E154F">
            <w:r w:rsidRPr="008D5397">
              <w:rPr>
                <w:rFonts w:eastAsia="Times New Roman"/>
                <w:sz w:val="20"/>
                <w:lang w:val="nb-NO"/>
              </w:rPr>
              <w:t xml:space="preserve">Priority axis </w:t>
            </w:r>
            <w:r>
              <w:rPr>
                <w:rFonts w:eastAsia="Times New Roman"/>
                <w:sz w:val="20"/>
                <w:lang w:val="nb-NO"/>
              </w:rPr>
              <w:t>3</w:t>
            </w:r>
          </w:p>
        </w:tc>
        <w:tc>
          <w:tcPr>
            <w:tcW w:w="1172" w:type="pct"/>
            <w:shd w:val="clear" w:color="auto" w:fill="auto"/>
          </w:tcPr>
          <w:p w:rsidR="0013082B" w:rsidRPr="006750A9" w:rsidRDefault="0013082B" w:rsidP="00124575">
            <w:pPr>
              <w:jc w:val="center"/>
              <w:rPr>
                <w:sz w:val="16"/>
                <w:szCs w:val="16"/>
              </w:rPr>
            </w:pPr>
            <w:r w:rsidRPr="006750A9">
              <w:rPr>
                <w:sz w:val="16"/>
                <w:szCs w:val="16"/>
              </w:rPr>
              <w:t>17.146.594,80</w:t>
            </w:r>
          </w:p>
        </w:tc>
        <w:tc>
          <w:tcPr>
            <w:tcW w:w="837" w:type="pct"/>
            <w:shd w:val="clear" w:color="auto" w:fill="auto"/>
          </w:tcPr>
          <w:p w:rsidR="0013082B" w:rsidRPr="006750A9" w:rsidRDefault="0013082B" w:rsidP="00124575">
            <w:pPr>
              <w:jc w:val="center"/>
              <w:rPr>
                <w:sz w:val="16"/>
                <w:szCs w:val="16"/>
              </w:rPr>
            </w:pPr>
            <w:r w:rsidRPr="006750A9">
              <w:rPr>
                <w:sz w:val="16"/>
                <w:szCs w:val="16"/>
              </w:rPr>
              <w:t>17.146.594,80</w:t>
            </w:r>
          </w:p>
        </w:tc>
        <w:tc>
          <w:tcPr>
            <w:tcW w:w="1160" w:type="pct"/>
            <w:shd w:val="clear" w:color="auto" w:fill="auto"/>
          </w:tcPr>
          <w:p w:rsidR="0013082B" w:rsidRPr="006750A9" w:rsidRDefault="0013082B" w:rsidP="00124575">
            <w:pPr>
              <w:rPr>
                <w:sz w:val="16"/>
                <w:szCs w:val="16"/>
              </w:rPr>
            </w:pPr>
            <w:r w:rsidRPr="006750A9">
              <w:rPr>
                <w:sz w:val="16"/>
                <w:szCs w:val="16"/>
              </w:rPr>
              <w:t>3.025.869,67</w:t>
            </w:r>
          </w:p>
        </w:tc>
        <w:tc>
          <w:tcPr>
            <w:tcW w:w="1001" w:type="pct"/>
            <w:shd w:val="clear" w:color="auto" w:fill="auto"/>
          </w:tcPr>
          <w:p w:rsidR="0013082B" w:rsidRPr="00706034" w:rsidRDefault="0013082B" w:rsidP="00124575">
            <w:pPr>
              <w:rPr>
                <w:sz w:val="16"/>
                <w:szCs w:val="16"/>
              </w:rPr>
            </w:pPr>
            <w:r>
              <w:rPr>
                <w:sz w:val="16"/>
                <w:szCs w:val="16"/>
              </w:rPr>
              <w:t xml:space="preserve"> 20.172.464,47 </w:t>
            </w:r>
          </w:p>
        </w:tc>
      </w:tr>
      <w:tr w:rsidR="0013082B" w:rsidRPr="00901CB6" w:rsidTr="00124575">
        <w:trPr>
          <w:trHeight w:val="289"/>
        </w:trPr>
        <w:tc>
          <w:tcPr>
            <w:tcW w:w="830" w:type="pct"/>
            <w:shd w:val="clear" w:color="auto" w:fill="auto"/>
          </w:tcPr>
          <w:p w:rsidR="0013082B" w:rsidRDefault="0013082B" w:rsidP="009E154F">
            <w:r w:rsidRPr="008D5397">
              <w:rPr>
                <w:rFonts w:eastAsia="Times New Roman"/>
                <w:sz w:val="20"/>
                <w:lang w:val="nb-NO"/>
              </w:rPr>
              <w:t xml:space="preserve">Priority axis </w:t>
            </w:r>
            <w:r>
              <w:rPr>
                <w:rFonts w:eastAsia="Times New Roman"/>
                <w:sz w:val="20"/>
                <w:lang w:val="nb-NO"/>
              </w:rPr>
              <w:t>4</w:t>
            </w:r>
          </w:p>
        </w:tc>
        <w:tc>
          <w:tcPr>
            <w:tcW w:w="1172" w:type="pct"/>
            <w:shd w:val="clear" w:color="auto" w:fill="auto"/>
          </w:tcPr>
          <w:p w:rsidR="0013082B" w:rsidRPr="006750A9" w:rsidRDefault="0013082B" w:rsidP="00124575">
            <w:pPr>
              <w:jc w:val="center"/>
              <w:rPr>
                <w:sz w:val="16"/>
                <w:szCs w:val="16"/>
              </w:rPr>
            </w:pPr>
            <w:r w:rsidRPr="006750A9">
              <w:rPr>
                <w:sz w:val="16"/>
                <w:szCs w:val="16"/>
              </w:rPr>
              <w:t>11.431.063,20</w:t>
            </w:r>
          </w:p>
        </w:tc>
        <w:tc>
          <w:tcPr>
            <w:tcW w:w="837" w:type="pct"/>
            <w:shd w:val="clear" w:color="auto" w:fill="auto"/>
          </w:tcPr>
          <w:p w:rsidR="0013082B" w:rsidRPr="006750A9" w:rsidRDefault="0013082B" w:rsidP="00124575">
            <w:pPr>
              <w:jc w:val="center"/>
              <w:rPr>
                <w:sz w:val="16"/>
                <w:szCs w:val="16"/>
              </w:rPr>
            </w:pPr>
            <w:r w:rsidRPr="006750A9">
              <w:rPr>
                <w:sz w:val="16"/>
                <w:szCs w:val="16"/>
              </w:rPr>
              <w:t>11.431.063,20</w:t>
            </w:r>
          </w:p>
        </w:tc>
        <w:tc>
          <w:tcPr>
            <w:tcW w:w="1160" w:type="pct"/>
            <w:shd w:val="clear" w:color="auto" w:fill="auto"/>
          </w:tcPr>
          <w:p w:rsidR="0013082B" w:rsidRPr="006750A9" w:rsidRDefault="0013082B" w:rsidP="00124575">
            <w:pPr>
              <w:rPr>
                <w:sz w:val="16"/>
                <w:szCs w:val="16"/>
              </w:rPr>
            </w:pPr>
            <w:r w:rsidRPr="006750A9">
              <w:rPr>
                <w:sz w:val="16"/>
                <w:szCs w:val="16"/>
              </w:rPr>
              <w:t>2.017.246,45</w:t>
            </w:r>
          </w:p>
        </w:tc>
        <w:tc>
          <w:tcPr>
            <w:tcW w:w="1001" w:type="pct"/>
            <w:shd w:val="clear" w:color="auto" w:fill="auto"/>
          </w:tcPr>
          <w:p w:rsidR="0013082B" w:rsidRPr="00706034" w:rsidRDefault="0013082B" w:rsidP="00124575">
            <w:pPr>
              <w:rPr>
                <w:sz w:val="16"/>
                <w:szCs w:val="16"/>
              </w:rPr>
            </w:pPr>
            <w:r>
              <w:rPr>
                <w:sz w:val="16"/>
                <w:szCs w:val="16"/>
              </w:rPr>
              <w:t xml:space="preserve"> 13.448.309,65 </w:t>
            </w:r>
          </w:p>
        </w:tc>
      </w:tr>
      <w:tr w:rsidR="0013082B" w:rsidRPr="00901CB6" w:rsidTr="00124575">
        <w:tc>
          <w:tcPr>
            <w:tcW w:w="830" w:type="pct"/>
            <w:shd w:val="clear" w:color="auto" w:fill="auto"/>
          </w:tcPr>
          <w:p w:rsidR="0013082B" w:rsidRDefault="0013082B" w:rsidP="009E154F">
            <w:r w:rsidRPr="008D5397">
              <w:rPr>
                <w:rFonts w:eastAsia="Times New Roman"/>
                <w:sz w:val="20"/>
                <w:lang w:val="nb-NO"/>
              </w:rPr>
              <w:t xml:space="preserve">Priority axis </w:t>
            </w:r>
            <w:r>
              <w:rPr>
                <w:rFonts w:eastAsia="Times New Roman"/>
                <w:sz w:val="20"/>
                <w:lang w:val="nb-NO"/>
              </w:rPr>
              <w:t>5</w:t>
            </w:r>
          </w:p>
        </w:tc>
        <w:tc>
          <w:tcPr>
            <w:tcW w:w="1172" w:type="pct"/>
            <w:shd w:val="clear" w:color="auto" w:fill="auto"/>
          </w:tcPr>
          <w:p w:rsidR="0013082B" w:rsidRPr="006750A9" w:rsidRDefault="0013082B" w:rsidP="00124575">
            <w:pPr>
              <w:jc w:val="center"/>
              <w:rPr>
                <w:sz w:val="16"/>
                <w:szCs w:val="16"/>
              </w:rPr>
            </w:pPr>
            <w:r w:rsidRPr="006750A9">
              <w:rPr>
                <w:sz w:val="16"/>
                <w:szCs w:val="16"/>
              </w:rPr>
              <w:t>5.715.531,60</w:t>
            </w:r>
          </w:p>
        </w:tc>
        <w:tc>
          <w:tcPr>
            <w:tcW w:w="837" w:type="pct"/>
            <w:shd w:val="clear" w:color="auto" w:fill="auto"/>
          </w:tcPr>
          <w:p w:rsidR="0013082B" w:rsidRPr="006750A9" w:rsidRDefault="0013082B" w:rsidP="00124575">
            <w:pPr>
              <w:jc w:val="center"/>
              <w:rPr>
                <w:sz w:val="16"/>
                <w:szCs w:val="16"/>
              </w:rPr>
            </w:pPr>
            <w:r w:rsidRPr="006750A9">
              <w:rPr>
                <w:sz w:val="16"/>
                <w:szCs w:val="16"/>
              </w:rPr>
              <w:t>5.715.531,60</w:t>
            </w:r>
          </w:p>
        </w:tc>
        <w:tc>
          <w:tcPr>
            <w:tcW w:w="1160" w:type="pct"/>
            <w:shd w:val="clear" w:color="auto" w:fill="auto"/>
          </w:tcPr>
          <w:p w:rsidR="0013082B" w:rsidRPr="006750A9" w:rsidRDefault="0013082B" w:rsidP="00124575">
            <w:pPr>
              <w:rPr>
                <w:sz w:val="16"/>
                <w:szCs w:val="16"/>
              </w:rPr>
            </w:pPr>
            <w:r w:rsidRPr="006750A9">
              <w:rPr>
                <w:sz w:val="16"/>
                <w:szCs w:val="16"/>
              </w:rPr>
              <w:t>1.008.623,22</w:t>
            </w:r>
          </w:p>
        </w:tc>
        <w:tc>
          <w:tcPr>
            <w:tcW w:w="1001" w:type="pct"/>
            <w:shd w:val="clear" w:color="auto" w:fill="auto"/>
          </w:tcPr>
          <w:p w:rsidR="0013082B" w:rsidRPr="00706034" w:rsidRDefault="0013082B" w:rsidP="00124575">
            <w:pPr>
              <w:rPr>
                <w:sz w:val="16"/>
                <w:szCs w:val="16"/>
              </w:rPr>
            </w:pPr>
            <w:r>
              <w:rPr>
                <w:sz w:val="16"/>
                <w:szCs w:val="16"/>
              </w:rPr>
              <w:t xml:space="preserve">  6.724.154,82</w:t>
            </w:r>
            <w:r w:rsidRPr="00706034">
              <w:rPr>
                <w:sz w:val="16"/>
                <w:szCs w:val="16"/>
              </w:rPr>
              <w:t xml:space="preserve"> </w:t>
            </w:r>
          </w:p>
        </w:tc>
      </w:tr>
      <w:tr w:rsidR="0013082B" w:rsidRPr="00241544" w:rsidTr="0037732C">
        <w:tc>
          <w:tcPr>
            <w:tcW w:w="830" w:type="pct"/>
            <w:shd w:val="clear" w:color="auto" w:fill="auto"/>
          </w:tcPr>
          <w:p w:rsidR="0013082B" w:rsidRPr="00241544" w:rsidRDefault="0013082B" w:rsidP="00D17A3D">
            <w:pPr>
              <w:spacing w:before="60" w:after="60"/>
              <w:rPr>
                <w:rFonts w:eastAsia="Times New Roman"/>
                <w:b/>
                <w:smallCaps/>
                <w:sz w:val="20"/>
              </w:rPr>
            </w:pPr>
            <w:r w:rsidRPr="00241544">
              <w:rPr>
                <w:rFonts w:eastAsia="Times New Roman"/>
                <w:b/>
                <w:smallCaps/>
                <w:sz w:val="20"/>
              </w:rPr>
              <w:t>Total</w:t>
            </w:r>
          </w:p>
        </w:tc>
        <w:tc>
          <w:tcPr>
            <w:tcW w:w="1172" w:type="pct"/>
            <w:shd w:val="clear" w:color="auto" w:fill="auto"/>
          </w:tcPr>
          <w:p w:rsidR="0013082B" w:rsidRPr="006750A9" w:rsidRDefault="0013082B" w:rsidP="00124575">
            <w:pPr>
              <w:spacing w:after="60"/>
              <w:ind w:left="-75"/>
              <w:jc w:val="center"/>
              <w:rPr>
                <w:rFonts w:eastAsia="Times New Roman"/>
                <w:sz w:val="16"/>
                <w:szCs w:val="16"/>
              </w:rPr>
            </w:pPr>
            <w:r w:rsidRPr="006750A9">
              <w:rPr>
                <w:sz w:val="16"/>
                <w:szCs w:val="16"/>
              </w:rPr>
              <w:t>57.155.316,00</w:t>
            </w:r>
          </w:p>
        </w:tc>
        <w:tc>
          <w:tcPr>
            <w:tcW w:w="837" w:type="pct"/>
            <w:shd w:val="clear" w:color="auto" w:fill="auto"/>
          </w:tcPr>
          <w:p w:rsidR="0013082B" w:rsidRPr="006750A9" w:rsidRDefault="0013082B" w:rsidP="00124575">
            <w:pPr>
              <w:spacing w:after="60"/>
              <w:ind w:left="-75"/>
              <w:jc w:val="center"/>
              <w:rPr>
                <w:rFonts w:eastAsia="Times New Roman"/>
                <w:sz w:val="16"/>
                <w:szCs w:val="16"/>
              </w:rPr>
            </w:pPr>
            <w:r w:rsidRPr="006750A9">
              <w:rPr>
                <w:sz w:val="16"/>
                <w:szCs w:val="16"/>
              </w:rPr>
              <w:t>57.155.316,00</w:t>
            </w:r>
          </w:p>
        </w:tc>
        <w:tc>
          <w:tcPr>
            <w:tcW w:w="1160" w:type="pct"/>
            <w:shd w:val="clear" w:color="auto" w:fill="auto"/>
          </w:tcPr>
          <w:p w:rsidR="0013082B" w:rsidRPr="006750A9" w:rsidRDefault="0013082B" w:rsidP="00124575">
            <w:pPr>
              <w:rPr>
                <w:sz w:val="16"/>
                <w:szCs w:val="16"/>
              </w:rPr>
            </w:pPr>
            <w:r w:rsidRPr="006750A9">
              <w:rPr>
                <w:sz w:val="16"/>
                <w:szCs w:val="16"/>
              </w:rPr>
              <w:t>10.086.232,24</w:t>
            </w:r>
          </w:p>
        </w:tc>
        <w:tc>
          <w:tcPr>
            <w:tcW w:w="1001" w:type="pct"/>
            <w:shd w:val="clear" w:color="auto" w:fill="auto"/>
          </w:tcPr>
          <w:p w:rsidR="0013082B" w:rsidRPr="00706034" w:rsidRDefault="0013082B" w:rsidP="00124575">
            <w:pPr>
              <w:rPr>
                <w:sz w:val="16"/>
                <w:szCs w:val="16"/>
              </w:rPr>
            </w:pPr>
            <w:r>
              <w:rPr>
                <w:sz w:val="16"/>
                <w:szCs w:val="16"/>
              </w:rPr>
              <w:t xml:space="preserve"> 67.241.548,24 </w:t>
            </w:r>
          </w:p>
        </w:tc>
      </w:tr>
    </w:tbl>
    <w:p w:rsidR="00AE61D4" w:rsidRDefault="00AE61D4" w:rsidP="00D17A3D">
      <w:pPr>
        <w:rPr>
          <w:rFonts w:eastAsia="Times New Roman"/>
          <w:b/>
        </w:rPr>
      </w:pPr>
    </w:p>
    <w:p w:rsidR="00D96D9D" w:rsidRDefault="00FB701A" w:rsidP="00D17A3D">
      <w:pPr>
        <w:keepNext/>
        <w:spacing w:before="360" w:after="240"/>
        <w:ind w:left="1560" w:hanging="1560"/>
        <w:outlineLvl w:val="0"/>
        <w:rPr>
          <w:rFonts w:eastAsia="Times New Roman"/>
          <w:b/>
          <w:bCs/>
          <w:smallCaps/>
          <w:szCs w:val="24"/>
        </w:rPr>
      </w:pPr>
      <w:r w:rsidRPr="00B76110">
        <w:rPr>
          <w:rFonts w:eastAsia="Times New Roman"/>
          <w:b/>
          <w:bCs/>
          <w:smallCaps/>
          <w:szCs w:val="24"/>
        </w:rPr>
        <w:t>SECTION 4</w:t>
      </w:r>
      <w:r w:rsidRPr="00B76110">
        <w:rPr>
          <w:rFonts w:eastAsia="Times New Roman"/>
          <w:b/>
          <w:bCs/>
          <w:smallCaps/>
          <w:szCs w:val="24"/>
        </w:rPr>
        <w:tab/>
        <w:t>Integrated approach to territorial development</w:t>
      </w:r>
      <w:r w:rsidR="00516ADD">
        <w:rPr>
          <w:rFonts w:eastAsia="Times New Roman"/>
          <w:b/>
          <w:bCs/>
          <w:smallCaps/>
          <w:szCs w:val="24"/>
        </w:rPr>
        <w:t xml:space="preserve"> (where appropriate)</w:t>
      </w:r>
    </w:p>
    <w:p w:rsidR="00FB701A" w:rsidRPr="00B76110" w:rsidRDefault="00FB701A" w:rsidP="00567F19">
      <w:pPr>
        <w:rPr>
          <w:szCs w:val="24"/>
        </w:rPr>
      </w:pPr>
      <w:r w:rsidRPr="00B76110">
        <w:t>(</w:t>
      </w:r>
      <w:r w:rsidR="00D96D9D">
        <w:t xml:space="preserve">Reference: </w:t>
      </w:r>
      <w:r w:rsidR="00516ADD">
        <w:t xml:space="preserve">Article </w:t>
      </w:r>
      <w:r w:rsidR="00516ADD" w:rsidRPr="00744EE3">
        <w:t>35 (2)</w:t>
      </w:r>
      <w:r w:rsidR="00516ADD">
        <w:t xml:space="preserve"> of IPA II Implementing Regulation and </w:t>
      </w:r>
      <w:r w:rsidR="00F4778D">
        <w:t>A</w:t>
      </w:r>
      <w:r w:rsidR="00F4778D" w:rsidRPr="00B76110">
        <w:t xml:space="preserve">rticle </w:t>
      </w:r>
      <w:r w:rsidR="00D96D9D">
        <w:t>8</w:t>
      </w:r>
      <w:r w:rsidR="00F4778D" w:rsidRPr="00B76110">
        <w:t xml:space="preserve">(3) </w:t>
      </w:r>
      <w:r w:rsidR="00965678">
        <w:t>of Regulation (EU) No 1299/2013</w:t>
      </w:r>
      <w:r w:rsidRPr="00B76110">
        <w:t>)</w:t>
      </w:r>
    </w:p>
    <w:p w:rsidR="00FB701A" w:rsidRPr="00430AA7" w:rsidRDefault="00865B25" w:rsidP="00D17A3D">
      <w:pPr>
        <w:spacing w:after="240"/>
        <w:rPr>
          <w:rFonts w:eastAsia="Times New Roman"/>
        </w:rPr>
      </w:pPr>
      <w:r w:rsidRPr="007966EA">
        <w:rPr>
          <w:rFonts w:eastAsia="Times New Roman"/>
          <w:szCs w:val="24"/>
        </w:rPr>
        <w:t>D</w:t>
      </w:r>
      <w:r w:rsidR="00FB701A" w:rsidRPr="007966EA">
        <w:rPr>
          <w:rFonts w:eastAsia="Times New Roman"/>
          <w:szCs w:val="24"/>
        </w:rPr>
        <w:t>escription</w:t>
      </w:r>
      <w:r w:rsidRPr="007966EA">
        <w:rPr>
          <w:rFonts w:eastAsia="Times New Roman"/>
          <w:szCs w:val="24"/>
        </w:rPr>
        <w:t xml:space="preserve"> of the integrated approach to territorial development</w:t>
      </w:r>
      <w:r w:rsidR="00FB701A" w:rsidRPr="007966EA">
        <w:rPr>
          <w:rFonts w:eastAsia="Times New Roman"/>
          <w:szCs w:val="24"/>
        </w:rPr>
        <w:t>, taking into account the content and objectives of the cooperation programme</w:t>
      </w:r>
      <w:r w:rsidR="00516ADD">
        <w:rPr>
          <w:rFonts w:eastAsia="Times New Roman"/>
          <w:szCs w:val="24"/>
        </w:rPr>
        <w:t xml:space="preserve"> </w:t>
      </w:r>
      <w:r w:rsidR="00FB701A" w:rsidRPr="007966EA">
        <w:rPr>
          <w:rFonts w:eastAsia="Times New Roman"/>
          <w:szCs w:val="24"/>
        </w:rPr>
        <w:t>and showing how it contributes to the accomplishment of the programme objectives and expected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B701A" w:rsidRPr="00B76110" w:rsidTr="00BA54A2">
        <w:trPr>
          <w:trHeight w:val="707"/>
        </w:trPr>
        <w:tc>
          <w:tcPr>
            <w:tcW w:w="8726" w:type="dxa"/>
            <w:shd w:val="clear" w:color="auto" w:fill="auto"/>
          </w:tcPr>
          <w:p w:rsidR="00FB701A" w:rsidRPr="007C7495" w:rsidRDefault="007C7495" w:rsidP="00B76110">
            <w:pPr>
              <w:spacing w:after="240"/>
              <w:rPr>
                <w:rFonts w:eastAsia="Times New Roman"/>
                <w:szCs w:val="24"/>
              </w:rPr>
            </w:pPr>
            <w:r>
              <w:rPr>
                <w:rFonts w:eastAsia="Times New Roman"/>
                <w:szCs w:val="24"/>
              </w:rPr>
              <w:t>N/A</w:t>
            </w:r>
          </w:p>
        </w:tc>
      </w:tr>
    </w:tbl>
    <w:p w:rsidR="00FB701A" w:rsidRPr="00B76110" w:rsidRDefault="00FB701A" w:rsidP="00D17A3D">
      <w:pPr>
        <w:spacing w:after="240"/>
        <w:rPr>
          <w:rFonts w:eastAsia="Times New Roman"/>
        </w:rPr>
      </w:pPr>
    </w:p>
    <w:p w:rsidR="00D96D9D" w:rsidRDefault="00FB701A" w:rsidP="00D17A3D">
      <w:pPr>
        <w:spacing w:after="240"/>
        <w:ind w:left="709" w:hanging="709"/>
        <w:rPr>
          <w:rFonts w:eastAsia="Times New Roman"/>
          <w:b/>
        </w:rPr>
      </w:pPr>
      <w:r w:rsidRPr="00B76110">
        <w:rPr>
          <w:rFonts w:eastAsia="Times New Roman"/>
          <w:b/>
        </w:rPr>
        <w:t>4.1</w:t>
      </w:r>
      <w:r w:rsidR="00865B25">
        <w:rPr>
          <w:rFonts w:eastAsia="Times New Roman"/>
          <w:b/>
        </w:rPr>
        <w:t xml:space="preserve"> Community-led local development</w:t>
      </w:r>
      <w:r w:rsidR="00430AA7">
        <w:rPr>
          <w:rFonts w:eastAsia="Times New Roman"/>
          <w:b/>
        </w:rPr>
        <w:t xml:space="preserve"> </w:t>
      </w:r>
      <w:r w:rsidR="00430AA7" w:rsidRPr="007966EA">
        <w:rPr>
          <w:rFonts w:eastAsia="Times New Roman"/>
        </w:rPr>
        <w:t>(where appropriate)</w:t>
      </w:r>
    </w:p>
    <w:p w:rsidR="00AD61DA" w:rsidRPr="00D46593" w:rsidRDefault="00AD61DA" w:rsidP="00567F19">
      <w:r w:rsidRPr="00D46593">
        <w:t>A</w:t>
      </w:r>
      <w:r w:rsidR="00FB701A" w:rsidRPr="00D46593">
        <w:t xml:space="preserve">pproach to the use of community-led local development instruments and principles for identifying the areas where </w:t>
      </w:r>
      <w:r w:rsidR="00865B25" w:rsidRPr="00D46593">
        <w:t>they</w:t>
      </w:r>
      <w:r w:rsidR="00FB701A" w:rsidRPr="00D46593">
        <w:t xml:space="preserve"> will be implemented</w:t>
      </w:r>
      <w:r w:rsidR="00F4778D" w:rsidRPr="00D46593">
        <w:t xml:space="preserve"> </w:t>
      </w:r>
    </w:p>
    <w:p w:rsidR="00FB701A" w:rsidRPr="00B76110" w:rsidRDefault="00AD61DA" w:rsidP="00567F19">
      <w:r>
        <w:t xml:space="preserve">(Reference: </w:t>
      </w:r>
      <w:r w:rsidR="00516ADD" w:rsidRPr="00516ADD">
        <w:t xml:space="preserve">Article </w:t>
      </w:r>
      <w:r w:rsidR="00516ADD" w:rsidRPr="008631D8">
        <w:t>35 (2)</w:t>
      </w:r>
      <w:r w:rsidR="00516ADD" w:rsidRPr="00516ADD">
        <w:t xml:space="preserve"> of IPA II Implementing Regulation and </w:t>
      </w:r>
      <w:r w:rsidR="00C0542A">
        <w:t xml:space="preserve">point (a) of </w:t>
      </w:r>
      <w:r>
        <w:t xml:space="preserve">Article 8(3) </w:t>
      </w:r>
      <w:r w:rsidR="00965678">
        <w:t>of Regulation (EU) No 1299/2013</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B701A" w:rsidRPr="00B76110" w:rsidTr="00BA54A2">
        <w:trPr>
          <w:trHeight w:val="842"/>
        </w:trPr>
        <w:tc>
          <w:tcPr>
            <w:tcW w:w="8647" w:type="dxa"/>
            <w:shd w:val="clear" w:color="auto" w:fill="auto"/>
          </w:tcPr>
          <w:p w:rsidR="00FB701A" w:rsidRPr="007C7495" w:rsidRDefault="007C7495" w:rsidP="00B76110">
            <w:pPr>
              <w:spacing w:after="240"/>
              <w:rPr>
                <w:rFonts w:eastAsia="Times New Roman"/>
                <w:szCs w:val="24"/>
              </w:rPr>
            </w:pPr>
            <w:r>
              <w:rPr>
                <w:rFonts w:eastAsia="Times New Roman"/>
                <w:szCs w:val="24"/>
              </w:rPr>
              <w:t>N/A</w:t>
            </w:r>
          </w:p>
        </w:tc>
      </w:tr>
    </w:tbl>
    <w:p w:rsidR="00516ADD" w:rsidRDefault="00516ADD" w:rsidP="00D17A3D">
      <w:pPr>
        <w:ind w:left="709" w:hanging="709"/>
        <w:rPr>
          <w:rFonts w:eastAsia="Times New Roman"/>
          <w:b/>
        </w:rPr>
      </w:pPr>
    </w:p>
    <w:p w:rsidR="001C1FDA" w:rsidRDefault="00FB701A" w:rsidP="00D17A3D">
      <w:pPr>
        <w:ind w:left="709" w:hanging="709"/>
        <w:rPr>
          <w:rFonts w:eastAsia="Times New Roman"/>
          <w:b/>
        </w:rPr>
      </w:pPr>
      <w:r w:rsidRPr="00B76110">
        <w:rPr>
          <w:rFonts w:eastAsia="Times New Roman"/>
          <w:b/>
        </w:rPr>
        <w:t>4.</w:t>
      </w:r>
      <w:r w:rsidR="000D6FF7">
        <w:rPr>
          <w:rFonts w:eastAsia="Times New Roman"/>
          <w:b/>
        </w:rPr>
        <w:t>2</w:t>
      </w:r>
      <w:r w:rsidR="00E802F9">
        <w:rPr>
          <w:rFonts w:eastAsia="Times New Roman"/>
          <w:b/>
        </w:rPr>
        <w:tab/>
      </w:r>
      <w:r w:rsidR="001C1FDA">
        <w:rPr>
          <w:rFonts w:eastAsia="Times New Roman"/>
          <w:b/>
        </w:rPr>
        <w:t>Integrated Territorial Investment (ITI)</w:t>
      </w:r>
      <w:r w:rsidRPr="00B76110">
        <w:rPr>
          <w:rFonts w:eastAsia="Times New Roman"/>
          <w:b/>
        </w:rPr>
        <w:tab/>
      </w:r>
      <w:r w:rsidR="00430AA7" w:rsidRPr="00567F19">
        <w:t>(</w:t>
      </w:r>
      <w:r w:rsidR="00430AA7">
        <w:t>where appropriate)</w:t>
      </w:r>
    </w:p>
    <w:p w:rsidR="00AD61DA" w:rsidRDefault="00AD61DA" w:rsidP="00A366E4">
      <w:r w:rsidRPr="002E0699">
        <w:t>A</w:t>
      </w:r>
      <w:r w:rsidR="00FB701A" w:rsidRPr="002E0699">
        <w:t>pproach to the use of Integrated Territorial Investment</w:t>
      </w:r>
      <w:r w:rsidR="00DE5D22">
        <w:t>s</w:t>
      </w:r>
      <w:r w:rsidR="00FB701A" w:rsidRPr="002E0699">
        <w:t xml:space="preserve"> (ITI) (as defined in Article </w:t>
      </w:r>
      <w:r w:rsidR="001C1FDA" w:rsidRPr="002E0699">
        <w:t xml:space="preserve">36 </w:t>
      </w:r>
      <w:r w:rsidR="00752CE1" w:rsidRPr="002E0699">
        <w:t>of Regulation (EU) No 1303/2013</w:t>
      </w:r>
      <w:r w:rsidR="00830CCB" w:rsidRPr="002E0699">
        <w:t>)</w:t>
      </w:r>
      <w:r w:rsidR="00FB701A" w:rsidRPr="002E0699">
        <w:t xml:space="preserve"> other than in cases covered by 4.2</w:t>
      </w:r>
      <w:r w:rsidR="001C1FDA" w:rsidRPr="002E0699">
        <w:t>,</w:t>
      </w:r>
      <w:r w:rsidR="00FB701A" w:rsidRPr="002E0699">
        <w:t xml:space="preserve"> and their indicative financial allocation from each priority axis</w:t>
      </w:r>
      <w:r w:rsidR="00F4778D" w:rsidRPr="002E0699">
        <w:t xml:space="preserve"> </w:t>
      </w:r>
    </w:p>
    <w:p w:rsidR="00AD61DA" w:rsidRPr="00567F19" w:rsidRDefault="00AD61DA" w:rsidP="00567F19">
      <w:r w:rsidRPr="00567F19">
        <w:lastRenderedPageBreak/>
        <w:t xml:space="preserve">(Reference: </w:t>
      </w:r>
      <w:r w:rsidR="00516ADD" w:rsidRPr="00516ADD">
        <w:t xml:space="preserve">Article </w:t>
      </w:r>
      <w:r w:rsidR="00516ADD" w:rsidRPr="008631D8">
        <w:t>35 (2)</w:t>
      </w:r>
      <w:r w:rsidR="00516ADD" w:rsidRPr="00516ADD">
        <w:t xml:space="preserve"> of IPA II Implementing Regulation and </w:t>
      </w:r>
      <w:r w:rsidR="00C0542A">
        <w:t xml:space="preserve">point (c) of </w:t>
      </w:r>
      <w:r w:rsidRPr="00567F19">
        <w:t xml:space="preserve">Article 8(3) </w:t>
      </w:r>
      <w:r w:rsidR="00965678" w:rsidRPr="00567F19">
        <w:t>of Regulation (EU) No 1299/2013</w:t>
      </w:r>
      <w:r w:rsidRPr="00567F19">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FB701A" w:rsidRPr="00B76110" w:rsidTr="00BA54A2">
        <w:trPr>
          <w:trHeight w:val="943"/>
        </w:trPr>
        <w:tc>
          <w:tcPr>
            <w:tcW w:w="8648" w:type="dxa"/>
            <w:shd w:val="clear" w:color="auto" w:fill="auto"/>
          </w:tcPr>
          <w:p w:rsidR="00FB701A" w:rsidRPr="000D6FF7" w:rsidRDefault="000D6FF7" w:rsidP="00B76110">
            <w:pPr>
              <w:spacing w:after="240"/>
              <w:rPr>
                <w:rFonts w:eastAsia="Times New Roman"/>
                <w:szCs w:val="24"/>
              </w:rPr>
            </w:pPr>
            <w:r>
              <w:rPr>
                <w:rFonts w:eastAsia="Times New Roman"/>
                <w:szCs w:val="24"/>
              </w:rPr>
              <w:t>N/A</w:t>
            </w:r>
          </w:p>
        </w:tc>
      </w:tr>
    </w:tbl>
    <w:p w:rsidR="006F5014" w:rsidRPr="00B76110" w:rsidRDefault="006F5014" w:rsidP="00D17A3D">
      <w:pPr>
        <w:tabs>
          <w:tab w:val="left" w:pos="2160"/>
        </w:tabs>
        <w:rPr>
          <w:rFonts w:eastAsia="Times New Roman"/>
          <w:b/>
        </w:rPr>
      </w:pPr>
    </w:p>
    <w:p w:rsidR="00FB701A" w:rsidRPr="00B76110" w:rsidRDefault="00FB701A" w:rsidP="00EE503D">
      <w:pPr>
        <w:tabs>
          <w:tab w:val="left" w:pos="2160"/>
        </w:tabs>
        <w:rPr>
          <w:rFonts w:eastAsia="Times New Roman"/>
          <w:b/>
        </w:rPr>
      </w:pPr>
      <w:r w:rsidRPr="00B76110">
        <w:rPr>
          <w:rFonts w:eastAsia="Times New Roman"/>
          <w:b/>
        </w:rPr>
        <w:t xml:space="preserve">Table </w:t>
      </w:r>
      <w:r w:rsidR="00516ADD">
        <w:rPr>
          <w:rFonts w:eastAsia="Times New Roman"/>
          <w:b/>
        </w:rPr>
        <w:t>1</w:t>
      </w:r>
      <w:r w:rsidR="006F5014">
        <w:rPr>
          <w:rFonts w:eastAsia="Times New Roman"/>
          <w:b/>
        </w:rPr>
        <w:t>8</w:t>
      </w:r>
      <w:r w:rsidR="00EE503D" w:rsidRPr="00B76110">
        <w:rPr>
          <w:rFonts w:eastAsia="Times New Roman"/>
          <w:b/>
        </w:rPr>
        <w:t xml:space="preserve">: </w:t>
      </w:r>
      <w:r w:rsidR="001C1FDA">
        <w:rPr>
          <w:rFonts w:eastAsia="Times New Roman"/>
          <w:b/>
        </w:rPr>
        <w:t>I</w:t>
      </w:r>
      <w:r w:rsidRPr="00B76110">
        <w:rPr>
          <w:rFonts w:eastAsia="Times New Roman"/>
          <w:b/>
        </w:rPr>
        <w:t>ndicative financial allocation to ITI (aggregate amount)</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048"/>
      </w:tblGrid>
      <w:tr w:rsidR="00FB701A" w:rsidRPr="00B76110" w:rsidTr="00B62861">
        <w:trPr>
          <w:jc w:val="center"/>
        </w:trPr>
        <w:tc>
          <w:tcPr>
            <w:tcW w:w="2461" w:type="dxa"/>
            <w:shd w:val="clear" w:color="auto" w:fill="D9D9D9"/>
            <w:vAlign w:val="center"/>
          </w:tcPr>
          <w:p w:rsidR="00FB701A" w:rsidRPr="00B76110" w:rsidRDefault="00FB701A" w:rsidP="00D17A3D">
            <w:pPr>
              <w:tabs>
                <w:tab w:val="left" w:pos="3237"/>
              </w:tabs>
              <w:suppressAutoHyphens/>
              <w:ind w:left="720"/>
              <w:rPr>
                <w:rFonts w:eastAsia="Times New Roman"/>
                <w:b/>
                <w:lang w:eastAsia="ar-SA"/>
              </w:rPr>
            </w:pPr>
            <w:r w:rsidRPr="00B76110">
              <w:rPr>
                <w:rFonts w:eastAsia="Times New Roman"/>
                <w:b/>
                <w:lang w:eastAsia="ar-SA"/>
              </w:rPr>
              <w:t>Priority axis</w:t>
            </w:r>
          </w:p>
        </w:tc>
        <w:tc>
          <w:tcPr>
            <w:tcW w:w="6048" w:type="dxa"/>
            <w:shd w:val="clear" w:color="auto" w:fill="D9D9D9"/>
            <w:vAlign w:val="center"/>
          </w:tcPr>
          <w:p w:rsidR="00FB701A" w:rsidRPr="00B76110" w:rsidRDefault="00FB701A" w:rsidP="00D17A3D">
            <w:pPr>
              <w:tabs>
                <w:tab w:val="left" w:pos="3237"/>
              </w:tabs>
              <w:suppressAutoHyphens/>
              <w:spacing w:line="480" w:lineRule="auto"/>
              <w:rPr>
                <w:rFonts w:eastAsia="Times New Roman"/>
                <w:b/>
                <w:lang w:eastAsia="ar-SA"/>
              </w:rPr>
            </w:pPr>
            <w:r w:rsidRPr="00B76110">
              <w:rPr>
                <w:rFonts w:eastAsia="Times New Roman"/>
                <w:b/>
                <w:lang w:eastAsia="ar-SA"/>
              </w:rPr>
              <w:t xml:space="preserve">Indicative financial allocation (Union support) </w:t>
            </w:r>
            <w:r w:rsidR="0067454E">
              <w:rPr>
                <w:rFonts w:eastAsia="Times New Roman"/>
                <w:b/>
                <w:lang w:eastAsia="ar-SA"/>
              </w:rPr>
              <w:t>(</w:t>
            </w:r>
            <w:r w:rsidR="00430AA7">
              <w:rPr>
                <w:rFonts w:eastAsia="Times New Roman"/>
                <w:b/>
                <w:lang w:eastAsia="ar-SA"/>
              </w:rPr>
              <w:t>EUR</w:t>
            </w:r>
            <w:r w:rsidR="0067454E">
              <w:rPr>
                <w:rFonts w:eastAsia="Times New Roman"/>
                <w:b/>
                <w:lang w:eastAsia="ar-SA"/>
              </w:rPr>
              <w:t>)</w:t>
            </w:r>
          </w:p>
        </w:tc>
      </w:tr>
      <w:tr w:rsidR="00FB701A" w:rsidRPr="00567F19" w:rsidTr="00B62861">
        <w:trPr>
          <w:trHeight w:val="248"/>
          <w:jc w:val="center"/>
        </w:trPr>
        <w:tc>
          <w:tcPr>
            <w:tcW w:w="2461" w:type="dxa"/>
            <w:shd w:val="clear" w:color="auto" w:fill="auto"/>
          </w:tcPr>
          <w:p w:rsidR="00FB701A" w:rsidRPr="00567F19" w:rsidRDefault="000D6FF7" w:rsidP="00D17A3D">
            <w:pPr>
              <w:tabs>
                <w:tab w:val="left" w:pos="3237"/>
              </w:tabs>
              <w:suppressAutoHyphens/>
              <w:spacing w:after="0" w:line="480" w:lineRule="auto"/>
              <w:rPr>
                <w:rFonts w:eastAsia="Times New Roman"/>
                <w:lang w:val="nb-NO" w:eastAsia="ar-SA"/>
              </w:rPr>
            </w:pPr>
            <w:r w:rsidRPr="000D6FF7">
              <w:rPr>
                <w:rFonts w:eastAsia="Times New Roman"/>
                <w:lang w:val="nb-NO" w:eastAsia="ar-SA"/>
              </w:rPr>
              <w:t>Priority Axis 1</w:t>
            </w:r>
          </w:p>
        </w:tc>
        <w:tc>
          <w:tcPr>
            <w:tcW w:w="6048" w:type="dxa"/>
            <w:shd w:val="clear" w:color="auto" w:fill="auto"/>
            <w:vAlign w:val="center"/>
          </w:tcPr>
          <w:p w:rsidR="00FB701A" w:rsidRPr="007369E2" w:rsidRDefault="007369E2" w:rsidP="00D17A3D">
            <w:pPr>
              <w:tabs>
                <w:tab w:val="left" w:pos="3237"/>
              </w:tabs>
              <w:suppressAutoHyphens/>
              <w:spacing w:after="0"/>
              <w:rPr>
                <w:rFonts w:eastAsia="Times New Roman"/>
                <w:lang w:val="nb-NO" w:eastAsia="ar-SA"/>
              </w:rPr>
            </w:pPr>
            <w:r>
              <w:rPr>
                <w:rFonts w:eastAsia="Times New Roman"/>
                <w:lang w:val="nb-NO" w:eastAsia="ar-SA"/>
              </w:rPr>
              <w:t>N/A</w:t>
            </w:r>
          </w:p>
        </w:tc>
      </w:tr>
      <w:tr w:rsidR="007369E2" w:rsidRPr="00567F19" w:rsidTr="00B62861">
        <w:trPr>
          <w:trHeight w:val="156"/>
          <w:jc w:val="center"/>
        </w:trPr>
        <w:tc>
          <w:tcPr>
            <w:tcW w:w="2461" w:type="dxa"/>
            <w:shd w:val="clear" w:color="auto" w:fill="auto"/>
          </w:tcPr>
          <w:p w:rsidR="007369E2" w:rsidRDefault="007369E2" w:rsidP="006F49EA">
            <w:r w:rsidRPr="00FB0499">
              <w:rPr>
                <w:rFonts w:eastAsia="Times New Roman"/>
                <w:lang w:val="nb-NO" w:eastAsia="ar-SA"/>
              </w:rPr>
              <w:t xml:space="preserve">Priority Axis </w:t>
            </w:r>
            <w:r>
              <w:rPr>
                <w:rFonts w:eastAsia="Times New Roman"/>
                <w:lang w:val="nb-NO" w:eastAsia="ar-SA"/>
              </w:rPr>
              <w:t>2</w:t>
            </w:r>
          </w:p>
        </w:tc>
        <w:tc>
          <w:tcPr>
            <w:tcW w:w="6048" w:type="dxa"/>
            <w:shd w:val="clear" w:color="auto" w:fill="auto"/>
          </w:tcPr>
          <w:p w:rsidR="007369E2" w:rsidRDefault="007369E2">
            <w:r w:rsidRPr="001755F9">
              <w:rPr>
                <w:rFonts w:eastAsia="Times New Roman"/>
                <w:lang w:val="nb-NO" w:eastAsia="ar-SA"/>
              </w:rPr>
              <w:t>N/A</w:t>
            </w:r>
          </w:p>
        </w:tc>
      </w:tr>
      <w:tr w:rsidR="007369E2" w:rsidRPr="00567F19" w:rsidTr="00B62861">
        <w:trPr>
          <w:trHeight w:val="156"/>
          <w:jc w:val="center"/>
        </w:trPr>
        <w:tc>
          <w:tcPr>
            <w:tcW w:w="2461" w:type="dxa"/>
            <w:shd w:val="clear" w:color="auto" w:fill="auto"/>
          </w:tcPr>
          <w:p w:rsidR="007369E2" w:rsidRDefault="007369E2" w:rsidP="006F49EA">
            <w:r w:rsidRPr="00FB0499">
              <w:rPr>
                <w:rFonts w:eastAsia="Times New Roman"/>
                <w:lang w:val="nb-NO" w:eastAsia="ar-SA"/>
              </w:rPr>
              <w:t xml:space="preserve">Priority Axis </w:t>
            </w:r>
            <w:r>
              <w:rPr>
                <w:rFonts w:eastAsia="Times New Roman"/>
                <w:lang w:val="nb-NO" w:eastAsia="ar-SA"/>
              </w:rPr>
              <w:t>3</w:t>
            </w:r>
          </w:p>
        </w:tc>
        <w:tc>
          <w:tcPr>
            <w:tcW w:w="6048" w:type="dxa"/>
            <w:shd w:val="clear" w:color="auto" w:fill="auto"/>
          </w:tcPr>
          <w:p w:rsidR="007369E2" w:rsidRDefault="007369E2">
            <w:r w:rsidRPr="001755F9">
              <w:rPr>
                <w:rFonts w:eastAsia="Times New Roman"/>
                <w:lang w:val="nb-NO" w:eastAsia="ar-SA"/>
              </w:rPr>
              <w:t>N/A</w:t>
            </w:r>
          </w:p>
        </w:tc>
      </w:tr>
      <w:tr w:rsidR="007369E2" w:rsidRPr="00567F19" w:rsidTr="00B62861">
        <w:trPr>
          <w:trHeight w:val="156"/>
          <w:jc w:val="center"/>
        </w:trPr>
        <w:tc>
          <w:tcPr>
            <w:tcW w:w="2461" w:type="dxa"/>
            <w:shd w:val="clear" w:color="auto" w:fill="auto"/>
          </w:tcPr>
          <w:p w:rsidR="007369E2" w:rsidRDefault="007369E2" w:rsidP="006F49EA">
            <w:r w:rsidRPr="00FB0499">
              <w:rPr>
                <w:rFonts w:eastAsia="Times New Roman"/>
                <w:lang w:val="nb-NO" w:eastAsia="ar-SA"/>
              </w:rPr>
              <w:t xml:space="preserve">Priority Axis </w:t>
            </w:r>
            <w:r>
              <w:rPr>
                <w:rFonts w:eastAsia="Times New Roman"/>
                <w:lang w:val="nb-NO" w:eastAsia="ar-SA"/>
              </w:rPr>
              <w:t>4</w:t>
            </w:r>
          </w:p>
        </w:tc>
        <w:tc>
          <w:tcPr>
            <w:tcW w:w="6048" w:type="dxa"/>
            <w:shd w:val="clear" w:color="auto" w:fill="auto"/>
          </w:tcPr>
          <w:p w:rsidR="007369E2" w:rsidRDefault="007369E2">
            <w:r w:rsidRPr="001755F9">
              <w:rPr>
                <w:rFonts w:eastAsia="Times New Roman"/>
                <w:lang w:val="nb-NO" w:eastAsia="ar-SA"/>
              </w:rPr>
              <w:t>N/A</w:t>
            </w:r>
          </w:p>
        </w:tc>
      </w:tr>
      <w:tr w:rsidR="007369E2" w:rsidRPr="00567F19" w:rsidTr="00B62861">
        <w:trPr>
          <w:trHeight w:val="156"/>
          <w:jc w:val="center"/>
        </w:trPr>
        <w:tc>
          <w:tcPr>
            <w:tcW w:w="2461" w:type="dxa"/>
            <w:shd w:val="clear" w:color="auto" w:fill="auto"/>
          </w:tcPr>
          <w:p w:rsidR="007369E2" w:rsidRDefault="007369E2" w:rsidP="006F49EA">
            <w:r w:rsidRPr="00FB0499">
              <w:rPr>
                <w:rFonts w:eastAsia="Times New Roman"/>
                <w:lang w:val="nb-NO" w:eastAsia="ar-SA"/>
              </w:rPr>
              <w:t xml:space="preserve">Priority Axis </w:t>
            </w:r>
            <w:r>
              <w:rPr>
                <w:rFonts w:eastAsia="Times New Roman"/>
                <w:lang w:val="nb-NO" w:eastAsia="ar-SA"/>
              </w:rPr>
              <w:t>5</w:t>
            </w:r>
          </w:p>
        </w:tc>
        <w:tc>
          <w:tcPr>
            <w:tcW w:w="6048" w:type="dxa"/>
            <w:shd w:val="clear" w:color="auto" w:fill="auto"/>
          </w:tcPr>
          <w:p w:rsidR="007369E2" w:rsidRDefault="007369E2">
            <w:r w:rsidRPr="001755F9">
              <w:rPr>
                <w:rFonts w:eastAsia="Times New Roman"/>
                <w:lang w:val="nb-NO" w:eastAsia="ar-SA"/>
              </w:rPr>
              <w:t>N/A</w:t>
            </w:r>
          </w:p>
        </w:tc>
      </w:tr>
      <w:tr w:rsidR="00FB701A" w:rsidRPr="00B76110" w:rsidTr="00B62861">
        <w:trPr>
          <w:trHeight w:val="78"/>
          <w:jc w:val="center"/>
        </w:trPr>
        <w:tc>
          <w:tcPr>
            <w:tcW w:w="2461" w:type="dxa"/>
            <w:shd w:val="clear" w:color="auto" w:fill="auto"/>
            <w:vAlign w:val="center"/>
          </w:tcPr>
          <w:p w:rsidR="00FB701A" w:rsidRPr="00B76110" w:rsidRDefault="00FB701A" w:rsidP="00D17A3D">
            <w:pPr>
              <w:tabs>
                <w:tab w:val="left" w:pos="3237"/>
              </w:tabs>
              <w:suppressAutoHyphens/>
              <w:rPr>
                <w:rFonts w:eastAsia="Times New Roman"/>
                <w:lang w:eastAsia="ar-SA"/>
              </w:rPr>
            </w:pPr>
            <w:r w:rsidRPr="00B76110">
              <w:rPr>
                <w:rFonts w:eastAsia="Times New Roman"/>
                <w:lang w:eastAsia="ar-SA"/>
              </w:rPr>
              <w:t>TOTAL</w:t>
            </w:r>
          </w:p>
        </w:tc>
        <w:tc>
          <w:tcPr>
            <w:tcW w:w="6048" w:type="dxa"/>
            <w:shd w:val="clear" w:color="auto" w:fill="auto"/>
            <w:vAlign w:val="center"/>
          </w:tcPr>
          <w:p w:rsidR="00FB701A" w:rsidRPr="00B76110" w:rsidRDefault="00270E25" w:rsidP="00D17A3D">
            <w:pPr>
              <w:tabs>
                <w:tab w:val="left" w:pos="3237"/>
              </w:tabs>
              <w:suppressAutoHyphens/>
              <w:rPr>
                <w:rFonts w:eastAsia="Times New Roman"/>
                <w:lang w:eastAsia="ar-SA"/>
              </w:rPr>
            </w:pPr>
            <w:r w:rsidRPr="001755F9">
              <w:rPr>
                <w:rFonts w:eastAsia="Times New Roman"/>
                <w:lang w:val="nb-NO" w:eastAsia="ar-SA"/>
              </w:rPr>
              <w:t>N/A</w:t>
            </w:r>
          </w:p>
        </w:tc>
      </w:tr>
    </w:tbl>
    <w:p w:rsidR="00FB701A" w:rsidRDefault="00FB701A" w:rsidP="00D17A3D">
      <w:pPr>
        <w:spacing w:after="240"/>
        <w:rPr>
          <w:rFonts w:eastAsia="Times New Roman"/>
        </w:rPr>
      </w:pPr>
    </w:p>
    <w:p w:rsidR="00DE5D22" w:rsidRDefault="00FB701A" w:rsidP="005F4A09">
      <w:pPr>
        <w:widowControl w:val="0"/>
        <w:ind w:left="720" w:hanging="720"/>
        <w:rPr>
          <w:b/>
        </w:rPr>
      </w:pPr>
      <w:r w:rsidRPr="00B76110">
        <w:rPr>
          <w:rFonts w:eastAsia="Times New Roman"/>
          <w:b/>
          <w:bCs/>
        </w:rPr>
        <w:t>4.4</w:t>
      </w:r>
      <w:r w:rsidR="00E802F9">
        <w:rPr>
          <w:rFonts w:eastAsia="Times New Roman"/>
          <w:b/>
          <w:bCs/>
        </w:rPr>
        <w:tab/>
      </w:r>
      <w:r w:rsidR="00321DFD" w:rsidRPr="005F4A09">
        <w:rPr>
          <w:b/>
        </w:rPr>
        <w:t>C</w:t>
      </w:r>
      <w:r w:rsidRPr="005F4A09">
        <w:rPr>
          <w:b/>
        </w:rPr>
        <w:t xml:space="preserve">ontribution of planned interventions towards </w:t>
      </w:r>
      <w:r w:rsidR="00321DFD" w:rsidRPr="005F4A09">
        <w:rPr>
          <w:b/>
        </w:rPr>
        <w:t xml:space="preserve">macro-regional and sea basin </w:t>
      </w:r>
      <w:r w:rsidRPr="005F4A09">
        <w:rPr>
          <w:b/>
        </w:rPr>
        <w:t xml:space="preserve">strategies, subject to the needs of the programme area as identified by the relevant </w:t>
      </w:r>
      <w:r w:rsidR="00516ADD">
        <w:rPr>
          <w:b/>
        </w:rPr>
        <w:t>partner</w:t>
      </w:r>
      <w:r w:rsidR="00516ADD" w:rsidRPr="005F4A09">
        <w:rPr>
          <w:b/>
        </w:rPr>
        <w:t xml:space="preserve"> </w:t>
      </w:r>
      <w:r w:rsidRPr="005F4A09">
        <w:rPr>
          <w:b/>
        </w:rPr>
        <w:t xml:space="preserve">States and taking into account, where applicable, strategically important projects identified in </w:t>
      </w:r>
      <w:r w:rsidR="00321DFD" w:rsidRPr="005F4A09">
        <w:rPr>
          <w:b/>
        </w:rPr>
        <w:t xml:space="preserve">those </w:t>
      </w:r>
      <w:r w:rsidRPr="005F4A09">
        <w:rPr>
          <w:b/>
        </w:rPr>
        <w:t>strategies</w:t>
      </w:r>
      <w:r w:rsidR="00BB2AAB" w:rsidRPr="005F4A09">
        <w:rPr>
          <w:b/>
        </w:rPr>
        <w:t xml:space="preserve"> (where appropriate</w:t>
      </w:r>
      <w:r w:rsidR="00DB2F51">
        <w:rPr>
          <w:b/>
        </w:rPr>
        <w:t>)</w:t>
      </w:r>
    </w:p>
    <w:p w:rsidR="00321DFD" w:rsidRPr="00567F19" w:rsidRDefault="00DE5D22" w:rsidP="002E0699">
      <w:pPr>
        <w:widowControl w:val="0"/>
        <w:ind w:left="720"/>
        <w:rPr>
          <w:rFonts w:eastAsia="Times New Roman"/>
          <w:b/>
          <w:bCs/>
        </w:rPr>
      </w:pPr>
      <w:r>
        <w:rPr>
          <w:rFonts w:eastAsia="Times New Roman"/>
          <w:b/>
          <w:bCs/>
        </w:rPr>
        <w:t>(</w:t>
      </w:r>
      <w:r>
        <w:rPr>
          <w:b/>
        </w:rPr>
        <w:t>W</w:t>
      </w:r>
      <w:r w:rsidR="00321DFD" w:rsidRPr="005F4A09">
        <w:rPr>
          <w:b/>
        </w:rPr>
        <w:t xml:space="preserve">here </w:t>
      </w:r>
      <w:r w:rsidR="00516ADD">
        <w:rPr>
          <w:b/>
        </w:rPr>
        <w:t>partner</w:t>
      </w:r>
      <w:r w:rsidR="00516ADD" w:rsidRPr="005F4A09">
        <w:rPr>
          <w:b/>
        </w:rPr>
        <w:t xml:space="preserve"> </w:t>
      </w:r>
      <w:r w:rsidR="00321DFD" w:rsidRPr="005F4A09">
        <w:rPr>
          <w:b/>
        </w:rPr>
        <w:t>States and regions participate in macro-regional and</w:t>
      </w:r>
      <w:r w:rsidR="002E0699">
        <w:rPr>
          <w:b/>
        </w:rPr>
        <w:t>/or</w:t>
      </w:r>
      <w:r w:rsidR="00321DFD" w:rsidRPr="005F4A09">
        <w:rPr>
          <w:b/>
        </w:rPr>
        <w:t xml:space="preserve"> sea basin strategies</w:t>
      </w:r>
      <w:r w:rsidR="00321DFD">
        <w:t>)</w:t>
      </w:r>
    </w:p>
    <w:p w:rsidR="00AD61DA" w:rsidRPr="00567F19" w:rsidRDefault="00AD61DA" w:rsidP="00567F19">
      <w:pPr>
        <w:rPr>
          <w:lang w:eastAsia="fr-BE"/>
        </w:rPr>
      </w:pPr>
      <w:r w:rsidRPr="002E0699">
        <w:t xml:space="preserve">(Reference: </w:t>
      </w:r>
      <w:r w:rsidR="008F533F" w:rsidRPr="002E0699">
        <w:t xml:space="preserve">point (d) of </w:t>
      </w:r>
      <w:r w:rsidRPr="002E0699">
        <w:t xml:space="preserve">Article 8(3) </w:t>
      </w:r>
      <w:r w:rsidR="00965678" w:rsidRPr="002E0699">
        <w:t>of Regulation (EU) No 1299/2013</w:t>
      </w:r>
      <w:r w:rsidRPr="002E0699">
        <w:t>)</w:t>
      </w:r>
      <w:r w:rsidR="00516ADD">
        <w:t xml:space="preserve"> </w:t>
      </w:r>
    </w:p>
    <w:p w:rsidR="00FB701A" w:rsidRPr="00D46593" w:rsidRDefault="00FB701A" w:rsidP="00D17A3D">
      <w:pPr>
        <w:widowControl w:val="0"/>
        <w:ind w:left="360"/>
        <w:rPr>
          <w:rFonts w:eastAsia="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FB701A" w:rsidRPr="00B76110" w:rsidTr="0090552B">
        <w:trPr>
          <w:trHeight w:val="9062"/>
        </w:trPr>
        <w:tc>
          <w:tcPr>
            <w:tcW w:w="8834" w:type="dxa"/>
            <w:shd w:val="clear" w:color="auto" w:fill="auto"/>
          </w:tcPr>
          <w:p w:rsidR="00F20441" w:rsidRPr="00C95BC8" w:rsidRDefault="00EF4E4B" w:rsidP="00F20441">
            <w:pPr>
              <w:spacing w:after="240"/>
              <w:rPr>
                <w:rFonts w:ascii="Arial" w:hAnsi="Arial" w:cs="Arial"/>
                <w:szCs w:val="22"/>
              </w:rPr>
            </w:pPr>
            <w:r w:rsidRPr="00EF4E4B">
              <w:rPr>
                <w:rFonts w:eastAsia="Times New Roman"/>
              </w:rPr>
              <w:lastRenderedPageBreak/>
              <w:t xml:space="preserve">The IPA CBC programme Croatia-Bosnia and Herzegovina-Montenegro </w:t>
            </w:r>
            <w:r w:rsidR="00F20441">
              <w:rPr>
                <w:rFonts w:eastAsia="Times New Roman"/>
              </w:rPr>
              <w:t xml:space="preserve">2014-2020 </w:t>
            </w:r>
            <w:r w:rsidRPr="00EF4E4B">
              <w:rPr>
                <w:rFonts w:eastAsia="Times New Roman"/>
              </w:rPr>
              <w:t xml:space="preserve">(Programme) </w:t>
            </w:r>
            <w:r w:rsidR="00F20441" w:rsidRPr="00F20441">
              <w:rPr>
                <w:szCs w:val="24"/>
              </w:rPr>
              <w:t>shares entire part of its programme area with European Union Strategies for the Danube and Adriatic and Ionian Region. Taking into consideration the strategies’ geographical coverage, the Programme can take part in creating and consolidating links, therefore actively contributing to territorial cohesion between the Programme and the strategies. This will provide platform for Programme operations to contribute to the implementation of the relevant macro-regional strategies and also to trigger synergies between them. Furthermore, coordination of operations working within the thematic areas with the same or similar scope will further support the collaboration between the Programme and strategies regions’ stakeholders.</w:t>
            </w:r>
          </w:p>
          <w:p w:rsidR="00EF4E4B" w:rsidRPr="00EF4E4B" w:rsidRDefault="00EF4E4B" w:rsidP="00EF4E4B">
            <w:pPr>
              <w:spacing w:after="240"/>
              <w:rPr>
                <w:rFonts w:eastAsia="Times New Roman"/>
              </w:rPr>
            </w:pPr>
            <w:r w:rsidRPr="00EF4E4B">
              <w:rPr>
                <w:rFonts w:eastAsia="Times New Roman"/>
              </w:rPr>
              <w:t xml:space="preserve">The Programme strategy has taken into account the objectives of both macro-regional strategies, identifying common macro-regional challenges and needs that could be addressed through cross-border cooperation in the Programme area. </w:t>
            </w:r>
          </w:p>
          <w:p w:rsidR="00EF4E4B" w:rsidRPr="00EF4E4B" w:rsidRDefault="00EF4E4B" w:rsidP="00EF4E4B">
            <w:pPr>
              <w:spacing w:after="240"/>
              <w:rPr>
                <w:rFonts w:eastAsia="Times New Roman"/>
              </w:rPr>
            </w:pPr>
            <w:r w:rsidRPr="00EF4E4B">
              <w:rPr>
                <w:rFonts w:eastAsia="Times New Roman"/>
              </w:rPr>
              <w:t>A summary of</w:t>
            </w:r>
            <w:r w:rsidR="00F20441">
              <w:rPr>
                <w:rFonts w:eastAsia="Times New Roman"/>
              </w:rPr>
              <w:t xml:space="preserve"> those</w:t>
            </w:r>
            <w:r w:rsidRPr="00EF4E4B">
              <w:rPr>
                <w:rFonts w:eastAsia="Times New Roman"/>
              </w:rPr>
              <w:t xml:space="preserve"> key challenges and needs of both macro-regional strategies that could be addressed through Programme cross-border cooperation is presented below. </w:t>
            </w:r>
          </w:p>
          <w:p w:rsidR="00EF4E4B" w:rsidRPr="00EF4E4B" w:rsidRDefault="00EF4E4B" w:rsidP="00EF4E4B">
            <w:pPr>
              <w:spacing w:after="240"/>
              <w:rPr>
                <w:rFonts w:eastAsia="Times New Roman"/>
                <w:b/>
                <w:bCs/>
                <w:iCs/>
              </w:rPr>
            </w:pPr>
            <w:bookmarkStart w:id="1" w:name="_Toc385488922"/>
            <w:r w:rsidRPr="00EF4E4B">
              <w:rPr>
                <w:rFonts w:eastAsia="Times New Roman"/>
                <w:b/>
                <w:bCs/>
                <w:i/>
                <w:iCs/>
              </w:rPr>
              <w:t>EU Strategy for the Danube Region (EUSDR)</w:t>
            </w:r>
            <w:bookmarkEnd w:id="1"/>
          </w:p>
          <w:p w:rsidR="00F20441" w:rsidRDefault="00EF4E4B" w:rsidP="00EF4E4B">
            <w:pPr>
              <w:spacing w:after="240"/>
              <w:rPr>
                <w:rFonts w:eastAsia="Times New Roman"/>
              </w:rPr>
            </w:pPr>
            <w:r w:rsidRPr="00EF4E4B">
              <w:rPr>
                <w:rFonts w:eastAsia="Times New Roman"/>
              </w:rPr>
              <w:t xml:space="preserve">Council of the European Union endorsed the European Union Strategy for the Danube Region </w:t>
            </w:r>
            <w:r w:rsidR="00F20441" w:rsidRPr="00F20441">
              <w:rPr>
                <w:rFonts w:eastAsia="Times New Roman"/>
              </w:rPr>
              <w:t>(EUSDR) on 13 April 2011</w:t>
            </w:r>
            <w:r w:rsidRPr="00EF4E4B">
              <w:rPr>
                <w:rFonts w:eastAsia="Times New Roman"/>
              </w:rPr>
              <w:t xml:space="preserve">. The </w:t>
            </w:r>
            <w:r w:rsidRPr="00EF4E4B">
              <w:rPr>
                <w:rFonts w:eastAsia="Times New Roman"/>
                <w:bCs/>
                <w:i/>
                <w:iCs/>
              </w:rPr>
              <w:t>European Union Strategy for the Danube Region</w:t>
            </w:r>
            <w:r w:rsidRPr="00EF4E4B">
              <w:rPr>
                <w:rFonts w:eastAsia="Times New Roman"/>
              </w:rPr>
              <w:t xml:space="preserve"> builds upon 11 priority areas linked to the four pillars “Connecting the Danube Region”, “Protecting the Environment in the Danube Region”, “Building Prosperity in the Danube Region” and “Strengthening the Danube Region”.</w:t>
            </w:r>
          </w:p>
          <w:p w:rsidR="00EF4E4B" w:rsidRPr="00EF4E4B" w:rsidRDefault="00F20441" w:rsidP="00EF4E4B">
            <w:pPr>
              <w:spacing w:after="240"/>
              <w:rPr>
                <w:rFonts w:eastAsia="Times New Roman"/>
              </w:rPr>
            </w:pPr>
            <w:r w:rsidRPr="00F20441">
              <w:rPr>
                <w:rFonts w:eastAsia="Times New Roman"/>
              </w:rPr>
              <w:t>Macroregional strategies as the EU Strategy for the Danube Region (EUSDR) present a great opportunity for harmonizing the development of geographical areas, which are in a particular functional relation regardless from the given administrative borders. Cooperation raises political awareness, strengthens commitment and leads to better visibility of both the EUSDR and the Programme on the side of stakeholders and the general public. The cooperation also facilitates the capitalization of the outcomes, results and benefits of the operations.</w:t>
            </w:r>
            <w:r w:rsidR="00EF4E4B" w:rsidRPr="00EF4E4B">
              <w:rPr>
                <w:rFonts w:eastAsia="Times New Roman"/>
              </w:rPr>
              <w:t xml:space="preserve"> </w:t>
            </w:r>
          </w:p>
          <w:p w:rsidR="00EF4E4B" w:rsidRPr="00630FCD" w:rsidRDefault="00EF4E4B" w:rsidP="00EF4E4B">
            <w:pPr>
              <w:spacing w:after="240"/>
              <w:rPr>
                <w:rFonts w:ascii="Arial" w:hAnsi="Arial" w:cs="Arial"/>
                <w:sz w:val="22"/>
                <w:szCs w:val="22"/>
              </w:rPr>
            </w:pPr>
            <w:r w:rsidRPr="00EF4E4B">
              <w:rPr>
                <w:rFonts w:eastAsia="Times New Roman"/>
              </w:rPr>
              <w:t xml:space="preserve">Challenges affecting the Danube Region that could be addressed by the IPA CBC programme Croatia-Bosnia and Herzegovina-Montenegro are presented as correlation between Programme objectives and priority areas of the </w:t>
            </w:r>
            <w:r w:rsidR="00F20441">
              <w:rPr>
                <w:rFonts w:eastAsia="Times New Roman"/>
              </w:rPr>
              <w:t>S</w:t>
            </w:r>
            <w:r w:rsidRPr="00EF4E4B">
              <w:rPr>
                <w:rFonts w:eastAsia="Times New Roman"/>
              </w:rPr>
              <w:t>trategy.</w:t>
            </w:r>
            <w:r w:rsidRPr="00F20441">
              <w:rPr>
                <w:rFonts w:eastAsia="Times New Roman"/>
                <w:szCs w:val="24"/>
              </w:rPr>
              <w:t xml:space="preserve"> </w:t>
            </w:r>
            <w:bookmarkStart w:id="2" w:name="_Toc385488923"/>
            <w:r w:rsidR="00F20441" w:rsidRPr="00F20441">
              <w:rPr>
                <w:szCs w:val="24"/>
              </w:rPr>
              <w:t>In that way, the Strategy challenge related to sustainable energy, restoring and maintaining the quality of water, managing environmental risks and preserving biodiversity, landscapes, air and soils quality could be tackled through Programme Priority axis 2 dealing with protecting the environment and biodiversity, improving risk prevention and sustainable energy and energy  efficiency. The Strategy challenges referring to the development of the knowledge society through research, education and information technologies, supporting the competitiveness of enterprises, including cluster development and investing in persons and skills are related to Programme Priority axis 4 dealing with enhancing competitiveness and developing business environment. Lastly, the Strategy challenge referring to promoting culture and tourism and persons-to-persons contacts is in correlation with Programme Priority axis 3 dealing with contributing to the development of tourism and well as preservation and sustainable use of  cultural and natural heritage.</w:t>
            </w:r>
          </w:p>
          <w:p w:rsidR="00EF4E4B" w:rsidRPr="00EF4E4B" w:rsidRDefault="00EF4E4B" w:rsidP="00EF4E4B">
            <w:pPr>
              <w:spacing w:after="240"/>
              <w:rPr>
                <w:rFonts w:eastAsia="Times New Roman"/>
                <w:b/>
              </w:rPr>
            </w:pPr>
            <w:r w:rsidRPr="00EF4E4B">
              <w:rPr>
                <w:rFonts w:eastAsia="Times New Roman"/>
                <w:b/>
                <w:i/>
                <w:iCs/>
              </w:rPr>
              <w:lastRenderedPageBreak/>
              <w:t>EU Strategy for the Adriatic and Ionian Region (EUSAIR)</w:t>
            </w:r>
            <w:bookmarkEnd w:id="2"/>
          </w:p>
          <w:p w:rsidR="00630FCD" w:rsidRPr="008A452D" w:rsidRDefault="00630FCD" w:rsidP="00630FCD">
            <w:pPr>
              <w:spacing w:after="240"/>
              <w:rPr>
                <w:szCs w:val="24"/>
              </w:rPr>
            </w:pPr>
            <w:r w:rsidRPr="008A452D">
              <w:rPr>
                <w:szCs w:val="24"/>
              </w:rPr>
              <w:t xml:space="preserve">The European Council endorsed the EU Strategy for the Adriatic and Ionian Region </w:t>
            </w:r>
            <w:r w:rsidRPr="008A452D">
              <w:rPr>
                <w:bCs/>
                <w:iCs/>
                <w:szCs w:val="24"/>
              </w:rPr>
              <w:t>(EUSAIR)</w:t>
            </w:r>
            <w:r w:rsidRPr="008A452D">
              <w:rPr>
                <w:szCs w:val="24"/>
              </w:rPr>
              <w:t xml:space="preserve"> on 24 October 2014. It incorporates the Maritime Strategy for the Adriatic and Ionian Seas, which was adopted by the EC on 30 November 2012. The European Union Strategy for the Adriatic-Ionian Region is built on four pillars: “Blue growth”, “Connecting the Region”, “Environmental quality” and “Sustainable tourism”. "Strengthening R&amp;D, Innovation and SMEs", as well as "Capacity Building, including communication" are two cross-cutting aspects relevant to those pillars. In addition to these cross-cutting aspects, mitigating and adapting to climate change effects as well as managing disaster risks were also recognised as horizontal principles for all four pillars.</w:t>
            </w:r>
          </w:p>
          <w:p w:rsidR="00630FCD" w:rsidRPr="00124575" w:rsidRDefault="00630FCD" w:rsidP="00EF4E4B">
            <w:pPr>
              <w:spacing w:after="240"/>
              <w:rPr>
                <w:rFonts w:eastAsia="Times New Roman"/>
                <w:szCs w:val="24"/>
              </w:rPr>
            </w:pPr>
            <w:r w:rsidRPr="008A452D">
              <w:rPr>
                <w:szCs w:val="24"/>
              </w:rPr>
              <w:t>The EUSAIR will mobilise and align the existing EU funding instruments for each of the topics identified under the four pillars. Partnership Agreement and Operational Programme “Competitiveness and Cohesion” for Croatia is taking the forthcoming EUSAIR into account. In addition, Country Strategy Papers for Bosnia and Herzegovina and Montenegro also explicitly refer to the Strategy.</w:t>
            </w:r>
          </w:p>
          <w:p w:rsidR="00EF4E4B" w:rsidRPr="00EF4E4B" w:rsidRDefault="00EF4E4B" w:rsidP="00EF4E4B">
            <w:pPr>
              <w:spacing w:after="240"/>
              <w:rPr>
                <w:rFonts w:eastAsia="Times New Roman"/>
              </w:rPr>
            </w:pPr>
            <w:r w:rsidRPr="00EF4E4B">
              <w:rPr>
                <w:rFonts w:eastAsia="Times New Roman"/>
              </w:rPr>
              <w:t>Considering the stakeholder consultation outcomes, the European Union Strategy for the Adriatic-Ionian Region is expected to address challenges that will also be tackled by the IPA CBC programme Croatia-Bosnia and Herzegovina-Montenegro</w:t>
            </w:r>
            <w:r w:rsidR="00124575">
              <w:rPr>
                <w:rFonts w:eastAsia="Times New Roman"/>
              </w:rPr>
              <w:t>. M</w:t>
            </w:r>
            <w:r w:rsidRPr="00EF4E4B">
              <w:rPr>
                <w:rFonts w:eastAsia="Times New Roman"/>
              </w:rPr>
              <w:t xml:space="preserve">ore specifically, strategy pillar dealing with challenge of preserving, protecting and improving of the quality of the environment could be related to Programme </w:t>
            </w:r>
            <w:r w:rsidR="00124575">
              <w:rPr>
                <w:rFonts w:eastAsia="Times New Roman"/>
              </w:rPr>
              <w:t>p</w:t>
            </w:r>
            <w:r w:rsidRPr="00EF4E4B">
              <w:rPr>
                <w:rFonts w:eastAsia="Times New Roman"/>
              </w:rPr>
              <w:t xml:space="preserve">riority </w:t>
            </w:r>
            <w:r w:rsidR="00124575">
              <w:rPr>
                <w:rFonts w:eastAsia="Times New Roman"/>
              </w:rPr>
              <w:t>a</w:t>
            </w:r>
            <w:r w:rsidRPr="00EF4E4B">
              <w:rPr>
                <w:rFonts w:eastAsia="Times New Roman"/>
              </w:rPr>
              <w:t xml:space="preserve">xis 2 dealing with the environment </w:t>
            </w:r>
            <w:r w:rsidR="00124575">
              <w:rPr>
                <w:rFonts w:eastAsia="Times New Roman"/>
              </w:rPr>
              <w:t xml:space="preserve">and nature </w:t>
            </w:r>
            <w:r w:rsidRPr="00EF4E4B">
              <w:rPr>
                <w:rFonts w:eastAsia="Times New Roman"/>
              </w:rPr>
              <w:t xml:space="preserve">protection, </w:t>
            </w:r>
            <w:r w:rsidR="00124575">
              <w:rPr>
                <w:rFonts w:eastAsia="Times New Roman"/>
              </w:rPr>
              <w:t xml:space="preserve">biodiversity, </w:t>
            </w:r>
            <w:r w:rsidRPr="00EF4E4B">
              <w:rPr>
                <w:rFonts w:eastAsia="Times New Roman"/>
              </w:rPr>
              <w:t xml:space="preserve">improving risk prevention and sustainable energy </w:t>
            </w:r>
            <w:r w:rsidR="00124575">
              <w:rPr>
                <w:rFonts w:eastAsia="Times New Roman"/>
              </w:rPr>
              <w:t>and energy efficiency</w:t>
            </w:r>
            <w:r w:rsidRPr="00EF4E4B">
              <w:rPr>
                <w:rFonts w:eastAsia="Times New Roman"/>
              </w:rPr>
              <w:t xml:space="preserve">. Moreover, strategy pillar dealing with challenge of increasing regional attractiveness by supporting sustainable development of inland, coastal and maritime tourism and preservation and promotion of culture heritage is completely in line with Programme </w:t>
            </w:r>
            <w:r w:rsidR="00124575">
              <w:rPr>
                <w:rFonts w:eastAsia="Times New Roman"/>
              </w:rPr>
              <w:t>p</w:t>
            </w:r>
            <w:r w:rsidRPr="00EF4E4B">
              <w:rPr>
                <w:rFonts w:eastAsia="Times New Roman"/>
              </w:rPr>
              <w:t xml:space="preserve">riority </w:t>
            </w:r>
            <w:r w:rsidR="00124575">
              <w:rPr>
                <w:rFonts w:eastAsia="Times New Roman"/>
              </w:rPr>
              <w:t>a</w:t>
            </w:r>
            <w:r w:rsidRPr="00EF4E4B">
              <w:rPr>
                <w:rFonts w:eastAsia="Times New Roman"/>
              </w:rPr>
              <w:t>xis 3 dealing with</w:t>
            </w:r>
            <w:r w:rsidR="00124575">
              <w:rPr>
                <w:rFonts w:eastAsia="Times New Roman"/>
              </w:rPr>
              <w:t xml:space="preserve"> </w:t>
            </w:r>
            <w:r w:rsidR="00124575" w:rsidRPr="00124575">
              <w:rPr>
                <w:rFonts w:eastAsia="Times New Roman"/>
              </w:rPr>
              <w:t xml:space="preserve">contributing to the development of tourism and </w:t>
            </w:r>
            <w:r w:rsidR="00124575">
              <w:rPr>
                <w:rFonts w:eastAsia="Times New Roman"/>
              </w:rPr>
              <w:t xml:space="preserve">as </w:t>
            </w:r>
            <w:r w:rsidR="00124575" w:rsidRPr="00124575">
              <w:rPr>
                <w:rFonts w:eastAsia="Times New Roman"/>
              </w:rPr>
              <w:t>well as prese</w:t>
            </w:r>
            <w:r w:rsidR="00124575">
              <w:rPr>
                <w:rFonts w:eastAsia="Times New Roman"/>
              </w:rPr>
              <w:t xml:space="preserve">rvation and sustainable use of </w:t>
            </w:r>
            <w:r w:rsidR="00124575" w:rsidRPr="00124575">
              <w:rPr>
                <w:rFonts w:eastAsia="Times New Roman"/>
              </w:rPr>
              <w:t>cultural and natural heritage</w:t>
            </w:r>
            <w:r w:rsidRPr="00EF4E4B">
              <w:rPr>
                <w:rFonts w:eastAsia="Times New Roman"/>
              </w:rPr>
              <w:t>.</w:t>
            </w:r>
            <w:r w:rsidR="00124575">
              <w:rPr>
                <w:rFonts w:eastAsia="Times New Roman"/>
              </w:rPr>
              <w:t xml:space="preserve"> </w:t>
            </w:r>
            <w:r w:rsidR="00124575" w:rsidRPr="00124575">
              <w:rPr>
                <w:rFonts w:eastAsia="Times New Roman"/>
              </w:rPr>
              <w:t>More specifically</w:t>
            </w:r>
            <w:r w:rsidR="00124575">
              <w:rPr>
                <w:rFonts w:eastAsia="Times New Roman"/>
              </w:rPr>
              <w:t xml:space="preserve">, </w:t>
            </w:r>
            <w:r w:rsidR="00995046">
              <w:rPr>
                <w:rFonts w:eastAsia="Times New Roman"/>
              </w:rPr>
              <w:t>strategic project “Adriatic Hinterlan</w:t>
            </w:r>
            <w:r w:rsidR="00270E25">
              <w:rPr>
                <w:rFonts w:eastAsia="Times New Roman"/>
              </w:rPr>
              <w:t>d</w:t>
            </w:r>
            <w:r w:rsidR="00995046">
              <w:rPr>
                <w:rFonts w:eastAsia="Times New Roman"/>
              </w:rPr>
              <w:t xml:space="preserve">” which will be implemented under priority axis 3 </w:t>
            </w:r>
            <w:r w:rsidR="00124575" w:rsidRPr="00124575">
              <w:rPr>
                <w:rFonts w:eastAsia="Times New Roman"/>
              </w:rPr>
              <w:t>will contribute to the goals of  EUSAIR, in particular to the development of hinterland rural areas under priority „sustainable tourism“</w:t>
            </w:r>
            <w:r w:rsidR="00EC5A0A">
              <w:rPr>
                <w:rFonts w:eastAsia="Times New Roman"/>
              </w:rPr>
              <w:t xml:space="preserve">. </w:t>
            </w:r>
            <w:r w:rsidRPr="00EF4E4B">
              <w:rPr>
                <w:rFonts w:eastAsia="Times New Roman"/>
              </w:rPr>
              <w:t xml:space="preserve">As for </w:t>
            </w:r>
            <w:r w:rsidR="00EC5A0A">
              <w:rPr>
                <w:rFonts w:eastAsia="Times New Roman"/>
              </w:rPr>
              <w:t>the S</w:t>
            </w:r>
            <w:r w:rsidRPr="00EF4E4B">
              <w:rPr>
                <w:rFonts w:eastAsia="Times New Roman"/>
              </w:rPr>
              <w:t xml:space="preserve">trategy cross-cutting aspects, “Research, innovation and SMEs development” and "Capacity Building", it </w:t>
            </w:r>
            <w:r w:rsidR="00EC5A0A">
              <w:rPr>
                <w:rFonts w:eastAsia="Times New Roman"/>
              </w:rPr>
              <w:t>has</w:t>
            </w:r>
            <w:r w:rsidRPr="00EF4E4B">
              <w:rPr>
                <w:rFonts w:eastAsia="Times New Roman"/>
              </w:rPr>
              <w:t xml:space="preserve"> to be noted that capacity building is envisaged to be tackled through implementation of all Programme </w:t>
            </w:r>
            <w:r w:rsidR="00EC5A0A">
              <w:rPr>
                <w:rFonts w:eastAsia="Times New Roman"/>
              </w:rPr>
              <w:t>a</w:t>
            </w:r>
            <w:r w:rsidRPr="00EF4E4B">
              <w:rPr>
                <w:rFonts w:eastAsia="Times New Roman"/>
              </w:rPr>
              <w:t xml:space="preserve">xes, whereas research, innovation and SMEs development could be related to </w:t>
            </w:r>
            <w:r w:rsidR="00EC5A0A">
              <w:rPr>
                <w:rFonts w:eastAsia="Times New Roman"/>
              </w:rPr>
              <w:t>p</w:t>
            </w:r>
            <w:r w:rsidRPr="00EF4E4B">
              <w:rPr>
                <w:rFonts w:eastAsia="Times New Roman"/>
              </w:rPr>
              <w:t xml:space="preserve">riority </w:t>
            </w:r>
            <w:r w:rsidR="00EC5A0A">
              <w:rPr>
                <w:rFonts w:eastAsia="Times New Roman"/>
              </w:rPr>
              <w:t>a</w:t>
            </w:r>
            <w:r w:rsidRPr="00EF4E4B">
              <w:rPr>
                <w:rFonts w:eastAsia="Times New Roman"/>
              </w:rPr>
              <w:t>xis 4 dealing with enhancing competitiveness and develop</w:t>
            </w:r>
            <w:r w:rsidR="00EC5A0A">
              <w:rPr>
                <w:rFonts w:eastAsia="Times New Roman"/>
              </w:rPr>
              <w:t>ing</w:t>
            </w:r>
            <w:r w:rsidRPr="00EF4E4B">
              <w:rPr>
                <w:rFonts w:eastAsia="Times New Roman"/>
              </w:rPr>
              <w:t xml:space="preserve"> business environment.</w:t>
            </w:r>
          </w:p>
          <w:p w:rsidR="00FB701A" w:rsidRPr="002B134C" w:rsidRDefault="00EF4E4B" w:rsidP="0024160D">
            <w:pPr>
              <w:spacing w:after="240"/>
              <w:rPr>
                <w:rFonts w:eastAsia="Times New Roman"/>
              </w:rPr>
            </w:pPr>
            <w:r w:rsidRPr="00EF4E4B">
              <w:rPr>
                <w:rFonts w:eastAsia="Times New Roman"/>
              </w:rPr>
              <w:t xml:space="preserve">During Programme preparation, </w:t>
            </w:r>
            <w:r w:rsidR="00705520">
              <w:rPr>
                <w:rFonts w:eastAsia="Times New Roman"/>
              </w:rPr>
              <w:t>m</w:t>
            </w:r>
            <w:r w:rsidR="00705520" w:rsidRPr="00EF4E4B">
              <w:rPr>
                <w:rFonts w:eastAsia="Times New Roman"/>
              </w:rPr>
              <w:t xml:space="preserve">anaging </w:t>
            </w:r>
            <w:r w:rsidR="00705520">
              <w:rPr>
                <w:rFonts w:eastAsia="Times New Roman"/>
              </w:rPr>
              <w:t>a</w:t>
            </w:r>
            <w:r w:rsidR="00705520" w:rsidRPr="00EF4E4B">
              <w:rPr>
                <w:rFonts w:eastAsia="Times New Roman"/>
              </w:rPr>
              <w:t xml:space="preserve">uthority </w:t>
            </w:r>
            <w:r w:rsidRPr="00EF4E4B">
              <w:rPr>
                <w:rFonts w:eastAsia="Times New Roman"/>
              </w:rPr>
              <w:t xml:space="preserve">and partner countries ensured to involve relevant National Contact Points and Priority Areas Coordinators for both strategies in the process of programme </w:t>
            </w:r>
            <w:r w:rsidR="00BF174E">
              <w:rPr>
                <w:rFonts w:eastAsia="Times New Roman"/>
              </w:rPr>
              <w:t xml:space="preserve">preparation and </w:t>
            </w:r>
            <w:r w:rsidRPr="00EF4E4B">
              <w:rPr>
                <w:rFonts w:eastAsia="Times New Roman"/>
              </w:rPr>
              <w:t>planning</w:t>
            </w:r>
            <w:r w:rsidR="00BF174E">
              <w:rPr>
                <w:rFonts w:eastAsia="Times New Roman"/>
              </w:rPr>
              <w:t xml:space="preserve"> </w:t>
            </w:r>
            <w:r w:rsidR="00BF174E" w:rsidRPr="00BF174E">
              <w:rPr>
                <w:rFonts w:eastAsia="Times New Roman"/>
              </w:rPr>
              <w:t>by sending the invitations to the National Contact Points for European Union Strategy for the Adriatic and Ionian Region and Priority Areas Coordinators for the European Union Strategy for the Danube Region from the participating countries to take part at the public consultations/consultative workshops with stakeholders</w:t>
            </w:r>
            <w:r w:rsidR="00BF174E">
              <w:rPr>
                <w:rFonts w:eastAsia="Times New Roman"/>
              </w:rPr>
              <w:t xml:space="preserve"> held in May and </w:t>
            </w:r>
            <w:r w:rsidR="0024160D">
              <w:rPr>
                <w:rFonts w:eastAsia="Times New Roman"/>
              </w:rPr>
              <w:t>August</w:t>
            </w:r>
            <w:r w:rsidR="00BF174E">
              <w:rPr>
                <w:rFonts w:eastAsia="Times New Roman"/>
              </w:rPr>
              <w:t xml:space="preserve"> 2014</w:t>
            </w:r>
            <w:r w:rsidRPr="00EF4E4B">
              <w:rPr>
                <w:rFonts w:eastAsia="Times New Roman"/>
              </w:rPr>
              <w:t xml:space="preserve">. </w:t>
            </w:r>
          </w:p>
        </w:tc>
      </w:tr>
    </w:tbl>
    <w:p w:rsidR="00055394" w:rsidRPr="00053B3B" w:rsidRDefault="00FB701A" w:rsidP="00053B3B">
      <w:pPr>
        <w:keepNext/>
        <w:spacing w:before="360" w:after="240"/>
        <w:outlineLvl w:val="0"/>
        <w:rPr>
          <w:rFonts w:eastAsia="Times New Roman"/>
          <w:b/>
          <w:bCs/>
          <w:smallCaps/>
          <w:szCs w:val="24"/>
        </w:rPr>
      </w:pPr>
      <w:r w:rsidRPr="00B76110">
        <w:rPr>
          <w:rFonts w:eastAsia="Times New Roman"/>
          <w:b/>
          <w:bCs/>
          <w:smallCaps/>
          <w:szCs w:val="24"/>
          <w:lang w:eastAsia="fr-BE"/>
        </w:rPr>
        <w:lastRenderedPageBreak/>
        <w:br w:type="page"/>
      </w:r>
      <w:r w:rsidR="00055394" w:rsidRPr="00B76110">
        <w:rPr>
          <w:rFonts w:eastAsia="Times New Roman"/>
        </w:rPr>
        <w:lastRenderedPageBreak/>
        <w:t xml:space="preserve"> </w:t>
      </w:r>
      <w:r w:rsidR="00055394" w:rsidRPr="003A787C">
        <w:rPr>
          <w:rFonts w:eastAsia="Times New Roman"/>
          <w:b/>
          <w:bCs/>
          <w:smallCaps/>
          <w:szCs w:val="24"/>
        </w:rPr>
        <w:t xml:space="preserve">Section 5   Implementing provisions for the cooperation programme </w:t>
      </w:r>
    </w:p>
    <w:p w:rsidR="00055394" w:rsidRPr="003A787C" w:rsidRDefault="00055394" w:rsidP="00055394">
      <w:pPr>
        <w:suppressAutoHyphens/>
        <w:spacing w:after="240"/>
        <w:ind w:left="720" w:hanging="720"/>
        <w:rPr>
          <w:rFonts w:eastAsia="Times New Roman"/>
          <w:b/>
          <w:szCs w:val="24"/>
        </w:rPr>
      </w:pPr>
      <w:r w:rsidRPr="003A787C">
        <w:rPr>
          <w:rFonts w:eastAsia="Times New Roman"/>
          <w:b/>
          <w:szCs w:val="24"/>
        </w:rPr>
        <w:t>5.1</w:t>
      </w:r>
      <w:r w:rsidRPr="003A787C">
        <w:rPr>
          <w:rFonts w:eastAsia="Times New Roman"/>
          <w:b/>
          <w:szCs w:val="24"/>
        </w:rPr>
        <w:tab/>
        <w:t xml:space="preserve">Relevant authorities and bodies </w:t>
      </w:r>
    </w:p>
    <w:p w:rsidR="00055394" w:rsidRDefault="00055394" w:rsidP="00184365">
      <w:pPr>
        <w:suppressAutoHyphens/>
        <w:spacing w:after="240"/>
        <w:ind w:left="720" w:hanging="720"/>
        <w:rPr>
          <w:rFonts w:eastAsia="Times New Roman"/>
          <w:szCs w:val="24"/>
        </w:rPr>
      </w:pPr>
      <w:r w:rsidRPr="003A787C">
        <w:rPr>
          <w:rFonts w:eastAsia="Times New Roman"/>
          <w:szCs w:val="24"/>
        </w:rPr>
        <w:t>(Reference: Article 8(4) of Regulation (EU) No 1299/2013)</w:t>
      </w:r>
    </w:p>
    <w:p w:rsidR="00184365" w:rsidRPr="00184365" w:rsidRDefault="00184365" w:rsidP="00184365">
      <w:pPr>
        <w:suppressAutoHyphens/>
        <w:spacing w:after="240"/>
        <w:ind w:left="720" w:hanging="720"/>
        <w:rPr>
          <w:rFonts w:eastAsia="Times New Roman"/>
          <w:szCs w:val="24"/>
        </w:rPr>
      </w:pPr>
    </w:p>
    <w:p w:rsidR="00055394" w:rsidRPr="003A787C" w:rsidRDefault="00055394" w:rsidP="00055394">
      <w:pPr>
        <w:suppressAutoHyphens/>
        <w:rPr>
          <w:rFonts w:eastAsia="Times New Roman"/>
          <w:b/>
          <w:szCs w:val="24"/>
        </w:rPr>
      </w:pPr>
      <w:r w:rsidRPr="003A787C">
        <w:rPr>
          <w:rFonts w:eastAsia="Times New Roman"/>
          <w:b/>
          <w:szCs w:val="24"/>
        </w:rPr>
        <w:t>Table 19: Programme authorities</w:t>
      </w:r>
    </w:p>
    <w:p w:rsidR="00055394" w:rsidRPr="003A787C" w:rsidRDefault="00055394" w:rsidP="00055394">
      <w:pPr>
        <w:suppressAutoHyphens/>
        <w:spacing w:after="240"/>
        <w:ind w:left="720" w:hanging="720"/>
        <w:rPr>
          <w:rFonts w:eastAsia="Times New Roman"/>
          <w:szCs w:val="24"/>
        </w:rPr>
      </w:pPr>
      <w:r w:rsidRPr="003A787C">
        <w:rPr>
          <w:rFonts w:eastAsia="Times New Roman"/>
          <w:szCs w:val="24"/>
        </w:rPr>
        <w:t xml:space="preserve">(Reference: </w:t>
      </w:r>
      <w:r w:rsidRPr="003A787C">
        <w:rPr>
          <w:szCs w:val="24"/>
        </w:rPr>
        <w:t xml:space="preserve">point (a)(i) of </w:t>
      </w:r>
      <w:r w:rsidRPr="003A787C">
        <w:rPr>
          <w:rFonts w:eastAsia="Times New Roman"/>
          <w:szCs w:val="24"/>
        </w:rPr>
        <w:t>Article 8(4) of Regulation (EU) No 1299/2013)</w:t>
      </w:r>
    </w:p>
    <w:p w:rsidR="00055394" w:rsidRPr="003A787C" w:rsidRDefault="00055394" w:rsidP="00055394">
      <w:pPr>
        <w:suppressAutoHyphens/>
        <w:rPr>
          <w:rFonts w:eastAsia="Times New Roman"/>
          <w:b/>
          <w:szCs w:val="24"/>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976"/>
        <w:gridCol w:w="3434"/>
      </w:tblGrid>
      <w:tr w:rsidR="00055394" w:rsidRPr="003A787C" w:rsidTr="00165043">
        <w:trPr>
          <w:jc w:val="center"/>
        </w:trPr>
        <w:tc>
          <w:tcPr>
            <w:tcW w:w="2802" w:type="dxa"/>
            <w:shd w:val="clear" w:color="auto" w:fill="DBE5F1"/>
          </w:tcPr>
          <w:p w:rsidR="00055394" w:rsidRPr="003A787C" w:rsidRDefault="00055394" w:rsidP="00165043">
            <w:pPr>
              <w:suppressAutoHyphens/>
              <w:jc w:val="center"/>
              <w:rPr>
                <w:rFonts w:eastAsia="Times New Roman"/>
                <w:b/>
                <w:szCs w:val="24"/>
              </w:rPr>
            </w:pPr>
            <w:r w:rsidRPr="003A787C">
              <w:rPr>
                <w:rFonts w:eastAsia="Times New Roman"/>
                <w:b/>
                <w:szCs w:val="24"/>
              </w:rPr>
              <w:t>Authority/body</w:t>
            </w:r>
          </w:p>
        </w:tc>
        <w:tc>
          <w:tcPr>
            <w:tcW w:w="2976" w:type="dxa"/>
            <w:shd w:val="clear" w:color="auto" w:fill="DBE5F1"/>
          </w:tcPr>
          <w:p w:rsidR="00055394" w:rsidRPr="003A787C" w:rsidRDefault="00055394" w:rsidP="00165043">
            <w:pPr>
              <w:suppressAutoHyphens/>
              <w:jc w:val="center"/>
              <w:rPr>
                <w:rFonts w:eastAsia="Times New Roman"/>
                <w:b/>
                <w:szCs w:val="24"/>
              </w:rPr>
            </w:pPr>
            <w:r w:rsidRPr="003A787C">
              <w:rPr>
                <w:b/>
                <w:szCs w:val="24"/>
              </w:rPr>
              <w:t xml:space="preserve">Name of authority/body and department or unit </w:t>
            </w:r>
          </w:p>
        </w:tc>
        <w:tc>
          <w:tcPr>
            <w:tcW w:w="3434" w:type="dxa"/>
            <w:shd w:val="clear" w:color="auto" w:fill="DBE5F1"/>
          </w:tcPr>
          <w:p w:rsidR="00055394" w:rsidRPr="003A787C" w:rsidRDefault="00055394" w:rsidP="00165043">
            <w:pPr>
              <w:suppressAutoHyphens/>
              <w:jc w:val="center"/>
              <w:rPr>
                <w:rFonts w:eastAsia="Times New Roman"/>
                <w:b/>
                <w:szCs w:val="24"/>
              </w:rPr>
            </w:pPr>
            <w:r w:rsidRPr="003A787C">
              <w:rPr>
                <w:b/>
                <w:szCs w:val="24"/>
              </w:rPr>
              <w:t>Head of authority/body (position or post)</w:t>
            </w:r>
          </w:p>
        </w:tc>
      </w:tr>
      <w:tr w:rsidR="00213A3C" w:rsidRPr="003A787C" w:rsidTr="00165043">
        <w:trPr>
          <w:jc w:val="center"/>
        </w:trPr>
        <w:tc>
          <w:tcPr>
            <w:tcW w:w="2802" w:type="dxa"/>
            <w:tcBorders>
              <w:bottom w:val="single" w:sz="4" w:space="0" w:color="auto"/>
            </w:tcBorders>
            <w:shd w:val="clear" w:color="auto" w:fill="auto"/>
          </w:tcPr>
          <w:p w:rsidR="00213A3C" w:rsidRPr="003A787C" w:rsidRDefault="00213A3C" w:rsidP="00053B3B">
            <w:pPr>
              <w:suppressAutoHyphens/>
              <w:spacing w:after="0"/>
              <w:rPr>
                <w:rFonts w:eastAsia="Times New Roman"/>
                <w:szCs w:val="24"/>
              </w:rPr>
            </w:pPr>
            <w:r w:rsidRPr="003A787C">
              <w:rPr>
                <w:rFonts w:eastAsia="Times New Roman"/>
                <w:szCs w:val="24"/>
              </w:rPr>
              <w:t xml:space="preserve">Managing authority </w:t>
            </w:r>
          </w:p>
        </w:tc>
        <w:tc>
          <w:tcPr>
            <w:tcW w:w="2976" w:type="dxa"/>
            <w:tcBorders>
              <w:bottom w:val="single" w:sz="4" w:space="0" w:color="auto"/>
            </w:tcBorders>
            <w:shd w:val="clear" w:color="auto" w:fill="auto"/>
          </w:tcPr>
          <w:p w:rsidR="00213A3C" w:rsidRPr="003A787C" w:rsidRDefault="00213A3C" w:rsidP="00053B3B">
            <w:pPr>
              <w:suppressAutoHyphens/>
              <w:spacing w:after="0"/>
              <w:rPr>
                <w:rFonts w:eastAsia="Times New Roman"/>
                <w:szCs w:val="24"/>
              </w:rPr>
            </w:pPr>
            <w:r w:rsidRPr="007C3C9E">
              <w:rPr>
                <w:rFonts w:eastAsia="Times New Roman"/>
                <w:szCs w:val="24"/>
              </w:rPr>
              <w:t>Agency for Regional Development of the Republic of Croatia</w:t>
            </w:r>
          </w:p>
        </w:tc>
        <w:tc>
          <w:tcPr>
            <w:tcW w:w="3434" w:type="dxa"/>
            <w:tcBorders>
              <w:bottom w:val="single" w:sz="4" w:space="0" w:color="auto"/>
            </w:tcBorders>
            <w:shd w:val="clear" w:color="auto" w:fill="auto"/>
          </w:tcPr>
          <w:p w:rsidR="00213A3C" w:rsidRPr="00462472" w:rsidRDefault="00213A3C" w:rsidP="007E5895">
            <w:r w:rsidRPr="00462472">
              <w:t>Head of Directorate</w:t>
            </w:r>
          </w:p>
        </w:tc>
      </w:tr>
      <w:tr w:rsidR="00213A3C" w:rsidRPr="003A787C" w:rsidTr="00165043">
        <w:trPr>
          <w:jc w:val="center"/>
        </w:trPr>
        <w:tc>
          <w:tcPr>
            <w:tcW w:w="2802" w:type="dxa"/>
            <w:shd w:val="clear" w:color="auto" w:fill="auto"/>
          </w:tcPr>
          <w:p w:rsidR="00213A3C" w:rsidRPr="003A787C" w:rsidRDefault="00213A3C" w:rsidP="00053B3B">
            <w:pPr>
              <w:suppressAutoHyphens/>
              <w:spacing w:after="0"/>
              <w:rPr>
                <w:rFonts w:eastAsia="Times New Roman"/>
                <w:szCs w:val="24"/>
              </w:rPr>
            </w:pPr>
            <w:r w:rsidRPr="003A787C">
              <w:rPr>
                <w:rFonts w:eastAsia="Times New Roman"/>
                <w:szCs w:val="24"/>
              </w:rPr>
              <w:t>Certifying authority, where applicable</w:t>
            </w:r>
          </w:p>
        </w:tc>
        <w:tc>
          <w:tcPr>
            <w:tcW w:w="2976" w:type="dxa"/>
            <w:shd w:val="clear" w:color="auto" w:fill="auto"/>
          </w:tcPr>
          <w:p w:rsidR="00213A3C" w:rsidRPr="003A787C" w:rsidRDefault="00213A3C" w:rsidP="00053B3B">
            <w:pPr>
              <w:suppressAutoHyphens/>
              <w:spacing w:after="0"/>
              <w:rPr>
                <w:rFonts w:eastAsia="Times New Roman"/>
                <w:szCs w:val="24"/>
              </w:rPr>
            </w:pPr>
            <w:r w:rsidRPr="003A787C">
              <w:rPr>
                <w:rFonts w:eastAsia="Times New Roman"/>
                <w:szCs w:val="24"/>
              </w:rPr>
              <w:t xml:space="preserve">Ministry of Regional Development and EU Funds of the Republic of Croatia - Directorate for Budget and IT Systems </w:t>
            </w:r>
          </w:p>
        </w:tc>
        <w:tc>
          <w:tcPr>
            <w:tcW w:w="3434" w:type="dxa"/>
            <w:shd w:val="clear" w:color="auto" w:fill="auto"/>
          </w:tcPr>
          <w:p w:rsidR="00213A3C" w:rsidRDefault="00213A3C" w:rsidP="007E5895">
            <w:r w:rsidRPr="00462472">
              <w:t>Head of Directorate</w:t>
            </w:r>
          </w:p>
        </w:tc>
      </w:tr>
      <w:tr w:rsidR="00055394" w:rsidRPr="003A787C" w:rsidTr="00165043">
        <w:trPr>
          <w:jc w:val="center"/>
        </w:trPr>
        <w:tc>
          <w:tcPr>
            <w:tcW w:w="2802" w:type="dxa"/>
            <w:tcBorders>
              <w:bottom w:val="single" w:sz="4" w:space="0" w:color="auto"/>
            </w:tcBorders>
            <w:shd w:val="clear" w:color="auto" w:fill="auto"/>
          </w:tcPr>
          <w:p w:rsidR="00055394" w:rsidRPr="003A787C" w:rsidRDefault="00055394" w:rsidP="00165043">
            <w:pPr>
              <w:suppressAutoHyphens/>
              <w:rPr>
                <w:rFonts w:eastAsia="Times New Roman"/>
                <w:szCs w:val="24"/>
              </w:rPr>
            </w:pPr>
            <w:r w:rsidRPr="003A787C">
              <w:rPr>
                <w:rFonts w:eastAsia="Times New Roman"/>
                <w:szCs w:val="24"/>
              </w:rPr>
              <w:t>Audit authority</w:t>
            </w:r>
          </w:p>
        </w:tc>
        <w:tc>
          <w:tcPr>
            <w:tcW w:w="2976" w:type="dxa"/>
            <w:tcBorders>
              <w:bottom w:val="single" w:sz="4" w:space="0" w:color="auto"/>
            </w:tcBorders>
            <w:shd w:val="clear" w:color="auto" w:fill="auto"/>
          </w:tcPr>
          <w:p w:rsidR="00055394" w:rsidRPr="003A787C" w:rsidRDefault="00055394" w:rsidP="003F7959">
            <w:pPr>
              <w:suppressAutoHyphens/>
              <w:jc w:val="left"/>
              <w:rPr>
                <w:rFonts w:eastAsia="Times New Roman"/>
                <w:szCs w:val="24"/>
              </w:rPr>
            </w:pPr>
            <w:r w:rsidRPr="003A787C">
              <w:rPr>
                <w:rFonts w:eastAsia="Times New Roman"/>
                <w:szCs w:val="24"/>
              </w:rPr>
              <w:t>Agency for the Audit of European Union</w:t>
            </w:r>
            <w:r w:rsidR="00CE1264">
              <w:rPr>
                <w:rFonts w:eastAsia="Times New Roman"/>
                <w:szCs w:val="24"/>
              </w:rPr>
              <w:t>’</w:t>
            </w:r>
            <w:r w:rsidRPr="003A787C">
              <w:rPr>
                <w:rFonts w:eastAsia="Times New Roman"/>
                <w:szCs w:val="24"/>
              </w:rPr>
              <w:t>s P</w:t>
            </w:r>
            <w:r w:rsidR="003F7959">
              <w:rPr>
                <w:rFonts w:eastAsia="Times New Roman"/>
                <w:szCs w:val="24"/>
              </w:rPr>
              <w:t>rogrammes Implementation System</w:t>
            </w:r>
          </w:p>
        </w:tc>
        <w:tc>
          <w:tcPr>
            <w:tcW w:w="3434" w:type="dxa"/>
            <w:tcBorders>
              <w:bottom w:val="single" w:sz="4" w:space="0" w:color="auto"/>
            </w:tcBorders>
            <w:shd w:val="clear" w:color="auto" w:fill="auto"/>
          </w:tcPr>
          <w:p w:rsidR="00055394" w:rsidRPr="003A787C" w:rsidRDefault="003F7959" w:rsidP="00F923DD">
            <w:pPr>
              <w:suppressAutoHyphens/>
              <w:rPr>
                <w:rFonts w:eastAsia="Times New Roman"/>
                <w:szCs w:val="24"/>
              </w:rPr>
            </w:pPr>
            <w:r>
              <w:rPr>
                <w:rFonts w:eastAsia="Times New Roman"/>
                <w:szCs w:val="24"/>
              </w:rPr>
              <w:t>Head of Agency</w:t>
            </w:r>
          </w:p>
        </w:tc>
      </w:tr>
      <w:tr w:rsidR="00055394" w:rsidRPr="003A787C" w:rsidTr="00165043">
        <w:trPr>
          <w:jc w:val="center"/>
        </w:trPr>
        <w:tc>
          <w:tcPr>
            <w:tcW w:w="9212" w:type="dxa"/>
            <w:gridSpan w:val="3"/>
            <w:tcBorders>
              <w:top w:val="single" w:sz="4" w:space="0" w:color="auto"/>
              <w:left w:val="nil"/>
              <w:bottom w:val="nil"/>
              <w:right w:val="nil"/>
            </w:tcBorders>
            <w:shd w:val="clear" w:color="auto" w:fill="auto"/>
          </w:tcPr>
          <w:p w:rsidR="00055394" w:rsidRPr="003A787C" w:rsidRDefault="00055394" w:rsidP="00165043">
            <w:pPr>
              <w:suppressAutoHyphens/>
              <w:rPr>
                <w:rFonts w:eastAsia="Times New Roman"/>
                <w:szCs w:val="24"/>
              </w:rPr>
            </w:pPr>
          </w:p>
          <w:p w:rsidR="00055394" w:rsidRPr="003A787C" w:rsidRDefault="00055394" w:rsidP="00165043">
            <w:pPr>
              <w:suppressAutoHyphens/>
              <w:rPr>
                <w:rFonts w:eastAsia="Times New Roman"/>
                <w:b/>
                <w:szCs w:val="24"/>
              </w:rPr>
            </w:pPr>
            <w:r w:rsidRPr="003A787C">
              <w:rPr>
                <w:rFonts w:eastAsia="Times New Roman"/>
                <w:b/>
                <w:szCs w:val="24"/>
              </w:rPr>
              <w:t>The body to which payments will be made by the Commission is:</w:t>
            </w:r>
          </w:p>
          <w:p w:rsidR="00055394" w:rsidRPr="003A787C" w:rsidRDefault="00055394" w:rsidP="00165043">
            <w:pPr>
              <w:suppressAutoHyphens/>
              <w:spacing w:after="240"/>
              <w:ind w:left="720" w:hanging="720"/>
              <w:rPr>
                <w:rFonts w:eastAsia="Times New Roman"/>
                <w:szCs w:val="24"/>
              </w:rPr>
            </w:pPr>
            <w:r w:rsidRPr="003A787C">
              <w:rPr>
                <w:rFonts w:eastAsia="Times New Roman"/>
                <w:szCs w:val="24"/>
              </w:rPr>
              <w:t xml:space="preserve">(Reference: </w:t>
            </w:r>
            <w:r w:rsidRPr="003A787C">
              <w:rPr>
                <w:szCs w:val="24"/>
              </w:rPr>
              <w:t xml:space="preserve">point (b) of </w:t>
            </w:r>
            <w:r w:rsidRPr="003A787C">
              <w:rPr>
                <w:rFonts w:eastAsia="Times New Roman"/>
                <w:szCs w:val="24"/>
              </w:rPr>
              <w:t>Article 8(4) of Regulation (EU) No 1299/2013)</w:t>
            </w:r>
          </w:p>
          <w:p w:rsidR="00055394" w:rsidRPr="003A787C" w:rsidRDefault="00055394" w:rsidP="00165043">
            <w:pPr>
              <w:suppressAutoHyphens/>
              <w:rPr>
                <w:rFonts w:eastAsia="Times New Roman"/>
                <w:b/>
                <w:szCs w:val="24"/>
              </w:rPr>
            </w:pPr>
          </w:p>
          <w:tbl>
            <w:tblPr>
              <w:tblW w:w="8689"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112"/>
              <w:gridCol w:w="5577"/>
            </w:tblGrid>
            <w:tr w:rsidR="00055394" w:rsidRPr="003A787C" w:rsidTr="00165043">
              <w:trPr>
                <w:trHeight w:val="741"/>
              </w:trPr>
              <w:tc>
                <w:tcPr>
                  <w:tcW w:w="3112" w:type="dxa"/>
                  <w:shd w:val="clear" w:color="auto" w:fill="auto"/>
                </w:tcPr>
                <w:p w:rsidR="00055394" w:rsidRPr="003A787C" w:rsidRDefault="009E0A0D" w:rsidP="00165043">
                  <w:pPr>
                    <w:suppressAutoHyphens/>
                    <w:rPr>
                      <w:rFonts w:eastAsia="Times New Roman"/>
                      <w:szCs w:val="24"/>
                    </w:rPr>
                  </w:pPr>
                  <w:r>
                    <w:rPr>
                      <w:rFonts w:eastAsia="Times New Roman"/>
                      <w:szCs w:val="24"/>
                    </w:rPr>
                    <w:fldChar w:fldCharType="begin">
                      <w:ffData>
                        <w:name w:val="Check2"/>
                        <w:enabled/>
                        <w:calcOnExit w:val="0"/>
                        <w:checkBox>
                          <w:sizeAuto/>
                          <w:default w:val="1"/>
                        </w:checkBox>
                      </w:ffData>
                    </w:fldChar>
                  </w:r>
                  <w:bookmarkStart w:id="3" w:name="Check2"/>
                  <w:r>
                    <w:rPr>
                      <w:rFonts w:eastAsia="Times New Roman"/>
                      <w:szCs w:val="24"/>
                    </w:rPr>
                    <w:instrText xml:space="preserve"> FORMCHECKBOX </w:instrText>
                  </w:r>
                  <w:r>
                    <w:rPr>
                      <w:rFonts w:eastAsia="Times New Roman"/>
                      <w:szCs w:val="24"/>
                    </w:rPr>
                  </w:r>
                  <w:r>
                    <w:rPr>
                      <w:rFonts w:eastAsia="Times New Roman"/>
                      <w:szCs w:val="24"/>
                    </w:rPr>
                    <w:fldChar w:fldCharType="end"/>
                  </w:r>
                  <w:bookmarkEnd w:id="3"/>
                  <w:r w:rsidR="00055394" w:rsidRPr="003A787C">
                    <w:rPr>
                      <w:rFonts w:eastAsia="Times New Roman"/>
                      <w:szCs w:val="24"/>
                    </w:rPr>
                    <w:t xml:space="preserve"> the certifying authority</w:t>
                  </w:r>
                </w:p>
              </w:tc>
              <w:tc>
                <w:tcPr>
                  <w:tcW w:w="5577" w:type="dxa"/>
                  <w:tcBorders>
                    <w:right w:val="single" w:sz="4" w:space="0" w:color="auto"/>
                  </w:tcBorders>
                  <w:shd w:val="clear" w:color="auto" w:fill="auto"/>
                </w:tcPr>
                <w:p w:rsidR="00055394" w:rsidRPr="009E0A0D" w:rsidRDefault="009E0A0D" w:rsidP="00332023">
                  <w:pPr>
                    <w:tabs>
                      <w:tab w:val="left" w:pos="5328"/>
                    </w:tabs>
                    <w:suppressAutoHyphens/>
                    <w:ind w:right="355"/>
                    <w:rPr>
                      <w:rFonts w:eastAsia="Times New Roman"/>
                      <w:color w:val="8DB3E2"/>
                      <w:szCs w:val="24"/>
                      <w:lang w:val="nb-NO"/>
                    </w:rPr>
                  </w:pPr>
                  <w:r w:rsidRPr="009E0A0D">
                    <w:rPr>
                      <w:rFonts w:eastAsia="Times New Roman"/>
                      <w:szCs w:val="24"/>
                      <w:lang w:val="nb-NO"/>
                    </w:rPr>
                    <w:t>Ministry of Regional Development and EU Funds – Directorate for Budget and IT Systems</w:t>
                  </w:r>
                </w:p>
              </w:tc>
            </w:tr>
          </w:tbl>
          <w:p w:rsidR="00055394" w:rsidRPr="003A787C" w:rsidRDefault="00055394" w:rsidP="00165043">
            <w:pPr>
              <w:suppressAutoHyphens/>
              <w:rPr>
                <w:rFonts w:eastAsia="Times New Roman"/>
                <w:szCs w:val="24"/>
                <w:lang w:val="nb-NO"/>
              </w:rPr>
            </w:pPr>
          </w:p>
        </w:tc>
      </w:tr>
    </w:tbl>
    <w:p w:rsidR="00055394" w:rsidRPr="003A787C" w:rsidRDefault="00055394" w:rsidP="00055394">
      <w:pPr>
        <w:widowControl w:val="0"/>
        <w:spacing w:before="360" w:after="240"/>
        <w:ind w:left="1559" w:hanging="1559"/>
        <w:outlineLvl w:val="0"/>
        <w:rPr>
          <w:rFonts w:eastAsia="Times New Roman"/>
          <w:b/>
          <w:szCs w:val="24"/>
          <w:highlight w:val="yellow"/>
          <w:lang w:val="nb-NO"/>
        </w:rPr>
      </w:pPr>
    </w:p>
    <w:p w:rsidR="00055394" w:rsidRPr="003A787C" w:rsidRDefault="00055394" w:rsidP="00055394">
      <w:pPr>
        <w:keepNext/>
        <w:widowControl w:val="0"/>
        <w:spacing w:before="360" w:after="240"/>
        <w:ind w:left="1559" w:hanging="1559"/>
        <w:outlineLvl w:val="0"/>
        <w:rPr>
          <w:rFonts w:eastAsia="Times New Roman"/>
          <w:b/>
          <w:szCs w:val="24"/>
        </w:rPr>
      </w:pPr>
      <w:r w:rsidRPr="003A787C">
        <w:rPr>
          <w:rFonts w:eastAsia="Times New Roman"/>
          <w:b/>
          <w:szCs w:val="24"/>
        </w:rPr>
        <w:t>Table 20: Body or bodies carrying out control and audit tasks</w:t>
      </w:r>
    </w:p>
    <w:p w:rsidR="00055394" w:rsidRPr="003A787C" w:rsidRDefault="00055394" w:rsidP="00055394">
      <w:pPr>
        <w:keepNext/>
        <w:suppressAutoHyphens/>
        <w:spacing w:after="240"/>
        <w:ind w:left="720" w:hanging="720"/>
        <w:rPr>
          <w:rFonts w:eastAsia="Times New Roman"/>
          <w:szCs w:val="24"/>
        </w:rPr>
      </w:pPr>
      <w:r w:rsidRPr="003A787C">
        <w:rPr>
          <w:rFonts w:eastAsia="Times New Roman"/>
          <w:szCs w:val="24"/>
        </w:rPr>
        <w:t xml:space="preserve">(Reference: </w:t>
      </w:r>
      <w:r w:rsidRPr="003A787C">
        <w:rPr>
          <w:szCs w:val="24"/>
        </w:rPr>
        <w:t xml:space="preserve">points (a)(ii) and (iii) of </w:t>
      </w:r>
      <w:r w:rsidRPr="003A787C">
        <w:rPr>
          <w:rFonts w:eastAsia="Times New Roman"/>
          <w:szCs w:val="24"/>
        </w:rPr>
        <w:t>Article 8(4) of Regulation (EU) No 1299/2013)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976"/>
        <w:gridCol w:w="3056"/>
      </w:tblGrid>
      <w:tr w:rsidR="00055394" w:rsidRPr="003A787C" w:rsidTr="00165043">
        <w:trPr>
          <w:jc w:val="center"/>
        </w:trPr>
        <w:tc>
          <w:tcPr>
            <w:tcW w:w="2802" w:type="dxa"/>
            <w:shd w:val="clear" w:color="auto" w:fill="DBE5F1"/>
          </w:tcPr>
          <w:p w:rsidR="00055394" w:rsidRPr="003A787C" w:rsidRDefault="00055394" w:rsidP="00165043">
            <w:pPr>
              <w:suppressAutoHyphens/>
              <w:jc w:val="center"/>
              <w:rPr>
                <w:rFonts w:eastAsia="Times New Roman"/>
                <w:b/>
                <w:szCs w:val="24"/>
              </w:rPr>
            </w:pPr>
            <w:r w:rsidRPr="003A787C">
              <w:rPr>
                <w:rFonts w:eastAsia="Times New Roman"/>
                <w:b/>
                <w:szCs w:val="24"/>
              </w:rPr>
              <w:t>Authority/body</w:t>
            </w:r>
          </w:p>
        </w:tc>
        <w:tc>
          <w:tcPr>
            <w:tcW w:w="2976" w:type="dxa"/>
            <w:shd w:val="clear" w:color="auto" w:fill="DBE5F1"/>
          </w:tcPr>
          <w:p w:rsidR="00055394" w:rsidRPr="003A787C" w:rsidRDefault="00055394" w:rsidP="00165043">
            <w:pPr>
              <w:suppressAutoHyphens/>
              <w:jc w:val="center"/>
              <w:rPr>
                <w:rFonts w:eastAsia="Times New Roman"/>
                <w:b/>
                <w:szCs w:val="24"/>
              </w:rPr>
            </w:pPr>
            <w:r w:rsidRPr="003A787C">
              <w:rPr>
                <w:b/>
                <w:szCs w:val="24"/>
              </w:rPr>
              <w:t xml:space="preserve">Name of authority/body </w:t>
            </w:r>
            <w:r w:rsidRPr="003A787C">
              <w:rPr>
                <w:b/>
                <w:szCs w:val="24"/>
              </w:rPr>
              <w:lastRenderedPageBreak/>
              <w:t xml:space="preserve">and department or unit </w:t>
            </w:r>
          </w:p>
        </w:tc>
        <w:tc>
          <w:tcPr>
            <w:tcW w:w="3056" w:type="dxa"/>
            <w:shd w:val="clear" w:color="auto" w:fill="DBE5F1"/>
          </w:tcPr>
          <w:p w:rsidR="00055394" w:rsidRPr="003A787C" w:rsidRDefault="00055394" w:rsidP="00165043">
            <w:pPr>
              <w:suppressAutoHyphens/>
              <w:jc w:val="center"/>
              <w:rPr>
                <w:rFonts w:eastAsia="Times New Roman"/>
                <w:b/>
                <w:szCs w:val="24"/>
              </w:rPr>
            </w:pPr>
            <w:r w:rsidRPr="003A787C">
              <w:rPr>
                <w:b/>
                <w:szCs w:val="24"/>
              </w:rPr>
              <w:lastRenderedPageBreak/>
              <w:t xml:space="preserve">Head of authority/body </w:t>
            </w:r>
            <w:r w:rsidRPr="003A787C">
              <w:rPr>
                <w:b/>
                <w:szCs w:val="24"/>
              </w:rPr>
              <w:lastRenderedPageBreak/>
              <w:t>(position or post)</w:t>
            </w:r>
          </w:p>
        </w:tc>
      </w:tr>
      <w:tr w:rsidR="00DE218B" w:rsidRPr="003A787C" w:rsidTr="00165043">
        <w:trPr>
          <w:jc w:val="center"/>
        </w:trPr>
        <w:tc>
          <w:tcPr>
            <w:tcW w:w="2802" w:type="dxa"/>
            <w:shd w:val="clear" w:color="auto" w:fill="auto"/>
          </w:tcPr>
          <w:p w:rsidR="00DE218B" w:rsidRDefault="00DE218B" w:rsidP="00213A3C">
            <w:pPr>
              <w:suppressAutoHyphens/>
              <w:rPr>
                <w:rFonts w:eastAsia="Times New Roman"/>
                <w:szCs w:val="24"/>
              </w:rPr>
            </w:pPr>
            <w:r w:rsidRPr="003A787C">
              <w:rPr>
                <w:rFonts w:eastAsia="Times New Roman"/>
                <w:szCs w:val="24"/>
              </w:rPr>
              <w:lastRenderedPageBreak/>
              <w:t>Body or bodies designated to carry out control tasks</w:t>
            </w:r>
            <w:r>
              <w:rPr>
                <w:rFonts w:eastAsia="Times New Roman"/>
                <w:szCs w:val="24"/>
              </w:rPr>
              <w:t xml:space="preserve"> – </w:t>
            </w:r>
          </w:p>
          <w:p w:rsidR="00DE218B" w:rsidRPr="003A787C" w:rsidRDefault="00DE218B" w:rsidP="00213A3C">
            <w:pPr>
              <w:suppressAutoHyphens/>
              <w:rPr>
                <w:rFonts w:eastAsia="Times New Roman"/>
                <w:b/>
                <w:szCs w:val="24"/>
              </w:rPr>
            </w:pPr>
            <w:r>
              <w:rPr>
                <w:rFonts w:eastAsia="Times New Roman"/>
                <w:szCs w:val="24"/>
              </w:rPr>
              <w:t>Croatia</w:t>
            </w:r>
          </w:p>
        </w:tc>
        <w:tc>
          <w:tcPr>
            <w:tcW w:w="2976" w:type="dxa"/>
            <w:shd w:val="clear" w:color="auto" w:fill="auto"/>
          </w:tcPr>
          <w:p w:rsidR="001F5FA0" w:rsidRPr="001F5FA0" w:rsidRDefault="001F5FA0" w:rsidP="00B5064C">
            <w:pPr>
              <w:suppressAutoHyphens/>
              <w:spacing w:before="0" w:after="0"/>
              <w:jc w:val="left"/>
              <w:rPr>
                <w:rFonts w:eastAsia="Times New Roman"/>
                <w:szCs w:val="24"/>
              </w:rPr>
            </w:pPr>
            <w:r w:rsidRPr="001F5FA0">
              <w:rPr>
                <w:rFonts w:eastAsia="Times New Roman"/>
                <w:szCs w:val="24"/>
              </w:rPr>
              <w:t xml:space="preserve">Agency for Regional Development of the Republic of Croatia </w:t>
            </w:r>
          </w:p>
          <w:p w:rsidR="001F5FA0" w:rsidRPr="001F5FA0" w:rsidRDefault="001F5FA0" w:rsidP="00B5064C">
            <w:pPr>
              <w:suppressAutoHyphens/>
              <w:spacing w:before="0" w:after="0"/>
              <w:jc w:val="left"/>
              <w:rPr>
                <w:rFonts w:eastAsia="Times New Roman"/>
                <w:szCs w:val="24"/>
              </w:rPr>
            </w:pPr>
            <w:r w:rsidRPr="001F5FA0">
              <w:rPr>
                <w:rFonts w:eastAsia="Times New Roman"/>
                <w:szCs w:val="24"/>
              </w:rPr>
              <w:t xml:space="preserve">Directorate for Financial Management and Accounting </w:t>
            </w:r>
          </w:p>
          <w:p w:rsidR="001F5FA0" w:rsidRPr="001F5FA0" w:rsidRDefault="001F5FA0" w:rsidP="00B5064C">
            <w:pPr>
              <w:suppressAutoHyphens/>
              <w:spacing w:before="0" w:after="0"/>
              <w:jc w:val="left"/>
              <w:rPr>
                <w:rFonts w:eastAsia="Times New Roman"/>
                <w:szCs w:val="24"/>
              </w:rPr>
            </w:pPr>
            <w:r w:rsidRPr="001F5FA0">
              <w:rPr>
                <w:rFonts w:eastAsia="Times New Roman"/>
                <w:szCs w:val="24"/>
              </w:rPr>
              <w:t xml:space="preserve">Vlaška 108, </w:t>
            </w:r>
          </w:p>
          <w:p w:rsidR="001F5FA0" w:rsidRPr="001F5FA0" w:rsidRDefault="001F5FA0" w:rsidP="00B5064C">
            <w:pPr>
              <w:suppressAutoHyphens/>
              <w:spacing w:before="0" w:after="0"/>
              <w:jc w:val="left"/>
              <w:rPr>
                <w:rFonts w:eastAsia="Times New Roman"/>
                <w:szCs w:val="24"/>
              </w:rPr>
            </w:pPr>
            <w:r w:rsidRPr="001F5FA0">
              <w:rPr>
                <w:rFonts w:eastAsia="Times New Roman"/>
                <w:szCs w:val="24"/>
              </w:rPr>
              <w:t>HR-10000 Zagreb</w:t>
            </w:r>
          </w:p>
          <w:p w:rsidR="00DE218B" w:rsidRPr="00213A3C" w:rsidRDefault="001F5FA0" w:rsidP="00B5064C">
            <w:pPr>
              <w:suppressAutoHyphens/>
              <w:spacing w:before="0" w:after="0"/>
              <w:jc w:val="left"/>
              <w:rPr>
                <w:rFonts w:eastAsia="Times New Roman"/>
                <w:szCs w:val="24"/>
              </w:rPr>
            </w:pPr>
            <w:r w:rsidRPr="001F5FA0">
              <w:rPr>
                <w:rFonts w:eastAsia="Times New Roman"/>
                <w:szCs w:val="24"/>
              </w:rPr>
              <w:t>Republic of Croatia</w:t>
            </w:r>
          </w:p>
        </w:tc>
        <w:tc>
          <w:tcPr>
            <w:tcW w:w="3056" w:type="dxa"/>
            <w:shd w:val="clear" w:color="auto" w:fill="auto"/>
          </w:tcPr>
          <w:p w:rsidR="00DE218B" w:rsidRPr="00213A3C" w:rsidRDefault="001F5FA0" w:rsidP="007E5895">
            <w:pPr>
              <w:spacing w:after="240"/>
              <w:rPr>
                <w:rFonts w:eastAsia="Times New Roman"/>
                <w:szCs w:val="24"/>
              </w:rPr>
            </w:pPr>
            <w:r w:rsidRPr="001F5FA0">
              <w:rPr>
                <w:rFonts w:eastAsia="Times New Roman"/>
                <w:szCs w:val="24"/>
              </w:rPr>
              <w:t>Assistant Director</w:t>
            </w:r>
          </w:p>
        </w:tc>
      </w:tr>
      <w:tr w:rsidR="00DE218B" w:rsidRPr="003A787C" w:rsidTr="00165043">
        <w:trPr>
          <w:jc w:val="center"/>
        </w:trPr>
        <w:tc>
          <w:tcPr>
            <w:tcW w:w="2802" w:type="dxa"/>
            <w:shd w:val="clear" w:color="auto" w:fill="auto"/>
          </w:tcPr>
          <w:p w:rsidR="00DE218B" w:rsidRPr="003A787C" w:rsidRDefault="00DE218B" w:rsidP="00213A3C">
            <w:pPr>
              <w:suppressAutoHyphens/>
              <w:rPr>
                <w:rFonts w:eastAsia="Times New Roman"/>
                <w:szCs w:val="24"/>
              </w:rPr>
            </w:pPr>
            <w:r w:rsidRPr="003A787C">
              <w:rPr>
                <w:rFonts w:eastAsia="Times New Roman"/>
                <w:szCs w:val="24"/>
              </w:rPr>
              <w:t>Body or bodies designated to carry out control tasks</w:t>
            </w:r>
            <w:r>
              <w:rPr>
                <w:rFonts w:eastAsia="Times New Roman"/>
                <w:szCs w:val="24"/>
              </w:rPr>
              <w:t xml:space="preserve"> – Bosnia and Herzegovina</w:t>
            </w:r>
          </w:p>
        </w:tc>
        <w:tc>
          <w:tcPr>
            <w:tcW w:w="2976" w:type="dxa"/>
            <w:shd w:val="clear" w:color="auto" w:fill="auto"/>
          </w:tcPr>
          <w:p w:rsidR="00955249" w:rsidRPr="00955249" w:rsidRDefault="00955249" w:rsidP="00B5064C">
            <w:pPr>
              <w:suppressAutoHyphens/>
              <w:spacing w:before="0" w:after="0"/>
              <w:jc w:val="left"/>
              <w:rPr>
                <w:rFonts w:eastAsia="Times New Roman"/>
                <w:szCs w:val="24"/>
              </w:rPr>
            </w:pPr>
            <w:r w:rsidRPr="00955249">
              <w:rPr>
                <w:rFonts w:eastAsia="Times New Roman"/>
                <w:szCs w:val="24"/>
              </w:rPr>
              <w:t xml:space="preserve">Ministry of Finance and Treasury of Bosnia and Herzegovina </w:t>
            </w:r>
          </w:p>
          <w:p w:rsidR="00955249" w:rsidRPr="00955249" w:rsidRDefault="00955249" w:rsidP="00B5064C">
            <w:pPr>
              <w:suppressAutoHyphens/>
              <w:spacing w:before="0" w:after="0"/>
              <w:jc w:val="left"/>
              <w:rPr>
                <w:rFonts w:eastAsia="Times New Roman"/>
                <w:szCs w:val="24"/>
              </w:rPr>
            </w:pPr>
            <w:r w:rsidRPr="00955249">
              <w:rPr>
                <w:rFonts w:eastAsia="Times New Roman"/>
                <w:szCs w:val="24"/>
              </w:rPr>
              <w:t xml:space="preserve">Central Financing and Contracting Unit </w:t>
            </w:r>
          </w:p>
          <w:p w:rsidR="00955249" w:rsidRDefault="00955249" w:rsidP="00B5064C">
            <w:pPr>
              <w:suppressAutoHyphens/>
              <w:spacing w:before="0" w:after="0"/>
              <w:jc w:val="left"/>
              <w:rPr>
                <w:rFonts w:eastAsia="Times New Roman"/>
                <w:szCs w:val="24"/>
              </w:rPr>
            </w:pPr>
            <w:r w:rsidRPr="00955249">
              <w:rPr>
                <w:rFonts w:eastAsia="Times New Roman"/>
                <w:szCs w:val="24"/>
              </w:rPr>
              <w:t>Trg BiH 1, 71000 Sarajevo</w:t>
            </w:r>
          </w:p>
          <w:p w:rsidR="00955249" w:rsidRPr="00213A3C" w:rsidRDefault="00955249" w:rsidP="00B5064C">
            <w:pPr>
              <w:suppressAutoHyphens/>
              <w:spacing w:before="0" w:after="0"/>
              <w:jc w:val="left"/>
              <w:rPr>
                <w:rFonts w:eastAsia="Times New Roman"/>
                <w:szCs w:val="24"/>
              </w:rPr>
            </w:pPr>
            <w:r>
              <w:rPr>
                <w:rFonts w:eastAsia="Times New Roman"/>
                <w:szCs w:val="24"/>
              </w:rPr>
              <w:t>Bosnia and Herzegovina</w:t>
            </w:r>
          </w:p>
        </w:tc>
        <w:tc>
          <w:tcPr>
            <w:tcW w:w="3056" w:type="dxa"/>
            <w:shd w:val="clear" w:color="auto" w:fill="auto"/>
          </w:tcPr>
          <w:p w:rsidR="00DE218B" w:rsidRPr="003A787C" w:rsidRDefault="00955249" w:rsidP="00165043">
            <w:pPr>
              <w:spacing w:after="240"/>
              <w:rPr>
                <w:rFonts w:eastAsia="Times New Roman"/>
                <w:i/>
                <w:color w:val="8DB3E2"/>
                <w:szCs w:val="24"/>
              </w:rPr>
            </w:pPr>
            <w:r w:rsidRPr="00955249">
              <w:rPr>
                <w:rFonts w:eastAsia="Times New Roman"/>
                <w:szCs w:val="24"/>
              </w:rPr>
              <w:t>Head of Unit</w:t>
            </w:r>
          </w:p>
        </w:tc>
      </w:tr>
      <w:tr w:rsidR="00DE218B" w:rsidRPr="003A787C" w:rsidTr="007E5895">
        <w:trPr>
          <w:jc w:val="center"/>
        </w:trPr>
        <w:tc>
          <w:tcPr>
            <w:tcW w:w="2802" w:type="dxa"/>
            <w:shd w:val="clear" w:color="auto" w:fill="auto"/>
          </w:tcPr>
          <w:p w:rsidR="00DE218B" w:rsidRPr="003A787C" w:rsidRDefault="00DE218B" w:rsidP="00213A3C">
            <w:pPr>
              <w:suppressAutoHyphens/>
              <w:rPr>
                <w:rFonts w:eastAsia="Times New Roman"/>
                <w:szCs w:val="24"/>
              </w:rPr>
            </w:pPr>
            <w:r w:rsidRPr="003A787C">
              <w:rPr>
                <w:rFonts w:eastAsia="Times New Roman"/>
                <w:szCs w:val="24"/>
              </w:rPr>
              <w:t>Body or bodies designated to carry out control tasks</w:t>
            </w:r>
            <w:r>
              <w:rPr>
                <w:rFonts w:eastAsia="Times New Roman"/>
                <w:szCs w:val="24"/>
              </w:rPr>
              <w:t xml:space="preserve"> – Montenegro</w:t>
            </w:r>
          </w:p>
        </w:tc>
        <w:tc>
          <w:tcPr>
            <w:tcW w:w="2976" w:type="dxa"/>
            <w:shd w:val="clear" w:color="auto" w:fill="auto"/>
          </w:tcPr>
          <w:p w:rsidR="00DE218B" w:rsidRPr="00213A3C" w:rsidRDefault="00B5064C" w:rsidP="00B5064C">
            <w:pPr>
              <w:suppressAutoHyphens/>
              <w:spacing w:before="0" w:after="0"/>
              <w:jc w:val="left"/>
              <w:rPr>
                <w:rFonts w:eastAsia="Times New Roman"/>
                <w:szCs w:val="24"/>
              </w:rPr>
            </w:pPr>
            <w:r>
              <w:rPr>
                <w:rFonts w:eastAsia="Times New Roman"/>
                <w:szCs w:val="24"/>
              </w:rPr>
              <w:t>Relevant ministerial d</w:t>
            </w:r>
            <w:r w:rsidRPr="00B5064C">
              <w:rPr>
                <w:rFonts w:eastAsia="Times New Roman"/>
                <w:szCs w:val="24"/>
              </w:rPr>
              <w:t xml:space="preserve">ecision regarding the Body </w:t>
            </w:r>
            <w:r>
              <w:rPr>
                <w:rFonts w:eastAsia="Times New Roman"/>
                <w:szCs w:val="24"/>
              </w:rPr>
              <w:t xml:space="preserve">to be designated to carry out </w:t>
            </w:r>
            <w:r w:rsidRPr="00B5064C">
              <w:rPr>
                <w:rFonts w:eastAsia="Times New Roman"/>
                <w:szCs w:val="24"/>
              </w:rPr>
              <w:t>control tasks is still pending.</w:t>
            </w:r>
          </w:p>
        </w:tc>
        <w:tc>
          <w:tcPr>
            <w:tcW w:w="3056" w:type="dxa"/>
            <w:shd w:val="clear" w:color="auto" w:fill="auto"/>
          </w:tcPr>
          <w:p w:rsidR="00DE218B" w:rsidRPr="003A787C" w:rsidRDefault="00DE218B" w:rsidP="007E5895">
            <w:pPr>
              <w:spacing w:after="240"/>
              <w:rPr>
                <w:rFonts w:eastAsia="Times New Roman"/>
                <w:i/>
                <w:color w:val="8DB3E2"/>
                <w:szCs w:val="24"/>
              </w:rPr>
            </w:pPr>
          </w:p>
        </w:tc>
      </w:tr>
      <w:tr w:rsidR="00DE218B" w:rsidRPr="003A787C" w:rsidTr="00213A3C">
        <w:trPr>
          <w:jc w:val="center"/>
        </w:trPr>
        <w:tc>
          <w:tcPr>
            <w:tcW w:w="2802" w:type="dxa"/>
            <w:shd w:val="clear" w:color="auto" w:fill="auto"/>
          </w:tcPr>
          <w:p w:rsidR="00DE218B" w:rsidRDefault="00DE218B" w:rsidP="00213A3C">
            <w:pPr>
              <w:suppressAutoHyphens/>
              <w:rPr>
                <w:rFonts w:eastAsia="Times New Roman"/>
                <w:szCs w:val="24"/>
              </w:rPr>
            </w:pPr>
            <w:r w:rsidRPr="003A787C">
              <w:rPr>
                <w:rFonts w:eastAsia="Times New Roman"/>
                <w:szCs w:val="24"/>
              </w:rPr>
              <w:t>Body or bodies designated to be responsible for carrying out audit tasks</w:t>
            </w:r>
            <w:r>
              <w:rPr>
                <w:rFonts w:eastAsia="Times New Roman"/>
                <w:szCs w:val="24"/>
              </w:rPr>
              <w:t xml:space="preserve"> – </w:t>
            </w:r>
          </w:p>
          <w:p w:rsidR="00DE218B" w:rsidRPr="003A787C" w:rsidRDefault="00DE218B" w:rsidP="00213A3C">
            <w:pPr>
              <w:suppressAutoHyphens/>
              <w:rPr>
                <w:rFonts w:eastAsia="Times New Roman"/>
                <w:szCs w:val="24"/>
              </w:rPr>
            </w:pPr>
            <w:r>
              <w:rPr>
                <w:rFonts w:eastAsia="Times New Roman"/>
                <w:szCs w:val="24"/>
              </w:rPr>
              <w:t>Croatia</w:t>
            </w:r>
          </w:p>
        </w:tc>
        <w:tc>
          <w:tcPr>
            <w:tcW w:w="2976" w:type="dxa"/>
            <w:shd w:val="clear" w:color="auto" w:fill="auto"/>
          </w:tcPr>
          <w:p w:rsidR="001F5FA0" w:rsidRPr="001F5FA0" w:rsidRDefault="001F5FA0" w:rsidP="00B5064C">
            <w:pPr>
              <w:suppressAutoHyphens/>
              <w:spacing w:before="0" w:after="0"/>
              <w:jc w:val="left"/>
              <w:rPr>
                <w:rFonts w:eastAsia="Times New Roman"/>
                <w:szCs w:val="24"/>
              </w:rPr>
            </w:pPr>
            <w:r w:rsidRPr="001F5FA0">
              <w:rPr>
                <w:rFonts w:eastAsia="Times New Roman"/>
                <w:szCs w:val="24"/>
              </w:rPr>
              <w:t xml:space="preserve">Agency for Audit of European Union Programmes Implementation System (ARPA) </w:t>
            </w:r>
          </w:p>
          <w:p w:rsidR="001F5FA0" w:rsidRPr="001F5FA0" w:rsidRDefault="001F5FA0" w:rsidP="00B5064C">
            <w:pPr>
              <w:suppressAutoHyphens/>
              <w:spacing w:before="0" w:after="0"/>
              <w:jc w:val="left"/>
              <w:rPr>
                <w:rFonts w:eastAsia="Times New Roman"/>
                <w:szCs w:val="24"/>
              </w:rPr>
            </w:pPr>
            <w:r w:rsidRPr="001F5FA0">
              <w:rPr>
                <w:rFonts w:eastAsia="Times New Roman"/>
                <w:szCs w:val="24"/>
              </w:rPr>
              <w:t>Service for Audit of European Territorial Cooperation Programmes and IPA component II</w:t>
            </w:r>
          </w:p>
          <w:p w:rsidR="001F5FA0" w:rsidRPr="001F5FA0" w:rsidRDefault="001F5FA0" w:rsidP="00B5064C">
            <w:pPr>
              <w:suppressAutoHyphens/>
              <w:spacing w:before="0" w:after="0"/>
              <w:jc w:val="left"/>
              <w:rPr>
                <w:rFonts w:eastAsia="Times New Roman"/>
                <w:szCs w:val="24"/>
              </w:rPr>
            </w:pPr>
            <w:r w:rsidRPr="001F5FA0">
              <w:rPr>
                <w:rFonts w:eastAsia="Times New Roman"/>
                <w:szCs w:val="24"/>
              </w:rPr>
              <w:t>Alexandera von Humboldta 4/V</w:t>
            </w:r>
          </w:p>
          <w:p w:rsidR="001F5FA0" w:rsidRPr="001F5FA0" w:rsidRDefault="001F5FA0" w:rsidP="00B5064C">
            <w:pPr>
              <w:suppressAutoHyphens/>
              <w:spacing w:before="0" w:after="0"/>
              <w:jc w:val="left"/>
              <w:rPr>
                <w:rFonts w:eastAsia="Times New Roman"/>
                <w:szCs w:val="24"/>
              </w:rPr>
            </w:pPr>
            <w:r w:rsidRPr="001F5FA0">
              <w:rPr>
                <w:rFonts w:eastAsia="Times New Roman"/>
                <w:szCs w:val="24"/>
              </w:rPr>
              <w:t>10 000 Zagreb</w:t>
            </w:r>
          </w:p>
          <w:p w:rsidR="00DE218B" w:rsidRPr="003A787C" w:rsidRDefault="001F5FA0" w:rsidP="00B5064C">
            <w:pPr>
              <w:suppressAutoHyphens/>
              <w:spacing w:before="0" w:after="0"/>
              <w:jc w:val="left"/>
              <w:rPr>
                <w:rFonts w:eastAsia="Times New Roman"/>
                <w:szCs w:val="24"/>
              </w:rPr>
            </w:pPr>
            <w:r w:rsidRPr="001F5FA0">
              <w:rPr>
                <w:rFonts w:eastAsia="Times New Roman"/>
                <w:szCs w:val="24"/>
              </w:rPr>
              <w:t>Republic of Croatia</w:t>
            </w:r>
          </w:p>
        </w:tc>
        <w:tc>
          <w:tcPr>
            <w:tcW w:w="3056" w:type="dxa"/>
            <w:shd w:val="clear" w:color="auto" w:fill="auto"/>
          </w:tcPr>
          <w:p w:rsidR="00DE218B" w:rsidRPr="003A787C" w:rsidRDefault="001F5FA0" w:rsidP="007E5895">
            <w:pPr>
              <w:spacing w:after="240"/>
              <w:rPr>
                <w:rFonts w:eastAsia="Times New Roman"/>
                <w:szCs w:val="24"/>
              </w:rPr>
            </w:pPr>
            <w:r w:rsidRPr="001F5FA0">
              <w:rPr>
                <w:rFonts w:eastAsia="Times New Roman"/>
                <w:szCs w:val="24"/>
              </w:rPr>
              <w:t>Head of Service</w:t>
            </w:r>
          </w:p>
        </w:tc>
      </w:tr>
      <w:tr w:rsidR="00DE218B" w:rsidRPr="003A787C" w:rsidTr="00213A3C">
        <w:trPr>
          <w:jc w:val="center"/>
        </w:trPr>
        <w:tc>
          <w:tcPr>
            <w:tcW w:w="2802" w:type="dxa"/>
            <w:shd w:val="clear" w:color="auto" w:fill="auto"/>
          </w:tcPr>
          <w:p w:rsidR="00DE218B" w:rsidRPr="003A787C" w:rsidRDefault="00DE218B" w:rsidP="007E5895">
            <w:pPr>
              <w:suppressAutoHyphens/>
              <w:rPr>
                <w:rFonts w:eastAsia="Times New Roman"/>
                <w:szCs w:val="24"/>
              </w:rPr>
            </w:pPr>
            <w:r w:rsidRPr="003A787C">
              <w:rPr>
                <w:rFonts w:eastAsia="Times New Roman"/>
                <w:szCs w:val="24"/>
              </w:rPr>
              <w:t>Body or bodies designated to be responsible for carrying out audit tasks</w:t>
            </w:r>
            <w:r>
              <w:rPr>
                <w:rFonts w:eastAsia="Times New Roman"/>
                <w:szCs w:val="24"/>
              </w:rPr>
              <w:t xml:space="preserve"> – Bosnia and Herzegovina</w:t>
            </w:r>
          </w:p>
        </w:tc>
        <w:tc>
          <w:tcPr>
            <w:tcW w:w="2976" w:type="dxa"/>
            <w:shd w:val="clear" w:color="auto" w:fill="auto"/>
          </w:tcPr>
          <w:p w:rsidR="00955249" w:rsidRDefault="00955249" w:rsidP="00955249">
            <w:pPr>
              <w:spacing w:before="0" w:after="0"/>
            </w:pPr>
            <w:r w:rsidRPr="00955249">
              <w:rPr>
                <w:rFonts w:eastAsia="Times New Roman"/>
                <w:szCs w:val="24"/>
              </w:rPr>
              <w:t>Ministry of Finance and Treasury of Bosnia and Herzegovina</w:t>
            </w:r>
            <w:r>
              <w:t xml:space="preserve"> </w:t>
            </w:r>
          </w:p>
          <w:p w:rsidR="00DE218B" w:rsidRDefault="00955249" w:rsidP="00955249">
            <w:pPr>
              <w:spacing w:before="0" w:after="0"/>
              <w:rPr>
                <w:rFonts w:eastAsia="Times New Roman"/>
                <w:szCs w:val="24"/>
              </w:rPr>
            </w:pPr>
            <w:r w:rsidRPr="00955249">
              <w:rPr>
                <w:rFonts w:eastAsia="Times New Roman"/>
                <w:szCs w:val="24"/>
              </w:rPr>
              <w:t>National Fund</w:t>
            </w:r>
          </w:p>
          <w:p w:rsidR="00955249" w:rsidRDefault="00955249" w:rsidP="00955249">
            <w:pPr>
              <w:suppressAutoHyphens/>
              <w:spacing w:before="0" w:after="0"/>
              <w:rPr>
                <w:rFonts w:eastAsia="Times New Roman"/>
                <w:szCs w:val="24"/>
              </w:rPr>
            </w:pPr>
            <w:r w:rsidRPr="00955249">
              <w:rPr>
                <w:rFonts w:eastAsia="Times New Roman"/>
                <w:szCs w:val="24"/>
              </w:rPr>
              <w:t>Trg BiH 1, 71000 Sarajevo</w:t>
            </w:r>
          </w:p>
          <w:p w:rsidR="00955249" w:rsidRPr="003A787C" w:rsidRDefault="00955249" w:rsidP="00955249">
            <w:pPr>
              <w:spacing w:before="0" w:after="0"/>
              <w:rPr>
                <w:rFonts w:eastAsia="Times New Roman"/>
                <w:szCs w:val="24"/>
              </w:rPr>
            </w:pPr>
            <w:r>
              <w:rPr>
                <w:rFonts w:eastAsia="Times New Roman"/>
                <w:szCs w:val="24"/>
              </w:rPr>
              <w:t>Bosnia and Herzegovina</w:t>
            </w:r>
          </w:p>
        </w:tc>
        <w:tc>
          <w:tcPr>
            <w:tcW w:w="3056" w:type="dxa"/>
            <w:shd w:val="clear" w:color="auto" w:fill="auto"/>
          </w:tcPr>
          <w:p w:rsidR="00DE218B" w:rsidRPr="003A787C" w:rsidRDefault="0079338B" w:rsidP="007E5895">
            <w:pPr>
              <w:spacing w:after="240"/>
              <w:rPr>
                <w:rFonts w:eastAsia="Times New Roman"/>
                <w:szCs w:val="24"/>
              </w:rPr>
            </w:pPr>
            <w:r w:rsidRPr="00955249">
              <w:rPr>
                <w:rFonts w:eastAsia="Times New Roman"/>
                <w:szCs w:val="24"/>
              </w:rPr>
              <w:t>Head of Unit</w:t>
            </w:r>
          </w:p>
        </w:tc>
      </w:tr>
      <w:tr w:rsidR="00DE218B" w:rsidRPr="003A787C" w:rsidTr="00165043">
        <w:trPr>
          <w:jc w:val="center"/>
        </w:trPr>
        <w:tc>
          <w:tcPr>
            <w:tcW w:w="2802" w:type="dxa"/>
            <w:shd w:val="clear" w:color="auto" w:fill="auto"/>
          </w:tcPr>
          <w:p w:rsidR="00DE218B" w:rsidRPr="003A787C" w:rsidRDefault="00DE218B" w:rsidP="00165043">
            <w:pPr>
              <w:suppressAutoHyphens/>
              <w:rPr>
                <w:rFonts w:eastAsia="Times New Roman"/>
                <w:szCs w:val="24"/>
              </w:rPr>
            </w:pPr>
            <w:r w:rsidRPr="003A787C">
              <w:rPr>
                <w:rFonts w:eastAsia="Times New Roman"/>
                <w:szCs w:val="24"/>
              </w:rPr>
              <w:t>Body or bodies designated to be responsible for carrying out audit tasks</w:t>
            </w:r>
            <w:r>
              <w:rPr>
                <w:rFonts w:eastAsia="Times New Roman"/>
                <w:szCs w:val="24"/>
              </w:rPr>
              <w:t xml:space="preserve"> – Montenegro</w:t>
            </w:r>
          </w:p>
        </w:tc>
        <w:tc>
          <w:tcPr>
            <w:tcW w:w="2976" w:type="dxa"/>
            <w:shd w:val="clear" w:color="auto" w:fill="auto"/>
          </w:tcPr>
          <w:p w:rsidR="00B5064C" w:rsidRPr="00B5064C" w:rsidRDefault="00B5064C" w:rsidP="00B5064C">
            <w:pPr>
              <w:spacing w:before="0" w:after="0"/>
              <w:jc w:val="left"/>
              <w:rPr>
                <w:rFonts w:eastAsiaTheme="minorHAnsi"/>
                <w:szCs w:val="24"/>
              </w:rPr>
            </w:pPr>
            <w:r w:rsidRPr="00B5064C">
              <w:rPr>
                <w:rFonts w:eastAsiaTheme="minorHAnsi"/>
                <w:szCs w:val="24"/>
              </w:rPr>
              <w:t>Audit Authority of Montenegro</w:t>
            </w:r>
          </w:p>
          <w:p w:rsidR="00B5064C" w:rsidRPr="00B5064C" w:rsidRDefault="00B5064C" w:rsidP="00B5064C">
            <w:pPr>
              <w:spacing w:before="0" w:after="0"/>
              <w:jc w:val="left"/>
              <w:rPr>
                <w:rFonts w:eastAsiaTheme="minorHAnsi"/>
                <w:szCs w:val="24"/>
              </w:rPr>
            </w:pPr>
            <w:r w:rsidRPr="00B5064C">
              <w:rPr>
                <w:rFonts w:eastAsiaTheme="minorHAnsi"/>
                <w:szCs w:val="24"/>
              </w:rPr>
              <w:t>Beogradska 24B</w:t>
            </w:r>
          </w:p>
          <w:p w:rsidR="00DE218B" w:rsidRPr="003A787C" w:rsidRDefault="00B5064C" w:rsidP="00B5064C">
            <w:pPr>
              <w:spacing w:after="240"/>
              <w:jc w:val="left"/>
              <w:rPr>
                <w:rFonts w:eastAsia="Times New Roman"/>
                <w:szCs w:val="24"/>
              </w:rPr>
            </w:pPr>
            <w:r w:rsidRPr="00B5064C">
              <w:rPr>
                <w:rFonts w:eastAsiaTheme="minorHAnsi"/>
                <w:szCs w:val="24"/>
              </w:rPr>
              <w:t>81000, Podgorica, Montenegro</w:t>
            </w:r>
          </w:p>
        </w:tc>
        <w:tc>
          <w:tcPr>
            <w:tcW w:w="3056" w:type="dxa"/>
            <w:shd w:val="clear" w:color="auto" w:fill="auto"/>
          </w:tcPr>
          <w:p w:rsidR="00DE218B" w:rsidRPr="003A787C" w:rsidRDefault="00B5064C" w:rsidP="00213A3C">
            <w:pPr>
              <w:spacing w:after="240"/>
              <w:rPr>
                <w:rFonts w:eastAsia="Times New Roman"/>
                <w:szCs w:val="24"/>
              </w:rPr>
            </w:pPr>
            <w:r w:rsidRPr="00B5064C">
              <w:rPr>
                <w:rFonts w:eastAsia="Times New Roman"/>
                <w:szCs w:val="24"/>
              </w:rPr>
              <w:t>Head of Audit Authority</w:t>
            </w:r>
          </w:p>
        </w:tc>
      </w:tr>
    </w:tbl>
    <w:p w:rsidR="00055394" w:rsidRDefault="00055394" w:rsidP="00055394">
      <w:pPr>
        <w:spacing w:after="240"/>
        <w:rPr>
          <w:rFonts w:eastAsia="Times New Roman"/>
          <w:b/>
          <w:szCs w:val="24"/>
        </w:rPr>
      </w:pPr>
    </w:p>
    <w:p w:rsidR="00CB1819" w:rsidRPr="003A787C" w:rsidRDefault="00CB1819" w:rsidP="00055394">
      <w:pPr>
        <w:spacing w:after="240"/>
        <w:rPr>
          <w:rFonts w:eastAsia="Times New Roman"/>
          <w:b/>
          <w:szCs w:val="24"/>
        </w:rPr>
      </w:pPr>
    </w:p>
    <w:p w:rsidR="00055394" w:rsidRPr="003A787C" w:rsidRDefault="00055394" w:rsidP="00055394">
      <w:pPr>
        <w:spacing w:after="240"/>
        <w:rPr>
          <w:rFonts w:eastAsia="Times New Roman"/>
          <w:b/>
          <w:szCs w:val="24"/>
        </w:rPr>
      </w:pPr>
      <w:r w:rsidRPr="003A787C">
        <w:rPr>
          <w:rFonts w:eastAsia="Times New Roman"/>
          <w:b/>
          <w:szCs w:val="24"/>
        </w:rPr>
        <w:t>5.2 Joint Monitoring Committee</w:t>
      </w:r>
    </w:p>
    <w:p w:rsidR="00055394" w:rsidRPr="003A787C" w:rsidRDefault="00055394" w:rsidP="00055394">
      <w:pPr>
        <w:spacing w:after="240"/>
        <w:rPr>
          <w:rFonts w:eastAsia="Times New Roman"/>
          <w:b/>
          <w:szCs w:val="24"/>
        </w:rPr>
      </w:pPr>
      <w:r w:rsidRPr="003A787C">
        <w:rPr>
          <w:rFonts w:eastAsia="Times New Roman"/>
          <w:b/>
          <w:szCs w:val="24"/>
        </w:rPr>
        <w:t>Table 21: Indicative list of Joint Monitoring Committee members</w:t>
      </w:r>
    </w:p>
    <w:tbl>
      <w:tblPr>
        <w:tblStyle w:val="TableGrid"/>
        <w:tblW w:w="0" w:type="auto"/>
        <w:tblLook w:val="04A0" w:firstRow="1" w:lastRow="0" w:firstColumn="1" w:lastColumn="0" w:noHBand="0" w:noVBand="1"/>
      </w:tblPr>
      <w:tblGrid>
        <w:gridCol w:w="3085"/>
        <w:gridCol w:w="2751"/>
        <w:gridCol w:w="2919"/>
      </w:tblGrid>
      <w:tr w:rsidR="00055394" w:rsidRPr="003A787C" w:rsidTr="00165043">
        <w:tc>
          <w:tcPr>
            <w:tcW w:w="3085" w:type="dxa"/>
          </w:tcPr>
          <w:p w:rsidR="00055394" w:rsidRPr="003A787C" w:rsidRDefault="00055394" w:rsidP="00165043">
            <w:pPr>
              <w:spacing w:after="240"/>
              <w:rPr>
                <w:b/>
                <w:szCs w:val="24"/>
              </w:rPr>
            </w:pPr>
            <w:r w:rsidRPr="003A787C">
              <w:rPr>
                <w:b/>
                <w:szCs w:val="24"/>
              </w:rPr>
              <w:t>Name of authority/body and department or unit</w:t>
            </w:r>
          </w:p>
        </w:tc>
        <w:tc>
          <w:tcPr>
            <w:tcW w:w="2751" w:type="dxa"/>
          </w:tcPr>
          <w:p w:rsidR="00055394" w:rsidRPr="003A787C" w:rsidRDefault="00055394" w:rsidP="00165043">
            <w:pPr>
              <w:spacing w:after="240"/>
              <w:rPr>
                <w:b/>
                <w:szCs w:val="24"/>
              </w:rPr>
            </w:pPr>
            <w:r w:rsidRPr="003A787C">
              <w:rPr>
                <w:b/>
                <w:szCs w:val="24"/>
              </w:rPr>
              <w:t xml:space="preserve">Role in the programme </w:t>
            </w:r>
          </w:p>
        </w:tc>
        <w:tc>
          <w:tcPr>
            <w:tcW w:w="2919" w:type="dxa"/>
          </w:tcPr>
          <w:p w:rsidR="00055394" w:rsidRPr="003A787C" w:rsidRDefault="00055394" w:rsidP="00165043">
            <w:pPr>
              <w:spacing w:after="240"/>
              <w:rPr>
                <w:b/>
                <w:szCs w:val="24"/>
              </w:rPr>
            </w:pPr>
            <w:r w:rsidRPr="003A787C">
              <w:rPr>
                <w:b/>
                <w:szCs w:val="24"/>
              </w:rPr>
              <w:t>Contact details of the authority/body</w:t>
            </w:r>
          </w:p>
        </w:tc>
      </w:tr>
      <w:tr w:rsidR="00055394" w:rsidRPr="003A787C" w:rsidTr="00165043">
        <w:tc>
          <w:tcPr>
            <w:tcW w:w="3085" w:type="dxa"/>
          </w:tcPr>
          <w:p w:rsidR="00055394" w:rsidRPr="003A787C" w:rsidRDefault="00055394" w:rsidP="00165043">
            <w:pPr>
              <w:spacing w:after="240"/>
              <w:rPr>
                <w:szCs w:val="24"/>
              </w:rPr>
            </w:pPr>
            <w:r w:rsidRPr="003A787C">
              <w:rPr>
                <w:szCs w:val="24"/>
              </w:rPr>
              <w:t>EU Commission</w:t>
            </w:r>
          </w:p>
        </w:tc>
        <w:tc>
          <w:tcPr>
            <w:tcW w:w="2751" w:type="dxa"/>
          </w:tcPr>
          <w:p w:rsidR="00055394" w:rsidRPr="003A787C" w:rsidRDefault="00055394" w:rsidP="00165043">
            <w:pPr>
              <w:spacing w:after="240"/>
              <w:ind w:left="283"/>
              <w:rPr>
                <w:szCs w:val="24"/>
              </w:rPr>
            </w:pPr>
            <w:r w:rsidRPr="003A787C">
              <w:rPr>
                <w:szCs w:val="24"/>
              </w:rPr>
              <w:t>Advisory</w:t>
            </w:r>
          </w:p>
        </w:tc>
        <w:tc>
          <w:tcPr>
            <w:tcW w:w="2919" w:type="dxa"/>
          </w:tcPr>
          <w:p w:rsidR="00055394" w:rsidRPr="003A787C" w:rsidRDefault="00055394" w:rsidP="00165043">
            <w:pPr>
              <w:spacing w:after="240"/>
              <w:rPr>
                <w:szCs w:val="24"/>
              </w:rPr>
            </w:pPr>
          </w:p>
        </w:tc>
      </w:tr>
      <w:tr w:rsidR="00055394" w:rsidRPr="003A787C" w:rsidTr="00165043">
        <w:tc>
          <w:tcPr>
            <w:tcW w:w="3085" w:type="dxa"/>
          </w:tcPr>
          <w:p w:rsidR="00055394" w:rsidRPr="003A787C" w:rsidRDefault="00055394" w:rsidP="008F7CE9">
            <w:pPr>
              <w:spacing w:after="240"/>
              <w:rPr>
                <w:szCs w:val="24"/>
              </w:rPr>
            </w:pPr>
            <w:r w:rsidRPr="003A787C">
              <w:rPr>
                <w:szCs w:val="24"/>
              </w:rPr>
              <w:t>NIPAC</w:t>
            </w:r>
            <w:r w:rsidR="00134506">
              <w:rPr>
                <w:szCs w:val="24"/>
              </w:rPr>
              <w:t xml:space="preserve"> </w:t>
            </w:r>
          </w:p>
        </w:tc>
        <w:tc>
          <w:tcPr>
            <w:tcW w:w="2751" w:type="dxa"/>
          </w:tcPr>
          <w:p w:rsidR="00055394" w:rsidRPr="003A787C" w:rsidRDefault="00055394" w:rsidP="00165043">
            <w:pPr>
              <w:spacing w:after="240"/>
              <w:ind w:left="283"/>
              <w:rPr>
                <w:szCs w:val="24"/>
              </w:rPr>
            </w:pPr>
            <w:r w:rsidRPr="003A787C">
              <w:rPr>
                <w:szCs w:val="24"/>
              </w:rPr>
              <w:t>Decision</w:t>
            </w:r>
          </w:p>
        </w:tc>
        <w:tc>
          <w:tcPr>
            <w:tcW w:w="2919" w:type="dxa"/>
          </w:tcPr>
          <w:p w:rsidR="00055394" w:rsidRPr="003A787C" w:rsidRDefault="00055394" w:rsidP="00165043">
            <w:pPr>
              <w:spacing w:after="240"/>
              <w:rPr>
                <w:szCs w:val="24"/>
              </w:rPr>
            </w:pPr>
          </w:p>
        </w:tc>
      </w:tr>
      <w:tr w:rsidR="00055394" w:rsidRPr="003A787C" w:rsidTr="00165043">
        <w:tc>
          <w:tcPr>
            <w:tcW w:w="3085" w:type="dxa"/>
          </w:tcPr>
          <w:p w:rsidR="00055394" w:rsidRPr="003A787C" w:rsidRDefault="00055394" w:rsidP="00165043">
            <w:pPr>
              <w:spacing w:after="240"/>
              <w:rPr>
                <w:szCs w:val="24"/>
              </w:rPr>
            </w:pPr>
            <w:r w:rsidRPr="003A787C">
              <w:rPr>
                <w:szCs w:val="24"/>
              </w:rPr>
              <w:t>National Authority - Croatia</w:t>
            </w:r>
          </w:p>
        </w:tc>
        <w:tc>
          <w:tcPr>
            <w:tcW w:w="2751" w:type="dxa"/>
          </w:tcPr>
          <w:p w:rsidR="00055394" w:rsidRPr="003A787C" w:rsidRDefault="00055394" w:rsidP="00165043">
            <w:pPr>
              <w:spacing w:after="240"/>
              <w:ind w:left="283"/>
              <w:rPr>
                <w:szCs w:val="24"/>
              </w:rPr>
            </w:pPr>
            <w:r w:rsidRPr="003A787C">
              <w:rPr>
                <w:szCs w:val="24"/>
              </w:rPr>
              <w:t>Decision</w:t>
            </w:r>
          </w:p>
        </w:tc>
        <w:tc>
          <w:tcPr>
            <w:tcW w:w="2919" w:type="dxa"/>
          </w:tcPr>
          <w:p w:rsidR="00055394" w:rsidRPr="003A787C" w:rsidRDefault="00055394" w:rsidP="00165043">
            <w:pPr>
              <w:spacing w:after="240"/>
              <w:rPr>
                <w:szCs w:val="24"/>
              </w:rPr>
            </w:pPr>
          </w:p>
        </w:tc>
      </w:tr>
      <w:tr w:rsidR="00055394" w:rsidRPr="003A787C" w:rsidTr="00165043">
        <w:tc>
          <w:tcPr>
            <w:tcW w:w="3085" w:type="dxa"/>
          </w:tcPr>
          <w:p w:rsidR="00055394" w:rsidRPr="003A787C" w:rsidRDefault="00055394" w:rsidP="00722362">
            <w:pPr>
              <w:spacing w:after="240"/>
              <w:rPr>
                <w:szCs w:val="24"/>
              </w:rPr>
            </w:pPr>
            <w:r w:rsidRPr="003A787C">
              <w:rPr>
                <w:szCs w:val="24"/>
              </w:rPr>
              <w:t xml:space="preserve">National Authority </w:t>
            </w:r>
            <w:r w:rsidR="00722362">
              <w:rPr>
                <w:szCs w:val="24"/>
              </w:rPr>
              <w:t>–</w:t>
            </w:r>
            <w:r w:rsidRPr="003A787C">
              <w:rPr>
                <w:szCs w:val="24"/>
              </w:rPr>
              <w:t xml:space="preserve"> </w:t>
            </w:r>
            <w:r w:rsidR="00722362">
              <w:rPr>
                <w:szCs w:val="24"/>
              </w:rPr>
              <w:t>Bosnia and Herzegovina</w:t>
            </w:r>
          </w:p>
        </w:tc>
        <w:tc>
          <w:tcPr>
            <w:tcW w:w="2751" w:type="dxa"/>
          </w:tcPr>
          <w:p w:rsidR="00055394" w:rsidRPr="003A787C" w:rsidRDefault="00055394" w:rsidP="00165043">
            <w:pPr>
              <w:spacing w:after="240"/>
              <w:ind w:left="283"/>
              <w:rPr>
                <w:szCs w:val="24"/>
              </w:rPr>
            </w:pPr>
            <w:r w:rsidRPr="003A787C">
              <w:rPr>
                <w:szCs w:val="24"/>
              </w:rPr>
              <w:t>Decision</w:t>
            </w:r>
          </w:p>
        </w:tc>
        <w:tc>
          <w:tcPr>
            <w:tcW w:w="2919" w:type="dxa"/>
          </w:tcPr>
          <w:p w:rsidR="00055394" w:rsidRPr="003A787C" w:rsidRDefault="00055394" w:rsidP="00165043">
            <w:pPr>
              <w:spacing w:after="240"/>
              <w:rPr>
                <w:szCs w:val="24"/>
              </w:rPr>
            </w:pPr>
          </w:p>
        </w:tc>
      </w:tr>
      <w:tr w:rsidR="00722362" w:rsidRPr="003A787C" w:rsidTr="00165043">
        <w:tc>
          <w:tcPr>
            <w:tcW w:w="3085" w:type="dxa"/>
          </w:tcPr>
          <w:p w:rsidR="00722362" w:rsidRPr="003A787C" w:rsidRDefault="00722362" w:rsidP="00165043">
            <w:pPr>
              <w:spacing w:after="240"/>
              <w:rPr>
                <w:szCs w:val="24"/>
              </w:rPr>
            </w:pPr>
            <w:r w:rsidRPr="003A787C">
              <w:rPr>
                <w:szCs w:val="24"/>
              </w:rPr>
              <w:t>National Authority</w:t>
            </w:r>
            <w:r>
              <w:rPr>
                <w:szCs w:val="24"/>
              </w:rPr>
              <w:t xml:space="preserve"> - Montenegro</w:t>
            </w:r>
          </w:p>
        </w:tc>
        <w:tc>
          <w:tcPr>
            <w:tcW w:w="2751" w:type="dxa"/>
          </w:tcPr>
          <w:p w:rsidR="00722362" w:rsidRPr="003A787C" w:rsidRDefault="00722362" w:rsidP="00165043">
            <w:pPr>
              <w:spacing w:after="240"/>
              <w:ind w:left="283"/>
              <w:rPr>
                <w:szCs w:val="24"/>
              </w:rPr>
            </w:pPr>
            <w:r w:rsidRPr="003A787C">
              <w:rPr>
                <w:szCs w:val="24"/>
              </w:rPr>
              <w:t>Decision</w:t>
            </w:r>
          </w:p>
        </w:tc>
        <w:tc>
          <w:tcPr>
            <w:tcW w:w="2919" w:type="dxa"/>
          </w:tcPr>
          <w:p w:rsidR="00722362" w:rsidRPr="003A787C" w:rsidRDefault="00722362" w:rsidP="00165043">
            <w:pPr>
              <w:spacing w:after="240"/>
              <w:rPr>
                <w:szCs w:val="24"/>
              </w:rPr>
            </w:pPr>
          </w:p>
        </w:tc>
      </w:tr>
      <w:tr w:rsidR="00055394" w:rsidRPr="003A787C" w:rsidTr="00165043">
        <w:trPr>
          <w:trHeight w:val="725"/>
        </w:trPr>
        <w:tc>
          <w:tcPr>
            <w:tcW w:w="3085" w:type="dxa"/>
          </w:tcPr>
          <w:p w:rsidR="00055394" w:rsidRPr="003A787C" w:rsidRDefault="00055394" w:rsidP="00165043">
            <w:pPr>
              <w:spacing w:after="240"/>
              <w:rPr>
                <w:szCs w:val="24"/>
              </w:rPr>
            </w:pPr>
            <w:r w:rsidRPr="003A787C">
              <w:rPr>
                <w:szCs w:val="24"/>
              </w:rPr>
              <w:t>Regional representatives - Croatia</w:t>
            </w:r>
          </w:p>
        </w:tc>
        <w:tc>
          <w:tcPr>
            <w:tcW w:w="2751" w:type="dxa"/>
          </w:tcPr>
          <w:p w:rsidR="00055394" w:rsidRPr="003A787C" w:rsidRDefault="00055394" w:rsidP="00165043">
            <w:pPr>
              <w:spacing w:after="240"/>
              <w:ind w:left="283"/>
              <w:rPr>
                <w:szCs w:val="24"/>
              </w:rPr>
            </w:pPr>
            <w:r w:rsidRPr="003A787C">
              <w:rPr>
                <w:szCs w:val="24"/>
              </w:rPr>
              <w:t>Decision</w:t>
            </w:r>
          </w:p>
        </w:tc>
        <w:tc>
          <w:tcPr>
            <w:tcW w:w="2919" w:type="dxa"/>
          </w:tcPr>
          <w:p w:rsidR="00055394" w:rsidRPr="003A787C" w:rsidRDefault="00055394" w:rsidP="00165043">
            <w:pPr>
              <w:spacing w:after="240"/>
              <w:rPr>
                <w:szCs w:val="24"/>
              </w:rPr>
            </w:pPr>
          </w:p>
        </w:tc>
      </w:tr>
      <w:tr w:rsidR="00055394" w:rsidRPr="003A787C" w:rsidTr="00165043">
        <w:tc>
          <w:tcPr>
            <w:tcW w:w="3085" w:type="dxa"/>
          </w:tcPr>
          <w:p w:rsidR="00055394" w:rsidRPr="003A787C" w:rsidRDefault="00055394" w:rsidP="00165043">
            <w:pPr>
              <w:spacing w:after="240"/>
              <w:rPr>
                <w:szCs w:val="24"/>
              </w:rPr>
            </w:pPr>
            <w:r w:rsidRPr="003A787C">
              <w:rPr>
                <w:szCs w:val="24"/>
              </w:rPr>
              <w:t xml:space="preserve">Regional representatives – </w:t>
            </w:r>
            <w:r w:rsidR="00722362">
              <w:rPr>
                <w:szCs w:val="24"/>
              </w:rPr>
              <w:t>Bosnia and Herzegovina</w:t>
            </w:r>
          </w:p>
        </w:tc>
        <w:tc>
          <w:tcPr>
            <w:tcW w:w="2751" w:type="dxa"/>
          </w:tcPr>
          <w:p w:rsidR="00055394" w:rsidRPr="003A787C" w:rsidRDefault="00055394" w:rsidP="00165043">
            <w:pPr>
              <w:spacing w:after="240"/>
              <w:ind w:left="283"/>
              <w:rPr>
                <w:szCs w:val="24"/>
              </w:rPr>
            </w:pPr>
            <w:r w:rsidRPr="003A787C">
              <w:rPr>
                <w:szCs w:val="24"/>
              </w:rPr>
              <w:t>Decision</w:t>
            </w:r>
          </w:p>
        </w:tc>
        <w:tc>
          <w:tcPr>
            <w:tcW w:w="2919" w:type="dxa"/>
          </w:tcPr>
          <w:p w:rsidR="00055394" w:rsidRPr="003A787C" w:rsidRDefault="00055394" w:rsidP="00165043">
            <w:pPr>
              <w:spacing w:after="240"/>
              <w:rPr>
                <w:szCs w:val="24"/>
              </w:rPr>
            </w:pPr>
          </w:p>
        </w:tc>
      </w:tr>
      <w:tr w:rsidR="00722362" w:rsidRPr="003A787C" w:rsidTr="00165043">
        <w:tc>
          <w:tcPr>
            <w:tcW w:w="3085" w:type="dxa"/>
          </w:tcPr>
          <w:p w:rsidR="00722362" w:rsidRPr="003A787C" w:rsidRDefault="00A05845" w:rsidP="00722362">
            <w:pPr>
              <w:spacing w:after="240"/>
              <w:rPr>
                <w:szCs w:val="24"/>
              </w:rPr>
            </w:pPr>
            <w:r w:rsidRPr="00A05845">
              <w:rPr>
                <w:szCs w:val="24"/>
              </w:rPr>
              <w:t xml:space="preserve">Union of </w:t>
            </w:r>
            <w:r>
              <w:rPr>
                <w:szCs w:val="24"/>
              </w:rPr>
              <w:t xml:space="preserve">towns and </w:t>
            </w:r>
            <w:r w:rsidRPr="00A05845">
              <w:rPr>
                <w:szCs w:val="24"/>
              </w:rPr>
              <w:t>Municipalities</w:t>
            </w:r>
            <w:r>
              <w:rPr>
                <w:szCs w:val="24"/>
              </w:rPr>
              <w:t xml:space="preserve"> representative</w:t>
            </w:r>
            <w:r w:rsidR="00722362" w:rsidRPr="003A787C">
              <w:rPr>
                <w:szCs w:val="24"/>
              </w:rPr>
              <w:t xml:space="preserve"> – </w:t>
            </w:r>
            <w:r w:rsidR="00722362">
              <w:rPr>
                <w:szCs w:val="24"/>
              </w:rPr>
              <w:t>Montenegro</w:t>
            </w:r>
          </w:p>
        </w:tc>
        <w:tc>
          <w:tcPr>
            <w:tcW w:w="2751" w:type="dxa"/>
          </w:tcPr>
          <w:p w:rsidR="00722362" w:rsidRPr="003A787C" w:rsidRDefault="00722362" w:rsidP="00165043">
            <w:pPr>
              <w:spacing w:after="240"/>
              <w:ind w:left="283"/>
              <w:rPr>
                <w:szCs w:val="24"/>
              </w:rPr>
            </w:pPr>
            <w:r w:rsidRPr="003A787C">
              <w:rPr>
                <w:szCs w:val="24"/>
              </w:rPr>
              <w:t>Decision</w:t>
            </w:r>
          </w:p>
        </w:tc>
        <w:tc>
          <w:tcPr>
            <w:tcW w:w="2919" w:type="dxa"/>
          </w:tcPr>
          <w:p w:rsidR="00722362" w:rsidRPr="003A787C" w:rsidRDefault="00722362" w:rsidP="00165043">
            <w:pPr>
              <w:spacing w:after="240"/>
              <w:rPr>
                <w:szCs w:val="24"/>
              </w:rPr>
            </w:pPr>
          </w:p>
        </w:tc>
      </w:tr>
      <w:tr w:rsidR="00055394" w:rsidRPr="003A787C" w:rsidTr="00165043">
        <w:tc>
          <w:tcPr>
            <w:tcW w:w="3085" w:type="dxa"/>
          </w:tcPr>
          <w:p w:rsidR="00055394" w:rsidRPr="003A787C" w:rsidRDefault="00055394" w:rsidP="00165043">
            <w:pPr>
              <w:spacing w:after="240"/>
              <w:rPr>
                <w:szCs w:val="24"/>
              </w:rPr>
            </w:pPr>
            <w:r w:rsidRPr="003A787C">
              <w:rPr>
                <w:szCs w:val="24"/>
              </w:rPr>
              <w:t>Macro-regional strategy representative (where the programme is overlapping a macro-region covered by an EU Strategy)</w:t>
            </w:r>
          </w:p>
        </w:tc>
        <w:tc>
          <w:tcPr>
            <w:tcW w:w="2751" w:type="dxa"/>
          </w:tcPr>
          <w:p w:rsidR="00055394" w:rsidRPr="003A787C" w:rsidRDefault="00055394" w:rsidP="00165043">
            <w:pPr>
              <w:spacing w:after="240"/>
              <w:ind w:left="283"/>
              <w:rPr>
                <w:szCs w:val="24"/>
              </w:rPr>
            </w:pPr>
            <w:r w:rsidRPr="003A787C">
              <w:rPr>
                <w:szCs w:val="24"/>
              </w:rPr>
              <w:t>Consultative</w:t>
            </w:r>
          </w:p>
        </w:tc>
        <w:tc>
          <w:tcPr>
            <w:tcW w:w="2919" w:type="dxa"/>
          </w:tcPr>
          <w:p w:rsidR="00055394" w:rsidRPr="003A787C" w:rsidRDefault="00055394" w:rsidP="00165043">
            <w:pPr>
              <w:spacing w:after="240"/>
              <w:rPr>
                <w:szCs w:val="24"/>
              </w:rPr>
            </w:pPr>
          </w:p>
        </w:tc>
      </w:tr>
      <w:tr w:rsidR="00055394" w:rsidRPr="003A787C" w:rsidTr="00165043">
        <w:tc>
          <w:tcPr>
            <w:tcW w:w="3085" w:type="dxa"/>
          </w:tcPr>
          <w:p w:rsidR="00055394" w:rsidRPr="003A787C" w:rsidRDefault="00055394" w:rsidP="00165043">
            <w:pPr>
              <w:spacing w:after="240"/>
              <w:rPr>
                <w:szCs w:val="24"/>
              </w:rPr>
            </w:pPr>
            <w:r w:rsidRPr="003A787C">
              <w:rPr>
                <w:szCs w:val="24"/>
              </w:rPr>
              <w:t>EIB</w:t>
            </w:r>
          </w:p>
        </w:tc>
        <w:tc>
          <w:tcPr>
            <w:tcW w:w="2751" w:type="dxa"/>
          </w:tcPr>
          <w:p w:rsidR="00055394" w:rsidRPr="003A787C" w:rsidRDefault="00055394" w:rsidP="00165043">
            <w:pPr>
              <w:spacing w:after="240"/>
              <w:ind w:left="283"/>
              <w:rPr>
                <w:szCs w:val="24"/>
              </w:rPr>
            </w:pPr>
            <w:r w:rsidRPr="003A787C">
              <w:rPr>
                <w:szCs w:val="24"/>
              </w:rPr>
              <w:t xml:space="preserve">Consultative </w:t>
            </w:r>
          </w:p>
        </w:tc>
        <w:tc>
          <w:tcPr>
            <w:tcW w:w="2919" w:type="dxa"/>
          </w:tcPr>
          <w:p w:rsidR="00055394" w:rsidRPr="003A787C" w:rsidRDefault="00055394" w:rsidP="00165043">
            <w:pPr>
              <w:spacing w:after="240"/>
              <w:rPr>
                <w:szCs w:val="24"/>
              </w:rPr>
            </w:pPr>
          </w:p>
        </w:tc>
      </w:tr>
      <w:tr w:rsidR="00055394" w:rsidRPr="003A787C" w:rsidTr="00165043">
        <w:tc>
          <w:tcPr>
            <w:tcW w:w="3085" w:type="dxa"/>
          </w:tcPr>
          <w:p w:rsidR="00055394" w:rsidRPr="003A787C" w:rsidRDefault="00055394" w:rsidP="00165043">
            <w:pPr>
              <w:spacing w:after="240"/>
              <w:rPr>
                <w:szCs w:val="24"/>
              </w:rPr>
            </w:pPr>
            <w:r w:rsidRPr="003A787C">
              <w:rPr>
                <w:szCs w:val="24"/>
              </w:rPr>
              <w:t>Other (as agreed by the partner countries)</w:t>
            </w:r>
          </w:p>
        </w:tc>
        <w:tc>
          <w:tcPr>
            <w:tcW w:w="2751" w:type="dxa"/>
          </w:tcPr>
          <w:p w:rsidR="00055394" w:rsidRPr="003A787C" w:rsidRDefault="00055394" w:rsidP="00165043">
            <w:pPr>
              <w:spacing w:after="240"/>
              <w:rPr>
                <w:szCs w:val="24"/>
              </w:rPr>
            </w:pPr>
          </w:p>
        </w:tc>
        <w:tc>
          <w:tcPr>
            <w:tcW w:w="2919" w:type="dxa"/>
          </w:tcPr>
          <w:p w:rsidR="00055394" w:rsidRPr="003A787C" w:rsidRDefault="00055394" w:rsidP="00165043">
            <w:pPr>
              <w:spacing w:after="240"/>
              <w:rPr>
                <w:szCs w:val="24"/>
              </w:rPr>
            </w:pPr>
          </w:p>
        </w:tc>
      </w:tr>
    </w:tbl>
    <w:p w:rsidR="00055394" w:rsidRDefault="00055394" w:rsidP="00055394">
      <w:pPr>
        <w:spacing w:after="240"/>
        <w:rPr>
          <w:rFonts w:eastAsia="Times New Roman"/>
          <w:b/>
          <w:szCs w:val="24"/>
        </w:rPr>
      </w:pPr>
    </w:p>
    <w:p w:rsidR="00CB1819" w:rsidRDefault="00CB1819" w:rsidP="00055394">
      <w:pPr>
        <w:spacing w:after="240"/>
        <w:rPr>
          <w:rFonts w:eastAsia="Times New Roman"/>
          <w:b/>
          <w:szCs w:val="24"/>
        </w:rPr>
      </w:pPr>
    </w:p>
    <w:p w:rsidR="00CB1819" w:rsidRPr="003A787C" w:rsidRDefault="00CB1819" w:rsidP="00055394">
      <w:pPr>
        <w:spacing w:after="240"/>
        <w:rPr>
          <w:rFonts w:eastAsia="Times New Roman"/>
          <w:b/>
          <w:szCs w:val="24"/>
        </w:rPr>
      </w:pPr>
    </w:p>
    <w:p w:rsidR="00055394" w:rsidRPr="003A787C" w:rsidRDefault="00055394" w:rsidP="00055394">
      <w:pPr>
        <w:spacing w:after="240"/>
        <w:rPr>
          <w:rFonts w:eastAsia="Times New Roman"/>
          <w:b/>
          <w:szCs w:val="24"/>
        </w:rPr>
      </w:pPr>
      <w:r w:rsidRPr="003A787C">
        <w:rPr>
          <w:rFonts w:eastAsia="Times New Roman"/>
          <w:b/>
          <w:szCs w:val="24"/>
        </w:rPr>
        <w:t>5.3</w:t>
      </w:r>
      <w:r w:rsidRPr="003A787C">
        <w:rPr>
          <w:rFonts w:eastAsia="Times New Roman"/>
          <w:b/>
          <w:szCs w:val="24"/>
        </w:rPr>
        <w:tab/>
        <w:t>Procedure for setting up the joint secretariat</w:t>
      </w:r>
    </w:p>
    <w:p w:rsidR="00055394" w:rsidRPr="003A787C" w:rsidRDefault="00055394" w:rsidP="00055394">
      <w:pPr>
        <w:suppressAutoHyphens/>
        <w:spacing w:after="240"/>
        <w:ind w:left="720" w:hanging="720"/>
        <w:rPr>
          <w:rFonts w:eastAsia="Times New Roman"/>
          <w:szCs w:val="24"/>
        </w:rPr>
      </w:pPr>
      <w:r w:rsidRPr="003A787C">
        <w:rPr>
          <w:rFonts w:eastAsia="Times New Roman"/>
          <w:szCs w:val="24"/>
        </w:rPr>
        <w:t xml:space="preserve">(Reference: </w:t>
      </w:r>
      <w:r w:rsidRPr="003A787C">
        <w:rPr>
          <w:szCs w:val="24"/>
        </w:rPr>
        <w:t xml:space="preserve">point (a)(iv) of </w:t>
      </w:r>
      <w:r w:rsidRPr="003A787C">
        <w:rPr>
          <w:rFonts w:eastAsia="Times New Roman"/>
          <w:szCs w:val="24"/>
        </w:rPr>
        <w:t>Article 8(4)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055394" w:rsidRPr="003A787C" w:rsidTr="00165043">
        <w:tc>
          <w:tcPr>
            <w:tcW w:w="8834" w:type="dxa"/>
            <w:shd w:val="clear" w:color="auto" w:fill="auto"/>
          </w:tcPr>
          <w:p w:rsidR="00BF3D1C" w:rsidRPr="00433F7C" w:rsidRDefault="00BF3D1C" w:rsidP="00BF3D1C">
            <w:pPr>
              <w:rPr>
                <w:szCs w:val="24"/>
              </w:rPr>
            </w:pPr>
            <w:r w:rsidRPr="00433F7C">
              <w:rPr>
                <w:szCs w:val="24"/>
              </w:rPr>
              <w:t xml:space="preserve">In accordance with Article 23(2) of the ETC Regulation, the Managing Authority (MA), after consultation with the participating countries, shall set up the </w:t>
            </w:r>
            <w:r w:rsidRPr="00433F7C">
              <w:rPr>
                <w:szCs w:val="24"/>
                <w:lang w:val="en-US"/>
              </w:rPr>
              <w:t>joint secretariat</w:t>
            </w:r>
            <w:r w:rsidRPr="00433F7C">
              <w:rPr>
                <w:szCs w:val="24"/>
              </w:rPr>
              <w:t xml:space="preserve"> (JS) to support and assist the managing authority and the joint monitoring committee (JMC) </w:t>
            </w:r>
            <w:r w:rsidR="00642E85" w:rsidRPr="00ED34FD">
              <w:rPr>
                <w:szCs w:val="24"/>
              </w:rPr>
              <w:t>and, where appropriate, the audit authority and the group of auditors</w:t>
            </w:r>
            <w:r w:rsidR="00642E85" w:rsidRPr="00433F7C">
              <w:rPr>
                <w:szCs w:val="24"/>
              </w:rPr>
              <w:t xml:space="preserve"> </w:t>
            </w:r>
            <w:r w:rsidRPr="00433F7C">
              <w:rPr>
                <w:szCs w:val="24"/>
              </w:rPr>
              <w:t>in carrying out their respective functions. Joint secretariat shall also provide information to potential beneficiaries about funding opportunities under cooperation programme and shall assist beneficiaries in the implementation of operations. JS will be in charge for reinforcement of capacity of applicants and beneficiaries as well strengthening of the involvement of relevant partners.</w:t>
            </w:r>
          </w:p>
          <w:p w:rsidR="00BF3D1C" w:rsidRPr="00433F7C" w:rsidRDefault="00BF3D1C" w:rsidP="00BF3D1C">
            <w:pPr>
              <w:widowControl w:val="0"/>
              <w:rPr>
                <w:szCs w:val="24"/>
              </w:rPr>
            </w:pPr>
            <w:r w:rsidRPr="00433F7C">
              <w:rPr>
                <w:szCs w:val="24"/>
              </w:rPr>
              <w:t>JS will be placed in the Agency for Regional Development of the Republic of Croatia.</w:t>
            </w:r>
          </w:p>
          <w:p w:rsidR="00BF3D1C" w:rsidRPr="00433F7C" w:rsidRDefault="00BF3D1C" w:rsidP="00BF3D1C">
            <w:pPr>
              <w:widowControl w:val="0"/>
              <w:rPr>
                <w:szCs w:val="24"/>
              </w:rPr>
            </w:pPr>
            <w:r w:rsidRPr="00433F7C">
              <w:rPr>
                <w:szCs w:val="24"/>
              </w:rPr>
              <w:t>Job profiles for each individual position within JS structure shall be confirmed by the national authorities of the participating countries. Job profiles shall be a part of the Description of the Management and Control System (DMCS).</w:t>
            </w:r>
          </w:p>
          <w:p w:rsidR="00055394" w:rsidRPr="003A787C" w:rsidRDefault="00BF3D1C" w:rsidP="00BF3D1C">
            <w:pPr>
              <w:widowControl w:val="0"/>
              <w:rPr>
                <w:szCs w:val="24"/>
              </w:rPr>
            </w:pPr>
            <w:r w:rsidRPr="00433F7C">
              <w:rPr>
                <w:szCs w:val="24"/>
              </w:rPr>
              <w:t>Procurement procedure as well as contracting shall be organized by the Agency for Regional Development under the supervision of Managing Authority. Selection of JS staff shall be done jointly by the participating countries that shall jointly make decision on selection of the candidates.</w:t>
            </w:r>
          </w:p>
        </w:tc>
      </w:tr>
    </w:tbl>
    <w:p w:rsidR="00055394" w:rsidRPr="003A787C" w:rsidRDefault="00055394" w:rsidP="00055394">
      <w:pPr>
        <w:spacing w:after="240"/>
        <w:rPr>
          <w:rFonts w:eastAsia="Times New Roman"/>
          <w:szCs w:val="24"/>
        </w:rPr>
      </w:pPr>
    </w:p>
    <w:p w:rsidR="00055394" w:rsidRPr="003A787C" w:rsidRDefault="00055394" w:rsidP="00055394">
      <w:pPr>
        <w:spacing w:after="240"/>
        <w:rPr>
          <w:rFonts w:eastAsia="Times New Roman"/>
          <w:b/>
          <w:szCs w:val="24"/>
        </w:rPr>
      </w:pPr>
      <w:r w:rsidRPr="003A787C">
        <w:rPr>
          <w:rFonts w:eastAsia="Times New Roman"/>
          <w:b/>
          <w:szCs w:val="24"/>
        </w:rPr>
        <w:t>5.4</w:t>
      </w:r>
      <w:r w:rsidRPr="003A787C">
        <w:rPr>
          <w:rFonts w:eastAsia="Times New Roman"/>
          <w:b/>
          <w:szCs w:val="24"/>
        </w:rPr>
        <w:tab/>
        <w:t>Summary description of the management and control arrangements</w:t>
      </w:r>
    </w:p>
    <w:p w:rsidR="00055394" w:rsidRPr="003A787C" w:rsidRDefault="00055394" w:rsidP="00055394">
      <w:pPr>
        <w:suppressAutoHyphens/>
        <w:spacing w:after="240"/>
        <w:ind w:left="720" w:hanging="720"/>
        <w:rPr>
          <w:rFonts w:eastAsia="Times New Roman"/>
          <w:szCs w:val="24"/>
        </w:rPr>
      </w:pPr>
      <w:r w:rsidRPr="003A787C">
        <w:rPr>
          <w:rFonts w:eastAsia="Times New Roman"/>
          <w:szCs w:val="24"/>
        </w:rPr>
        <w:t xml:space="preserve">(Reference: </w:t>
      </w:r>
      <w:r w:rsidRPr="003A787C">
        <w:rPr>
          <w:szCs w:val="24"/>
        </w:rPr>
        <w:t xml:space="preserve">point (a)(v) of </w:t>
      </w:r>
      <w:r w:rsidRPr="003A787C">
        <w:rPr>
          <w:rFonts w:eastAsia="Times New Roman"/>
          <w:szCs w:val="24"/>
        </w:rPr>
        <w:t>Article 8(4)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055394" w:rsidRPr="003A787C" w:rsidTr="00165043">
        <w:tc>
          <w:tcPr>
            <w:tcW w:w="8834" w:type="dxa"/>
            <w:shd w:val="clear" w:color="auto" w:fill="auto"/>
          </w:tcPr>
          <w:p w:rsidR="00F66545" w:rsidRPr="00433F7C" w:rsidRDefault="00F66545" w:rsidP="00F66545">
            <w:pPr>
              <w:rPr>
                <w:szCs w:val="24"/>
                <w:lang w:eastAsia="fr-BE"/>
              </w:rPr>
            </w:pPr>
            <w:bookmarkStart w:id="4" w:name="_Toc380741641"/>
            <w:bookmarkStart w:id="5" w:name="_Toc380869219"/>
            <w:bookmarkStart w:id="6" w:name="_Toc381108745"/>
            <w:bookmarkStart w:id="7" w:name="_Toc381109052"/>
            <w:bookmarkStart w:id="8" w:name="_Toc385488929"/>
            <w:r w:rsidRPr="00433F7C">
              <w:rPr>
                <w:szCs w:val="24"/>
                <w:lang w:eastAsia="fr-BE"/>
              </w:rPr>
              <w:t xml:space="preserve">The following section describes the implementation structure of the IPA CBC Programme </w:t>
            </w:r>
            <w:r>
              <w:rPr>
                <w:szCs w:val="24"/>
              </w:rPr>
              <w:t xml:space="preserve">Croatia-Bosnia and Herzegovina-Montenegro </w:t>
            </w:r>
            <w:r w:rsidRPr="00433F7C">
              <w:rPr>
                <w:szCs w:val="24"/>
                <w:lang w:eastAsia="fr-BE"/>
              </w:rPr>
              <w:t>2014</w:t>
            </w:r>
            <w:r>
              <w:rPr>
                <w:szCs w:val="24"/>
                <w:lang w:eastAsia="fr-BE"/>
              </w:rPr>
              <w:t xml:space="preserve">-2020. </w:t>
            </w:r>
            <w:r w:rsidRPr="00433F7C">
              <w:rPr>
                <w:szCs w:val="24"/>
                <w:lang w:eastAsia="fr-BE"/>
              </w:rPr>
              <w:t xml:space="preserve">More detailed provisions will be included in the Description of the Management and Control System (DMCS), approved according to Article 124 of the CPR, and in the programme guidance documents (application and implementation manuals, Control &amp; Audit Guidelines) which will form integral part of the DMCS. Programme guidance documents shall be adopted by the JMC. </w:t>
            </w:r>
          </w:p>
          <w:p w:rsidR="00F66545" w:rsidRPr="00433F7C" w:rsidRDefault="00F66545" w:rsidP="00F66545">
            <w:pPr>
              <w:rPr>
                <w:szCs w:val="24"/>
                <w:lang w:eastAsia="fr-BE"/>
              </w:rPr>
            </w:pPr>
            <w:r w:rsidRPr="00433F7C">
              <w:rPr>
                <w:szCs w:val="24"/>
                <w:lang w:eastAsia="fr-BE"/>
              </w:rPr>
              <w:t>The programme language is English.</w:t>
            </w:r>
          </w:p>
          <w:p w:rsidR="00F66545" w:rsidRPr="00433F7C" w:rsidRDefault="00F66545" w:rsidP="00F66545">
            <w:pPr>
              <w:rPr>
                <w:szCs w:val="24"/>
                <w:lang w:eastAsia="fr-BE"/>
              </w:rPr>
            </w:pPr>
            <w:r>
              <w:rPr>
                <w:szCs w:val="24"/>
              </w:rPr>
              <w:t>Croatia, Bosnia and Herzegovina and Montenegro</w:t>
            </w:r>
            <w:r w:rsidRPr="00433F7C">
              <w:rPr>
                <w:szCs w:val="24"/>
                <w:lang w:eastAsia="fr-BE"/>
              </w:rPr>
              <w:t xml:space="preserve">, which are the participating countries in the Programme, established a shared management system to manage, coordinate and supervise the implementation of the programme. </w:t>
            </w:r>
          </w:p>
          <w:p w:rsidR="00F66545" w:rsidRDefault="00F66545" w:rsidP="00F66545">
            <w:pPr>
              <w:rPr>
                <w:szCs w:val="24"/>
                <w:lang w:eastAsia="fr-BE"/>
              </w:rPr>
            </w:pPr>
            <w:r w:rsidRPr="00433F7C">
              <w:rPr>
                <w:szCs w:val="24"/>
                <w:lang w:eastAsia="fr-BE"/>
              </w:rPr>
              <w:t xml:space="preserve">The programme management structure is illustrated in </w:t>
            </w:r>
            <w:r w:rsidRPr="007A5FB6">
              <w:rPr>
                <w:szCs w:val="24"/>
                <w:lang w:eastAsia="fr-BE"/>
              </w:rPr>
              <w:t>Annex</w:t>
            </w:r>
            <w:r w:rsidR="00B35C49">
              <w:rPr>
                <w:szCs w:val="24"/>
                <w:lang w:eastAsia="fr-BE"/>
              </w:rPr>
              <w:t xml:space="preserve"> 9</w:t>
            </w:r>
            <w:r w:rsidRPr="007A5FB6">
              <w:rPr>
                <w:szCs w:val="24"/>
                <w:lang w:eastAsia="fr-BE"/>
              </w:rPr>
              <w:t>.</w:t>
            </w:r>
          </w:p>
          <w:p w:rsidR="00055394" w:rsidRPr="003A787C" w:rsidRDefault="00055394" w:rsidP="00165043">
            <w:pPr>
              <w:keepNext/>
              <w:keepLines/>
              <w:outlineLvl w:val="2"/>
              <w:rPr>
                <w:rFonts w:eastAsiaTheme="majorEastAsia"/>
                <w:bCs/>
                <w:i/>
                <w:iCs/>
                <w:color w:val="4F81BD" w:themeColor="accent1"/>
                <w:szCs w:val="24"/>
              </w:rPr>
            </w:pPr>
            <w:r w:rsidRPr="003A787C">
              <w:rPr>
                <w:rFonts w:eastAsiaTheme="majorEastAsia"/>
                <w:bCs/>
                <w:i/>
                <w:iCs/>
                <w:color w:val="4F81BD" w:themeColor="accent1"/>
                <w:szCs w:val="24"/>
              </w:rPr>
              <w:t>5.3.a</w:t>
            </w:r>
            <w:r w:rsidRPr="003A787C">
              <w:rPr>
                <w:rFonts w:eastAsiaTheme="majorEastAsia"/>
                <w:bCs/>
                <w:i/>
                <w:iCs/>
                <w:color w:val="4F81BD" w:themeColor="accent1"/>
                <w:szCs w:val="24"/>
              </w:rPr>
              <w:tab/>
              <w:t>Joint monitoring committee</w:t>
            </w:r>
            <w:bookmarkEnd w:id="4"/>
            <w:bookmarkEnd w:id="5"/>
            <w:bookmarkEnd w:id="6"/>
            <w:bookmarkEnd w:id="7"/>
            <w:bookmarkEnd w:id="8"/>
          </w:p>
          <w:p w:rsidR="00055394" w:rsidRPr="003A787C" w:rsidRDefault="00055394" w:rsidP="00165043">
            <w:pPr>
              <w:rPr>
                <w:szCs w:val="24"/>
              </w:rPr>
            </w:pPr>
            <w:r w:rsidRPr="003A787C">
              <w:rPr>
                <w:szCs w:val="24"/>
              </w:rPr>
              <w:t xml:space="preserve">In accordance with Article 38 of the Commission Implementing Regulation no. 447/2014, the participating countries shall set up a joint monitoring committee within three months from the date of the notification to the Member State of the Commission’s </w:t>
            </w:r>
            <w:r w:rsidRPr="003A787C">
              <w:rPr>
                <w:szCs w:val="24"/>
              </w:rPr>
              <w:lastRenderedPageBreak/>
              <w:t xml:space="preserve">decision approving the cross-border cooperation programme. </w:t>
            </w:r>
          </w:p>
          <w:p w:rsidR="00055394" w:rsidRPr="003A787C" w:rsidRDefault="00055394" w:rsidP="00165043">
            <w:pPr>
              <w:rPr>
                <w:szCs w:val="24"/>
              </w:rPr>
            </w:pPr>
            <w:r w:rsidRPr="003A787C">
              <w:rPr>
                <w:szCs w:val="24"/>
              </w:rPr>
              <w:t xml:space="preserve">The JMC shall review the overall effectiveness, quality and coherence of the implementation of all actions towards meeting the objectives set out in the cross-border programme, the financing agreements and the relevant strategy papers. It may make recommendations for corrective actions whenever needed. Articles 49 and 110 of Regulation (EU) No 1303/2013 concerning its functions shall also apply. </w:t>
            </w:r>
          </w:p>
          <w:p w:rsidR="00055394" w:rsidRPr="003A787C" w:rsidRDefault="00055394" w:rsidP="00165043">
            <w:pPr>
              <w:rPr>
                <w:szCs w:val="24"/>
              </w:rPr>
            </w:pPr>
            <w:r w:rsidRPr="003A787C">
              <w:rPr>
                <w:szCs w:val="24"/>
              </w:rPr>
              <w:t>The JMC will adopt its rules of procedure in agreement with the MA in order to exercise its duties in accordance with the relevant regulations, CPR, ETC and Commission Implementing Regulation no. 447/2014. The rules of procedures will contain a detailed description of the composition, the functioning and tasks as well as the decision-making processes of the JMC.</w:t>
            </w:r>
          </w:p>
          <w:p w:rsidR="00055394" w:rsidRPr="003A787C" w:rsidRDefault="00055394" w:rsidP="00165043">
            <w:pPr>
              <w:rPr>
                <w:szCs w:val="24"/>
              </w:rPr>
            </w:pPr>
            <w:r w:rsidRPr="003A787C">
              <w:rPr>
                <w:szCs w:val="24"/>
              </w:rPr>
              <w:t>Members of the JMC will represent the participating countries on policy and administrative level and thus ensure a transparent approach.</w:t>
            </w:r>
          </w:p>
          <w:p w:rsidR="00055394" w:rsidRPr="003A787C" w:rsidRDefault="00055394" w:rsidP="00165043">
            <w:pPr>
              <w:keepNext/>
              <w:keepLines/>
              <w:outlineLvl w:val="2"/>
              <w:rPr>
                <w:rFonts w:eastAsiaTheme="majorEastAsia"/>
                <w:bCs/>
                <w:i/>
                <w:iCs/>
                <w:color w:val="4F81BD" w:themeColor="accent1"/>
                <w:szCs w:val="24"/>
              </w:rPr>
            </w:pPr>
            <w:bookmarkStart w:id="9" w:name="_Toc375214615"/>
            <w:bookmarkStart w:id="10" w:name="_Toc380741642"/>
            <w:bookmarkStart w:id="11" w:name="_Toc380869220"/>
            <w:bookmarkStart w:id="12" w:name="_Toc381108746"/>
            <w:bookmarkStart w:id="13" w:name="_Toc381109053"/>
            <w:bookmarkStart w:id="14" w:name="_Toc385488930"/>
            <w:r w:rsidRPr="003A787C">
              <w:rPr>
                <w:rFonts w:eastAsiaTheme="majorEastAsia"/>
                <w:bCs/>
                <w:i/>
                <w:iCs/>
                <w:color w:val="4F81BD" w:themeColor="accent1"/>
                <w:szCs w:val="24"/>
              </w:rPr>
              <w:t>Composition of the Joint monitoring committee</w:t>
            </w:r>
            <w:bookmarkEnd w:id="9"/>
            <w:bookmarkEnd w:id="10"/>
            <w:bookmarkEnd w:id="11"/>
            <w:bookmarkEnd w:id="12"/>
            <w:bookmarkEnd w:id="13"/>
            <w:bookmarkEnd w:id="14"/>
          </w:p>
          <w:p w:rsidR="00055394" w:rsidRPr="003A787C" w:rsidRDefault="00055394" w:rsidP="00165043">
            <w:pPr>
              <w:rPr>
                <w:szCs w:val="24"/>
              </w:rPr>
            </w:pPr>
            <w:r w:rsidRPr="003A787C">
              <w:rPr>
                <w:szCs w:val="24"/>
              </w:rPr>
              <w:t>In accordance with Article 38</w:t>
            </w:r>
            <w:r w:rsidR="007B3AA7">
              <w:rPr>
                <w:szCs w:val="24"/>
              </w:rPr>
              <w:t xml:space="preserve"> (3)</w:t>
            </w:r>
            <w:r w:rsidRPr="003A787C">
              <w:rPr>
                <w:szCs w:val="24"/>
              </w:rPr>
              <w:t xml:space="preserve"> of the Commission Implementing Regulation no. 447/2014, the JMC will be chaired by a representative of one of the participating countries or of the managing authority. The chair of the JMC will rotate every year and will be supported by the MA as co-chair to ensure continuity. </w:t>
            </w:r>
          </w:p>
          <w:p w:rsidR="00055394" w:rsidRPr="003A787C" w:rsidRDefault="00055394" w:rsidP="00165043">
            <w:pPr>
              <w:rPr>
                <w:szCs w:val="24"/>
              </w:rPr>
            </w:pPr>
            <w:r w:rsidRPr="003A787C">
              <w:rPr>
                <w:szCs w:val="24"/>
              </w:rPr>
              <w:t>The composition of the JMC will be as follows, in line with Article 38</w:t>
            </w:r>
            <w:r w:rsidR="007B3AA7">
              <w:rPr>
                <w:szCs w:val="24"/>
              </w:rPr>
              <w:t xml:space="preserve"> (2)</w:t>
            </w:r>
            <w:r w:rsidRPr="003A787C">
              <w:rPr>
                <w:szCs w:val="24"/>
              </w:rPr>
              <w:t xml:space="preserve"> of the Commission Implementing Regulation no. 447/2014 and the partnership principle laid down in Article 5 of CPR:</w:t>
            </w:r>
          </w:p>
          <w:p w:rsidR="00055394" w:rsidRPr="003A787C" w:rsidRDefault="00055394" w:rsidP="00165043">
            <w:pPr>
              <w:rPr>
                <w:szCs w:val="24"/>
              </w:rPr>
            </w:pPr>
            <w:r w:rsidRPr="003A787C">
              <w:rPr>
                <w:szCs w:val="24"/>
              </w:rPr>
              <w:t xml:space="preserve">- Up to </w:t>
            </w:r>
            <w:r w:rsidR="005E333E">
              <w:rPr>
                <w:szCs w:val="24"/>
              </w:rPr>
              <w:t>seven</w:t>
            </w:r>
            <w:r w:rsidRPr="003A787C">
              <w:rPr>
                <w:szCs w:val="24"/>
              </w:rPr>
              <w:t xml:space="preserve"> representatives from each of the participating countries </w:t>
            </w:r>
          </w:p>
          <w:p w:rsidR="00055394" w:rsidRPr="003A787C" w:rsidRDefault="00055394" w:rsidP="00165043">
            <w:pPr>
              <w:rPr>
                <w:szCs w:val="24"/>
              </w:rPr>
            </w:pPr>
            <w:r w:rsidRPr="003A787C">
              <w:rPr>
                <w:szCs w:val="24"/>
              </w:rPr>
              <w:t>- The NIPAC and other relevant national authorities and bodies of the IPA II beneficiary</w:t>
            </w:r>
            <w:r w:rsidR="007B3AA7" w:rsidRPr="00433F7C">
              <w:rPr>
                <w:szCs w:val="24"/>
                <w:lang w:eastAsia="fr-BE"/>
              </w:rPr>
              <w:t xml:space="preserve"> country</w:t>
            </w:r>
          </w:p>
          <w:p w:rsidR="007B3AA7" w:rsidRPr="003A787C" w:rsidRDefault="00055394" w:rsidP="00165043">
            <w:pPr>
              <w:rPr>
                <w:szCs w:val="24"/>
              </w:rPr>
            </w:pPr>
            <w:r w:rsidRPr="003A787C">
              <w:rPr>
                <w:szCs w:val="24"/>
              </w:rPr>
              <w:t>- A representative of the Commission shall participate in an advisory capacity</w:t>
            </w:r>
          </w:p>
          <w:p w:rsidR="00055394" w:rsidRPr="003A787C" w:rsidRDefault="007B3AA7" w:rsidP="00165043">
            <w:pPr>
              <w:rPr>
                <w:szCs w:val="24"/>
              </w:rPr>
            </w:pPr>
            <w:r>
              <w:rPr>
                <w:szCs w:val="24"/>
              </w:rPr>
              <w:t xml:space="preserve">- </w:t>
            </w:r>
            <w:r w:rsidRPr="007B3AA7">
              <w:rPr>
                <w:szCs w:val="24"/>
              </w:rPr>
              <w:t>Other representatives of the MA and representative of AA shall participate in an advisory capacity</w:t>
            </w:r>
          </w:p>
          <w:p w:rsidR="00055394" w:rsidRPr="003A787C" w:rsidRDefault="00055394" w:rsidP="00165043">
            <w:pPr>
              <w:rPr>
                <w:szCs w:val="24"/>
              </w:rPr>
            </w:pPr>
            <w:r w:rsidRPr="003A787C">
              <w:rPr>
                <w:szCs w:val="24"/>
              </w:rPr>
              <w:t>- Where relevant, international financial institutions and other stakeholders, including civil society and private sector organisations may participate as to be specified in th</w:t>
            </w:r>
            <w:r w:rsidR="005E333E">
              <w:rPr>
                <w:szCs w:val="24"/>
              </w:rPr>
              <w:t>e rules of procedure of the JMC</w:t>
            </w:r>
          </w:p>
          <w:p w:rsidR="00055394" w:rsidRPr="00415C35" w:rsidRDefault="00055394" w:rsidP="00165043">
            <w:pPr>
              <w:rPr>
                <w:szCs w:val="24"/>
              </w:rPr>
            </w:pPr>
            <w:r w:rsidRPr="00415C35">
              <w:rPr>
                <w:szCs w:val="24"/>
              </w:rPr>
              <w:t xml:space="preserve">- The JS shall assist </w:t>
            </w:r>
            <w:r w:rsidR="00642E85">
              <w:rPr>
                <w:szCs w:val="24"/>
              </w:rPr>
              <w:t xml:space="preserve">the JMC </w:t>
            </w:r>
            <w:r w:rsidR="00642E85" w:rsidRPr="00415C35">
              <w:rPr>
                <w:szCs w:val="24"/>
              </w:rPr>
              <w:t xml:space="preserve">in </w:t>
            </w:r>
            <w:r w:rsidR="00642E85">
              <w:rPr>
                <w:szCs w:val="24"/>
              </w:rPr>
              <w:t>carrying out its functions</w:t>
            </w:r>
            <w:r w:rsidR="005E333E" w:rsidRPr="00415C35">
              <w:rPr>
                <w:szCs w:val="24"/>
              </w:rPr>
              <w:t>.</w:t>
            </w:r>
          </w:p>
          <w:p w:rsidR="00055394" w:rsidRPr="003A787C" w:rsidRDefault="00055394" w:rsidP="00165043">
            <w:pPr>
              <w:rPr>
                <w:szCs w:val="24"/>
              </w:rPr>
            </w:pPr>
            <w:r w:rsidRPr="00415C35">
              <w:rPr>
                <w:szCs w:val="24"/>
              </w:rPr>
              <w:t xml:space="preserve">In principle, decisions by the JMC shall be taken by consensus. Voting principles will be laid </w:t>
            </w:r>
            <w:r w:rsidR="00642E85">
              <w:rPr>
                <w:szCs w:val="24"/>
              </w:rPr>
              <w:t>down</w:t>
            </w:r>
            <w:r w:rsidRPr="00415C35">
              <w:rPr>
                <w:szCs w:val="24"/>
              </w:rPr>
              <w:t xml:space="preserve"> in the rules of procedure of the JMC.</w:t>
            </w:r>
            <w:r w:rsidRPr="003A787C">
              <w:rPr>
                <w:szCs w:val="24"/>
              </w:rPr>
              <w:t xml:space="preserve"> </w:t>
            </w:r>
          </w:p>
          <w:p w:rsidR="00AF764A" w:rsidRPr="00433F7C" w:rsidRDefault="00AF764A" w:rsidP="00AF764A">
            <w:pPr>
              <w:rPr>
                <w:szCs w:val="24"/>
                <w:lang w:eastAsia="fr-BE"/>
              </w:rPr>
            </w:pPr>
            <w:r w:rsidRPr="00433F7C">
              <w:rPr>
                <w:szCs w:val="24"/>
                <w:lang w:eastAsia="fr-BE"/>
              </w:rPr>
              <w:t xml:space="preserve">The JMC shall meet at least once a year. Additional meetings may also be convened at the initiative of one of the participating countries or of the Commission, in particular on a thematic basis. Decisions may also be taken through written procedure. </w:t>
            </w:r>
          </w:p>
          <w:p w:rsidR="00055394" w:rsidRPr="003A787C" w:rsidRDefault="00055394" w:rsidP="00165043">
            <w:pPr>
              <w:keepNext/>
              <w:keepLines/>
              <w:outlineLvl w:val="2"/>
              <w:rPr>
                <w:rFonts w:eastAsiaTheme="majorEastAsia"/>
                <w:bCs/>
                <w:i/>
                <w:iCs/>
                <w:color w:val="4F81BD" w:themeColor="accent1"/>
                <w:szCs w:val="24"/>
              </w:rPr>
            </w:pPr>
            <w:bookmarkStart w:id="15" w:name="_Toc375214616"/>
            <w:bookmarkStart w:id="16" w:name="_Toc380741643"/>
            <w:bookmarkStart w:id="17" w:name="_Toc380869221"/>
            <w:bookmarkStart w:id="18" w:name="_Toc381108747"/>
            <w:bookmarkStart w:id="19" w:name="_Toc381109054"/>
            <w:bookmarkStart w:id="20" w:name="_Toc385488931"/>
            <w:r w:rsidRPr="003A787C">
              <w:rPr>
                <w:rFonts w:eastAsiaTheme="majorEastAsia"/>
                <w:bCs/>
                <w:i/>
                <w:iCs/>
                <w:color w:val="4F81BD" w:themeColor="accent1"/>
                <w:szCs w:val="24"/>
              </w:rPr>
              <w:t xml:space="preserve">Functions of the </w:t>
            </w:r>
            <w:r w:rsidR="00B13F4D">
              <w:rPr>
                <w:rFonts w:eastAsiaTheme="majorEastAsia"/>
                <w:bCs/>
                <w:i/>
                <w:iCs/>
                <w:color w:val="4F81BD" w:themeColor="accent1"/>
                <w:szCs w:val="24"/>
              </w:rPr>
              <w:t>J</w:t>
            </w:r>
            <w:r w:rsidR="00642E85">
              <w:rPr>
                <w:rFonts w:eastAsiaTheme="majorEastAsia"/>
                <w:bCs/>
                <w:i/>
                <w:iCs/>
                <w:color w:val="4F81BD" w:themeColor="accent1"/>
                <w:szCs w:val="24"/>
              </w:rPr>
              <w:t xml:space="preserve">oint </w:t>
            </w:r>
            <w:r w:rsidRPr="003A787C">
              <w:rPr>
                <w:rFonts w:eastAsiaTheme="majorEastAsia"/>
                <w:bCs/>
                <w:i/>
                <w:iCs/>
                <w:color w:val="4F81BD" w:themeColor="accent1"/>
                <w:szCs w:val="24"/>
              </w:rPr>
              <w:t>monitoring committee</w:t>
            </w:r>
            <w:bookmarkEnd w:id="15"/>
            <w:bookmarkEnd w:id="16"/>
            <w:bookmarkEnd w:id="17"/>
            <w:bookmarkEnd w:id="18"/>
            <w:bookmarkEnd w:id="19"/>
            <w:bookmarkEnd w:id="20"/>
          </w:p>
          <w:p w:rsidR="00AF764A" w:rsidRPr="00433F7C" w:rsidRDefault="00AF764A" w:rsidP="00AF764A">
            <w:pPr>
              <w:rPr>
                <w:szCs w:val="24"/>
                <w:lang w:eastAsia="fr-BE"/>
              </w:rPr>
            </w:pPr>
            <w:r w:rsidRPr="00433F7C">
              <w:rPr>
                <w:szCs w:val="24"/>
                <w:lang w:eastAsia="fr-BE"/>
              </w:rPr>
              <w:t xml:space="preserve">It will be the task of the JMC to steer the programme and to ensure the quality and effectiveness of its implementation. The JMC will carry out its functions in line with Article 49 and Article 110 of the CPR. The main functions of the JMC are listed in </w:t>
            </w:r>
            <w:r w:rsidRPr="003F7280">
              <w:rPr>
                <w:szCs w:val="24"/>
                <w:lang w:eastAsia="fr-BE"/>
              </w:rPr>
              <w:t>Annex</w:t>
            </w:r>
            <w:r w:rsidR="00121548">
              <w:rPr>
                <w:szCs w:val="24"/>
                <w:lang w:eastAsia="fr-BE"/>
              </w:rPr>
              <w:t xml:space="preserve"> 10</w:t>
            </w:r>
            <w:r w:rsidRPr="003F7280">
              <w:rPr>
                <w:szCs w:val="24"/>
                <w:lang w:eastAsia="fr-BE"/>
              </w:rPr>
              <w:t>.</w:t>
            </w:r>
            <w:r w:rsidRPr="00433F7C">
              <w:rPr>
                <w:szCs w:val="24"/>
                <w:lang w:eastAsia="fr-BE"/>
              </w:rPr>
              <w:t xml:space="preserve"> </w:t>
            </w:r>
          </w:p>
          <w:p w:rsidR="00055394" w:rsidRPr="003A787C" w:rsidRDefault="00055394" w:rsidP="00165043">
            <w:pPr>
              <w:keepNext/>
              <w:keepLines/>
              <w:outlineLvl w:val="2"/>
              <w:rPr>
                <w:rFonts w:eastAsiaTheme="majorEastAsia"/>
                <w:bCs/>
                <w:i/>
                <w:iCs/>
                <w:color w:val="4F81BD" w:themeColor="accent1"/>
                <w:szCs w:val="24"/>
              </w:rPr>
            </w:pPr>
            <w:bookmarkStart w:id="21" w:name="_Toc380741644"/>
            <w:bookmarkStart w:id="22" w:name="_Toc380869222"/>
            <w:bookmarkStart w:id="23" w:name="_Toc381108748"/>
            <w:bookmarkStart w:id="24" w:name="_Toc381109055"/>
            <w:bookmarkStart w:id="25" w:name="_Toc385488932"/>
            <w:r w:rsidRPr="003A787C">
              <w:rPr>
                <w:rFonts w:eastAsiaTheme="majorEastAsia"/>
                <w:bCs/>
                <w:i/>
                <w:iCs/>
                <w:color w:val="4F81BD" w:themeColor="accent1"/>
                <w:szCs w:val="24"/>
              </w:rPr>
              <w:t>5.3.b</w:t>
            </w:r>
            <w:r w:rsidRPr="003A787C">
              <w:rPr>
                <w:rFonts w:eastAsiaTheme="majorEastAsia"/>
                <w:bCs/>
                <w:i/>
                <w:iCs/>
                <w:color w:val="4F81BD" w:themeColor="accent1"/>
                <w:szCs w:val="24"/>
              </w:rPr>
              <w:tab/>
              <w:t xml:space="preserve">Responsibilities of </w:t>
            </w:r>
            <w:bookmarkEnd w:id="21"/>
            <w:bookmarkEnd w:id="22"/>
            <w:bookmarkEnd w:id="23"/>
            <w:bookmarkEnd w:id="24"/>
            <w:bookmarkEnd w:id="25"/>
            <w:r w:rsidRPr="003A787C">
              <w:rPr>
                <w:rFonts w:eastAsiaTheme="majorEastAsia"/>
                <w:bCs/>
                <w:i/>
                <w:iCs/>
                <w:color w:val="4F81BD" w:themeColor="accent1"/>
                <w:szCs w:val="24"/>
              </w:rPr>
              <w:t>the participating countries</w:t>
            </w:r>
            <w:r w:rsidR="007B5BB8">
              <w:rPr>
                <w:rFonts w:eastAsiaTheme="majorEastAsia"/>
                <w:bCs/>
                <w:i/>
                <w:iCs/>
                <w:color w:val="4F81BD" w:themeColor="accent1"/>
                <w:szCs w:val="24"/>
              </w:rPr>
              <w:t xml:space="preserve"> </w:t>
            </w:r>
            <w:r w:rsidR="007B5BB8" w:rsidRPr="007B5BB8">
              <w:rPr>
                <w:rFonts w:eastAsiaTheme="majorEastAsia"/>
                <w:bCs/>
                <w:i/>
                <w:iCs/>
                <w:color w:val="4F81BD" w:themeColor="accent1"/>
                <w:szCs w:val="24"/>
              </w:rPr>
              <w:t>/ national authorities</w:t>
            </w:r>
          </w:p>
          <w:p w:rsidR="00AF764A" w:rsidRDefault="00055394" w:rsidP="00165043">
            <w:pPr>
              <w:rPr>
                <w:szCs w:val="24"/>
              </w:rPr>
            </w:pPr>
            <w:r w:rsidRPr="007B5BB8">
              <w:rPr>
                <w:szCs w:val="24"/>
              </w:rPr>
              <w:lastRenderedPageBreak/>
              <w:t xml:space="preserve">National authorities of the participating countries will retain responsibility for the IPA CBC Programme </w:t>
            </w:r>
            <w:r w:rsidR="00C82CEF" w:rsidRPr="007B5BB8">
              <w:rPr>
                <w:szCs w:val="24"/>
              </w:rPr>
              <w:t>Croatia – Bosnia and Herzegovina – Montenegro 2014-2020</w:t>
            </w:r>
            <w:r w:rsidRPr="007B5BB8">
              <w:rPr>
                <w:szCs w:val="24"/>
              </w:rPr>
              <w:t xml:space="preserve">. </w:t>
            </w:r>
            <w:r w:rsidR="00AF764A" w:rsidRPr="007B5BB8">
              <w:rPr>
                <w:szCs w:val="24"/>
              </w:rPr>
              <w:t xml:space="preserve">National authorities </w:t>
            </w:r>
            <w:r w:rsidR="00AF764A" w:rsidRPr="00AF764A">
              <w:rPr>
                <w:szCs w:val="24"/>
              </w:rPr>
              <w:t xml:space="preserve">are responsible for setting up and ensuring efficient functioning of the control system, as well as all other relevant responsibilities, in line with Article 74 of the CPR. The participating countries will ensure that the management and control system for the programme is set up in accordance with the relevant specific rules and that the system functions effectively. Furthermore, national authorities </w:t>
            </w:r>
            <w:r w:rsidR="009374B6">
              <w:rPr>
                <w:szCs w:val="24"/>
              </w:rPr>
              <w:t xml:space="preserve">together with the Managing Authority </w:t>
            </w:r>
            <w:r w:rsidR="00AF764A" w:rsidRPr="00AF764A">
              <w:rPr>
                <w:szCs w:val="24"/>
              </w:rPr>
              <w:t>are responsible for ensuring implementation of the decisions taken by the JMC.</w:t>
            </w:r>
          </w:p>
          <w:p w:rsidR="00D14650" w:rsidRPr="00433F7C" w:rsidRDefault="00D14650" w:rsidP="00D14650">
            <w:pPr>
              <w:rPr>
                <w:szCs w:val="24"/>
                <w:lang w:eastAsia="fr-BE"/>
              </w:rPr>
            </w:pPr>
            <w:bookmarkStart w:id="26" w:name="_Toc380741645"/>
            <w:bookmarkStart w:id="27" w:name="_Toc380869223"/>
            <w:bookmarkStart w:id="28" w:name="_Toc381108749"/>
            <w:bookmarkStart w:id="29" w:name="_Toc381109056"/>
            <w:bookmarkStart w:id="30" w:name="_Toc385488933"/>
            <w:r w:rsidRPr="00433F7C">
              <w:rPr>
                <w:szCs w:val="24"/>
                <w:lang w:eastAsia="fr-BE"/>
              </w:rPr>
              <w:t xml:space="preserve">The participating countries agree to apply the partnership principle as laid down in Article 5 of the CPR and to cooperate to find optimal solutions for the benefit of the whole programme area. </w:t>
            </w:r>
          </w:p>
          <w:p w:rsidR="00D14650" w:rsidRPr="00433F7C" w:rsidRDefault="00D14650" w:rsidP="00D14650">
            <w:pPr>
              <w:rPr>
                <w:szCs w:val="24"/>
                <w:lang w:eastAsia="fr-BE"/>
              </w:rPr>
            </w:pPr>
            <w:r w:rsidRPr="00433F7C">
              <w:rPr>
                <w:szCs w:val="24"/>
                <w:lang w:eastAsia="fr-BE"/>
              </w:rPr>
              <w:t>According to Article 123(9) of the CPR, the participating countries shall lay down in writing rules governing their relations with the MA, CA and AA, the relations between such authorities, and the relations of such au</w:t>
            </w:r>
            <w:r w:rsidRPr="007B5BB8">
              <w:rPr>
                <w:szCs w:val="24"/>
                <w:lang w:eastAsia="fr-BE"/>
              </w:rPr>
              <w:t>thorities with the Commission in Financing Agreement /Memorandum of Understanding.</w:t>
            </w:r>
            <w:r w:rsidRPr="00433F7C">
              <w:rPr>
                <w:szCs w:val="24"/>
                <w:lang w:eastAsia="fr-BE"/>
              </w:rPr>
              <w:t xml:space="preserve"> The participating countries will ensure that the programme bodies will be provided with all necessary and legally allowed information to carry out their responsibilities. </w:t>
            </w:r>
          </w:p>
          <w:p w:rsidR="00D14650" w:rsidRDefault="00D14650" w:rsidP="00D14650">
            <w:pPr>
              <w:rPr>
                <w:szCs w:val="24"/>
                <w:lang w:eastAsia="fr-BE"/>
              </w:rPr>
            </w:pPr>
            <w:r w:rsidRPr="00433F7C">
              <w:rPr>
                <w:szCs w:val="24"/>
                <w:lang w:eastAsia="fr-BE"/>
              </w:rPr>
              <w:t xml:space="preserve">The list of </w:t>
            </w:r>
            <w:r w:rsidR="001D7E6B" w:rsidRPr="001D7E6B">
              <w:rPr>
                <w:szCs w:val="24"/>
                <w:lang w:eastAsia="fr-BE"/>
              </w:rPr>
              <w:t>mai</w:t>
            </w:r>
            <w:r w:rsidR="001D7E6B">
              <w:rPr>
                <w:szCs w:val="24"/>
                <w:lang w:eastAsia="fr-BE"/>
              </w:rPr>
              <w:t xml:space="preserve">n responsibilities of the </w:t>
            </w:r>
            <w:r w:rsidR="00B35C49">
              <w:rPr>
                <w:szCs w:val="24"/>
                <w:lang w:eastAsia="fr-BE"/>
              </w:rPr>
              <w:t xml:space="preserve">participating countries /national authorities </w:t>
            </w:r>
            <w:r w:rsidR="001D7E6B">
              <w:rPr>
                <w:szCs w:val="24"/>
                <w:lang w:eastAsia="fr-BE"/>
              </w:rPr>
              <w:t>is</w:t>
            </w:r>
            <w:r w:rsidR="001D7E6B" w:rsidRPr="001D7E6B">
              <w:rPr>
                <w:szCs w:val="24"/>
                <w:lang w:eastAsia="fr-BE"/>
              </w:rPr>
              <w:t xml:space="preserve"> listed </w:t>
            </w:r>
            <w:r w:rsidRPr="00433F7C">
              <w:rPr>
                <w:szCs w:val="24"/>
                <w:lang w:eastAsia="fr-BE"/>
              </w:rPr>
              <w:t xml:space="preserve">in </w:t>
            </w:r>
            <w:r w:rsidRPr="003F7280">
              <w:rPr>
                <w:szCs w:val="24"/>
                <w:lang w:eastAsia="fr-BE"/>
              </w:rPr>
              <w:t>Annex</w:t>
            </w:r>
            <w:r w:rsidR="001D7E6B">
              <w:rPr>
                <w:szCs w:val="24"/>
                <w:lang w:eastAsia="fr-BE"/>
              </w:rPr>
              <w:t xml:space="preserve"> 11</w:t>
            </w:r>
            <w:r w:rsidRPr="003F7280">
              <w:rPr>
                <w:szCs w:val="24"/>
                <w:lang w:eastAsia="fr-BE"/>
              </w:rPr>
              <w:t>.</w:t>
            </w:r>
            <w:r w:rsidRPr="00433F7C">
              <w:rPr>
                <w:szCs w:val="24"/>
                <w:lang w:eastAsia="fr-BE"/>
              </w:rPr>
              <w:t xml:space="preserve"> </w:t>
            </w:r>
          </w:p>
          <w:p w:rsidR="00055394" w:rsidRPr="003A787C" w:rsidRDefault="00055394" w:rsidP="00165043">
            <w:pPr>
              <w:keepNext/>
              <w:keepLines/>
              <w:outlineLvl w:val="2"/>
              <w:rPr>
                <w:rFonts w:eastAsiaTheme="majorEastAsia"/>
                <w:bCs/>
                <w:i/>
                <w:iCs/>
                <w:color w:val="4F81BD" w:themeColor="accent1"/>
                <w:szCs w:val="24"/>
              </w:rPr>
            </w:pPr>
            <w:r w:rsidRPr="003A787C">
              <w:rPr>
                <w:rFonts w:eastAsiaTheme="majorEastAsia"/>
                <w:bCs/>
                <w:i/>
                <w:iCs/>
                <w:color w:val="4F81BD" w:themeColor="accent1"/>
                <w:szCs w:val="24"/>
              </w:rPr>
              <w:t>5.3.c</w:t>
            </w:r>
            <w:r w:rsidRPr="003A787C">
              <w:rPr>
                <w:rFonts w:eastAsiaTheme="majorEastAsia"/>
                <w:bCs/>
                <w:i/>
                <w:iCs/>
                <w:color w:val="4F81BD" w:themeColor="accent1"/>
                <w:szCs w:val="24"/>
              </w:rPr>
              <w:tab/>
              <w:t xml:space="preserve">Managing authority </w:t>
            </w:r>
            <w:bookmarkEnd w:id="26"/>
            <w:bookmarkEnd w:id="27"/>
            <w:bookmarkEnd w:id="28"/>
            <w:bookmarkEnd w:id="29"/>
            <w:bookmarkEnd w:id="30"/>
          </w:p>
          <w:p w:rsidR="00707280" w:rsidRPr="00707280" w:rsidRDefault="00213B6F" w:rsidP="00707280">
            <w:bookmarkStart w:id="31" w:name="_Toc380741646"/>
            <w:bookmarkStart w:id="32" w:name="_Toc380869224"/>
            <w:bookmarkStart w:id="33" w:name="_Toc381108750"/>
            <w:bookmarkStart w:id="34" w:name="_Toc381109057"/>
            <w:bookmarkStart w:id="35" w:name="_Toc385488934"/>
            <w:r w:rsidRPr="00433F7C">
              <w:rPr>
                <w:szCs w:val="24"/>
                <w:lang w:eastAsia="fr-BE"/>
              </w:rPr>
              <w:t>The Managing Authority of the programme is responsible for managing the cooperation programme in accordance with the principle of sound financial management.</w:t>
            </w:r>
            <w:r w:rsidR="00707280" w:rsidRPr="00707280">
              <w:t xml:space="preserve"> This includes the support of the work of the </w:t>
            </w:r>
            <w:r w:rsidR="00707280">
              <w:t xml:space="preserve">Joint </w:t>
            </w:r>
            <w:r w:rsidR="00707280" w:rsidRPr="00707280">
              <w:t>Monitoring Committee and the transmission of the information it requires to carry out its tasks, in particular data relating to the progress of the cooperation programme in achieving its objectives, financial data and data relating to indicators and milestones.</w:t>
            </w:r>
          </w:p>
          <w:p w:rsidR="00213B6F" w:rsidRPr="00433F7C" w:rsidRDefault="00707280" w:rsidP="00A21548">
            <w:pPr>
              <w:ind w:right="22"/>
              <w:rPr>
                <w:szCs w:val="24"/>
              </w:rPr>
            </w:pPr>
            <w:r w:rsidRPr="00707280">
              <w:rPr>
                <w:szCs w:val="24"/>
              </w:rPr>
              <w:t>The managing authority shall act for the benefit of the whole cooperation programme.</w:t>
            </w:r>
          </w:p>
          <w:p w:rsidR="00213B6F" w:rsidRPr="00433F7C" w:rsidRDefault="00213B6F" w:rsidP="00213B6F">
            <w:pPr>
              <w:rPr>
                <w:szCs w:val="24"/>
                <w:lang w:eastAsia="fr-BE"/>
              </w:rPr>
            </w:pPr>
            <w:r w:rsidRPr="00433F7C">
              <w:rPr>
                <w:szCs w:val="24"/>
                <w:lang w:eastAsia="fr-BE"/>
              </w:rPr>
              <w:t xml:space="preserve">Furthermore, the Managing Authority will perform its functions in line with Article 125 of the CPR and Article 23 (1), (2), (4) and (5) of the ETC Regulation. The MA, after consultation with the participating countries responsible for the programme, will set up the JS as provided for in chapter 5.3. The MA, assisted by the JS, is responsible for the management and implementation of the IPA CBC Programme Croatia – </w:t>
            </w:r>
            <w:r w:rsidRPr="00C82CEF">
              <w:rPr>
                <w:szCs w:val="24"/>
              </w:rPr>
              <w:t>Bosnia and Herzegovina – Montenegro</w:t>
            </w:r>
            <w:r w:rsidRPr="00433F7C">
              <w:rPr>
                <w:szCs w:val="24"/>
                <w:lang w:eastAsia="fr-BE"/>
              </w:rPr>
              <w:t xml:space="preserve"> 2014-2020. The MA shall in the implementation of its tasks, act in full accordance with Croatian institutional, legal and financial provisions.</w:t>
            </w:r>
          </w:p>
          <w:p w:rsidR="00213B6F" w:rsidRDefault="00213B6F" w:rsidP="00213B6F">
            <w:pPr>
              <w:rPr>
                <w:szCs w:val="24"/>
                <w:lang w:eastAsia="fr-BE"/>
              </w:rPr>
            </w:pPr>
            <w:r w:rsidRPr="00433F7C">
              <w:rPr>
                <w:szCs w:val="24"/>
                <w:lang w:eastAsia="fr-BE"/>
              </w:rPr>
              <w:t xml:space="preserve">The main functions </w:t>
            </w:r>
            <w:r w:rsidR="00E86A2D">
              <w:rPr>
                <w:szCs w:val="24"/>
                <w:lang w:eastAsia="fr-BE"/>
              </w:rPr>
              <w:t xml:space="preserve">and responsibilities </w:t>
            </w:r>
            <w:r w:rsidRPr="00433F7C">
              <w:rPr>
                <w:szCs w:val="24"/>
                <w:lang w:eastAsia="fr-BE"/>
              </w:rPr>
              <w:t xml:space="preserve">of the MA are listed </w:t>
            </w:r>
            <w:r w:rsidRPr="001909B4">
              <w:rPr>
                <w:szCs w:val="24"/>
                <w:lang w:eastAsia="fr-BE"/>
              </w:rPr>
              <w:t>in Annex</w:t>
            </w:r>
            <w:r w:rsidR="00E86A2D">
              <w:rPr>
                <w:szCs w:val="24"/>
                <w:lang w:eastAsia="fr-BE"/>
              </w:rPr>
              <w:t xml:space="preserve"> 12</w:t>
            </w:r>
            <w:r w:rsidRPr="001909B4">
              <w:rPr>
                <w:szCs w:val="24"/>
                <w:lang w:eastAsia="fr-BE"/>
              </w:rPr>
              <w:t>.</w:t>
            </w:r>
          </w:p>
          <w:p w:rsidR="00055394" w:rsidRPr="003A787C" w:rsidRDefault="00055394" w:rsidP="00165043">
            <w:pPr>
              <w:keepNext/>
              <w:keepLines/>
              <w:outlineLvl w:val="2"/>
              <w:rPr>
                <w:rFonts w:eastAsiaTheme="majorEastAsia"/>
                <w:bCs/>
                <w:i/>
                <w:iCs/>
                <w:color w:val="4F81BD" w:themeColor="accent1"/>
                <w:szCs w:val="24"/>
              </w:rPr>
            </w:pPr>
            <w:r w:rsidRPr="003A787C">
              <w:rPr>
                <w:rFonts w:eastAsiaTheme="majorEastAsia"/>
                <w:bCs/>
                <w:i/>
                <w:iCs/>
                <w:color w:val="4F81BD" w:themeColor="accent1"/>
                <w:szCs w:val="24"/>
              </w:rPr>
              <w:t>5.3.d</w:t>
            </w:r>
            <w:r w:rsidRPr="003A787C">
              <w:rPr>
                <w:rFonts w:eastAsiaTheme="majorEastAsia"/>
                <w:bCs/>
                <w:i/>
                <w:iCs/>
                <w:color w:val="4F81BD" w:themeColor="accent1"/>
                <w:szCs w:val="24"/>
              </w:rPr>
              <w:tab/>
              <w:t>Certifying authority</w:t>
            </w:r>
          </w:p>
          <w:p w:rsidR="008A771F" w:rsidRPr="00433F7C" w:rsidRDefault="008A771F" w:rsidP="008A771F">
            <w:pPr>
              <w:rPr>
                <w:szCs w:val="24"/>
                <w:lang w:eastAsia="fr-BE"/>
              </w:rPr>
            </w:pPr>
            <w:r w:rsidRPr="00433F7C">
              <w:rPr>
                <w:szCs w:val="24"/>
                <w:lang w:eastAsia="fr-BE"/>
              </w:rPr>
              <w:t xml:space="preserve">In line with Article 37 (2) of the Commission Implementing Regulation no. 447/2014, the Certifying Authority shall </w:t>
            </w:r>
            <w:r w:rsidR="00121548">
              <w:rPr>
                <w:szCs w:val="24"/>
                <w:lang w:eastAsia="fr-BE"/>
              </w:rPr>
              <w:t xml:space="preserve">be responsible for </w:t>
            </w:r>
            <w:r w:rsidR="00121548" w:rsidRPr="00BA1BBC">
              <w:t>drawing up and submitting certified statements of expenditure and applications for payment to the Commission</w:t>
            </w:r>
            <w:r w:rsidR="00121548">
              <w:t xml:space="preserve">, </w:t>
            </w:r>
            <w:r w:rsidRPr="00433F7C">
              <w:rPr>
                <w:szCs w:val="24"/>
                <w:lang w:eastAsia="fr-BE"/>
              </w:rPr>
              <w:t>receiv</w:t>
            </w:r>
            <w:r w:rsidR="00121548">
              <w:rPr>
                <w:szCs w:val="24"/>
                <w:lang w:eastAsia="fr-BE"/>
              </w:rPr>
              <w:t>ing</w:t>
            </w:r>
            <w:r w:rsidRPr="00433F7C">
              <w:rPr>
                <w:szCs w:val="24"/>
                <w:lang w:eastAsia="fr-BE"/>
              </w:rPr>
              <w:t xml:space="preserve"> the payments made by the Commission and mak</w:t>
            </w:r>
            <w:r w:rsidR="00121548">
              <w:rPr>
                <w:szCs w:val="24"/>
                <w:lang w:eastAsia="fr-BE"/>
              </w:rPr>
              <w:t>ing</w:t>
            </w:r>
            <w:r w:rsidRPr="00433F7C">
              <w:rPr>
                <w:szCs w:val="24"/>
                <w:lang w:eastAsia="fr-BE"/>
              </w:rPr>
              <w:t xml:space="preserve"> payments to the lead beneficiary in accordance with Article 132 of CPR. </w:t>
            </w:r>
          </w:p>
          <w:p w:rsidR="008A771F" w:rsidRPr="00433F7C" w:rsidRDefault="008A771F" w:rsidP="008A771F">
            <w:pPr>
              <w:rPr>
                <w:szCs w:val="24"/>
                <w:lang w:eastAsia="fr-BE"/>
              </w:rPr>
            </w:pPr>
            <w:r w:rsidRPr="00433F7C">
              <w:rPr>
                <w:szCs w:val="24"/>
                <w:lang w:eastAsia="fr-BE"/>
              </w:rPr>
              <w:t xml:space="preserve">The CA of the programme is responsible to carry out the functions in line with Article 126 of CPR and Article 24 of ETC. </w:t>
            </w:r>
          </w:p>
          <w:p w:rsidR="008A771F" w:rsidRDefault="008A771F" w:rsidP="008A771F">
            <w:pPr>
              <w:rPr>
                <w:szCs w:val="24"/>
                <w:lang w:eastAsia="fr-BE"/>
              </w:rPr>
            </w:pPr>
            <w:r w:rsidRPr="00433F7C">
              <w:rPr>
                <w:szCs w:val="24"/>
                <w:lang w:eastAsia="fr-BE"/>
              </w:rPr>
              <w:lastRenderedPageBreak/>
              <w:t xml:space="preserve">The main </w:t>
            </w:r>
            <w:r w:rsidR="00121548">
              <w:rPr>
                <w:szCs w:val="24"/>
                <w:lang w:eastAsia="fr-BE"/>
              </w:rPr>
              <w:t xml:space="preserve">functions and </w:t>
            </w:r>
            <w:r w:rsidRPr="00433F7C">
              <w:rPr>
                <w:szCs w:val="24"/>
                <w:lang w:eastAsia="fr-BE"/>
              </w:rPr>
              <w:t xml:space="preserve">responsibilities of the CA are listed </w:t>
            </w:r>
            <w:r w:rsidRPr="001909B4">
              <w:rPr>
                <w:szCs w:val="24"/>
                <w:lang w:eastAsia="fr-BE"/>
              </w:rPr>
              <w:t>in Annex</w:t>
            </w:r>
            <w:r w:rsidR="00121548">
              <w:rPr>
                <w:szCs w:val="24"/>
                <w:lang w:eastAsia="fr-BE"/>
              </w:rPr>
              <w:t xml:space="preserve"> 13</w:t>
            </w:r>
            <w:r w:rsidRPr="001909B4">
              <w:rPr>
                <w:szCs w:val="24"/>
                <w:lang w:eastAsia="fr-BE"/>
              </w:rPr>
              <w:t>.</w:t>
            </w:r>
            <w:r w:rsidRPr="00433F7C">
              <w:rPr>
                <w:szCs w:val="24"/>
                <w:lang w:eastAsia="fr-BE"/>
              </w:rPr>
              <w:t xml:space="preserve"> </w:t>
            </w:r>
          </w:p>
          <w:p w:rsidR="00055394" w:rsidRPr="003A787C" w:rsidRDefault="00055394" w:rsidP="00165043">
            <w:pPr>
              <w:keepNext/>
              <w:keepLines/>
              <w:outlineLvl w:val="2"/>
              <w:rPr>
                <w:rFonts w:eastAsiaTheme="majorEastAsia"/>
                <w:bCs/>
                <w:i/>
                <w:iCs/>
                <w:color w:val="4F81BD" w:themeColor="accent1"/>
                <w:szCs w:val="24"/>
              </w:rPr>
            </w:pPr>
            <w:r w:rsidRPr="003A787C">
              <w:rPr>
                <w:rFonts w:eastAsiaTheme="majorEastAsia"/>
                <w:bCs/>
                <w:i/>
                <w:iCs/>
                <w:color w:val="4F81BD" w:themeColor="accent1"/>
                <w:szCs w:val="24"/>
              </w:rPr>
              <w:t>5.3.e  Audit authority</w:t>
            </w:r>
            <w:bookmarkEnd w:id="31"/>
            <w:bookmarkEnd w:id="32"/>
            <w:bookmarkEnd w:id="33"/>
            <w:bookmarkEnd w:id="34"/>
            <w:bookmarkEnd w:id="35"/>
          </w:p>
          <w:p w:rsidR="00E659E3" w:rsidRPr="00433F7C" w:rsidRDefault="00E659E3" w:rsidP="00E659E3">
            <w:pPr>
              <w:rPr>
                <w:szCs w:val="24"/>
                <w:lang w:eastAsia="fr-BE"/>
              </w:rPr>
            </w:pPr>
            <w:bookmarkStart w:id="36" w:name="_Toc380741647"/>
            <w:bookmarkStart w:id="37" w:name="_Toc380869225"/>
            <w:bookmarkStart w:id="38" w:name="_Toc381108751"/>
            <w:bookmarkStart w:id="39" w:name="_Toc381109058"/>
            <w:bookmarkStart w:id="40" w:name="_Toc385488935"/>
            <w:r w:rsidRPr="00433F7C">
              <w:rPr>
                <w:szCs w:val="24"/>
                <w:lang w:eastAsia="fr-BE"/>
              </w:rPr>
              <w:t>The Audit Authority will carry out its functions in accordance with Article 127 of the CPR and Article 25 of the ETC Regulation</w:t>
            </w:r>
            <w:r w:rsidR="00121548">
              <w:rPr>
                <w:szCs w:val="24"/>
                <w:lang w:eastAsia="fr-BE"/>
              </w:rPr>
              <w:t xml:space="preserve">; </w:t>
            </w:r>
            <w:r w:rsidR="00121548" w:rsidRPr="00BA1BBC">
              <w:t xml:space="preserve">in particular, the AA </w:t>
            </w:r>
            <w:r w:rsidR="00121548">
              <w:t>shall</w:t>
            </w:r>
            <w:r w:rsidR="00121548" w:rsidRPr="00BA1BBC">
              <w:t xml:space="preserve"> ensure that audits are carried out on the management and control systems, on an appropriate sample of operations and on the annual accounts</w:t>
            </w:r>
            <w:r w:rsidR="00121548" w:rsidRPr="00433F7C">
              <w:rPr>
                <w:szCs w:val="24"/>
                <w:lang w:eastAsia="fr-BE"/>
              </w:rPr>
              <w:t xml:space="preserve">. </w:t>
            </w:r>
            <w:r w:rsidRPr="00433F7C">
              <w:rPr>
                <w:szCs w:val="24"/>
                <w:lang w:eastAsia="fr-BE"/>
              </w:rPr>
              <w:t xml:space="preserve">The main functions </w:t>
            </w:r>
            <w:r w:rsidR="00121548">
              <w:rPr>
                <w:szCs w:val="24"/>
                <w:lang w:eastAsia="fr-BE"/>
              </w:rPr>
              <w:t xml:space="preserve">and </w:t>
            </w:r>
            <w:r w:rsidR="00924394">
              <w:rPr>
                <w:szCs w:val="24"/>
                <w:lang w:eastAsia="fr-BE"/>
              </w:rPr>
              <w:t>responsibilities</w:t>
            </w:r>
            <w:r w:rsidR="00121548">
              <w:rPr>
                <w:szCs w:val="24"/>
                <w:lang w:eastAsia="fr-BE"/>
              </w:rPr>
              <w:t xml:space="preserve"> </w:t>
            </w:r>
            <w:r w:rsidRPr="00433F7C">
              <w:rPr>
                <w:szCs w:val="24"/>
                <w:lang w:eastAsia="fr-BE"/>
              </w:rPr>
              <w:t xml:space="preserve">of the AA are listed in </w:t>
            </w:r>
            <w:r w:rsidRPr="001909B4">
              <w:rPr>
                <w:szCs w:val="24"/>
                <w:lang w:eastAsia="fr-BE"/>
              </w:rPr>
              <w:t>Annex</w:t>
            </w:r>
            <w:r w:rsidR="00121548">
              <w:rPr>
                <w:szCs w:val="24"/>
                <w:lang w:eastAsia="fr-BE"/>
              </w:rPr>
              <w:t xml:space="preserve"> 14</w:t>
            </w:r>
            <w:r w:rsidRPr="001909B4">
              <w:rPr>
                <w:szCs w:val="24"/>
                <w:lang w:eastAsia="fr-BE"/>
              </w:rPr>
              <w:t>.</w:t>
            </w:r>
          </w:p>
          <w:p w:rsidR="00E659E3" w:rsidRPr="00433F7C" w:rsidRDefault="00E659E3" w:rsidP="00E659E3">
            <w:pPr>
              <w:rPr>
                <w:szCs w:val="24"/>
                <w:lang w:eastAsia="fr-BE"/>
              </w:rPr>
            </w:pPr>
            <w:r w:rsidRPr="00433F7C">
              <w:rPr>
                <w:szCs w:val="24"/>
                <w:lang w:eastAsia="fr-BE"/>
              </w:rPr>
              <w:t>In line with Article 25</w:t>
            </w:r>
            <w:r>
              <w:rPr>
                <w:szCs w:val="24"/>
                <w:lang w:eastAsia="fr-BE"/>
              </w:rPr>
              <w:t xml:space="preserve"> </w:t>
            </w:r>
            <w:r w:rsidRPr="00433F7C">
              <w:rPr>
                <w:szCs w:val="24"/>
                <w:lang w:eastAsia="fr-BE"/>
              </w:rPr>
              <w:t>(2) of the ETC regulation, the AA will be assisted by a group of auditors (GoA) comprising of representatives from responsible bodies of each of the participating country in the cooperation programme carrying out the above listed duties detailed in Article 127 of the CPR. The representatives have to be independent from the JMC members, the controllers designated according to Article 23</w:t>
            </w:r>
            <w:r>
              <w:rPr>
                <w:szCs w:val="24"/>
                <w:lang w:eastAsia="fr-BE"/>
              </w:rPr>
              <w:t xml:space="preserve"> </w:t>
            </w:r>
            <w:r w:rsidRPr="00433F7C">
              <w:rPr>
                <w:szCs w:val="24"/>
                <w:lang w:eastAsia="fr-BE"/>
              </w:rPr>
              <w:t>(4) of the ETC Regulation and any operation’s activities and finances. The GoA will be set up within three months of the decision approving the programme at the latest. It will draw up its own rules of procedure and will be chaired by the AA.</w:t>
            </w:r>
          </w:p>
          <w:p w:rsidR="00E659E3" w:rsidRPr="00433F7C" w:rsidRDefault="00E659E3" w:rsidP="00E659E3">
            <w:pPr>
              <w:rPr>
                <w:szCs w:val="24"/>
                <w:lang w:eastAsia="fr-BE"/>
              </w:rPr>
            </w:pPr>
            <w:r w:rsidRPr="00433F7C">
              <w:rPr>
                <w:szCs w:val="24"/>
                <w:lang w:eastAsia="fr-BE"/>
              </w:rPr>
              <w:t>Where audits and controls are carried out by a body other than the AA, the AA shall ensure that such bodies have the necessary functional independence. The decision on the body carrying out the system audits and operation audits (the checks on expenditure) will be taken by the AA and the GoA during the process of designing the audit strategy of the programme.</w:t>
            </w:r>
          </w:p>
          <w:p w:rsidR="00E659E3" w:rsidRDefault="00E659E3" w:rsidP="00E659E3">
            <w:pPr>
              <w:rPr>
                <w:szCs w:val="24"/>
                <w:lang w:eastAsia="fr-BE"/>
              </w:rPr>
            </w:pPr>
            <w:r w:rsidRPr="00433F7C">
              <w:rPr>
                <w:szCs w:val="24"/>
                <w:lang w:eastAsia="fr-BE"/>
              </w:rPr>
              <w:t>The AA shall in the implementation of its tasks, act in full accordance with Croatian institutional, legal and financial provisions.</w:t>
            </w:r>
          </w:p>
          <w:p w:rsidR="00055394" w:rsidRPr="003A787C" w:rsidRDefault="00055394" w:rsidP="00165043">
            <w:pPr>
              <w:keepNext/>
              <w:keepLines/>
              <w:outlineLvl w:val="2"/>
              <w:rPr>
                <w:rFonts w:eastAsiaTheme="majorEastAsia"/>
                <w:bCs/>
                <w:i/>
                <w:iCs/>
                <w:color w:val="4F81BD" w:themeColor="accent1"/>
                <w:szCs w:val="24"/>
              </w:rPr>
            </w:pPr>
            <w:r w:rsidRPr="003A787C">
              <w:rPr>
                <w:rFonts w:eastAsiaTheme="majorEastAsia"/>
                <w:bCs/>
                <w:i/>
                <w:iCs/>
                <w:color w:val="4F81BD" w:themeColor="accent1"/>
                <w:szCs w:val="24"/>
              </w:rPr>
              <w:t>5.3.f</w:t>
            </w:r>
            <w:r w:rsidRPr="003A787C">
              <w:rPr>
                <w:rFonts w:eastAsiaTheme="majorEastAsia"/>
                <w:bCs/>
                <w:i/>
                <w:iCs/>
                <w:color w:val="4F81BD" w:themeColor="accent1"/>
                <w:szCs w:val="24"/>
              </w:rPr>
              <w:tab/>
              <w:t>Joint secretariat</w:t>
            </w:r>
            <w:bookmarkEnd w:id="36"/>
            <w:bookmarkEnd w:id="37"/>
            <w:bookmarkEnd w:id="38"/>
            <w:bookmarkEnd w:id="39"/>
            <w:bookmarkEnd w:id="40"/>
          </w:p>
          <w:p w:rsidR="000404F7" w:rsidRPr="00433F7C" w:rsidRDefault="000404F7" w:rsidP="000404F7">
            <w:pPr>
              <w:rPr>
                <w:szCs w:val="24"/>
                <w:lang w:eastAsia="fr-BE"/>
              </w:rPr>
            </w:pPr>
            <w:r w:rsidRPr="00433F7C">
              <w:rPr>
                <w:szCs w:val="24"/>
                <w:lang w:eastAsia="fr-BE"/>
              </w:rPr>
              <w:t>Pursuant to Article 23</w:t>
            </w:r>
            <w:r>
              <w:rPr>
                <w:szCs w:val="24"/>
                <w:lang w:eastAsia="fr-BE"/>
              </w:rPr>
              <w:t xml:space="preserve"> </w:t>
            </w:r>
            <w:r w:rsidRPr="00433F7C">
              <w:rPr>
                <w:szCs w:val="24"/>
                <w:lang w:eastAsia="fr-BE"/>
              </w:rPr>
              <w:t xml:space="preserve">(2) of the ETC regulation, and as provided for in chapter 5.3, a joint secretariat </w:t>
            </w:r>
            <w:r w:rsidR="00161E08">
              <w:rPr>
                <w:szCs w:val="24"/>
                <w:lang w:eastAsia="fr-BE"/>
              </w:rPr>
              <w:t xml:space="preserve">(JS) </w:t>
            </w:r>
            <w:r w:rsidRPr="00433F7C">
              <w:rPr>
                <w:szCs w:val="24"/>
                <w:lang w:eastAsia="fr-BE"/>
              </w:rPr>
              <w:t xml:space="preserve">based in Zagreb, will be set up by the MA. </w:t>
            </w:r>
          </w:p>
          <w:p w:rsidR="000404F7" w:rsidRPr="00433F7C" w:rsidRDefault="000404F7" w:rsidP="000404F7">
            <w:pPr>
              <w:rPr>
                <w:szCs w:val="24"/>
                <w:lang w:eastAsia="fr-BE"/>
              </w:rPr>
            </w:pPr>
            <w:r w:rsidRPr="00433F7C">
              <w:rPr>
                <w:szCs w:val="24"/>
                <w:lang w:eastAsia="fr-BE"/>
              </w:rPr>
              <w:t xml:space="preserve">The JS will assist the MA and the JMC in carrying out their respective functions. </w:t>
            </w:r>
          </w:p>
          <w:p w:rsidR="000404F7" w:rsidRPr="00433F7C" w:rsidRDefault="000404F7" w:rsidP="000404F7">
            <w:pPr>
              <w:rPr>
                <w:szCs w:val="24"/>
                <w:lang w:eastAsia="fr-BE"/>
              </w:rPr>
            </w:pPr>
            <w:r w:rsidRPr="00433F7C">
              <w:rPr>
                <w:szCs w:val="24"/>
                <w:lang w:eastAsia="fr-BE"/>
              </w:rPr>
              <w:t xml:space="preserve">The JS undertakes the day-to-day implementation of the programme. In addition, JTS represents the programme on national, regional and local level. </w:t>
            </w:r>
            <w:r w:rsidR="00161E08" w:rsidRPr="00BA1BBC">
              <w:t>The JS will be the central contact point for potential project applicants and Lead Beneficiaries of selected/running operations.</w:t>
            </w:r>
            <w:r w:rsidR="00161E08">
              <w:t xml:space="preserve"> </w:t>
            </w:r>
            <w:r w:rsidR="00161E08" w:rsidRPr="00433F7C">
              <w:rPr>
                <w:szCs w:val="24"/>
                <w:lang w:eastAsia="fr-BE"/>
              </w:rPr>
              <w:t xml:space="preserve">The JS </w:t>
            </w:r>
            <w:r w:rsidR="00161E08">
              <w:rPr>
                <w:szCs w:val="24"/>
                <w:lang w:eastAsia="fr-BE"/>
              </w:rPr>
              <w:t xml:space="preserve">also </w:t>
            </w:r>
            <w:r w:rsidR="00161E08" w:rsidRPr="00433F7C">
              <w:rPr>
                <w:szCs w:val="24"/>
                <w:lang w:eastAsia="fr-BE"/>
              </w:rPr>
              <w:t xml:space="preserve">plays a crucial role as the interface between the programme bodies. </w:t>
            </w:r>
            <w:r w:rsidR="00161E08" w:rsidRPr="00972BB2">
              <w:t>More specifically, the JS ensures coordination, follow-up and promotion activities and provides technical support for the preparation of meetings and events at the programme level (</w:t>
            </w:r>
            <w:r w:rsidR="00161E08">
              <w:t>JMCs</w:t>
            </w:r>
            <w:r w:rsidR="00161E08" w:rsidRPr="00972BB2">
              <w:t xml:space="preserve">, </w:t>
            </w:r>
            <w:r w:rsidR="00161E08">
              <w:t>Lead Beneficiaries seminars, visibility c</w:t>
            </w:r>
            <w:r w:rsidR="00161E08" w:rsidRPr="00972BB2">
              <w:t>onferences</w:t>
            </w:r>
            <w:r w:rsidR="00161E08">
              <w:t xml:space="preserve"> and</w:t>
            </w:r>
            <w:r w:rsidR="00161E08" w:rsidRPr="00972BB2">
              <w:t xml:space="preserve"> other specific thematic</w:t>
            </w:r>
            <w:r w:rsidR="00161E08">
              <w:t xml:space="preserve">/working group </w:t>
            </w:r>
            <w:r w:rsidR="00161E08" w:rsidRPr="00972BB2">
              <w:t>meetings).</w:t>
            </w:r>
            <w:r w:rsidRPr="00433F7C">
              <w:rPr>
                <w:szCs w:val="24"/>
                <w:lang w:eastAsia="fr-BE"/>
              </w:rPr>
              <w:t xml:space="preserve">The </w:t>
            </w:r>
            <w:r w:rsidR="00B35C49">
              <w:rPr>
                <w:szCs w:val="24"/>
                <w:lang w:eastAsia="fr-BE"/>
              </w:rPr>
              <w:t xml:space="preserve">responsibilities </w:t>
            </w:r>
            <w:r w:rsidRPr="00433F7C">
              <w:rPr>
                <w:szCs w:val="24"/>
                <w:lang w:eastAsia="fr-BE"/>
              </w:rPr>
              <w:t xml:space="preserve">of the JS are listed in </w:t>
            </w:r>
            <w:r w:rsidRPr="00512440">
              <w:rPr>
                <w:szCs w:val="24"/>
                <w:lang w:eastAsia="fr-BE"/>
              </w:rPr>
              <w:t>Annex</w:t>
            </w:r>
            <w:r w:rsidR="00161E08">
              <w:rPr>
                <w:szCs w:val="24"/>
                <w:lang w:eastAsia="fr-BE"/>
              </w:rPr>
              <w:t xml:space="preserve"> 15</w:t>
            </w:r>
            <w:r w:rsidRPr="00512440">
              <w:rPr>
                <w:szCs w:val="24"/>
                <w:lang w:eastAsia="fr-BE"/>
              </w:rPr>
              <w:t>.</w:t>
            </w:r>
            <w:r w:rsidRPr="00433F7C">
              <w:rPr>
                <w:szCs w:val="24"/>
                <w:lang w:eastAsia="fr-BE"/>
              </w:rPr>
              <w:t xml:space="preserve"> </w:t>
            </w:r>
          </w:p>
          <w:p w:rsidR="000404F7" w:rsidRDefault="000404F7" w:rsidP="00165043">
            <w:pPr>
              <w:rPr>
                <w:szCs w:val="24"/>
                <w:lang w:eastAsia="fr-BE"/>
              </w:rPr>
            </w:pPr>
            <w:r w:rsidRPr="00433F7C">
              <w:rPr>
                <w:szCs w:val="24"/>
                <w:lang w:eastAsia="fr-BE"/>
              </w:rPr>
              <w:t>The annual work plans and reports of the JS have to be approved by the JMC. The set-up and functioning of JS, including its activities, shall be funded from the TA budget in line with MA/JS work plans and reports to be approved by the JMC annually.</w:t>
            </w:r>
          </w:p>
          <w:p w:rsidR="00F943B6" w:rsidRPr="003A787C" w:rsidRDefault="0083280A" w:rsidP="00165043">
            <w:pPr>
              <w:rPr>
                <w:szCs w:val="24"/>
              </w:rPr>
            </w:pPr>
            <w:r w:rsidRPr="0083280A">
              <w:rPr>
                <w:szCs w:val="24"/>
              </w:rPr>
              <w:t>Besides joint secretariat headquarters based in Croatia, antenna office</w:t>
            </w:r>
            <w:r>
              <w:rPr>
                <w:szCs w:val="24"/>
              </w:rPr>
              <w:t>s</w:t>
            </w:r>
            <w:r w:rsidRPr="0083280A">
              <w:rPr>
                <w:szCs w:val="24"/>
              </w:rPr>
              <w:t xml:space="preserve"> may be set in </w:t>
            </w:r>
            <w:r>
              <w:rPr>
                <w:szCs w:val="24"/>
              </w:rPr>
              <w:t>Bosnia and Herzegovina and Montenegro</w:t>
            </w:r>
            <w:r w:rsidRPr="0083280A">
              <w:rPr>
                <w:szCs w:val="24"/>
              </w:rPr>
              <w:t xml:space="preserve"> in order to ensure smooth and efficient programme implementation.</w:t>
            </w:r>
            <w:r w:rsidR="00055394" w:rsidRPr="003A787C">
              <w:rPr>
                <w:szCs w:val="24"/>
              </w:rPr>
              <w:t xml:space="preserve"> </w:t>
            </w:r>
          </w:p>
          <w:p w:rsidR="00055394" w:rsidRPr="003A787C" w:rsidRDefault="00055394" w:rsidP="00165043">
            <w:pPr>
              <w:keepNext/>
              <w:keepLines/>
              <w:outlineLvl w:val="2"/>
              <w:rPr>
                <w:rFonts w:eastAsiaTheme="majorEastAsia"/>
                <w:bCs/>
                <w:i/>
                <w:iCs/>
                <w:color w:val="4F81BD" w:themeColor="accent1"/>
                <w:szCs w:val="24"/>
              </w:rPr>
            </w:pPr>
            <w:bookmarkStart w:id="41" w:name="_Toc380741650"/>
            <w:bookmarkStart w:id="42" w:name="_Toc380869228"/>
            <w:bookmarkStart w:id="43" w:name="_Toc381108754"/>
            <w:bookmarkStart w:id="44" w:name="_Toc381109061"/>
            <w:bookmarkStart w:id="45" w:name="_Toc385488938"/>
            <w:r w:rsidRPr="003A787C">
              <w:rPr>
                <w:rFonts w:eastAsiaTheme="majorEastAsia"/>
                <w:bCs/>
                <w:i/>
                <w:iCs/>
                <w:color w:val="4F81BD" w:themeColor="accent1"/>
                <w:szCs w:val="24"/>
              </w:rPr>
              <w:t>5.3.i</w:t>
            </w:r>
            <w:r w:rsidRPr="003A787C">
              <w:rPr>
                <w:rFonts w:eastAsiaTheme="majorEastAsia"/>
                <w:bCs/>
                <w:i/>
                <w:iCs/>
                <w:color w:val="4F81BD" w:themeColor="accent1"/>
                <w:szCs w:val="24"/>
              </w:rPr>
              <w:tab/>
              <w:t>Project cycle</w:t>
            </w:r>
            <w:bookmarkEnd w:id="41"/>
            <w:bookmarkEnd w:id="42"/>
            <w:bookmarkEnd w:id="43"/>
            <w:bookmarkEnd w:id="44"/>
            <w:bookmarkEnd w:id="45"/>
          </w:p>
          <w:p w:rsidR="00055394" w:rsidRPr="003A787C" w:rsidRDefault="00055394" w:rsidP="00165043">
            <w:pPr>
              <w:keepNext/>
              <w:keepLines/>
              <w:outlineLvl w:val="2"/>
              <w:rPr>
                <w:rFonts w:eastAsiaTheme="majorEastAsia"/>
                <w:bCs/>
                <w:i/>
                <w:iCs/>
                <w:color w:val="4F81BD" w:themeColor="accent1"/>
                <w:szCs w:val="24"/>
              </w:rPr>
            </w:pPr>
            <w:bookmarkStart w:id="46" w:name="_Toc375214624"/>
            <w:bookmarkStart w:id="47" w:name="_Toc380741651"/>
            <w:bookmarkStart w:id="48" w:name="_Toc380869229"/>
            <w:bookmarkStart w:id="49" w:name="_Toc381108755"/>
            <w:bookmarkStart w:id="50" w:name="_Toc381109062"/>
            <w:bookmarkStart w:id="51" w:name="_Toc385488939"/>
            <w:r w:rsidRPr="003A787C">
              <w:rPr>
                <w:rFonts w:eastAsiaTheme="majorEastAsia"/>
                <w:bCs/>
                <w:i/>
                <w:iCs/>
                <w:color w:val="4F81BD" w:themeColor="accent1"/>
                <w:szCs w:val="24"/>
              </w:rPr>
              <w:t>Application</w:t>
            </w:r>
            <w:bookmarkEnd w:id="46"/>
            <w:bookmarkEnd w:id="47"/>
            <w:bookmarkEnd w:id="48"/>
            <w:bookmarkEnd w:id="49"/>
            <w:bookmarkEnd w:id="50"/>
            <w:bookmarkEnd w:id="51"/>
          </w:p>
          <w:p w:rsidR="00F943B6" w:rsidRPr="00433F7C" w:rsidRDefault="00F943B6" w:rsidP="00F943B6">
            <w:pPr>
              <w:rPr>
                <w:szCs w:val="24"/>
                <w:lang w:eastAsia="fr-BE"/>
              </w:rPr>
            </w:pPr>
            <w:bookmarkStart w:id="52" w:name="_Toc375214625"/>
            <w:bookmarkStart w:id="53" w:name="_Toc380741652"/>
            <w:bookmarkStart w:id="54" w:name="_Toc380869230"/>
            <w:bookmarkStart w:id="55" w:name="_Toc381108756"/>
            <w:bookmarkStart w:id="56" w:name="_Toc381109063"/>
            <w:bookmarkStart w:id="57" w:name="_Toc385488940"/>
            <w:r w:rsidRPr="00433F7C">
              <w:rPr>
                <w:szCs w:val="24"/>
                <w:lang w:eastAsia="fr-BE"/>
              </w:rPr>
              <w:lastRenderedPageBreak/>
              <w:t xml:space="preserve">The IPA CBC programme </w:t>
            </w:r>
            <w:r w:rsidRPr="00B427A3">
              <w:rPr>
                <w:szCs w:val="24"/>
              </w:rPr>
              <w:t xml:space="preserve">Croatia – Bosnia and Herzegovina – Montenegro </w:t>
            </w:r>
            <w:r w:rsidRPr="00433F7C">
              <w:rPr>
                <w:szCs w:val="24"/>
                <w:lang w:eastAsia="fr-BE"/>
              </w:rPr>
              <w:t xml:space="preserve">2014-2020 aims </w:t>
            </w:r>
            <w:r w:rsidR="00D36635">
              <w:rPr>
                <w:szCs w:val="24"/>
                <w:lang w:eastAsia="fr-BE"/>
              </w:rPr>
              <w:t xml:space="preserve">at </w:t>
            </w:r>
            <w:r w:rsidRPr="00433F7C">
              <w:rPr>
                <w:szCs w:val="24"/>
                <w:lang w:eastAsia="fr-BE"/>
              </w:rPr>
              <w:t xml:space="preserve">project generation and selection procedures that are both pro-active and transparent. This section contains basic information regarding the procedures and arrangements for the selection of operations. </w:t>
            </w:r>
          </w:p>
          <w:p w:rsidR="00F943B6" w:rsidRPr="00433F7C" w:rsidRDefault="00F943B6" w:rsidP="00F943B6">
            <w:pPr>
              <w:rPr>
                <w:szCs w:val="24"/>
                <w:lang w:eastAsia="fr-BE"/>
              </w:rPr>
            </w:pPr>
            <w:r w:rsidRPr="00433F7C">
              <w:rPr>
                <w:szCs w:val="24"/>
                <w:lang w:eastAsia="fr-BE"/>
              </w:rPr>
              <w:t xml:space="preserve">Further information about the application and selection process will be available to potential applicants in separate documents (call-specific application documents). </w:t>
            </w:r>
          </w:p>
          <w:p w:rsidR="00F943B6" w:rsidRPr="00433F7C" w:rsidRDefault="00F943B6" w:rsidP="00F943B6">
            <w:pPr>
              <w:rPr>
                <w:szCs w:val="24"/>
                <w:lang w:eastAsia="fr-BE"/>
              </w:rPr>
            </w:pPr>
            <w:r w:rsidRPr="00433F7C">
              <w:rPr>
                <w:szCs w:val="24"/>
                <w:lang w:eastAsia="fr-BE"/>
              </w:rPr>
              <w:t>The MA, with the support of the JS, launches official calls for proposals via relevant information channels such as the programme website as well as national channels (with the support of the NA’s). Calls for proposals might have different characteristics, i.e. they might be open to all programme priorities or thematically/strategically targeted in response to changed framework conditions in the area and/or taking into consideration the progress of the programme implementation (also as follow-up of the independent programme evaluation).</w:t>
            </w:r>
          </w:p>
          <w:p w:rsidR="00F943B6" w:rsidRPr="00433F7C" w:rsidRDefault="00F943B6" w:rsidP="00F943B6">
            <w:pPr>
              <w:rPr>
                <w:szCs w:val="24"/>
                <w:lang w:eastAsia="fr-BE"/>
              </w:rPr>
            </w:pPr>
            <w:r w:rsidRPr="00433F7C">
              <w:rPr>
                <w:szCs w:val="24"/>
                <w:lang w:eastAsia="fr-BE"/>
              </w:rPr>
              <w:t xml:space="preserve">According to the specific characteristics of each call for proposals, ad-hoc application procedures and templates will be developed and be part of the call-specific information and application package. It will be widely circulated and available </w:t>
            </w:r>
            <w:r w:rsidR="0014651E">
              <w:rPr>
                <w:szCs w:val="24"/>
                <w:lang w:eastAsia="fr-BE"/>
              </w:rPr>
              <w:t xml:space="preserve">on </w:t>
            </w:r>
            <w:r w:rsidRPr="00433F7C">
              <w:rPr>
                <w:szCs w:val="24"/>
                <w:lang w:eastAsia="fr-BE"/>
              </w:rPr>
              <w:t xml:space="preserve">the programme and national websites. The information and application package will include the necessary guidance to assist partnerships in the preparation of their application. </w:t>
            </w:r>
          </w:p>
          <w:p w:rsidR="00F943B6" w:rsidRDefault="00F943B6" w:rsidP="00F943B6">
            <w:pPr>
              <w:rPr>
                <w:szCs w:val="24"/>
                <w:lang w:eastAsia="fr-BE"/>
              </w:rPr>
            </w:pPr>
            <w:r w:rsidRPr="00433F7C">
              <w:rPr>
                <w:szCs w:val="24"/>
                <w:lang w:eastAsia="fr-BE"/>
              </w:rPr>
              <w:t>Applications will be submitted to the MA/JS by the lead applicant.</w:t>
            </w:r>
          </w:p>
          <w:p w:rsidR="00055394" w:rsidRPr="003A787C" w:rsidRDefault="00055394" w:rsidP="00165043">
            <w:pPr>
              <w:keepNext/>
              <w:keepLines/>
              <w:outlineLvl w:val="2"/>
              <w:rPr>
                <w:rFonts w:eastAsiaTheme="majorEastAsia"/>
                <w:bCs/>
                <w:i/>
                <w:iCs/>
                <w:color w:val="4F81BD" w:themeColor="accent1"/>
                <w:szCs w:val="24"/>
              </w:rPr>
            </w:pPr>
            <w:r w:rsidRPr="003A787C">
              <w:rPr>
                <w:rFonts w:eastAsiaTheme="majorEastAsia"/>
                <w:bCs/>
                <w:i/>
                <w:iCs/>
                <w:color w:val="4F81BD" w:themeColor="accent1"/>
                <w:szCs w:val="24"/>
              </w:rPr>
              <w:t>Assessment and selection</w:t>
            </w:r>
            <w:bookmarkEnd w:id="52"/>
            <w:bookmarkEnd w:id="53"/>
            <w:bookmarkEnd w:id="54"/>
            <w:bookmarkEnd w:id="55"/>
            <w:bookmarkEnd w:id="56"/>
            <w:bookmarkEnd w:id="57"/>
            <w:r w:rsidRPr="003A787C">
              <w:rPr>
                <w:rFonts w:eastAsiaTheme="majorEastAsia"/>
                <w:bCs/>
                <w:i/>
                <w:iCs/>
                <w:color w:val="4F81BD" w:themeColor="accent1"/>
                <w:szCs w:val="24"/>
              </w:rPr>
              <w:t xml:space="preserve"> of operations</w:t>
            </w:r>
          </w:p>
          <w:p w:rsidR="00B260C9" w:rsidRPr="00433F7C" w:rsidRDefault="00B260C9" w:rsidP="00B260C9">
            <w:pPr>
              <w:rPr>
                <w:szCs w:val="24"/>
                <w:lang w:eastAsia="fr-BE"/>
              </w:rPr>
            </w:pPr>
            <w:r w:rsidRPr="00433F7C">
              <w:rPr>
                <w:szCs w:val="24"/>
                <w:lang w:eastAsia="fr-BE"/>
              </w:rPr>
              <w:t xml:space="preserve">The selection of operations under IPA CBC programme </w:t>
            </w:r>
            <w:r w:rsidRPr="00B427A3">
              <w:t>Croatia – Bosnia and Herzegovina – Montenegro</w:t>
            </w:r>
            <w:r w:rsidRPr="00433F7C">
              <w:rPr>
                <w:szCs w:val="24"/>
                <w:lang w:eastAsia="fr-BE"/>
              </w:rPr>
              <w:t xml:space="preserve"> 2014-2020 is carried out in accordance to Article 39 of Commission Implementing Regulation (EU) No 447/2014 following a standardised assessment procedure. The methodological framework for the selection of operations includes:</w:t>
            </w:r>
          </w:p>
          <w:p w:rsidR="00B260C9" w:rsidRPr="00433F7C" w:rsidRDefault="00B260C9" w:rsidP="00CB1819">
            <w:pPr>
              <w:pStyle w:val="ListParagraph"/>
              <w:numPr>
                <w:ilvl w:val="0"/>
                <w:numId w:val="60"/>
              </w:numPr>
              <w:spacing w:after="0"/>
              <w:rPr>
                <w:szCs w:val="24"/>
                <w:lang w:eastAsia="fr-BE"/>
              </w:rPr>
            </w:pPr>
            <w:r w:rsidRPr="00433F7C">
              <w:rPr>
                <w:szCs w:val="24"/>
                <w:lang w:eastAsia="fr-BE"/>
              </w:rPr>
              <w:t xml:space="preserve">eligibility check </w:t>
            </w:r>
          </w:p>
          <w:p w:rsidR="00055394" w:rsidRDefault="00B260C9" w:rsidP="00CB1819">
            <w:pPr>
              <w:pStyle w:val="ListParagraph"/>
              <w:numPr>
                <w:ilvl w:val="0"/>
                <w:numId w:val="60"/>
              </w:numPr>
              <w:spacing w:after="0"/>
              <w:rPr>
                <w:szCs w:val="24"/>
                <w:lang w:eastAsia="fr-BE"/>
              </w:rPr>
            </w:pPr>
            <w:r w:rsidRPr="00433F7C">
              <w:rPr>
                <w:szCs w:val="24"/>
                <w:lang w:eastAsia="fr-BE"/>
              </w:rPr>
              <w:t xml:space="preserve">quality assessment </w:t>
            </w:r>
          </w:p>
          <w:p w:rsidR="00B260C9" w:rsidRPr="00B260C9" w:rsidRDefault="00B260C9" w:rsidP="00B260C9">
            <w:pPr>
              <w:pStyle w:val="ListParagraph"/>
              <w:spacing w:after="0"/>
              <w:rPr>
                <w:szCs w:val="24"/>
                <w:lang w:eastAsia="fr-BE"/>
              </w:rPr>
            </w:pPr>
          </w:p>
          <w:p w:rsidR="00055394" w:rsidRPr="00B260C9" w:rsidRDefault="00055394" w:rsidP="00CB1819">
            <w:pPr>
              <w:pStyle w:val="ListParagraph"/>
              <w:keepNext/>
              <w:keepLines/>
              <w:numPr>
                <w:ilvl w:val="0"/>
                <w:numId w:val="49"/>
              </w:numPr>
              <w:spacing w:before="120" w:after="120"/>
              <w:contextualSpacing/>
              <w:outlineLvl w:val="2"/>
              <w:rPr>
                <w:rFonts w:eastAsiaTheme="majorEastAsia" w:cstheme="minorBidi"/>
                <w:bCs/>
                <w:i/>
                <w:iCs/>
                <w:color w:val="4F81BD" w:themeColor="accent1"/>
                <w:szCs w:val="24"/>
                <w:lang w:val="en-US" w:eastAsia="ja-JP"/>
              </w:rPr>
            </w:pPr>
            <w:r w:rsidRPr="003A787C">
              <w:rPr>
                <w:rFonts w:eastAsiaTheme="majorEastAsia"/>
                <w:bCs/>
                <w:i/>
                <w:iCs/>
                <w:color w:val="4F81BD" w:themeColor="accent1"/>
                <w:szCs w:val="24"/>
              </w:rPr>
              <w:t>Eligibility check</w:t>
            </w:r>
          </w:p>
          <w:p w:rsidR="00055394" w:rsidRPr="003A787C" w:rsidRDefault="00055394" w:rsidP="00165043">
            <w:pPr>
              <w:rPr>
                <w:b/>
                <w:i/>
                <w:szCs w:val="24"/>
              </w:rPr>
            </w:pPr>
            <w:r w:rsidRPr="003A787C">
              <w:rPr>
                <w:b/>
                <w:i/>
                <w:szCs w:val="24"/>
              </w:rPr>
              <w:t>Eligibility criteria</w:t>
            </w:r>
          </w:p>
          <w:p w:rsidR="00055394" w:rsidRPr="003A787C" w:rsidRDefault="00055394" w:rsidP="00165043">
            <w:pPr>
              <w:rPr>
                <w:noProof/>
                <w:szCs w:val="24"/>
                <w:lang w:eastAsia="fr-BE"/>
              </w:rPr>
            </w:pPr>
            <w:r w:rsidRPr="003A787C">
              <w:rPr>
                <w:noProof/>
                <w:szCs w:val="24"/>
                <w:lang w:eastAsia="fr-BE"/>
              </w:rPr>
              <w:t xml:space="preserve">A set of eligibility criteria will be defined to ensure the accomplishment of formal requirements of submitted applications. The set of eligibility criteria will especially include the following: </w:t>
            </w:r>
          </w:p>
          <w:p w:rsidR="00055394" w:rsidRPr="003A787C" w:rsidRDefault="00055394" w:rsidP="00C41A2C">
            <w:pPr>
              <w:numPr>
                <w:ilvl w:val="0"/>
                <w:numId w:val="48"/>
              </w:numPr>
              <w:spacing w:before="0" w:after="0"/>
              <w:ind w:left="284" w:hanging="284"/>
              <w:rPr>
                <w:rFonts w:eastAsiaTheme="minorEastAsia" w:cstheme="minorBidi"/>
                <w:szCs w:val="24"/>
                <w:lang w:val="en-US" w:eastAsia="de-DE"/>
              </w:rPr>
            </w:pPr>
            <w:r w:rsidRPr="003A787C">
              <w:rPr>
                <w:szCs w:val="24"/>
                <w:lang w:eastAsia="de-DE"/>
              </w:rPr>
              <w:t>Submission of the application in due time</w:t>
            </w:r>
          </w:p>
          <w:p w:rsidR="00055394" w:rsidRPr="003A787C" w:rsidRDefault="00055394" w:rsidP="00C41A2C">
            <w:pPr>
              <w:numPr>
                <w:ilvl w:val="0"/>
                <w:numId w:val="48"/>
              </w:numPr>
              <w:spacing w:before="0" w:after="0"/>
              <w:ind w:left="284" w:hanging="284"/>
              <w:rPr>
                <w:rFonts w:eastAsiaTheme="minorEastAsia" w:cstheme="minorBidi"/>
                <w:szCs w:val="24"/>
                <w:lang w:val="en-US" w:eastAsia="de-DE"/>
              </w:rPr>
            </w:pPr>
            <w:r w:rsidRPr="003A787C">
              <w:rPr>
                <w:szCs w:val="24"/>
                <w:lang w:eastAsia="de-DE"/>
              </w:rPr>
              <w:t>Completeness of the submitted application documents</w:t>
            </w:r>
          </w:p>
          <w:p w:rsidR="00055394" w:rsidRPr="003A787C" w:rsidRDefault="00055394" w:rsidP="00C41A2C">
            <w:pPr>
              <w:numPr>
                <w:ilvl w:val="0"/>
                <w:numId w:val="48"/>
              </w:numPr>
              <w:spacing w:before="0" w:after="0"/>
              <w:ind w:left="284" w:hanging="284"/>
              <w:rPr>
                <w:rFonts w:eastAsiaTheme="minorEastAsia" w:cstheme="minorBidi"/>
                <w:szCs w:val="24"/>
                <w:lang w:val="en-US" w:eastAsia="de-DE"/>
              </w:rPr>
            </w:pPr>
            <w:r w:rsidRPr="003A787C">
              <w:rPr>
                <w:szCs w:val="24"/>
                <w:lang w:eastAsia="de-DE"/>
              </w:rPr>
              <w:t xml:space="preserve">Eligibility of partnership (at least two partners, one of whom shall be located in Croatia) </w:t>
            </w:r>
          </w:p>
          <w:p w:rsidR="00055394" w:rsidRPr="003A787C" w:rsidRDefault="00055394" w:rsidP="00C41A2C">
            <w:pPr>
              <w:numPr>
                <w:ilvl w:val="0"/>
                <w:numId w:val="48"/>
              </w:numPr>
              <w:spacing w:before="0" w:after="0"/>
              <w:ind w:left="284" w:hanging="284"/>
              <w:rPr>
                <w:rFonts w:eastAsiaTheme="minorEastAsia" w:cstheme="minorBidi"/>
                <w:szCs w:val="24"/>
                <w:lang w:val="en-US" w:eastAsia="de-DE"/>
              </w:rPr>
            </w:pPr>
            <w:r w:rsidRPr="003A787C">
              <w:rPr>
                <w:szCs w:val="24"/>
                <w:lang w:eastAsia="de-DE"/>
              </w:rPr>
              <w:t>No funding by other EU financial sources</w:t>
            </w:r>
          </w:p>
          <w:p w:rsidR="00055394" w:rsidRPr="003A787C" w:rsidRDefault="00055394" w:rsidP="00165043">
            <w:pPr>
              <w:rPr>
                <w:b/>
                <w:i/>
                <w:szCs w:val="24"/>
              </w:rPr>
            </w:pPr>
          </w:p>
          <w:p w:rsidR="00055394" w:rsidRPr="003A787C" w:rsidRDefault="00055394" w:rsidP="00165043">
            <w:pPr>
              <w:rPr>
                <w:b/>
                <w:i/>
                <w:szCs w:val="24"/>
              </w:rPr>
            </w:pPr>
            <w:r w:rsidRPr="003A787C">
              <w:rPr>
                <w:b/>
                <w:i/>
                <w:szCs w:val="24"/>
              </w:rPr>
              <w:t xml:space="preserve">Eligibility of partnership - definition of partners </w:t>
            </w:r>
          </w:p>
          <w:p w:rsidR="00B260C9" w:rsidRPr="00433F7C" w:rsidRDefault="00B260C9" w:rsidP="00B260C9">
            <w:pPr>
              <w:rPr>
                <w:szCs w:val="24"/>
                <w:lang w:eastAsia="fr-BE"/>
              </w:rPr>
            </w:pPr>
            <w:r w:rsidRPr="00433F7C">
              <w:rPr>
                <w:szCs w:val="24"/>
                <w:lang w:eastAsia="fr-BE"/>
              </w:rPr>
              <w:t xml:space="preserve">In the IPA CBC programme </w:t>
            </w:r>
            <w:r w:rsidRPr="00B427A3">
              <w:t xml:space="preserve">Croatia – Bosnia and Herzegovina – Montenegro </w:t>
            </w:r>
            <w:r w:rsidRPr="00433F7C">
              <w:rPr>
                <w:szCs w:val="24"/>
                <w:lang w:eastAsia="fr-BE"/>
              </w:rPr>
              <w:t xml:space="preserve">2014-2020  partners participating in operations shall be the following: </w:t>
            </w:r>
          </w:p>
          <w:p w:rsidR="00B260C9" w:rsidRPr="00433F7C" w:rsidRDefault="00B260C9" w:rsidP="00CB1819">
            <w:pPr>
              <w:pStyle w:val="ListParagraph"/>
              <w:numPr>
                <w:ilvl w:val="0"/>
                <w:numId w:val="61"/>
              </w:numPr>
              <w:spacing w:after="0"/>
              <w:rPr>
                <w:szCs w:val="24"/>
                <w:lang w:eastAsia="fr-BE"/>
              </w:rPr>
            </w:pPr>
            <w:r w:rsidRPr="00433F7C">
              <w:rPr>
                <w:szCs w:val="24"/>
                <w:lang w:eastAsia="fr-BE"/>
              </w:rPr>
              <w:t xml:space="preserve">National, regional and local public bodies/institutions (for example, institutes, </w:t>
            </w:r>
            <w:r w:rsidRPr="00433F7C">
              <w:rPr>
                <w:szCs w:val="24"/>
                <w:lang w:eastAsia="fr-BE"/>
              </w:rPr>
              <w:lastRenderedPageBreak/>
              <w:t xml:space="preserve">development agencies and similar)  </w:t>
            </w:r>
          </w:p>
          <w:p w:rsidR="00B260C9" w:rsidRPr="00433F7C" w:rsidRDefault="00B260C9" w:rsidP="00CB1819">
            <w:pPr>
              <w:pStyle w:val="ListParagraph"/>
              <w:numPr>
                <w:ilvl w:val="0"/>
                <w:numId w:val="61"/>
              </w:numPr>
              <w:spacing w:after="0"/>
              <w:rPr>
                <w:szCs w:val="24"/>
                <w:lang w:eastAsia="fr-BE"/>
              </w:rPr>
            </w:pPr>
            <w:r w:rsidRPr="00433F7C">
              <w:rPr>
                <w:szCs w:val="24"/>
                <w:lang w:eastAsia="fr-BE"/>
              </w:rPr>
              <w:t>NGOs (for example, citizens associations, development agencies, local action groups, chambers, expert associations,  etc)</w:t>
            </w:r>
          </w:p>
          <w:p w:rsidR="00B260C9" w:rsidRPr="00433F7C" w:rsidRDefault="00B260C9" w:rsidP="00CB1819">
            <w:pPr>
              <w:pStyle w:val="ListParagraph"/>
              <w:numPr>
                <w:ilvl w:val="0"/>
                <w:numId w:val="61"/>
              </w:numPr>
              <w:spacing w:after="0"/>
              <w:rPr>
                <w:szCs w:val="24"/>
                <w:lang w:eastAsia="fr-BE"/>
              </w:rPr>
            </w:pPr>
            <w:r w:rsidRPr="00433F7C">
              <w:rPr>
                <w:szCs w:val="24"/>
                <w:lang w:eastAsia="fr-BE"/>
              </w:rPr>
              <w:t>Educational institutions (for example universities, faculties, open universities, adult educational institutions, primary and secondary schools)</w:t>
            </w:r>
          </w:p>
          <w:p w:rsidR="00B260C9" w:rsidRPr="00433F7C" w:rsidRDefault="00B260C9" w:rsidP="00CB1819">
            <w:pPr>
              <w:pStyle w:val="ListParagraph"/>
              <w:numPr>
                <w:ilvl w:val="0"/>
                <w:numId w:val="61"/>
              </w:numPr>
              <w:spacing w:after="0"/>
              <w:rPr>
                <w:szCs w:val="24"/>
                <w:lang w:eastAsia="fr-BE"/>
              </w:rPr>
            </w:pPr>
            <w:r w:rsidRPr="00433F7C">
              <w:rPr>
                <w:szCs w:val="24"/>
                <w:lang w:eastAsia="fr-BE"/>
              </w:rPr>
              <w:t>Local and regional authorities</w:t>
            </w:r>
          </w:p>
          <w:p w:rsidR="00B260C9" w:rsidRPr="00433F7C" w:rsidRDefault="00B260C9" w:rsidP="00CB1819">
            <w:pPr>
              <w:pStyle w:val="ListParagraph"/>
              <w:numPr>
                <w:ilvl w:val="0"/>
                <w:numId w:val="61"/>
              </w:numPr>
              <w:spacing w:after="0"/>
              <w:rPr>
                <w:szCs w:val="24"/>
                <w:lang w:eastAsia="fr-BE"/>
              </w:rPr>
            </w:pPr>
            <w:r w:rsidRPr="00433F7C">
              <w:rPr>
                <w:szCs w:val="24"/>
                <w:lang w:eastAsia="fr-BE"/>
              </w:rPr>
              <w:t>Business support institutions</w:t>
            </w:r>
          </w:p>
          <w:p w:rsidR="00B260C9" w:rsidRPr="00433F7C" w:rsidRDefault="00B260C9" w:rsidP="00CB1819">
            <w:pPr>
              <w:pStyle w:val="ListParagraph"/>
              <w:numPr>
                <w:ilvl w:val="0"/>
                <w:numId w:val="61"/>
              </w:numPr>
              <w:spacing w:after="0"/>
              <w:rPr>
                <w:szCs w:val="24"/>
                <w:lang w:eastAsia="fr-BE"/>
              </w:rPr>
            </w:pPr>
            <w:r w:rsidRPr="00433F7C">
              <w:rPr>
                <w:szCs w:val="24"/>
                <w:lang w:eastAsia="fr-BE"/>
              </w:rPr>
              <w:t>Organisations responsible for providing social and health services</w:t>
            </w:r>
          </w:p>
          <w:p w:rsidR="00B260C9" w:rsidRPr="00433F7C" w:rsidRDefault="00B260C9" w:rsidP="00CB1819">
            <w:pPr>
              <w:pStyle w:val="ListParagraph"/>
              <w:numPr>
                <w:ilvl w:val="0"/>
                <w:numId w:val="61"/>
              </w:numPr>
              <w:spacing w:after="0"/>
              <w:rPr>
                <w:szCs w:val="24"/>
                <w:lang w:eastAsia="fr-BE"/>
              </w:rPr>
            </w:pPr>
            <w:r w:rsidRPr="00433F7C">
              <w:rPr>
                <w:szCs w:val="24"/>
                <w:lang w:eastAsia="fr-BE"/>
              </w:rPr>
              <w:t>Public /non-profit organisations including institutes, universities, colleges</w:t>
            </w:r>
          </w:p>
          <w:p w:rsidR="00B260C9" w:rsidRPr="00C41A2C" w:rsidRDefault="00B260C9" w:rsidP="00C41A2C">
            <w:pPr>
              <w:pStyle w:val="ListParagraph"/>
              <w:numPr>
                <w:ilvl w:val="0"/>
                <w:numId w:val="61"/>
              </w:numPr>
              <w:spacing w:after="0"/>
              <w:rPr>
                <w:szCs w:val="24"/>
                <w:lang w:eastAsia="fr-BE"/>
              </w:rPr>
            </w:pPr>
            <w:r w:rsidRPr="00433F7C">
              <w:rPr>
                <w:szCs w:val="24"/>
                <w:lang w:eastAsia="fr-BE"/>
              </w:rPr>
              <w:t xml:space="preserve">International organisations acting under the national law of one of the participating countries, </w:t>
            </w:r>
            <w:r w:rsidR="00C41A2C">
              <w:rPr>
                <w:szCs w:val="24"/>
                <w:lang w:eastAsia="fr-BE"/>
              </w:rPr>
              <w:t xml:space="preserve">or </w:t>
            </w:r>
            <w:r w:rsidRPr="00433F7C">
              <w:rPr>
                <w:szCs w:val="24"/>
                <w:lang w:eastAsia="fr-BE"/>
              </w:rPr>
              <w:t>under international law</w:t>
            </w:r>
            <w:r w:rsidR="00C41A2C" w:rsidRPr="00BA1BBC">
              <w:t xml:space="preserve"> provided that the international organization fulfils the programme and national requirements in terms of control and validation of costs</w:t>
            </w:r>
            <w:r w:rsidR="00C41A2C" w:rsidRPr="00433F7C">
              <w:rPr>
                <w:szCs w:val="24"/>
                <w:lang w:eastAsia="fr-BE"/>
              </w:rPr>
              <w:t xml:space="preserve"> </w:t>
            </w:r>
          </w:p>
          <w:p w:rsidR="00B260C9" w:rsidRPr="00433F7C" w:rsidRDefault="00B260C9" w:rsidP="00B260C9">
            <w:pPr>
              <w:rPr>
                <w:szCs w:val="24"/>
                <w:lang w:eastAsia="fr-BE"/>
              </w:rPr>
            </w:pPr>
            <w:r w:rsidRPr="00433F7C">
              <w:rPr>
                <w:szCs w:val="24"/>
                <w:lang w:eastAsia="fr-BE"/>
              </w:rPr>
              <w:t>Further details concerning participation in operations will be defined by the JMC in agreement with the MA and will be laid down in the call-specific application documents.</w:t>
            </w:r>
          </w:p>
          <w:p w:rsidR="00B260C9" w:rsidRPr="00433F7C" w:rsidRDefault="00B260C9" w:rsidP="00B260C9">
            <w:pPr>
              <w:rPr>
                <w:szCs w:val="24"/>
                <w:lang w:eastAsia="fr-BE"/>
              </w:rPr>
            </w:pPr>
            <w:r w:rsidRPr="00433F7C">
              <w:rPr>
                <w:szCs w:val="24"/>
                <w:lang w:eastAsia="fr-BE"/>
              </w:rPr>
              <w:t xml:space="preserve">Any public support under this programme must comply with the state aid rules applicable at the point of time when the public support is granted. </w:t>
            </w:r>
          </w:p>
          <w:p w:rsidR="00B260C9" w:rsidRPr="009657E6" w:rsidRDefault="00B260C9" w:rsidP="00B260C9">
            <w:pPr>
              <w:rPr>
                <w:b/>
                <w:i/>
                <w:szCs w:val="24"/>
                <w:lang w:eastAsia="fr-BE"/>
              </w:rPr>
            </w:pPr>
            <w:r w:rsidRPr="009657E6">
              <w:rPr>
                <w:b/>
                <w:i/>
                <w:szCs w:val="24"/>
                <w:lang w:eastAsia="fr-BE"/>
              </w:rPr>
              <w:t>Eligibility of partners - geographical eligibility</w:t>
            </w:r>
          </w:p>
          <w:p w:rsidR="00B260C9" w:rsidRPr="00433F7C" w:rsidRDefault="00B260C9" w:rsidP="00B260C9">
            <w:pPr>
              <w:rPr>
                <w:szCs w:val="24"/>
                <w:lang w:eastAsia="fr-BE"/>
              </w:rPr>
            </w:pPr>
            <w:r w:rsidRPr="00433F7C">
              <w:rPr>
                <w:szCs w:val="24"/>
                <w:lang w:eastAsia="fr-BE"/>
              </w:rPr>
              <w:t xml:space="preserve">As a basic principle, the IPA CBC programme </w:t>
            </w:r>
            <w:r w:rsidRPr="00B427A3">
              <w:t xml:space="preserve">Croatia – Bosnia and Herzegovina – Montenegro </w:t>
            </w:r>
            <w:r w:rsidRPr="00433F7C">
              <w:rPr>
                <w:szCs w:val="24"/>
                <w:lang w:eastAsia="fr-BE"/>
              </w:rPr>
              <w:t>2014-2020 selected operations shall involve beneficiaries from at least two participating countries, at least one of which shall be from Croatia as Member State.</w:t>
            </w:r>
          </w:p>
          <w:p w:rsidR="00B260C9" w:rsidRPr="00433F7C" w:rsidRDefault="0014651E" w:rsidP="00B260C9">
            <w:pPr>
              <w:rPr>
                <w:szCs w:val="24"/>
                <w:lang w:eastAsia="fr-BE"/>
              </w:rPr>
            </w:pPr>
            <w:r>
              <w:rPr>
                <w:szCs w:val="24"/>
                <w:lang w:eastAsia="fr-BE"/>
              </w:rPr>
              <w:t>T</w:t>
            </w:r>
            <w:r w:rsidRPr="00433F7C">
              <w:rPr>
                <w:szCs w:val="24"/>
                <w:lang w:eastAsia="fr-BE"/>
              </w:rPr>
              <w:t xml:space="preserve">he Programme will mainly support cooperation activities between lead beneficiaries and project partners located </w:t>
            </w:r>
            <w:r>
              <w:rPr>
                <w:szCs w:val="24"/>
                <w:lang w:eastAsia="fr-BE"/>
              </w:rPr>
              <w:t xml:space="preserve">(registered) </w:t>
            </w:r>
            <w:r w:rsidRPr="00433F7C">
              <w:rPr>
                <w:szCs w:val="24"/>
                <w:lang w:eastAsia="fr-BE"/>
              </w:rPr>
              <w:t xml:space="preserve">in the programme area of the participating countries. </w:t>
            </w:r>
            <w:r w:rsidR="00B260C9" w:rsidRPr="00433F7C">
              <w:rPr>
                <w:szCs w:val="24"/>
                <w:lang w:eastAsia="fr-BE"/>
              </w:rPr>
              <w:t xml:space="preserve">An exception to the rule with regard to the location of partners is the case of those national public authorities/bodies which are competent in their scope of action for certain parts of the eligible area but which are located outside of the programme area (e.g. relevant ministries). </w:t>
            </w:r>
          </w:p>
          <w:p w:rsidR="00B260C9" w:rsidRDefault="00B260C9" w:rsidP="00165043">
            <w:pPr>
              <w:rPr>
                <w:szCs w:val="24"/>
                <w:lang w:eastAsia="fr-BE"/>
              </w:rPr>
            </w:pPr>
            <w:r w:rsidRPr="00433F7C">
              <w:rPr>
                <w:szCs w:val="24"/>
                <w:lang w:eastAsia="fr-BE"/>
              </w:rPr>
              <w:t>In addition to the above, and in duly justified cases, MA may accept to finance the implementation of part of an operation that is implemented outside the programme area provided that the conditions set under Article 44</w:t>
            </w:r>
            <w:r>
              <w:rPr>
                <w:szCs w:val="24"/>
                <w:lang w:eastAsia="fr-BE"/>
              </w:rPr>
              <w:t xml:space="preserve"> </w:t>
            </w:r>
            <w:r w:rsidRPr="00433F7C">
              <w:rPr>
                <w:szCs w:val="24"/>
                <w:lang w:eastAsia="fr-BE"/>
              </w:rPr>
              <w:t>(2) of the Commission Implementing Regulation no. 447/2014 are met.</w:t>
            </w:r>
          </w:p>
          <w:p w:rsidR="00055394" w:rsidRPr="00C57D63" w:rsidRDefault="00055394" w:rsidP="00CB1819">
            <w:pPr>
              <w:pStyle w:val="ListParagraph"/>
              <w:numPr>
                <w:ilvl w:val="0"/>
                <w:numId w:val="49"/>
              </w:numPr>
              <w:rPr>
                <w:rFonts w:eastAsiaTheme="majorEastAsia" w:cstheme="minorBidi"/>
                <w:bCs/>
                <w:i/>
                <w:iCs/>
                <w:color w:val="4F81BD" w:themeColor="accent1"/>
                <w:szCs w:val="24"/>
                <w:lang w:val="en-US" w:eastAsia="ja-JP"/>
              </w:rPr>
            </w:pPr>
            <w:r w:rsidRPr="00C57D63">
              <w:rPr>
                <w:rFonts w:eastAsiaTheme="majorEastAsia"/>
                <w:bCs/>
                <w:i/>
                <w:iCs/>
                <w:color w:val="4F81BD" w:themeColor="accent1"/>
                <w:szCs w:val="24"/>
              </w:rPr>
              <w:t>Quality assessment</w:t>
            </w:r>
          </w:p>
          <w:p w:rsidR="00FE6840" w:rsidRPr="00433F7C" w:rsidRDefault="00FE6840" w:rsidP="00FE6840">
            <w:pPr>
              <w:rPr>
                <w:szCs w:val="24"/>
                <w:lang w:eastAsia="fr-BE"/>
              </w:rPr>
            </w:pPr>
            <w:bookmarkStart w:id="58" w:name="_Toc375214626"/>
            <w:bookmarkStart w:id="59" w:name="_Toc380741653"/>
            <w:bookmarkStart w:id="60" w:name="_Toc380869231"/>
            <w:bookmarkStart w:id="61" w:name="_Toc381108757"/>
            <w:bookmarkStart w:id="62" w:name="_Toc381109064"/>
            <w:bookmarkStart w:id="63" w:name="_Toc385488941"/>
            <w:r w:rsidRPr="00433F7C">
              <w:rPr>
                <w:szCs w:val="24"/>
                <w:lang w:eastAsia="fr-BE"/>
              </w:rPr>
              <w:t>Quality assessment consists of three (3) sets of quality assessment criteria relate</w:t>
            </w:r>
            <w:r w:rsidR="00931065">
              <w:rPr>
                <w:szCs w:val="24"/>
                <w:lang w:eastAsia="fr-BE"/>
              </w:rPr>
              <w:t>d</w:t>
            </w:r>
            <w:r w:rsidRPr="00433F7C">
              <w:rPr>
                <w:szCs w:val="24"/>
                <w:lang w:eastAsia="fr-BE"/>
              </w:rPr>
              <w:t xml:space="preserve"> to the quality of an application and will be applied to those applications that have passed the eligibility check. Quality assessment criteria are designed to assess the compliance of applications with regard to the </w:t>
            </w:r>
            <w:r w:rsidR="00931065" w:rsidRPr="00810163">
              <w:rPr>
                <w:rFonts w:eastAsia="Times New Roman"/>
              </w:rPr>
              <w:t>relevance, operational and sustainability criteria</w:t>
            </w:r>
            <w:r w:rsidR="00931065">
              <w:rPr>
                <w:szCs w:val="24"/>
                <w:lang w:eastAsia="fr-BE"/>
              </w:rPr>
              <w:t xml:space="preserve"> as </w:t>
            </w:r>
            <w:r w:rsidR="00C41A2C">
              <w:rPr>
                <w:szCs w:val="24"/>
                <w:lang w:eastAsia="fr-BE"/>
              </w:rPr>
              <w:t xml:space="preserve">for </w:t>
            </w:r>
            <w:r w:rsidR="00C41A2C" w:rsidRPr="00433F7C">
              <w:rPr>
                <w:szCs w:val="24"/>
                <w:lang w:eastAsia="fr-BE"/>
              </w:rPr>
              <w:t>regular calls for proposals</w:t>
            </w:r>
            <w:r w:rsidR="00C41A2C" w:rsidRPr="00433F7C" w:rsidDel="00931065">
              <w:rPr>
                <w:szCs w:val="24"/>
                <w:lang w:eastAsia="fr-BE"/>
              </w:rPr>
              <w:t xml:space="preserve"> </w:t>
            </w:r>
            <w:r w:rsidR="00C41A2C">
              <w:rPr>
                <w:szCs w:val="24"/>
                <w:lang w:eastAsia="fr-BE"/>
              </w:rPr>
              <w:t xml:space="preserve">and </w:t>
            </w:r>
            <w:r w:rsidR="00C41A2C">
              <w:rPr>
                <w:rFonts w:eastAsia="Times New Roman"/>
              </w:rPr>
              <w:t xml:space="preserve">relevance, operational, </w:t>
            </w:r>
            <w:r w:rsidR="00C41A2C" w:rsidRPr="00810163">
              <w:rPr>
                <w:rFonts w:eastAsia="Times New Roman"/>
              </w:rPr>
              <w:t xml:space="preserve">sustainability </w:t>
            </w:r>
            <w:r w:rsidR="00C41A2C">
              <w:rPr>
                <w:rFonts w:eastAsia="Times New Roman"/>
              </w:rPr>
              <w:t xml:space="preserve">and strategic </w:t>
            </w:r>
            <w:r w:rsidR="00C41A2C" w:rsidRPr="00810163">
              <w:rPr>
                <w:rFonts w:eastAsia="Times New Roman"/>
              </w:rPr>
              <w:t>criteria</w:t>
            </w:r>
            <w:r w:rsidR="00C41A2C">
              <w:rPr>
                <w:rFonts w:eastAsia="Times New Roman"/>
              </w:rPr>
              <w:t xml:space="preserve"> for </w:t>
            </w:r>
            <w:r w:rsidR="00C41A2C" w:rsidRPr="00433F7C">
              <w:rPr>
                <w:szCs w:val="24"/>
                <w:lang w:eastAsia="fr-BE"/>
              </w:rPr>
              <w:t>targeted/strategic calls for proposals</w:t>
            </w:r>
            <w:r w:rsidR="00C41A2C">
              <w:rPr>
                <w:szCs w:val="24"/>
                <w:lang w:eastAsia="fr-BE"/>
              </w:rPr>
              <w:t xml:space="preserve"> as </w:t>
            </w:r>
            <w:r w:rsidRPr="00433F7C">
              <w:rPr>
                <w:szCs w:val="24"/>
                <w:lang w:eastAsia="fr-BE"/>
              </w:rPr>
              <w:t xml:space="preserve">laid down in Section 2 under the heading “Guiding principles for the selection of operations”. </w:t>
            </w:r>
          </w:p>
          <w:p w:rsidR="00FE6840" w:rsidRPr="00433F7C" w:rsidRDefault="00FE6840" w:rsidP="00FE6840">
            <w:pPr>
              <w:rPr>
                <w:szCs w:val="24"/>
                <w:lang w:eastAsia="fr-BE"/>
              </w:rPr>
            </w:pPr>
            <w:r w:rsidRPr="00433F7C">
              <w:rPr>
                <w:szCs w:val="24"/>
                <w:lang w:eastAsia="fr-BE"/>
              </w:rPr>
              <w:t xml:space="preserve">External independent assessors will undertake the quality assessment of applications </w:t>
            </w:r>
            <w:r w:rsidR="006746D3">
              <w:rPr>
                <w:szCs w:val="24"/>
                <w:lang w:eastAsia="fr-BE"/>
              </w:rPr>
              <w:t xml:space="preserve">and the MA/JS will submit the results of the assessment </w:t>
            </w:r>
            <w:r w:rsidRPr="00433F7C">
              <w:rPr>
                <w:szCs w:val="24"/>
                <w:lang w:eastAsia="fr-BE"/>
              </w:rPr>
              <w:t>to the JMC for its decision. Modalities for the procedures and detailed eligibility and quality assessment criteria for operations funded by the Programme will be outlined in the call-specific application documents.</w:t>
            </w:r>
          </w:p>
          <w:p w:rsidR="00FE6840" w:rsidRPr="002C56B5" w:rsidRDefault="00FE6840" w:rsidP="00FE6840">
            <w:pPr>
              <w:rPr>
                <w:b/>
                <w:i/>
                <w:szCs w:val="24"/>
                <w:lang w:eastAsia="fr-BE"/>
              </w:rPr>
            </w:pPr>
            <w:r w:rsidRPr="002C56B5">
              <w:rPr>
                <w:b/>
                <w:i/>
                <w:szCs w:val="24"/>
                <w:lang w:eastAsia="fr-BE"/>
              </w:rPr>
              <w:lastRenderedPageBreak/>
              <w:t>Quality of applications</w:t>
            </w:r>
          </w:p>
          <w:p w:rsidR="00FE6840" w:rsidRPr="00433F7C" w:rsidRDefault="00FE6840" w:rsidP="00FE6840">
            <w:pPr>
              <w:rPr>
                <w:szCs w:val="24"/>
                <w:lang w:eastAsia="fr-BE"/>
              </w:rPr>
            </w:pPr>
            <w:r w:rsidRPr="00433F7C">
              <w:rPr>
                <w:szCs w:val="24"/>
                <w:lang w:eastAsia="fr-BE"/>
              </w:rPr>
              <w:t xml:space="preserve">General horizontal quality requirements have to be followed, which are reflected in the quality assessment criteria. The strong result-oriented approach to be applied by the territorial cooperation programmes demands operations that deliver concrete and visible outputs and results in response to well-identified challenges of the programme area and addressing development needs in an integrated manner. Operations focussing on purely academic cooperation or aiming at mere networking and exchanging of experience and/or not demonstrating the potential for translation of outputs arising from “soft” actions (surveys, studies, etc.) into concrete and sustainable results will not be supported by the Programme. </w:t>
            </w:r>
          </w:p>
          <w:p w:rsidR="00FE6840" w:rsidRPr="00433F7C" w:rsidRDefault="00FE6840" w:rsidP="00FE6840">
            <w:pPr>
              <w:rPr>
                <w:szCs w:val="24"/>
                <w:lang w:eastAsia="fr-BE"/>
              </w:rPr>
            </w:pPr>
            <w:r w:rsidRPr="00433F7C">
              <w:rPr>
                <w:szCs w:val="24"/>
                <w:lang w:eastAsia="fr-BE"/>
              </w:rPr>
              <w:t xml:space="preserve">All operations receiving funds have to meet the following horizontal quality requirements: </w:t>
            </w:r>
          </w:p>
          <w:p w:rsidR="00FE6840" w:rsidRDefault="00FE6840" w:rsidP="00CB1819">
            <w:pPr>
              <w:pStyle w:val="ListParagraph"/>
              <w:numPr>
                <w:ilvl w:val="0"/>
                <w:numId w:val="62"/>
              </w:numPr>
              <w:rPr>
                <w:szCs w:val="24"/>
                <w:lang w:eastAsia="fr-BE"/>
              </w:rPr>
            </w:pPr>
            <w:r w:rsidRPr="00FE6840">
              <w:rPr>
                <w:szCs w:val="24"/>
                <w:lang w:eastAsia="fr-BE"/>
              </w:rPr>
              <w:t>Cross-border relevance: the operation contributes to the chosen programme specific objective and addresses development needs and territorial challenges of the Programme that are shared by the partners participating in the operation and cannot be sufficiently addressed by individual partner alone. Moreover, joint solutions developed within an operation show a clear cross-border added value going beyond the mere addition of results independently achievable in the involved territories. Relevant policies shall be considered as well.</w:t>
            </w:r>
          </w:p>
          <w:p w:rsidR="00FE6840" w:rsidRDefault="00FE6840" w:rsidP="00CB1819">
            <w:pPr>
              <w:pStyle w:val="ListParagraph"/>
              <w:numPr>
                <w:ilvl w:val="0"/>
                <w:numId w:val="62"/>
              </w:numPr>
              <w:rPr>
                <w:szCs w:val="24"/>
                <w:lang w:eastAsia="fr-BE"/>
              </w:rPr>
            </w:pPr>
            <w:r w:rsidRPr="00FE6840">
              <w:rPr>
                <w:szCs w:val="24"/>
                <w:lang w:eastAsia="fr-BE"/>
              </w:rPr>
              <w:t>Partnership relevance: the partnership involves at least two financing partners from two partner countries, at least one of them being located in Croatia. Partners are relevant bodies competent for the development, implementation and follow-up of outputs and results. The partnership should reflect the thematic focus of the operation. The partners are involved in a way that demonstrates the joint development and implementation of the operation. Additionally, they shall cooperate in either the staffing or the financing of operations</w:t>
            </w:r>
            <w:r>
              <w:rPr>
                <w:szCs w:val="24"/>
                <w:lang w:eastAsia="fr-BE"/>
              </w:rPr>
              <w:t>.</w:t>
            </w:r>
            <w:r w:rsidRPr="00FE6840">
              <w:rPr>
                <w:szCs w:val="24"/>
                <w:lang w:eastAsia="fr-BE"/>
              </w:rPr>
              <w:t xml:space="preserve"> </w:t>
            </w:r>
          </w:p>
          <w:p w:rsidR="00FE6840" w:rsidRDefault="00FE6840" w:rsidP="00CB1819">
            <w:pPr>
              <w:pStyle w:val="ListParagraph"/>
              <w:numPr>
                <w:ilvl w:val="0"/>
                <w:numId w:val="62"/>
              </w:numPr>
              <w:rPr>
                <w:szCs w:val="24"/>
                <w:lang w:eastAsia="fr-BE"/>
              </w:rPr>
            </w:pPr>
            <w:r w:rsidRPr="00FE6840">
              <w:rPr>
                <w:szCs w:val="24"/>
                <w:lang w:eastAsia="fr-BE"/>
              </w:rPr>
              <w:t xml:space="preserve">Concrete and measurable results: operations are able to deliver results that directly contribute to the results expected at programme level for the concerned priority axis. Results are achieved through the development of suitable outputs within a cross-border context. Results must be relevant, visible and measurable, with a clear implementation orientation. Operations are required to provide precise descriptions of their main outputs and results in the application form. In defining their outputs and results, operations should build on previous and current experiences and knowledge, however developing novel solutions where appropriate and avoiding overlaps. </w:t>
            </w:r>
          </w:p>
          <w:p w:rsidR="00FE6840" w:rsidRDefault="00FE6840" w:rsidP="00CB1819">
            <w:pPr>
              <w:pStyle w:val="ListParagraph"/>
              <w:numPr>
                <w:ilvl w:val="0"/>
                <w:numId w:val="62"/>
              </w:numPr>
              <w:rPr>
                <w:szCs w:val="24"/>
                <w:lang w:eastAsia="fr-BE"/>
              </w:rPr>
            </w:pPr>
            <w:r w:rsidRPr="00FE6840">
              <w:rPr>
                <w:szCs w:val="24"/>
                <w:lang w:eastAsia="fr-BE"/>
              </w:rPr>
              <w:t xml:space="preserve">Durable outputs and results: operations have to ensure that produced outputs and achieved results are durable and suitable to be continued, where appropriate, within other initiatives (e.g. policies, strategies, plans) and/or preparing investments to be financed with other sources (e.g. EIB or other financial institutions, EU mainstream programmes, national and regional funds) also beyond the territories involved in the operation. Operations should establish adequate links to the appropriate policy-making and/or territorial governance levels to ensure sustainability and continuity of results. </w:t>
            </w:r>
          </w:p>
          <w:p w:rsidR="00FE6840" w:rsidRDefault="00FE6840" w:rsidP="00CB1819">
            <w:pPr>
              <w:pStyle w:val="ListParagraph"/>
              <w:numPr>
                <w:ilvl w:val="0"/>
                <w:numId w:val="62"/>
              </w:numPr>
              <w:rPr>
                <w:szCs w:val="24"/>
                <w:lang w:eastAsia="fr-BE"/>
              </w:rPr>
            </w:pPr>
            <w:r w:rsidRPr="00FE6840">
              <w:rPr>
                <w:szCs w:val="24"/>
                <w:lang w:eastAsia="fr-BE"/>
              </w:rPr>
              <w:t xml:space="preserve">Coherent approach: the approach for defining the work plan is overall coherent and transparent, showing a clear relation between inputs, outputs and results within a </w:t>
            </w:r>
            <w:r w:rsidRPr="00FE6840">
              <w:rPr>
                <w:szCs w:val="24"/>
                <w:lang w:eastAsia="fr-BE"/>
              </w:rPr>
              <w:lastRenderedPageBreak/>
              <w:t xml:space="preserve">convincing timeframe. </w:t>
            </w:r>
          </w:p>
          <w:p w:rsidR="00FE6840" w:rsidRDefault="00FE6840" w:rsidP="00CB1819">
            <w:pPr>
              <w:pStyle w:val="ListParagraph"/>
              <w:numPr>
                <w:ilvl w:val="0"/>
                <w:numId w:val="62"/>
              </w:numPr>
              <w:rPr>
                <w:szCs w:val="24"/>
                <w:lang w:eastAsia="fr-BE"/>
              </w:rPr>
            </w:pPr>
            <w:r w:rsidRPr="00FE6840">
              <w:rPr>
                <w:szCs w:val="24"/>
                <w:lang w:eastAsia="fr-BE"/>
              </w:rPr>
              <w:t>Sound project communication strategy: communication activities are to be in line with project objectives and appropriate to reach the relevant target groups and stakeholders with regard to communication of project results and their capitalisation.</w:t>
            </w:r>
          </w:p>
          <w:p w:rsidR="00FE6840" w:rsidRDefault="00FE6840" w:rsidP="00CB1819">
            <w:pPr>
              <w:pStyle w:val="ListParagraph"/>
              <w:numPr>
                <w:ilvl w:val="0"/>
                <w:numId w:val="62"/>
              </w:numPr>
              <w:rPr>
                <w:szCs w:val="24"/>
                <w:lang w:eastAsia="fr-BE"/>
              </w:rPr>
            </w:pPr>
            <w:r w:rsidRPr="00FE6840">
              <w:rPr>
                <w:szCs w:val="24"/>
                <w:lang w:eastAsia="fr-BE"/>
              </w:rPr>
              <w:t xml:space="preserve">Effective management: the operation has clear, effective, efficient and transparent management and coordination structures and procedures. </w:t>
            </w:r>
          </w:p>
          <w:p w:rsidR="00FE6840" w:rsidRPr="00FE6840" w:rsidRDefault="00FE6840" w:rsidP="00CB1819">
            <w:pPr>
              <w:pStyle w:val="ListParagraph"/>
              <w:numPr>
                <w:ilvl w:val="0"/>
                <w:numId w:val="62"/>
              </w:numPr>
              <w:rPr>
                <w:szCs w:val="24"/>
                <w:lang w:eastAsia="fr-BE"/>
              </w:rPr>
            </w:pPr>
            <w:r w:rsidRPr="00FE6840">
              <w:rPr>
                <w:szCs w:val="24"/>
                <w:lang w:eastAsia="fr-BE"/>
              </w:rPr>
              <w:t>Sound budget: operations have to develop budgets reflecting the project design and demonstrating value for money coherent with the planned outputs and the expected results, in line with the principles of sound financial management. The budget is consolidated at project level and partner contributions to the budget shall reflect the joint implementation of the operation.</w:t>
            </w:r>
          </w:p>
          <w:p w:rsidR="00FE6840" w:rsidRPr="00FE6840" w:rsidRDefault="00FE6840" w:rsidP="00FE6840">
            <w:pPr>
              <w:rPr>
                <w:szCs w:val="24"/>
                <w:lang w:eastAsia="fr-BE"/>
              </w:rPr>
            </w:pPr>
            <w:r w:rsidRPr="00433F7C">
              <w:rPr>
                <w:szCs w:val="24"/>
                <w:lang w:eastAsia="fr-BE"/>
              </w:rPr>
              <w:t>As a general principle, applied across all priorities, the Programme is committed to sustainable development and promotion of equality between men and women and non-discrimination.</w:t>
            </w:r>
          </w:p>
          <w:p w:rsidR="00055394" w:rsidRPr="003A787C" w:rsidRDefault="00055394" w:rsidP="00165043">
            <w:pPr>
              <w:keepNext/>
              <w:keepLines/>
              <w:outlineLvl w:val="2"/>
              <w:rPr>
                <w:rFonts w:eastAsiaTheme="majorEastAsia"/>
                <w:b/>
                <w:bCs/>
                <w:i/>
                <w:iCs/>
                <w:color w:val="4F81BD" w:themeColor="accent1"/>
                <w:szCs w:val="24"/>
              </w:rPr>
            </w:pPr>
            <w:r w:rsidRPr="003A787C">
              <w:rPr>
                <w:rFonts w:eastAsiaTheme="majorEastAsia"/>
                <w:b/>
                <w:bCs/>
                <w:i/>
                <w:iCs/>
                <w:color w:val="4F81BD" w:themeColor="accent1"/>
                <w:szCs w:val="24"/>
              </w:rPr>
              <w:t>Contracting</w:t>
            </w:r>
            <w:bookmarkEnd w:id="58"/>
            <w:bookmarkEnd w:id="59"/>
            <w:bookmarkEnd w:id="60"/>
            <w:bookmarkEnd w:id="61"/>
            <w:bookmarkEnd w:id="62"/>
            <w:bookmarkEnd w:id="63"/>
          </w:p>
          <w:p w:rsidR="007C3C9E" w:rsidRDefault="000127B4" w:rsidP="000127B4">
            <w:pPr>
              <w:keepNext/>
              <w:keepLines/>
              <w:outlineLvl w:val="2"/>
              <w:rPr>
                <w:noProof/>
                <w:szCs w:val="24"/>
                <w:lang w:eastAsia="fr-BE"/>
              </w:rPr>
            </w:pPr>
            <w:bookmarkStart w:id="64" w:name="_Toc375214627"/>
            <w:bookmarkStart w:id="65" w:name="_Toc380741654"/>
            <w:bookmarkStart w:id="66" w:name="_Toc380869232"/>
            <w:bookmarkStart w:id="67" w:name="_Toc381108758"/>
            <w:bookmarkStart w:id="68" w:name="_Toc381109065"/>
            <w:bookmarkStart w:id="69" w:name="_Toc385488942"/>
            <w:r w:rsidRPr="000127B4">
              <w:rPr>
                <w:noProof/>
                <w:szCs w:val="24"/>
                <w:lang w:eastAsia="fr-BE"/>
              </w:rPr>
              <w:t>Following the decision of the JMC approv</w:t>
            </w:r>
            <w:r w:rsidR="002950C2">
              <w:rPr>
                <w:noProof/>
                <w:szCs w:val="24"/>
                <w:lang w:eastAsia="fr-BE"/>
              </w:rPr>
              <w:t>ing</w:t>
            </w:r>
            <w:r w:rsidRPr="000127B4">
              <w:rPr>
                <w:noProof/>
                <w:szCs w:val="24"/>
                <w:lang w:eastAsia="fr-BE"/>
              </w:rPr>
              <w:t xml:space="preserve"> applications recommended for funding based on the technical quality assessment performed by the MA/JS/Joint Steering Committee (with assistance of external independent assessors), the MA drafts subsidy contracts using a standard template approved by the JMC. The template is developed in compliance with the applicable laws of the Republic of Croatia and the </w:t>
            </w:r>
            <w:r w:rsidR="00AA1CCD">
              <w:rPr>
                <w:noProof/>
                <w:szCs w:val="24"/>
                <w:lang w:eastAsia="fr-BE"/>
              </w:rPr>
              <w:t>relevant</w:t>
            </w:r>
            <w:r w:rsidR="00AA1CCD" w:rsidRPr="000127B4">
              <w:rPr>
                <w:noProof/>
                <w:szCs w:val="24"/>
                <w:lang w:eastAsia="fr-BE"/>
              </w:rPr>
              <w:t xml:space="preserve"> </w:t>
            </w:r>
            <w:r w:rsidR="00AA1CCD">
              <w:rPr>
                <w:noProof/>
                <w:szCs w:val="24"/>
                <w:lang w:eastAsia="fr-BE"/>
              </w:rPr>
              <w:t xml:space="preserve">procedure </w:t>
            </w:r>
            <w:r w:rsidRPr="000127B4">
              <w:rPr>
                <w:noProof/>
                <w:szCs w:val="24"/>
                <w:lang w:eastAsia="fr-BE"/>
              </w:rPr>
              <w:t xml:space="preserve">of the institution where the Managing Authority is placed. The subsidy contract is addressed to the lead beneficiary, appointed by the partnership in accordance to Article 40 (6) of  Commission Implementing Regulation no. 447/2014, and is signed by the legal representative of the lead beneficiary institution and by the MA representing the </w:t>
            </w:r>
            <w:r w:rsidR="007C3C9E" w:rsidRPr="007C3C9E">
              <w:rPr>
                <w:noProof/>
                <w:szCs w:val="24"/>
                <w:lang w:eastAsia="fr-BE"/>
              </w:rPr>
              <w:t>Agency for Regional Development of the Republic of Croatia</w:t>
            </w:r>
            <w:r w:rsidR="007C3C9E">
              <w:rPr>
                <w:noProof/>
                <w:szCs w:val="24"/>
                <w:lang w:eastAsia="fr-BE"/>
              </w:rPr>
              <w:t>.</w:t>
            </w:r>
          </w:p>
          <w:p w:rsidR="000127B4" w:rsidRPr="000127B4" w:rsidRDefault="000127B4" w:rsidP="000127B4">
            <w:pPr>
              <w:keepNext/>
              <w:keepLines/>
              <w:outlineLvl w:val="2"/>
              <w:rPr>
                <w:noProof/>
                <w:szCs w:val="24"/>
                <w:lang w:eastAsia="fr-BE"/>
              </w:rPr>
            </w:pPr>
            <w:r w:rsidRPr="000127B4">
              <w:rPr>
                <w:noProof/>
                <w:szCs w:val="24"/>
                <w:lang w:eastAsia="fr-BE"/>
              </w:rPr>
              <w:t>The subsidy contract lays down all the necessary conditions for support of the operation, in particular:</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Legal framework</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The object of use (approved work plan, eligible budget, maximum IPA funding, including the maximum IPA amount allocated to partners located outside the eligible area – if applicable, start and end date of implementation, closure of the operation)</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If applicable, specific requirements concerning the products or services to be delivered under the operation</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General conditions for eligibility of costs</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Changes and budget flexibility thresholds</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Procedure related to requests for payments, reporting requirements and deadlines for submission of progress reports</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Rights and obligations of the LP including, if applicable, special provisions in case of private LP</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Validation of expenditure and audit of operations</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 xml:space="preserve">Necessary accounting documentation and indication of the archiving period of all project-related supporting documents, with specification of the periods to be respected in case aid has been granted under the de minimis regime </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lastRenderedPageBreak/>
              <w:t>Procedure for recovery of unjustified expenditure</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Publicity, ownership (including dissemination rights) and generation of revenues</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Assignment, legal succession and litigation</w:t>
            </w:r>
          </w:p>
          <w:p w:rsid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Liability clauses</w:t>
            </w:r>
          </w:p>
          <w:p w:rsidR="000127B4" w:rsidRPr="000127B4" w:rsidRDefault="000127B4" w:rsidP="00955249">
            <w:pPr>
              <w:pStyle w:val="ListParagraph"/>
              <w:keepNext/>
              <w:keepLines/>
              <w:numPr>
                <w:ilvl w:val="0"/>
                <w:numId w:val="63"/>
              </w:numPr>
              <w:spacing w:after="0"/>
              <w:outlineLvl w:val="2"/>
              <w:rPr>
                <w:noProof/>
                <w:szCs w:val="24"/>
                <w:lang w:eastAsia="fr-BE"/>
              </w:rPr>
            </w:pPr>
            <w:r w:rsidRPr="000127B4">
              <w:rPr>
                <w:noProof/>
                <w:szCs w:val="24"/>
                <w:lang w:eastAsia="fr-BE"/>
              </w:rPr>
              <w:t>Respect of environmental legislation</w:t>
            </w:r>
          </w:p>
          <w:p w:rsidR="000127B4" w:rsidRDefault="000127B4" w:rsidP="00165043">
            <w:pPr>
              <w:keepNext/>
              <w:keepLines/>
              <w:outlineLvl w:val="2"/>
              <w:rPr>
                <w:noProof/>
                <w:szCs w:val="24"/>
                <w:lang w:eastAsia="fr-BE"/>
              </w:rPr>
            </w:pPr>
            <w:r w:rsidRPr="000127B4">
              <w:rPr>
                <w:noProof/>
                <w:szCs w:val="24"/>
                <w:lang w:eastAsia="fr-BE"/>
              </w:rPr>
              <w:t>The approved application documents, including the final approved application form and the communication of the approval decision by the JMC will form an integral part of the subsidy contract.</w:t>
            </w:r>
          </w:p>
          <w:p w:rsidR="00CB1819" w:rsidRDefault="00CB1819" w:rsidP="00165043">
            <w:pPr>
              <w:keepNext/>
              <w:keepLines/>
              <w:outlineLvl w:val="2"/>
              <w:rPr>
                <w:noProof/>
                <w:szCs w:val="24"/>
                <w:lang w:eastAsia="fr-BE"/>
              </w:rPr>
            </w:pPr>
          </w:p>
          <w:p w:rsidR="00055394" w:rsidRPr="003A787C" w:rsidRDefault="00055394" w:rsidP="00165043">
            <w:pPr>
              <w:keepNext/>
              <w:keepLines/>
              <w:outlineLvl w:val="2"/>
              <w:rPr>
                <w:rFonts w:eastAsiaTheme="majorEastAsia"/>
                <w:b/>
                <w:bCs/>
                <w:i/>
                <w:iCs/>
                <w:color w:val="4F81BD" w:themeColor="accent1"/>
                <w:szCs w:val="24"/>
              </w:rPr>
            </w:pPr>
            <w:r w:rsidRPr="003A787C">
              <w:rPr>
                <w:rFonts w:eastAsiaTheme="majorEastAsia"/>
                <w:b/>
                <w:bCs/>
                <w:i/>
                <w:iCs/>
                <w:color w:val="4F81BD" w:themeColor="accent1"/>
                <w:szCs w:val="24"/>
              </w:rPr>
              <w:t>Monitoring</w:t>
            </w:r>
            <w:bookmarkEnd w:id="64"/>
            <w:bookmarkEnd w:id="65"/>
            <w:bookmarkEnd w:id="66"/>
            <w:bookmarkEnd w:id="67"/>
            <w:bookmarkEnd w:id="68"/>
            <w:bookmarkEnd w:id="69"/>
          </w:p>
          <w:p w:rsidR="006D57C4" w:rsidRPr="00433F7C" w:rsidRDefault="006D57C4" w:rsidP="006D57C4">
            <w:pPr>
              <w:rPr>
                <w:szCs w:val="24"/>
                <w:lang w:eastAsia="fr-BE"/>
              </w:rPr>
            </w:pPr>
            <w:bookmarkStart w:id="70" w:name="_Toc375214628"/>
            <w:bookmarkStart w:id="71" w:name="_Toc380741655"/>
            <w:bookmarkStart w:id="72" w:name="_Toc380869233"/>
            <w:bookmarkStart w:id="73" w:name="_Toc381108759"/>
            <w:bookmarkStart w:id="74" w:name="_Toc381109066"/>
            <w:bookmarkStart w:id="75" w:name="_Toc385488943"/>
            <w:r w:rsidRPr="00433F7C">
              <w:rPr>
                <w:szCs w:val="24"/>
                <w:lang w:eastAsia="fr-BE"/>
              </w:rPr>
              <w:t xml:space="preserve">The monitoring of the Programme will provide project-specific technical and financial information on the progress of the programme towards its goals. Monitoring will </w:t>
            </w:r>
            <w:r w:rsidR="00AA1CCD">
              <w:rPr>
                <w:szCs w:val="24"/>
                <w:lang w:eastAsia="fr-BE"/>
              </w:rPr>
              <w:t xml:space="preserve">be used as a tool for </w:t>
            </w:r>
            <w:r w:rsidRPr="00433F7C">
              <w:rPr>
                <w:szCs w:val="24"/>
                <w:lang w:eastAsia="fr-BE"/>
              </w:rPr>
              <w:t>ensur</w:t>
            </w:r>
            <w:r w:rsidR="00AA1CCD">
              <w:rPr>
                <w:szCs w:val="24"/>
                <w:lang w:eastAsia="fr-BE"/>
              </w:rPr>
              <w:t>ing</w:t>
            </w:r>
            <w:r w:rsidRPr="00433F7C">
              <w:rPr>
                <w:szCs w:val="24"/>
                <w:lang w:eastAsia="fr-BE"/>
              </w:rPr>
              <w:t xml:space="preserve"> the quality and effectiveness of implementation by assessing the progress of operations making use of periodic and final reports submitted by the project lead beneficiaries on behalf of their partnerships. </w:t>
            </w:r>
          </w:p>
          <w:p w:rsidR="006D57C4" w:rsidRPr="00433F7C" w:rsidRDefault="006D57C4" w:rsidP="006D57C4">
            <w:pPr>
              <w:rPr>
                <w:szCs w:val="24"/>
                <w:lang w:eastAsia="fr-BE"/>
              </w:rPr>
            </w:pPr>
            <w:r w:rsidRPr="00433F7C">
              <w:rPr>
                <w:szCs w:val="24"/>
                <w:lang w:eastAsia="fr-BE"/>
              </w:rPr>
              <w:t xml:space="preserve">The lead beneficiary will periodically present activity and financial progress reports to the JS and MA. The lead beneficiary will report on progress achieved by the project partnership and related eligible expenditure. The submission of the activity and financial progress reports will be carried out by means of electronic </w:t>
            </w:r>
            <w:r w:rsidR="00AA1CCD">
              <w:rPr>
                <w:szCs w:val="24"/>
                <w:lang w:eastAsia="fr-BE"/>
              </w:rPr>
              <w:t xml:space="preserve">data </w:t>
            </w:r>
            <w:r w:rsidRPr="00433F7C">
              <w:rPr>
                <w:szCs w:val="24"/>
                <w:lang w:eastAsia="fr-BE"/>
              </w:rPr>
              <w:t>exchange systems. The JS will check the compliance of the submitted reports with the approved application. In addition, during the monitoring of the activity section of the progress reports, the JS will verify the existence of the operation by analysing outputs delivered. Data stemming from these reports will be recorded and stored in the programme e-Monitoring System (eMS) in compliance with Article 122</w:t>
            </w:r>
            <w:r>
              <w:rPr>
                <w:szCs w:val="24"/>
                <w:lang w:eastAsia="fr-BE"/>
              </w:rPr>
              <w:t xml:space="preserve"> </w:t>
            </w:r>
            <w:r w:rsidRPr="00433F7C">
              <w:rPr>
                <w:szCs w:val="24"/>
                <w:lang w:eastAsia="fr-BE"/>
              </w:rPr>
              <w:t>(3) of the CPR and as detailed in 5.3.k Computerised exchange of data.</w:t>
            </w:r>
          </w:p>
          <w:p w:rsidR="006D57C4" w:rsidRDefault="006D57C4" w:rsidP="006D57C4">
            <w:pPr>
              <w:rPr>
                <w:szCs w:val="24"/>
                <w:lang w:eastAsia="fr-BE"/>
              </w:rPr>
            </w:pPr>
            <w:r w:rsidRPr="00433F7C">
              <w:rPr>
                <w:szCs w:val="24"/>
                <w:lang w:eastAsia="fr-BE"/>
              </w:rPr>
              <w:t xml:space="preserve">The eMS provides the data on operations to be communicated to the EC as required by Article 112 (Transmission of financial data) and Article 50 (Implementation reports) of the CPR. </w:t>
            </w:r>
          </w:p>
          <w:p w:rsidR="00055394" w:rsidRPr="003A787C" w:rsidRDefault="00055394" w:rsidP="00165043">
            <w:pPr>
              <w:keepNext/>
              <w:keepLines/>
              <w:outlineLvl w:val="2"/>
              <w:rPr>
                <w:rFonts w:eastAsiaTheme="majorEastAsia"/>
                <w:b/>
                <w:bCs/>
                <w:i/>
                <w:iCs/>
                <w:color w:val="4F81BD" w:themeColor="accent1"/>
                <w:szCs w:val="24"/>
              </w:rPr>
            </w:pPr>
            <w:r w:rsidRPr="003A787C">
              <w:rPr>
                <w:rFonts w:eastAsiaTheme="majorEastAsia"/>
                <w:b/>
                <w:bCs/>
                <w:i/>
                <w:iCs/>
                <w:color w:val="4F81BD" w:themeColor="accent1"/>
                <w:szCs w:val="24"/>
              </w:rPr>
              <w:t>Financial control system</w:t>
            </w:r>
            <w:bookmarkEnd w:id="70"/>
            <w:bookmarkEnd w:id="71"/>
            <w:bookmarkEnd w:id="72"/>
            <w:bookmarkEnd w:id="73"/>
            <w:bookmarkEnd w:id="74"/>
            <w:bookmarkEnd w:id="75"/>
          </w:p>
          <w:p w:rsidR="00BA308E" w:rsidRPr="00433F7C" w:rsidRDefault="00BA308E" w:rsidP="00BA308E">
            <w:pPr>
              <w:rPr>
                <w:szCs w:val="24"/>
                <w:lang w:eastAsia="fr-BE"/>
              </w:rPr>
            </w:pPr>
            <w:bookmarkStart w:id="76" w:name="_Toc375214629"/>
            <w:bookmarkStart w:id="77" w:name="_Toc380741656"/>
            <w:bookmarkStart w:id="78" w:name="_Toc380869234"/>
            <w:bookmarkStart w:id="79" w:name="_Toc381108760"/>
            <w:bookmarkStart w:id="80" w:name="_Toc381109067"/>
            <w:bookmarkStart w:id="81" w:name="_Toc385488944"/>
            <w:r w:rsidRPr="00433F7C">
              <w:rPr>
                <w:szCs w:val="24"/>
                <w:lang w:eastAsia="fr-BE"/>
              </w:rPr>
              <w:t xml:space="preserve">Reliable accounting, monitoring and financial reporting systems will be established, ensuring that accounting records of each operation are recorded and stored and that data necessary for financial management, monitoring, verifications, audits and evaluation are suitably managed. </w:t>
            </w:r>
          </w:p>
          <w:p w:rsidR="00BA308E" w:rsidRPr="00433F7C" w:rsidRDefault="00BA308E" w:rsidP="00BA308E">
            <w:pPr>
              <w:rPr>
                <w:szCs w:val="24"/>
                <w:lang w:eastAsia="fr-BE"/>
              </w:rPr>
            </w:pPr>
            <w:r w:rsidRPr="00433F7C">
              <w:rPr>
                <w:szCs w:val="24"/>
                <w:lang w:eastAsia="fr-BE"/>
              </w:rPr>
              <w:t>In line with Article 125</w:t>
            </w:r>
            <w:r>
              <w:rPr>
                <w:szCs w:val="24"/>
                <w:lang w:eastAsia="fr-BE"/>
              </w:rPr>
              <w:t xml:space="preserve"> </w:t>
            </w:r>
            <w:r w:rsidRPr="00433F7C">
              <w:rPr>
                <w:szCs w:val="24"/>
                <w:lang w:eastAsia="fr-BE"/>
              </w:rPr>
              <w:t>(4) and 125</w:t>
            </w:r>
            <w:r>
              <w:rPr>
                <w:szCs w:val="24"/>
                <w:lang w:eastAsia="fr-BE"/>
              </w:rPr>
              <w:t xml:space="preserve"> </w:t>
            </w:r>
            <w:r w:rsidRPr="00433F7C">
              <w:rPr>
                <w:szCs w:val="24"/>
                <w:lang w:eastAsia="fr-BE"/>
              </w:rPr>
              <w:t>(5) of the CPR as well as Article 23</w:t>
            </w:r>
            <w:r>
              <w:rPr>
                <w:szCs w:val="24"/>
                <w:lang w:eastAsia="fr-BE"/>
              </w:rPr>
              <w:t xml:space="preserve"> </w:t>
            </w:r>
            <w:r w:rsidRPr="00433F7C">
              <w:rPr>
                <w:szCs w:val="24"/>
                <w:lang w:eastAsia="fr-BE"/>
              </w:rPr>
              <w:t xml:space="preserve">(4) of the ETC Regulation, each participating country shall set up a control system making it possible to verify the delivery of the products and services co-financed, the soundness of the expenditure declared for operations or parts of operations implemented on its territory and the compliance of such expenditure and of related operations or parts of those operations with Community rules, programme rules and its national rules. </w:t>
            </w:r>
          </w:p>
          <w:p w:rsidR="00BA308E" w:rsidRPr="00433F7C" w:rsidRDefault="00BA308E" w:rsidP="00BA308E">
            <w:pPr>
              <w:rPr>
                <w:szCs w:val="24"/>
                <w:lang w:eastAsia="fr-BE"/>
              </w:rPr>
            </w:pPr>
            <w:r w:rsidRPr="00433F7C">
              <w:rPr>
                <w:szCs w:val="24"/>
                <w:lang w:eastAsia="fr-BE"/>
              </w:rPr>
              <w:t>The independent audit body providing a report and an opinion on the designation procedure according to Article 124 of the CPR shall give an unqualified opinion on the fulfilment of the criteria relating to the internal control environment, risk management, management and control activities, and monitoring as set out in Annex XIII of ETC Regulation.</w:t>
            </w:r>
          </w:p>
          <w:p w:rsidR="00BA308E" w:rsidRPr="00433F7C" w:rsidRDefault="00BA308E" w:rsidP="00BA308E">
            <w:pPr>
              <w:rPr>
                <w:szCs w:val="24"/>
                <w:lang w:eastAsia="fr-BE"/>
              </w:rPr>
            </w:pPr>
            <w:r w:rsidRPr="00433F7C">
              <w:rPr>
                <w:szCs w:val="24"/>
                <w:lang w:eastAsia="fr-BE"/>
              </w:rPr>
              <w:t xml:space="preserve">For this purpose, each participating country shall designate the controllers responsible for </w:t>
            </w:r>
            <w:r w:rsidRPr="00433F7C">
              <w:rPr>
                <w:szCs w:val="24"/>
                <w:lang w:eastAsia="fr-BE"/>
              </w:rPr>
              <w:lastRenderedPageBreak/>
              <w:t xml:space="preserve">verifying the legality and regularity of the expenditure declared by each lead beneficiary and partner participating in the operation located on its territory. The designated controllers shall aim at submitting a signed certificate on the eligible and validated expenditures to the LB/PP within three months after the end of the reporting period. </w:t>
            </w:r>
          </w:p>
          <w:p w:rsidR="00BA308E" w:rsidRPr="00433F7C" w:rsidRDefault="00BA308E" w:rsidP="00BA308E">
            <w:pPr>
              <w:rPr>
                <w:szCs w:val="24"/>
                <w:lang w:eastAsia="fr-BE"/>
              </w:rPr>
            </w:pPr>
            <w:r w:rsidRPr="00433F7C">
              <w:rPr>
                <w:szCs w:val="24"/>
                <w:lang w:eastAsia="fr-BE"/>
              </w:rPr>
              <w:t>The identification of the controllers in each participating country shall be made on the basis of the centralised control system. Furthermore, the MA will collect information from all participating countries on the set-up and functioning of the control systems by means of standardised questionnaires. The information of the questionnaires shall be included in the DMCS (Description on Management and Control System) on programme level in accordance with Articles 72 and 74 of the CPR.</w:t>
            </w:r>
          </w:p>
          <w:p w:rsidR="00BA308E" w:rsidRPr="00433F7C" w:rsidRDefault="00BA308E" w:rsidP="00BA308E">
            <w:pPr>
              <w:rPr>
                <w:szCs w:val="24"/>
                <w:lang w:eastAsia="fr-BE"/>
              </w:rPr>
            </w:pPr>
            <w:r w:rsidRPr="00433F7C">
              <w:rPr>
                <w:szCs w:val="24"/>
                <w:lang w:eastAsia="fr-BE"/>
              </w:rPr>
              <w:t xml:space="preserve">Each participating country shall ensure that the MA/JS is regularly informed on the control system set-up by each participating country and of any changes thereto. </w:t>
            </w:r>
          </w:p>
          <w:p w:rsidR="00BA308E" w:rsidRPr="00433F7C" w:rsidRDefault="00BA308E" w:rsidP="00BA308E">
            <w:pPr>
              <w:rPr>
                <w:szCs w:val="24"/>
                <w:lang w:eastAsia="fr-BE"/>
              </w:rPr>
            </w:pPr>
            <w:r w:rsidRPr="00433F7C">
              <w:rPr>
                <w:szCs w:val="24"/>
                <w:lang w:eastAsia="fr-BE"/>
              </w:rPr>
              <w:t xml:space="preserve">All details on responsibilities and procedures related to financial control will be laid </w:t>
            </w:r>
            <w:r w:rsidR="00AA1CCD">
              <w:rPr>
                <w:szCs w:val="24"/>
                <w:lang w:eastAsia="fr-BE"/>
              </w:rPr>
              <w:t xml:space="preserve">down </w:t>
            </w:r>
            <w:r w:rsidRPr="00433F7C">
              <w:rPr>
                <w:szCs w:val="24"/>
                <w:lang w:eastAsia="fr-BE"/>
              </w:rPr>
              <w:t xml:space="preserve">in the DMCS. To ensure smooth functioning of the financial control system in the participating countries, the designated controllers will be organised in a network of financial controllers which will be coordinated by the MA. The network will meet regularly. </w:t>
            </w:r>
          </w:p>
          <w:p w:rsidR="00BA308E" w:rsidRPr="00433F7C" w:rsidRDefault="00BA308E" w:rsidP="00BA308E">
            <w:pPr>
              <w:rPr>
                <w:szCs w:val="24"/>
                <w:lang w:eastAsia="fr-BE"/>
              </w:rPr>
            </w:pPr>
            <w:r w:rsidRPr="00433F7C">
              <w:rPr>
                <w:szCs w:val="24"/>
                <w:lang w:eastAsia="fr-BE"/>
              </w:rPr>
              <w:t>In order to verify the effective functioning of the control systems set in place by the participating countries, a number of controls are carried out by the MA with the assistance of the JS. This is done in particular through:</w:t>
            </w:r>
          </w:p>
          <w:p w:rsidR="00172836" w:rsidRDefault="00BA308E" w:rsidP="00CB1819">
            <w:pPr>
              <w:pStyle w:val="ListParagraph"/>
              <w:numPr>
                <w:ilvl w:val="0"/>
                <w:numId w:val="64"/>
              </w:numPr>
              <w:rPr>
                <w:szCs w:val="24"/>
                <w:lang w:eastAsia="fr-BE"/>
              </w:rPr>
            </w:pPr>
            <w:r w:rsidRPr="00172836">
              <w:rPr>
                <w:szCs w:val="24"/>
                <w:lang w:eastAsia="fr-BE"/>
              </w:rPr>
              <w:t>Verification of the existence of the operation</w:t>
            </w:r>
          </w:p>
          <w:p w:rsidR="00172836" w:rsidRDefault="00BA308E" w:rsidP="00CB1819">
            <w:pPr>
              <w:pStyle w:val="ListParagraph"/>
              <w:numPr>
                <w:ilvl w:val="0"/>
                <w:numId w:val="64"/>
              </w:numPr>
              <w:rPr>
                <w:szCs w:val="24"/>
                <w:lang w:eastAsia="fr-BE"/>
              </w:rPr>
            </w:pPr>
            <w:r w:rsidRPr="00172836">
              <w:rPr>
                <w:szCs w:val="24"/>
                <w:lang w:eastAsia="fr-BE"/>
              </w:rPr>
              <w:t>Plausibility checks of expenditure</w:t>
            </w:r>
          </w:p>
          <w:p w:rsidR="00BA308E" w:rsidRPr="00172836" w:rsidRDefault="00BA308E" w:rsidP="00CB1819">
            <w:pPr>
              <w:pStyle w:val="ListParagraph"/>
              <w:numPr>
                <w:ilvl w:val="0"/>
                <w:numId w:val="64"/>
              </w:numPr>
              <w:rPr>
                <w:szCs w:val="24"/>
                <w:lang w:eastAsia="fr-BE"/>
              </w:rPr>
            </w:pPr>
            <w:r w:rsidRPr="00172836">
              <w:rPr>
                <w:szCs w:val="24"/>
                <w:lang w:eastAsia="fr-BE"/>
              </w:rPr>
              <w:t>On-the-spot checks</w:t>
            </w:r>
          </w:p>
          <w:p w:rsidR="00BA308E" w:rsidRPr="00433F7C" w:rsidRDefault="00BA308E" w:rsidP="00BA308E">
            <w:pPr>
              <w:rPr>
                <w:szCs w:val="24"/>
                <w:lang w:eastAsia="fr-BE"/>
              </w:rPr>
            </w:pPr>
            <w:r w:rsidRPr="00433F7C">
              <w:rPr>
                <w:szCs w:val="24"/>
                <w:lang w:eastAsia="fr-BE"/>
              </w:rPr>
              <w:t>In addition to the above mentioned controls, the MA, with the assistance of the JS, performs additional checks specifically addressed at the verification of the quality standards of the control systems set up by each participating country through:</w:t>
            </w:r>
          </w:p>
          <w:p w:rsidR="00172836" w:rsidRDefault="00BA308E" w:rsidP="00CB1819">
            <w:pPr>
              <w:pStyle w:val="ListParagraph"/>
              <w:numPr>
                <w:ilvl w:val="0"/>
                <w:numId w:val="65"/>
              </w:numPr>
              <w:rPr>
                <w:szCs w:val="24"/>
                <w:lang w:eastAsia="fr-BE"/>
              </w:rPr>
            </w:pPr>
            <w:r w:rsidRPr="00172836">
              <w:rPr>
                <w:szCs w:val="24"/>
                <w:lang w:eastAsia="fr-BE"/>
              </w:rPr>
              <w:t>Verification of controller documents</w:t>
            </w:r>
          </w:p>
          <w:p w:rsidR="00BA308E" w:rsidRPr="00172836" w:rsidRDefault="00BA308E" w:rsidP="00CB1819">
            <w:pPr>
              <w:pStyle w:val="ListParagraph"/>
              <w:numPr>
                <w:ilvl w:val="0"/>
                <w:numId w:val="65"/>
              </w:numPr>
              <w:rPr>
                <w:szCs w:val="24"/>
                <w:lang w:eastAsia="fr-BE"/>
              </w:rPr>
            </w:pPr>
            <w:r w:rsidRPr="00172836">
              <w:rPr>
                <w:szCs w:val="24"/>
                <w:lang w:eastAsia="fr-BE"/>
              </w:rPr>
              <w:t>Quality review of system</w:t>
            </w:r>
          </w:p>
          <w:p w:rsidR="004868CC" w:rsidRDefault="00055394" w:rsidP="004868CC">
            <w:pPr>
              <w:keepNext/>
              <w:keepLines/>
              <w:spacing w:after="200" w:line="276" w:lineRule="auto"/>
              <w:outlineLvl w:val="2"/>
              <w:rPr>
                <w:rFonts w:eastAsiaTheme="majorEastAsia"/>
                <w:b/>
                <w:bCs/>
                <w:i/>
                <w:iCs/>
                <w:color w:val="4F81BD" w:themeColor="accent1"/>
                <w:szCs w:val="24"/>
              </w:rPr>
            </w:pPr>
            <w:r w:rsidRPr="003A787C">
              <w:rPr>
                <w:rFonts w:eastAsiaTheme="majorEastAsia"/>
                <w:b/>
                <w:bCs/>
                <w:i/>
                <w:iCs/>
                <w:color w:val="4F81BD" w:themeColor="accent1"/>
                <w:szCs w:val="24"/>
              </w:rPr>
              <w:t xml:space="preserve">Reimbursement from the </w:t>
            </w:r>
            <w:r w:rsidRPr="0045155B">
              <w:rPr>
                <w:rFonts w:eastAsiaTheme="majorEastAsia"/>
                <w:b/>
                <w:bCs/>
                <w:i/>
                <w:iCs/>
                <w:color w:val="4F81BD" w:themeColor="accent1"/>
                <w:szCs w:val="24"/>
              </w:rPr>
              <w:t>managing authority to the</w:t>
            </w:r>
            <w:r w:rsidRPr="003A787C">
              <w:rPr>
                <w:rFonts w:eastAsiaTheme="majorEastAsia"/>
                <w:b/>
                <w:bCs/>
                <w:i/>
                <w:iCs/>
                <w:color w:val="4F81BD" w:themeColor="accent1"/>
                <w:szCs w:val="24"/>
              </w:rPr>
              <w:t xml:space="preserve"> lead beneficiaries</w:t>
            </w:r>
            <w:bookmarkStart w:id="82" w:name="_Toc375214630"/>
            <w:bookmarkStart w:id="83" w:name="_Toc380741657"/>
            <w:bookmarkStart w:id="84" w:name="_Toc380869235"/>
            <w:bookmarkStart w:id="85" w:name="_Toc381108761"/>
            <w:bookmarkStart w:id="86" w:name="_Toc381109068"/>
            <w:bookmarkStart w:id="87" w:name="_Toc385488945"/>
            <w:bookmarkEnd w:id="76"/>
            <w:bookmarkEnd w:id="77"/>
            <w:bookmarkEnd w:id="78"/>
            <w:bookmarkEnd w:id="79"/>
            <w:bookmarkEnd w:id="80"/>
            <w:bookmarkEnd w:id="81"/>
          </w:p>
          <w:p w:rsidR="004868CC" w:rsidRPr="004868CC" w:rsidRDefault="004868CC" w:rsidP="004868CC">
            <w:pPr>
              <w:keepNext/>
              <w:keepLines/>
              <w:spacing w:after="200" w:line="276" w:lineRule="auto"/>
              <w:outlineLvl w:val="2"/>
              <w:rPr>
                <w:rFonts w:eastAsiaTheme="majorEastAsia"/>
                <w:b/>
                <w:bCs/>
                <w:i/>
                <w:iCs/>
                <w:color w:val="4F81BD" w:themeColor="accent1"/>
                <w:szCs w:val="24"/>
              </w:rPr>
            </w:pPr>
            <w:r w:rsidRPr="00433F7C">
              <w:rPr>
                <w:szCs w:val="24"/>
                <w:lang w:eastAsia="fr-BE"/>
              </w:rPr>
              <w:t xml:space="preserve">In accordance with Article 40 of Commission Implementing Regulation no. 447/2014, for each operation, project partners shall appoint a lead beneficiary. The lead beneficiary shall assume overall responsibility for the application and implementation of the entire operation, including </w:t>
            </w:r>
            <w:r w:rsidR="00BC230D" w:rsidRPr="00BC230D">
              <w:t xml:space="preserve">laying down the arrangements with other beneficiaries in an agreement comprising provisions that, inter alia, guarantee the sound financial management of the funds allocated to the operation, including the arrangements for recovering amounts unduly paid; </w:t>
            </w:r>
            <w:r w:rsidR="00AA1CCD" w:rsidRPr="00BA1BBC">
              <w:t>ensuring that the expenditure</w:t>
            </w:r>
            <w:r w:rsidR="00AA1CCD">
              <w:t>s</w:t>
            </w:r>
            <w:r w:rsidR="00AA1CCD" w:rsidRPr="00BA1BBC">
              <w:t xml:space="preserve"> presented by </w:t>
            </w:r>
            <w:r w:rsidR="00AA1CCD">
              <w:t>the partners</w:t>
            </w:r>
            <w:r w:rsidR="00AA1CCD" w:rsidRPr="00BA1BBC">
              <w:t xml:space="preserve"> correspond to the activities agreed </w:t>
            </w:r>
            <w:r w:rsidR="00AA1CCD">
              <w:t>amon</w:t>
            </w:r>
            <w:r w:rsidR="00BC230D">
              <w:t>g the partnership and ensuring that the</w:t>
            </w:r>
            <w:r w:rsidR="00AA1CCD">
              <w:t xml:space="preserve"> expenditures </w:t>
            </w:r>
            <w:r w:rsidR="00BC230D" w:rsidRPr="00BC230D">
              <w:t xml:space="preserve">presented by other beneficiaries </w:t>
            </w:r>
            <w:r w:rsidR="00AA1CCD">
              <w:t xml:space="preserve">are validated by responsible controller </w:t>
            </w:r>
            <w:r w:rsidR="00AA1CCD" w:rsidRPr="00BA1BBC">
              <w:t>a</w:t>
            </w:r>
            <w:r w:rsidR="00AA1CCD">
              <w:t xml:space="preserve">s well as </w:t>
            </w:r>
            <w:r w:rsidR="00AA1CCD" w:rsidRPr="00BA1BBC">
              <w:t xml:space="preserve">that </w:t>
            </w:r>
            <w:r w:rsidR="00AA1CCD">
              <w:t>corresponding programme contribution is transferred to the partners</w:t>
            </w:r>
            <w:r w:rsidR="00AA1CCD" w:rsidRPr="00433F7C">
              <w:rPr>
                <w:szCs w:val="24"/>
                <w:lang w:eastAsia="fr-BE"/>
              </w:rPr>
              <w:t>.</w:t>
            </w:r>
            <w:r w:rsidRPr="00433F7C">
              <w:rPr>
                <w:szCs w:val="24"/>
                <w:lang w:eastAsia="fr-BE"/>
              </w:rPr>
              <w:t>.</w:t>
            </w:r>
          </w:p>
          <w:p w:rsidR="004868CC" w:rsidRPr="00433F7C" w:rsidRDefault="004868CC" w:rsidP="004868CC">
            <w:pPr>
              <w:rPr>
                <w:szCs w:val="24"/>
                <w:lang w:eastAsia="fr-BE"/>
              </w:rPr>
            </w:pPr>
            <w:r w:rsidRPr="00433F7C">
              <w:rPr>
                <w:szCs w:val="24"/>
                <w:lang w:eastAsia="fr-BE"/>
              </w:rPr>
              <w:lastRenderedPageBreak/>
              <w:t xml:space="preserve">National co-financing for operations must be provided by the project partners according to their respective national mechanisms. Some activities under operations may be pre-financed by the project partners. Expenditure of all partners </w:t>
            </w:r>
            <w:r>
              <w:rPr>
                <w:szCs w:val="24"/>
                <w:lang w:eastAsia="fr-BE"/>
              </w:rPr>
              <w:t>has</w:t>
            </w:r>
            <w:r w:rsidRPr="00433F7C">
              <w:rPr>
                <w:szCs w:val="24"/>
                <w:lang w:eastAsia="fr-BE"/>
              </w:rPr>
              <w:t xml:space="preserve"> to be validated by authorised national controllers. </w:t>
            </w:r>
          </w:p>
          <w:p w:rsidR="004868CC" w:rsidRPr="00433F7C" w:rsidRDefault="004868CC" w:rsidP="004868CC">
            <w:pPr>
              <w:rPr>
                <w:szCs w:val="24"/>
                <w:lang w:eastAsia="fr-BE"/>
              </w:rPr>
            </w:pPr>
            <w:r w:rsidRPr="00433F7C">
              <w:rPr>
                <w:szCs w:val="24"/>
                <w:lang w:eastAsia="fr-BE"/>
              </w:rPr>
              <w:t>The lead beneficiary collects the certificates of all project partners issued by their controllers and includes these in the periodic activity report and financial progress reports and submits it to the MA/JS. In these documents, the lead beneficiary reports on progress achieved by the project partnership and on related eligible and validated expenditures.</w:t>
            </w:r>
          </w:p>
          <w:p w:rsidR="004868CC" w:rsidRPr="00433F7C" w:rsidRDefault="004868CC" w:rsidP="004868CC">
            <w:pPr>
              <w:rPr>
                <w:szCs w:val="24"/>
                <w:lang w:eastAsia="fr-BE"/>
              </w:rPr>
            </w:pPr>
            <w:r w:rsidRPr="00433F7C">
              <w:rPr>
                <w:szCs w:val="24"/>
                <w:lang w:eastAsia="fr-BE"/>
              </w:rPr>
              <w:t>Based on checks of the reports undertaken by the JS and in accordance with Article 21</w:t>
            </w:r>
            <w:r>
              <w:rPr>
                <w:szCs w:val="24"/>
                <w:lang w:eastAsia="fr-BE"/>
              </w:rPr>
              <w:t xml:space="preserve"> </w:t>
            </w:r>
            <w:r w:rsidRPr="00433F7C">
              <w:rPr>
                <w:szCs w:val="24"/>
                <w:lang w:eastAsia="fr-BE"/>
              </w:rPr>
              <w:t xml:space="preserve">(2) of the ETC Regulation and Article 132 of the CPR, the Certifying Authority shall make payments to the lead beneficiary who is responsible for transferring the IPA contribution to the partners participating in the operation. </w:t>
            </w:r>
          </w:p>
          <w:p w:rsidR="004868CC" w:rsidRPr="00433F7C" w:rsidRDefault="004868CC" w:rsidP="004868CC">
            <w:pPr>
              <w:rPr>
                <w:szCs w:val="24"/>
                <w:lang w:eastAsia="fr-BE"/>
              </w:rPr>
            </w:pPr>
            <w:r w:rsidRPr="00433F7C">
              <w:rPr>
                <w:szCs w:val="24"/>
                <w:lang w:eastAsia="fr-BE"/>
              </w:rPr>
              <w:t>In accordance with Article 80 of the CPR, amounts set out in the programme submitted by the participating countries and statements of expenditure shall be denominated in Euro. All payments to lead beneficiaries will be made in Euro.</w:t>
            </w:r>
          </w:p>
          <w:p w:rsidR="004868CC" w:rsidRDefault="004868CC" w:rsidP="004868CC">
            <w:pPr>
              <w:rPr>
                <w:szCs w:val="24"/>
                <w:lang w:eastAsia="fr-BE"/>
              </w:rPr>
            </w:pPr>
            <w:r w:rsidRPr="00433F7C">
              <w:rPr>
                <w:szCs w:val="24"/>
                <w:lang w:eastAsia="fr-BE"/>
              </w:rPr>
              <w:t xml:space="preserve">Financial flows are illustrated in </w:t>
            </w:r>
            <w:r w:rsidRPr="00CB5BB4">
              <w:rPr>
                <w:szCs w:val="24"/>
                <w:lang w:eastAsia="fr-BE"/>
              </w:rPr>
              <w:t>Annex</w:t>
            </w:r>
            <w:r w:rsidR="00BC230D">
              <w:rPr>
                <w:szCs w:val="24"/>
                <w:lang w:eastAsia="fr-BE"/>
              </w:rPr>
              <w:t xml:space="preserve"> 16</w:t>
            </w:r>
            <w:r w:rsidRPr="00CB5BB4">
              <w:rPr>
                <w:szCs w:val="24"/>
                <w:lang w:eastAsia="fr-BE"/>
              </w:rPr>
              <w:t>.</w:t>
            </w:r>
          </w:p>
          <w:p w:rsidR="00055394" w:rsidRPr="003A787C" w:rsidRDefault="00055394" w:rsidP="00165043">
            <w:pPr>
              <w:keepNext/>
              <w:keepLines/>
              <w:outlineLvl w:val="2"/>
              <w:rPr>
                <w:rFonts w:eastAsiaTheme="majorEastAsia"/>
                <w:b/>
                <w:bCs/>
                <w:i/>
                <w:iCs/>
                <w:color w:val="4F81BD" w:themeColor="accent1"/>
                <w:szCs w:val="24"/>
              </w:rPr>
            </w:pPr>
            <w:r w:rsidRPr="003A787C">
              <w:rPr>
                <w:rFonts w:eastAsiaTheme="majorEastAsia"/>
                <w:b/>
                <w:bCs/>
                <w:i/>
                <w:iCs/>
                <w:color w:val="4F81BD" w:themeColor="accent1"/>
                <w:szCs w:val="24"/>
              </w:rPr>
              <w:t>Resolution of complaints</w:t>
            </w:r>
            <w:bookmarkEnd w:id="82"/>
            <w:bookmarkEnd w:id="83"/>
            <w:bookmarkEnd w:id="84"/>
            <w:bookmarkEnd w:id="85"/>
            <w:bookmarkEnd w:id="86"/>
            <w:bookmarkEnd w:id="87"/>
            <w:r w:rsidRPr="003A787C">
              <w:rPr>
                <w:rFonts w:eastAsiaTheme="majorEastAsia"/>
                <w:b/>
                <w:bCs/>
                <w:i/>
                <w:iCs/>
                <w:color w:val="4F81BD" w:themeColor="accent1"/>
                <w:szCs w:val="24"/>
              </w:rPr>
              <w:t xml:space="preserve"> </w:t>
            </w:r>
          </w:p>
          <w:p w:rsidR="00DD292A" w:rsidRPr="00433F7C" w:rsidRDefault="00DD292A" w:rsidP="00DD292A">
            <w:pPr>
              <w:rPr>
                <w:szCs w:val="24"/>
                <w:lang w:eastAsia="fr-BE"/>
              </w:rPr>
            </w:pPr>
            <w:bookmarkStart w:id="88" w:name="_Toc380741658"/>
            <w:bookmarkStart w:id="89" w:name="_Toc380869236"/>
            <w:bookmarkStart w:id="90" w:name="_Toc381108762"/>
            <w:bookmarkStart w:id="91" w:name="_Toc381109069"/>
            <w:bookmarkStart w:id="92" w:name="_Toc385488946"/>
            <w:r w:rsidRPr="00433F7C">
              <w:rPr>
                <w:szCs w:val="24"/>
                <w:lang w:eastAsia="fr-BE"/>
              </w:rPr>
              <w:t>The procedures set in place for the resolution of complaints are differentiated according to the object of the complaint.</w:t>
            </w:r>
          </w:p>
          <w:p w:rsidR="00DD292A" w:rsidRPr="00BC230D" w:rsidRDefault="00DD292A" w:rsidP="00DD292A">
            <w:pPr>
              <w:rPr>
                <w:i/>
                <w:szCs w:val="24"/>
                <w:lang w:eastAsia="fr-BE"/>
              </w:rPr>
            </w:pPr>
            <w:r w:rsidRPr="00BC230D">
              <w:rPr>
                <w:i/>
                <w:szCs w:val="24"/>
                <w:lang w:eastAsia="fr-BE"/>
              </w:rPr>
              <w:t>Complaints related to assessment and selection:</w:t>
            </w:r>
          </w:p>
          <w:p w:rsidR="00DD292A" w:rsidRPr="00433F7C" w:rsidRDefault="00DD292A" w:rsidP="00DD292A">
            <w:pPr>
              <w:rPr>
                <w:szCs w:val="24"/>
                <w:lang w:eastAsia="fr-BE"/>
              </w:rPr>
            </w:pPr>
            <w:r w:rsidRPr="00433F7C">
              <w:rPr>
                <w:szCs w:val="24"/>
                <w:lang w:eastAsia="fr-BE"/>
              </w:rPr>
              <w:t xml:space="preserve">Project lead applicants will be informed in writing about the reasons why an application was not eligible or approved. Any complaint related to the assessment shall be submitted by the lead applicant to the MA/JS that, in collaboration with the JMC, will examine and provide its position regarding the merit of the complaint. The JMC may also set up a task force or a sub-committee to deal with the complaints. </w:t>
            </w:r>
          </w:p>
          <w:p w:rsidR="00DD292A" w:rsidRPr="00BC230D" w:rsidRDefault="00DD292A" w:rsidP="00DD292A">
            <w:pPr>
              <w:rPr>
                <w:i/>
                <w:szCs w:val="24"/>
                <w:lang w:eastAsia="fr-BE"/>
              </w:rPr>
            </w:pPr>
            <w:r w:rsidRPr="00BC230D">
              <w:rPr>
                <w:i/>
                <w:szCs w:val="24"/>
                <w:lang w:eastAsia="fr-BE"/>
              </w:rPr>
              <w:t>Complaints related to decisions made by the MA/JS during project implementation:</w:t>
            </w:r>
          </w:p>
          <w:p w:rsidR="00DD292A" w:rsidRPr="00433F7C" w:rsidRDefault="00DD292A" w:rsidP="00DD292A">
            <w:pPr>
              <w:rPr>
                <w:szCs w:val="24"/>
                <w:lang w:eastAsia="fr-BE"/>
              </w:rPr>
            </w:pPr>
            <w:r w:rsidRPr="00433F7C">
              <w:rPr>
                <w:szCs w:val="24"/>
                <w:lang w:eastAsia="fr-BE"/>
              </w:rPr>
              <w:t xml:space="preserve">Any complaints in relation to decisions made by the MA/JS during project implementation on the basis of the subsidy contract or JMC decisions shall be submitted by the project lead beneficiary to the MA/JS that will examine and provide an answer (in collaboration with the JMC if necessary). </w:t>
            </w:r>
          </w:p>
          <w:p w:rsidR="00DD292A" w:rsidRPr="00BC230D" w:rsidRDefault="00DD292A" w:rsidP="00DD292A">
            <w:pPr>
              <w:rPr>
                <w:i/>
                <w:szCs w:val="24"/>
                <w:lang w:eastAsia="fr-BE"/>
              </w:rPr>
            </w:pPr>
            <w:r w:rsidRPr="00BC230D">
              <w:rPr>
                <w:i/>
                <w:szCs w:val="24"/>
                <w:lang w:eastAsia="fr-BE"/>
              </w:rPr>
              <w:t>Complaints related to the national control system:</w:t>
            </w:r>
          </w:p>
          <w:p w:rsidR="00DD292A" w:rsidRPr="00433F7C" w:rsidRDefault="00DD292A" w:rsidP="00DD292A">
            <w:pPr>
              <w:rPr>
                <w:szCs w:val="24"/>
                <w:lang w:eastAsia="fr-BE"/>
              </w:rPr>
            </w:pPr>
            <w:r w:rsidRPr="00433F7C">
              <w:rPr>
                <w:szCs w:val="24"/>
                <w:lang w:eastAsia="fr-BE"/>
              </w:rPr>
              <w:t>Project lead beneficiaries or partners that have complaints related to the national control system set up in accordance with Article 23</w:t>
            </w:r>
            <w:r>
              <w:rPr>
                <w:szCs w:val="24"/>
                <w:lang w:eastAsia="fr-BE"/>
              </w:rPr>
              <w:t xml:space="preserve"> </w:t>
            </w:r>
            <w:r w:rsidRPr="00433F7C">
              <w:rPr>
                <w:szCs w:val="24"/>
                <w:lang w:eastAsia="fr-BE"/>
              </w:rPr>
              <w:t>(4) of the ETC Regulation, can file a complaint to the national authority or other designated body of the relevant participating country following national procedures set in place in accordance with Article 74</w:t>
            </w:r>
            <w:r>
              <w:rPr>
                <w:szCs w:val="24"/>
                <w:lang w:eastAsia="fr-BE"/>
              </w:rPr>
              <w:t xml:space="preserve"> </w:t>
            </w:r>
            <w:r w:rsidRPr="00433F7C">
              <w:rPr>
                <w:szCs w:val="24"/>
                <w:lang w:eastAsia="fr-BE"/>
              </w:rPr>
              <w:t>(3) of the CPR. Participating country national authority may set up a task force or a sub-committee to deal with the complaints.</w:t>
            </w:r>
          </w:p>
          <w:p w:rsidR="00DD292A" w:rsidRDefault="00DD292A" w:rsidP="00DD292A">
            <w:pPr>
              <w:rPr>
                <w:szCs w:val="24"/>
                <w:lang w:eastAsia="fr-BE"/>
              </w:rPr>
            </w:pPr>
            <w:r w:rsidRPr="00433F7C">
              <w:rPr>
                <w:szCs w:val="24"/>
                <w:lang w:eastAsia="fr-BE"/>
              </w:rPr>
              <w:t xml:space="preserve">Further information on the procedure for the submission of complaints will be laid down in the relevant programme documents communicated to applicants and beneficiaries. </w:t>
            </w:r>
          </w:p>
          <w:p w:rsidR="00055394" w:rsidRPr="003A787C" w:rsidRDefault="00055394" w:rsidP="00165043">
            <w:pPr>
              <w:keepNext/>
              <w:keepLines/>
              <w:outlineLvl w:val="2"/>
              <w:rPr>
                <w:rFonts w:eastAsiaTheme="majorEastAsia"/>
                <w:bCs/>
                <w:i/>
                <w:iCs/>
                <w:color w:val="4F81BD" w:themeColor="accent1"/>
                <w:szCs w:val="24"/>
              </w:rPr>
            </w:pPr>
            <w:r w:rsidRPr="003A787C">
              <w:rPr>
                <w:rFonts w:eastAsiaTheme="majorEastAsia"/>
                <w:bCs/>
                <w:i/>
                <w:iCs/>
                <w:color w:val="4F81BD" w:themeColor="accent1"/>
                <w:szCs w:val="24"/>
              </w:rPr>
              <w:t>5.3.i</w:t>
            </w:r>
            <w:r w:rsidRPr="003A787C">
              <w:rPr>
                <w:rFonts w:eastAsiaTheme="majorEastAsia"/>
                <w:bCs/>
                <w:i/>
                <w:iCs/>
                <w:color w:val="4F81BD" w:themeColor="accent1"/>
                <w:szCs w:val="24"/>
              </w:rPr>
              <w:tab/>
              <w:t>Annual and final implementation reports</w:t>
            </w:r>
            <w:bookmarkEnd w:id="88"/>
            <w:bookmarkEnd w:id="89"/>
            <w:bookmarkEnd w:id="90"/>
            <w:bookmarkEnd w:id="91"/>
            <w:bookmarkEnd w:id="92"/>
          </w:p>
          <w:p w:rsidR="00D2579C" w:rsidRPr="00433F7C" w:rsidRDefault="00D2579C" w:rsidP="00D2579C">
            <w:pPr>
              <w:rPr>
                <w:szCs w:val="24"/>
                <w:lang w:eastAsia="fr-BE"/>
              </w:rPr>
            </w:pPr>
            <w:bookmarkStart w:id="93" w:name="_Toc380741659"/>
            <w:bookmarkStart w:id="94" w:name="_Toc380869237"/>
            <w:bookmarkStart w:id="95" w:name="_Toc381108763"/>
            <w:bookmarkStart w:id="96" w:name="_Toc381109070"/>
            <w:bookmarkStart w:id="97" w:name="_Toc385488947"/>
            <w:r w:rsidRPr="00433F7C">
              <w:rPr>
                <w:szCs w:val="24"/>
                <w:lang w:eastAsia="fr-BE"/>
              </w:rPr>
              <w:t xml:space="preserve">In accordance with Article 50 of the CPR and Article 14 of the ETC Regulation, the MA will submit an annual report to the European Commission for the first time in 2016 and by 31 May in each subsequent year until and including 2023. For reports submitted in </w:t>
            </w:r>
            <w:r w:rsidRPr="00433F7C">
              <w:rPr>
                <w:szCs w:val="24"/>
                <w:lang w:eastAsia="fr-BE"/>
              </w:rPr>
              <w:lastRenderedPageBreak/>
              <w:t>2017 and 2019, the deadline shall be 30 June. The annual reports are to be drafted by the MA/JS on the basis of data provided by the operations through the progress and final reports</w:t>
            </w:r>
            <w:r w:rsidR="00BC230D">
              <w:rPr>
                <w:szCs w:val="24"/>
                <w:lang w:eastAsia="fr-BE"/>
              </w:rPr>
              <w:t xml:space="preserve"> and also by other </w:t>
            </w:r>
            <w:r w:rsidR="00955249">
              <w:rPr>
                <w:szCs w:val="24"/>
                <w:lang w:eastAsia="fr-BE"/>
              </w:rPr>
              <w:t>programme</w:t>
            </w:r>
            <w:r w:rsidR="00BC230D">
              <w:rPr>
                <w:szCs w:val="24"/>
                <w:lang w:eastAsia="fr-BE"/>
              </w:rPr>
              <w:t xml:space="preserve"> management bodies</w:t>
            </w:r>
            <w:r w:rsidRPr="00433F7C">
              <w:rPr>
                <w:szCs w:val="24"/>
                <w:lang w:eastAsia="fr-BE"/>
              </w:rPr>
              <w:t xml:space="preserve">. Programme annual reports are to be approved by the JMC before they are sent to the European Commission. </w:t>
            </w:r>
          </w:p>
          <w:p w:rsidR="00D2579C" w:rsidRDefault="00D2579C" w:rsidP="00D2579C">
            <w:pPr>
              <w:rPr>
                <w:szCs w:val="24"/>
                <w:lang w:eastAsia="fr-BE"/>
              </w:rPr>
            </w:pPr>
            <w:r w:rsidRPr="00433F7C">
              <w:rPr>
                <w:szCs w:val="24"/>
                <w:lang w:eastAsia="fr-BE"/>
              </w:rPr>
              <w:t>A final implementation report will be submitted to the European Commission in due time following the same procedures as the annual reports.</w:t>
            </w:r>
          </w:p>
          <w:p w:rsidR="00055394" w:rsidRPr="003A787C" w:rsidRDefault="00055394" w:rsidP="00165043">
            <w:pPr>
              <w:keepNext/>
              <w:keepLines/>
              <w:outlineLvl w:val="2"/>
              <w:rPr>
                <w:rFonts w:eastAsiaTheme="majorEastAsia"/>
                <w:bCs/>
                <w:i/>
                <w:iCs/>
                <w:color w:val="4F81BD" w:themeColor="accent1"/>
                <w:szCs w:val="24"/>
              </w:rPr>
            </w:pPr>
            <w:r w:rsidRPr="003A787C">
              <w:rPr>
                <w:rFonts w:eastAsiaTheme="majorEastAsia"/>
                <w:bCs/>
                <w:i/>
                <w:iCs/>
                <w:color w:val="4F81BD" w:themeColor="accent1"/>
                <w:szCs w:val="24"/>
              </w:rPr>
              <w:t>5.3.j</w:t>
            </w:r>
            <w:r w:rsidRPr="003A787C">
              <w:rPr>
                <w:rFonts w:eastAsiaTheme="majorEastAsia"/>
                <w:bCs/>
                <w:i/>
                <w:iCs/>
                <w:color w:val="4F81BD" w:themeColor="accent1"/>
                <w:szCs w:val="24"/>
              </w:rPr>
              <w:tab/>
              <w:t>Programme evaluation</w:t>
            </w:r>
            <w:bookmarkEnd w:id="93"/>
            <w:bookmarkEnd w:id="94"/>
            <w:bookmarkEnd w:id="95"/>
            <w:bookmarkEnd w:id="96"/>
            <w:bookmarkEnd w:id="97"/>
          </w:p>
          <w:p w:rsidR="004D3B88" w:rsidRPr="00433F7C" w:rsidRDefault="004D3B88" w:rsidP="004D3B88">
            <w:pPr>
              <w:rPr>
                <w:szCs w:val="24"/>
                <w:lang w:eastAsia="fr-BE"/>
              </w:rPr>
            </w:pPr>
            <w:bookmarkStart w:id="98" w:name="_Toc380741660"/>
            <w:bookmarkStart w:id="99" w:name="_Toc380869238"/>
            <w:bookmarkStart w:id="100" w:name="_Toc381108764"/>
            <w:bookmarkStart w:id="101" w:name="_Toc381109071"/>
            <w:bookmarkStart w:id="102" w:name="_Toc385488948"/>
            <w:r w:rsidRPr="00433F7C">
              <w:rPr>
                <w:szCs w:val="24"/>
                <w:lang w:eastAsia="fr-BE"/>
              </w:rPr>
              <w:t xml:space="preserve">The programme has been subject to an ex-ante evaluation of independent evaluators with the aim to improve programme quality and to optimise the allocation of budget resources. The recommendations of this evaluation have been taken into account during the drafting of this programme as described in ex-ante report </w:t>
            </w:r>
            <w:r w:rsidRPr="00C05CCD">
              <w:rPr>
                <w:szCs w:val="24"/>
                <w:lang w:eastAsia="fr-BE"/>
              </w:rPr>
              <w:t>in Annex.</w:t>
            </w:r>
          </w:p>
          <w:p w:rsidR="004D3B88" w:rsidRPr="00433F7C" w:rsidRDefault="004D3B88" w:rsidP="004D3B88">
            <w:pPr>
              <w:rPr>
                <w:szCs w:val="24"/>
                <w:lang w:eastAsia="fr-BE"/>
              </w:rPr>
            </w:pPr>
            <w:r w:rsidRPr="00433F7C">
              <w:rPr>
                <w:szCs w:val="24"/>
                <w:lang w:eastAsia="fr-BE"/>
              </w:rPr>
              <w:t>In accordance with Article 56 of the CPR, the MA will draw up an evaluation plan which will be approved by the JMC in line with provisions as laid down in Article 110</w:t>
            </w:r>
            <w:r>
              <w:rPr>
                <w:szCs w:val="24"/>
                <w:lang w:eastAsia="fr-BE"/>
              </w:rPr>
              <w:t xml:space="preserve"> </w:t>
            </w:r>
            <w:r w:rsidRPr="00433F7C">
              <w:rPr>
                <w:szCs w:val="24"/>
                <w:lang w:eastAsia="fr-BE"/>
              </w:rPr>
              <w:t>(2)</w:t>
            </w:r>
            <w:r>
              <w:rPr>
                <w:szCs w:val="24"/>
                <w:lang w:eastAsia="fr-BE"/>
              </w:rPr>
              <w:t xml:space="preserve"> </w:t>
            </w:r>
            <w:r w:rsidRPr="00433F7C">
              <w:rPr>
                <w:szCs w:val="24"/>
                <w:lang w:eastAsia="fr-BE"/>
              </w:rPr>
              <w:t xml:space="preserve">(c) of the CPR. </w:t>
            </w:r>
          </w:p>
          <w:p w:rsidR="004D3B88" w:rsidRPr="00433F7C" w:rsidRDefault="004D3B88" w:rsidP="004D3B88">
            <w:pPr>
              <w:rPr>
                <w:szCs w:val="24"/>
                <w:lang w:eastAsia="fr-BE"/>
              </w:rPr>
            </w:pPr>
            <w:r w:rsidRPr="00433F7C">
              <w:rPr>
                <w:szCs w:val="24"/>
                <w:lang w:eastAsia="fr-BE"/>
              </w:rPr>
              <w:t>In accordance with Article 56 of the CPR, evaluations will be carried out to assess the effectiveness, efficiency and impact of the programme. During the programming period, evaluation will assess how support from the funds has contributed to the objectives for each priority and also the territorial coverage of the programme area. All evaluations, recommendations and follow-up actions will be examined and approved by the JMC.</w:t>
            </w:r>
          </w:p>
          <w:p w:rsidR="004D3B88" w:rsidRDefault="004D3B88" w:rsidP="004D3B88">
            <w:pPr>
              <w:rPr>
                <w:szCs w:val="24"/>
                <w:lang w:eastAsia="fr-BE"/>
              </w:rPr>
            </w:pPr>
            <w:r w:rsidRPr="00433F7C">
              <w:rPr>
                <w:szCs w:val="24"/>
                <w:lang w:eastAsia="fr-BE"/>
              </w:rPr>
              <w:t xml:space="preserve">In compliance with Article 57 of the CPR, the ex-post evaluation lies </w:t>
            </w:r>
            <w:r w:rsidR="00BC230D">
              <w:rPr>
                <w:szCs w:val="24"/>
                <w:lang w:eastAsia="fr-BE"/>
              </w:rPr>
              <w:t>with</w:t>
            </w:r>
            <w:r w:rsidRPr="00433F7C">
              <w:rPr>
                <w:szCs w:val="24"/>
                <w:lang w:eastAsia="fr-BE"/>
              </w:rPr>
              <w:t>in the responsibility of the European Commission together wi</w:t>
            </w:r>
            <w:r>
              <w:rPr>
                <w:szCs w:val="24"/>
                <w:lang w:eastAsia="fr-BE"/>
              </w:rPr>
              <w:t>th the participating countries.</w:t>
            </w:r>
          </w:p>
          <w:p w:rsidR="00055394" w:rsidRPr="003A787C" w:rsidRDefault="00055394" w:rsidP="00165043">
            <w:pPr>
              <w:keepNext/>
              <w:keepLines/>
              <w:outlineLvl w:val="2"/>
              <w:rPr>
                <w:rFonts w:eastAsiaTheme="majorEastAsia"/>
                <w:bCs/>
                <w:i/>
                <w:iCs/>
                <w:color w:val="4F81BD" w:themeColor="accent1"/>
                <w:szCs w:val="24"/>
              </w:rPr>
            </w:pPr>
            <w:r w:rsidRPr="003A787C">
              <w:rPr>
                <w:rFonts w:eastAsiaTheme="majorEastAsia"/>
                <w:bCs/>
                <w:i/>
                <w:iCs/>
                <w:color w:val="4F81BD" w:themeColor="accent1"/>
                <w:szCs w:val="24"/>
              </w:rPr>
              <w:t>5.3.k</w:t>
            </w:r>
            <w:r w:rsidRPr="003A787C">
              <w:rPr>
                <w:rFonts w:eastAsiaTheme="majorEastAsia"/>
                <w:bCs/>
                <w:i/>
                <w:iCs/>
                <w:color w:val="4F81BD" w:themeColor="accent1"/>
                <w:szCs w:val="24"/>
              </w:rPr>
              <w:tab/>
              <w:t>Computerised exchange of data</w:t>
            </w:r>
            <w:bookmarkEnd w:id="98"/>
            <w:bookmarkEnd w:id="99"/>
            <w:bookmarkEnd w:id="100"/>
            <w:bookmarkEnd w:id="101"/>
            <w:bookmarkEnd w:id="102"/>
            <w:r w:rsidRPr="003A787C">
              <w:rPr>
                <w:rFonts w:eastAsiaTheme="majorEastAsia"/>
                <w:bCs/>
                <w:i/>
                <w:iCs/>
                <w:color w:val="4F81BD" w:themeColor="accent1"/>
                <w:szCs w:val="24"/>
              </w:rPr>
              <w:t xml:space="preserve"> </w:t>
            </w:r>
          </w:p>
          <w:p w:rsidR="00055394" w:rsidRPr="003A787C" w:rsidRDefault="00055394" w:rsidP="00165043">
            <w:pPr>
              <w:rPr>
                <w:noProof/>
                <w:szCs w:val="24"/>
                <w:lang w:eastAsia="fr-BE"/>
              </w:rPr>
            </w:pPr>
            <w:r w:rsidRPr="003A787C">
              <w:rPr>
                <w:szCs w:val="24"/>
              </w:rPr>
              <w:t xml:space="preserve">   </w:t>
            </w:r>
            <w:r w:rsidRPr="003A787C">
              <w:rPr>
                <w:noProof/>
                <w:szCs w:val="24"/>
                <w:lang w:eastAsia="fr-BE"/>
              </w:rPr>
              <w:t>Monitoring System</w:t>
            </w:r>
          </w:p>
          <w:p w:rsidR="00BC230D" w:rsidRDefault="00BC230D" w:rsidP="00BC230D">
            <w:pPr>
              <w:rPr>
                <w:szCs w:val="24"/>
                <w:lang w:eastAsia="fr-BE"/>
              </w:rPr>
            </w:pPr>
            <w:r w:rsidRPr="00D15718">
              <w:rPr>
                <w:szCs w:val="24"/>
              </w:rPr>
              <w:t xml:space="preserve">In accordance with </w:t>
            </w:r>
            <w:r w:rsidRPr="0086505C">
              <w:rPr>
                <w:szCs w:val="24"/>
              </w:rPr>
              <w:t>Article 125 (2) of the CPR</w:t>
            </w:r>
            <w:r w:rsidRPr="00D15718">
              <w:rPr>
                <w:szCs w:val="24"/>
              </w:rPr>
              <w:t>, the M</w:t>
            </w:r>
            <w:r>
              <w:rPr>
                <w:szCs w:val="24"/>
              </w:rPr>
              <w:t xml:space="preserve">anaging Authority </w:t>
            </w:r>
            <w:r w:rsidRPr="00D15718">
              <w:rPr>
                <w:szCs w:val="24"/>
              </w:rPr>
              <w:t>is responsible for setting up of an electronic data exchange system to record and store in computerised form data on each operation necessary for monitoring, evaluation, financial management, verification and audit, including data on individual participants in operations</w:t>
            </w:r>
            <w:r>
              <w:rPr>
                <w:szCs w:val="24"/>
              </w:rPr>
              <w:t>, where applicable</w:t>
            </w:r>
            <w:r w:rsidRPr="00D15718">
              <w:rPr>
                <w:szCs w:val="24"/>
              </w:rPr>
              <w:t>.</w:t>
            </w:r>
          </w:p>
          <w:p w:rsidR="001F4D97" w:rsidRPr="00433F7C" w:rsidRDefault="001F4D97" w:rsidP="001F4D97">
            <w:pPr>
              <w:rPr>
                <w:szCs w:val="24"/>
                <w:lang w:eastAsia="fr-BE"/>
              </w:rPr>
            </w:pPr>
            <w:r w:rsidRPr="00433F7C">
              <w:rPr>
                <w:szCs w:val="24"/>
                <w:lang w:eastAsia="fr-BE"/>
              </w:rPr>
              <w:t>As stipulated in Articles 74 and 112 of CPR, data exchange with the EC will be carried out electronically (by means of SFC2014).</w:t>
            </w:r>
          </w:p>
          <w:p w:rsidR="001F4D97" w:rsidRPr="00433F7C" w:rsidRDefault="001F4D97" w:rsidP="001F4D97">
            <w:pPr>
              <w:rPr>
                <w:szCs w:val="24"/>
                <w:lang w:eastAsia="fr-BE"/>
              </w:rPr>
            </w:pPr>
            <w:r w:rsidRPr="00433F7C">
              <w:rPr>
                <w:szCs w:val="24"/>
                <w:lang w:eastAsia="fr-BE"/>
              </w:rPr>
              <w:t>On the side of the programme, the monitoring system according to Article 72 of CPR shall provide data and information needed to fulfil management, monitoring and evaluation requirements.</w:t>
            </w:r>
          </w:p>
          <w:p w:rsidR="001F4D97" w:rsidRPr="00433F7C" w:rsidRDefault="001F4D97" w:rsidP="001F4D97">
            <w:pPr>
              <w:rPr>
                <w:szCs w:val="24"/>
                <w:lang w:eastAsia="fr-BE"/>
              </w:rPr>
            </w:pPr>
            <w:r w:rsidRPr="00433F7C">
              <w:rPr>
                <w:szCs w:val="24"/>
                <w:lang w:eastAsia="fr-BE"/>
              </w:rPr>
              <w:t xml:space="preserve">In accordance with Article 122 of CPR, the </w:t>
            </w:r>
            <w:r w:rsidR="00BC230D">
              <w:rPr>
                <w:szCs w:val="24"/>
                <w:lang w:eastAsia="fr-BE"/>
              </w:rPr>
              <w:t xml:space="preserve">participating countries </w:t>
            </w:r>
            <w:r w:rsidRPr="00433F7C">
              <w:rPr>
                <w:szCs w:val="24"/>
                <w:lang w:eastAsia="fr-BE"/>
              </w:rPr>
              <w:t>will ensure that no later than 31 December 2015, all exchanges of information between beneficiaries and the MA/CA and AA can be carried out by means of an electronic data exchange system (e-MS).</w:t>
            </w:r>
          </w:p>
          <w:p w:rsidR="001F4D97" w:rsidRPr="00433F7C" w:rsidRDefault="001F4D97" w:rsidP="001F4D97">
            <w:pPr>
              <w:rPr>
                <w:szCs w:val="24"/>
                <w:lang w:eastAsia="fr-BE"/>
              </w:rPr>
            </w:pPr>
            <w:r w:rsidRPr="00433F7C">
              <w:rPr>
                <w:szCs w:val="24"/>
                <w:lang w:eastAsia="fr-BE"/>
              </w:rPr>
              <w:t>The e-MS will comply with the following aspects:</w:t>
            </w:r>
          </w:p>
          <w:p w:rsidR="003665BA" w:rsidRDefault="001F4D97" w:rsidP="00CB1819">
            <w:pPr>
              <w:pStyle w:val="ListParagraph"/>
              <w:numPr>
                <w:ilvl w:val="0"/>
                <w:numId w:val="66"/>
              </w:numPr>
              <w:spacing w:after="0"/>
              <w:rPr>
                <w:szCs w:val="24"/>
                <w:lang w:eastAsia="fr-BE"/>
              </w:rPr>
            </w:pPr>
            <w:r w:rsidRPr="003665BA">
              <w:rPr>
                <w:szCs w:val="24"/>
                <w:lang w:eastAsia="fr-BE"/>
              </w:rPr>
              <w:t>data integrity and confidentiality</w:t>
            </w:r>
          </w:p>
          <w:p w:rsidR="003665BA" w:rsidRDefault="001F4D97" w:rsidP="00CB1819">
            <w:pPr>
              <w:pStyle w:val="ListParagraph"/>
              <w:numPr>
                <w:ilvl w:val="0"/>
                <w:numId w:val="66"/>
              </w:numPr>
              <w:spacing w:after="0"/>
              <w:rPr>
                <w:szCs w:val="24"/>
                <w:lang w:eastAsia="fr-BE"/>
              </w:rPr>
            </w:pPr>
            <w:r w:rsidRPr="003665BA">
              <w:rPr>
                <w:szCs w:val="24"/>
                <w:lang w:eastAsia="fr-BE"/>
              </w:rPr>
              <w:t>authentication of the sender within the meaning of Directive 1999/93/EC4</w:t>
            </w:r>
          </w:p>
          <w:p w:rsidR="003665BA" w:rsidRDefault="001F4D97" w:rsidP="00CB1819">
            <w:pPr>
              <w:pStyle w:val="ListParagraph"/>
              <w:numPr>
                <w:ilvl w:val="0"/>
                <w:numId w:val="66"/>
              </w:numPr>
              <w:spacing w:after="0"/>
              <w:rPr>
                <w:szCs w:val="24"/>
                <w:lang w:eastAsia="fr-BE"/>
              </w:rPr>
            </w:pPr>
            <w:r w:rsidRPr="003665BA">
              <w:rPr>
                <w:szCs w:val="24"/>
                <w:lang w:eastAsia="fr-BE"/>
              </w:rPr>
              <w:t>storage in compliance with retention rules defined in Article 140 of CPR</w:t>
            </w:r>
          </w:p>
          <w:p w:rsidR="003665BA" w:rsidRDefault="001F4D97" w:rsidP="00CB1819">
            <w:pPr>
              <w:pStyle w:val="ListParagraph"/>
              <w:numPr>
                <w:ilvl w:val="0"/>
                <w:numId w:val="66"/>
              </w:numPr>
              <w:spacing w:after="0"/>
              <w:rPr>
                <w:szCs w:val="24"/>
                <w:lang w:eastAsia="fr-BE"/>
              </w:rPr>
            </w:pPr>
            <w:r w:rsidRPr="003665BA">
              <w:rPr>
                <w:szCs w:val="24"/>
                <w:lang w:eastAsia="fr-BE"/>
              </w:rPr>
              <w:t>secure transfer of data</w:t>
            </w:r>
          </w:p>
          <w:p w:rsidR="003665BA" w:rsidRDefault="001F4D97" w:rsidP="00CB1819">
            <w:pPr>
              <w:pStyle w:val="ListParagraph"/>
              <w:numPr>
                <w:ilvl w:val="0"/>
                <w:numId w:val="66"/>
              </w:numPr>
              <w:spacing w:after="0"/>
              <w:rPr>
                <w:szCs w:val="24"/>
                <w:lang w:eastAsia="fr-BE"/>
              </w:rPr>
            </w:pPr>
            <w:r w:rsidRPr="003665BA">
              <w:rPr>
                <w:szCs w:val="24"/>
                <w:lang w:eastAsia="fr-BE"/>
              </w:rPr>
              <w:t xml:space="preserve">availability during and outside standard office hours (except for technical </w:t>
            </w:r>
            <w:r w:rsidRPr="003665BA">
              <w:rPr>
                <w:szCs w:val="24"/>
                <w:lang w:eastAsia="fr-BE"/>
              </w:rPr>
              <w:lastRenderedPageBreak/>
              <w:t>maintenance activities)</w:t>
            </w:r>
          </w:p>
          <w:p w:rsidR="003665BA" w:rsidRDefault="001F4D97" w:rsidP="00CB1819">
            <w:pPr>
              <w:pStyle w:val="ListParagraph"/>
              <w:numPr>
                <w:ilvl w:val="0"/>
                <w:numId w:val="66"/>
              </w:numPr>
              <w:spacing w:after="0"/>
              <w:rPr>
                <w:szCs w:val="24"/>
                <w:lang w:eastAsia="fr-BE"/>
              </w:rPr>
            </w:pPr>
            <w:r w:rsidRPr="003665BA">
              <w:rPr>
                <w:szCs w:val="24"/>
                <w:lang w:eastAsia="fr-BE"/>
              </w:rPr>
              <w:t>accessibility by the participating countries and the beneficiaries either directly or via an interface for automatic synchronisation and recording of data with national, regional and local computer management systems</w:t>
            </w:r>
          </w:p>
          <w:p w:rsidR="001F4D97" w:rsidRPr="003665BA" w:rsidRDefault="001F4D97" w:rsidP="00CB1819">
            <w:pPr>
              <w:pStyle w:val="ListParagraph"/>
              <w:numPr>
                <w:ilvl w:val="0"/>
                <w:numId w:val="66"/>
              </w:numPr>
              <w:spacing w:after="0"/>
              <w:rPr>
                <w:szCs w:val="24"/>
                <w:lang w:eastAsia="fr-BE"/>
              </w:rPr>
            </w:pPr>
            <w:r w:rsidRPr="003665BA">
              <w:rPr>
                <w:szCs w:val="24"/>
                <w:lang w:eastAsia="fr-BE"/>
              </w:rPr>
              <w:t>protection of privacy of personal data for individuals and commercial confidentiality for legal entities with respect to the information processed (according to Directive 2002/58/EC concerning the processing of personal data and the protection of privacy in the electronic communications sector and Directive 1995/46/EC on the protection of individuals with regard to the processing of personal data and on the free movement of such data).</w:t>
            </w:r>
          </w:p>
          <w:p w:rsidR="001F4D97" w:rsidRPr="00433F7C" w:rsidRDefault="001F4D97" w:rsidP="001F4D97">
            <w:pPr>
              <w:rPr>
                <w:szCs w:val="24"/>
                <w:lang w:eastAsia="fr-BE"/>
              </w:rPr>
            </w:pPr>
            <w:r w:rsidRPr="00433F7C">
              <w:rPr>
                <w:szCs w:val="24"/>
                <w:lang w:eastAsia="fr-BE"/>
              </w:rPr>
              <w:t>In order to transfer data to the EC, the administration system of the e-MS shall facilitate interoperability with the Union frameworks as required by Article 122 (3) of the CPR.</w:t>
            </w:r>
          </w:p>
          <w:p w:rsidR="00450B41" w:rsidRDefault="001F4D97" w:rsidP="00165043">
            <w:pPr>
              <w:rPr>
                <w:szCs w:val="24"/>
                <w:lang w:eastAsia="fr-BE"/>
              </w:rPr>
            </w:pPr>
            <w:r w:rsidRPr="00433F7C">
              <w:rPr>
                <w:szCs w:val="24"/>
                <w:lang w:eastAsia="fr-BE"/>
              </w:rPr>
              <w:t>The computer system used shall meet accepted security and reliability standards.  Accepted procedures that ensure reliability of the accounting, monitoring and financial reporting information in computerised form will be implemented.</w:t>
            </w:r>
          </w:p>
          <w:p w:rsidR="00BC230D" w:rsidRPr="003A787C" w:rsidRDefault="00BC230D" w:rsidP="00BC230D">
            <w:pPr>
              <w:rPr>
                <w:szCs w:val="24"/>
                <w:lang w:eastAsia="fr-BE"/>
              </w:rPr>
            </w:pPr>
            <w:r w:rsidRPr="00D15718">
              <w:rPr>
                <w:szCs w:val="24"/>
              </w:rPr>
              <w:t xml:space="preserve">The development, implementation, support and maintenance of the </w:t>
            </w:r>
            <w:r w:rsidRPr="00BA1BBC">
              <w:t>programme monitoring and information system shall be financed from the TA budget</w:t>
            </w:r>
            <w:r>
              <w:t>, as appropriate</w:t>
            </w:r>
            <w:r w:rsidRPr="00BA1BBC">
              <w:t>.</w:t>
            </w:r>
          </w:p>
          <w:p w:rsidR="00BC230D" w:rsidRPr="003A787C" w:rsidRDefault="00BC230D" w:rsidP="00165043">
            <w:pPr>
              <w:rPr>
                <w:szCs w:val="24"/>
                <w:lang w:eastAsia="fr-BE"/>
              </w:rPr>
            </w:pPr>
          </w:p>
          <w:p w:rsidR="00055394" w:rsidRPr="003A787C" w:rsidRDefault="00055394" w:rsidP="00165043">
            <w:pPr>
              <w:keepNext/>
              <w:keepLines/>
              <w:outlineLvl w:val="2"/>
              <w:rPr>
                <w:rFonts w:eastAsiaTheme="majorEastAsia"/>
                <w:bCs/>
                <w:i/>
                <w:iCs/>
                <w:color w:val="4F81BD" w:themeColor="accent1"/>
                <w:szCs w:val="24"/>
              </w:rPr>
            </w:pPr>
            <w:bookmarkStart w:id="103" w:name="_Toc380741661"/>
            <w:bookmarkStart w:id="104" w:name="_Toc380869239"/>
            <w:bookmarkStart w:id="105" w:name="_Toc381108765"/>
            <w:bookmarkStart w:id="106" w:name="_Toc381109072"/>
            <w:bookmarkStart w:id="107" w:name="_Toc385488949"/>
            <w:r w:rsidRPr="003A787C">
              <w:rPr>
                <w:rFonts w:eastAsiaTheme="majorEastAsia"/>
                <w:bCs/>
                <w:i/>
                <w:iCs/>
                <w:color w:val="4F81BD" w:themeColor="accent1"/>
                <w:szCs w:val="24"/>
              </w:rPr>
              <w:t>5.3.l</w:t>
            </w:r>
            <w:r w:rsidRPr="003A787C">
              <w:rPr>
                <w:rFonts w:eastAsiaTheme="majorEastAsia"/>
                <w:bCs/>
                <w:i/>
                <w:iCs/>
                <w:color w:val="4F81BD" w:themeColor="accent1"/>
                <w:szCs w:val="24"/>
              </w:rPr>
              <w:tab/>
              <w:t>Contribution of the Member States to the financing of technical assistance</w:t>
            </w:r>
            <w:bookmarkEnd w:id="103"/>
            <w:bookmarkEnd w:id="104"/>
            <w:bookmarkEnd w:id="105"/>
            <w:bookmarkEnd w:id="106"/>
            <w:bookmarkEnd w:id="107"/>
          </w:p>
          <w:p w:rsidR="009F7932" w:rsidRPr="00433F7C" w:rsidRDefault="00BC230D" w:rsidP="009F7932">
            <w:pPr>
              <w:rPr>
                <w:szCs w:val="24"/>
                <w:lang w:eastAsia="fr-BE"/>
              </w:rPr>
            </w:pPr>
            <w:bookmarkStart w:id="108" w:name="_Toc380741662"/>
            <w:bookmarkStart w:id="109" w:name="_Toc380869240"/>
            <w:bookmarkStart w:id="110" w:name="_Toc381108766"/>
            <w:bookmarkStart w:id="111" w:name="_Toc381109073"/>
            <w:bookmarkStart w:id="112" w:name="_Toc385488950"/>
            <w:r>
              <w:rPr>
                <w:szCs w:val="24"/>
                <w:lang w:eastAsia="fr-BE"/>
              </w:rPr>
              <w:t>At</w:t>
            </w:r>
            <w:r w:rsidR="009F7932" w:rsidRPr="00433F7C">
              <w:rPr>
                <w:szCs w:val="24"/>
                <w:lang w:eastAsia="fr-BE"/>
              </w:rPr>
              <w:t xml:space="preserve"> the programme level, the TA is jointly financed by the countries participating in the programme. In accordance with Article 35 of the Commission Implementing Regulation no. 447/2014, TA is financed by a maximum of 10% of the total IPA amount allocated to the programme. The TA amount will be co-financed by th</w:t>
            </w:r>
            <w:r>
              <w:rPr>
                <w:szCs w:val="24"/>
                <w:lang w:eastAsia="fr-BE"/>
              </w:rPr>
              <w:t>re</w:t>
            </w:r>
            <w:r w:rsidR="009F7932" w:rsidRPr="00433F7C">
              <w:rPr>
                <w:szCs w:val="24"/>
                <w:lang w:eastAsia="fr-BE"/>
              </w:rPr>
              <w:t xml:space="preserve">e participating countries in the programme. Details on the TA budget are laid </w:t>
            </w:r>
            <w:r>
              <w:rPr>
                <w:szCs w:val="24"/>
                <w:lang w:eastAsia="fr-BE"/>
              </w:rPr>
              <w:t>down</w:t>
            </w:r>
            <w:r w:rsidR="009F7932" w:rsidRPr="00433F7C">
              <w:rPr>
                <w:szCs w:val="24"/>
                <w:lang w:eastAsia="fr-BE"/>
              </w:rPr>
              <w:t xml:space="preserve"> in Section 3</w:t>
            </w:r>
            <w:r>
              <w:rPr>
                <w:szCs w:val="24"/>
                <w:lang w:eastAsia="fr-BE"/>
              </w:rPr>
              <w:t xml:space="preserve"> and further details on management arrangements and exact amounts of national co-financing per participating country will be laid down in the agreement between the MA and the PCs, which will </w:t>
            </w:r>
            <w:r w:rsidRPr="00433F7C">
              <w:rPr>
                <w:noProof/>
                <w:szCs w:val="24"/>
                <w:lang w:eastAsia="fr-BE"/>
              </w:rPr>
              <w:t>be part of the description of the management and control system</w:t>
            </w:r>
            <w:r w:rsidR="009F7932" w:rsidRPr="00433F7C">
              <w:rPr>
                <w:szCs w:val="24"/>
                <w:lang w:eastAsia="fr-BE"/>
              </w:rPr>
              <w:t>.</w:t>
            </w:r>
          </w:p>
          <w:p w:rsidR="009F7932" w:rsidRPr="00433F7C" w:rsidRDefault="009F7932" w:rsidP="009F7932">
            <w:pPr>
              <w:rPr>
                <w:szCs w:val="24"/>
                <w:lang w:eastAsia="fr-BE"/>
              </w:rPr>
            </w:pPr>
            <w:r w:rsidRPr="00433F7C">
              <w:rPr>
                <w:szCs w:val="24"/>
                <w:lang w:eastAsia="fr-BE"/>
              </w:rPr>
              <w:t>Each participating country shall transfer its national co-financing share for TA to the account of the MA</w:t>
            </w:r>
            <w:r w:rsidR="00BC230D">
              <w:rPr>
                <w:szCs w:val="24"/>
                <w:lang w:eastAsia="fr-BE"/>
              </w:rPr>
              <w:t xml:space="preserve"> (programme TA account)</w:t>
            </w:r>
            <w:r w:rsidRPr="00433F7C">
              <w:rPr>
                <w:szCs w:val="24"/>
                <w:lang w:eastAsia="fr-BE"/>
              </w:rPr>
              <w:t>.</w:t>
            </w:r>
          </w:p>
          <w:p w:rsidR="009F7932" w:rsidRPr="00433F7C" w:rsidRDefault="009F7932" w:rsidP="009F7932">
            <w:pPr>
              <w:rPr>
                <w:szCs w:val="24"/>
                <w:lang w:eastAsia="fr-BE"/>
              </w:rPr>
            </w:pPr>
            <w:r w:rsidRPr="00433F7C">
              <w:rPr>
                <w:szCs w:val="24"/>
                <w:lang w:eastAsia="fr-BE"/>
              </w:rPr>
              <w:t xml:space="preserve">National co-financing of the TA budget is provided as advance payment starting with 2015 at the latest, on a yearly basis. Any expenditure from an approved activity implemented by the participating country, qualified to be financed by TA, needs to be verified by the participating countries </w:t>
            </w:r>
            <w:r w:rsidR="00BC230D">
              <w:rPr>
                <w:szCs w:val="24"/>
                <w:lang w:eastAsia="fr-BE"/>
              </w:rPr>
              <w:t xml:space="preserve">(e.g. by the relevant controllers) </w:t>
            </w:r>
            <w:r w:rsidRPr="00433F7C">
              <w:rPr>
                <w:szCs w:val="24"/>
                <w:lang w:eastAsia="fr-BE"/>
              </w:rPr>
              <w:t>concerned prior to reimbursement from the TA account.</w:t>
            </w:r>
          </w:p>
          <w:p w:rsidR="009F7932" w:rsidRPr="00433F7C" w:rsidRDefault="009F7932" w:rsidP="009F7932">
            <w:pPr>
              <w:rPr>
                <w:szCs w:val="24"/>
                <w:lang w:eastAsia="fr-BE"/>
              </w:rPr>
            </w:pPr>
            <w:r w:rsidRPr="00433F7C">
              <w:rPr>
                <w:szCs w:val="24"/>
                <w:lang w:eastAsia="fr-BE"/>
              </w:rPr>
              <w:t xml:space="preserve">A report on the payment situation shall be given by the MA to the JMC on a regular basis. Use of interest raised by IPA and ex-ante national contributions bank accounts, will be subject to a JMC decision. </w:t>
            </w:r>
          </w:p>
          <w:p w:rsidR="009F7932" w:rsidRDefault="009F7932" w:rsidP="009F7932">
            <w:pPr>
              <w:rPr>
                <w:szCs w:val="24"/>
                <w:lang w:eastAsia="fr-BE"/>
              </w:rPr>
            </w:pPr>
            <w:r w:rsidRPr="00433F7C">
              <w:rPr>
                <w:szCs w:val="24"/>
                <w:lang w:eastAsia="fr-BE"/>
              </w:rPr>
              <w:t xml:space="preserve">Further technical and financial details will be laid </w:t>
            </w:r>
            <w:r w:rsidR="00BC230D">
              <w:rPr>
                <w:szCs w:val="24"/>
                <w:lang w:eastAsia="fr-BE"/>
              </w:rPr>
              <w:t xml:space="preserve">down </w:t>
            </w:r>
            <w:r w:rsidRPr="00433F7C">
              <w:rPr>
                <w:szCs w:val="24"/>
                <w:lang w:eastAsia="fr-BE"/>
              </w:rPr>
              <w:t>in the TA Manual.</w:t>
            </w:r>
          </w:p>
          <w:p w:rsidR="00055394" w:rsidRPr="003A787C" w:rsidRDefault="00055394" w:rsidP="00165043">
            <w:pPr>
              <w:keepNext/>
              <w:keepLines/>
              <w:outlineLvl w:val="2"/>
              <w:rPr>
                <w:rFonts w:eastAsiaTheme="majorEastAsia"/>
                <w:bCs/>
                <w:i/>
                <w:iCs/>
                <w:color w:val="4F81BD" w:themeColor="accent1"/>
                <w:szCs w:val="24"/>
              </w:rPr>
            </w:pPr>
            <w:r w:rsidRPr="003A787C">
              <w:rPr>
                <w:rFonts w:eastAsiaTheme="majorEastAsia"/>
                <w:bCs/>
                <w:i/>
                <w:iCs/>
                <w:color w:val="4F81BD" w:themeColor="accent1"/>
                <w:szCs w:val="24"/>
              </w:rPr>
              <w:t>5.3.m</w:t>
            </w:r>
            <w:r w:rsidRPr="003A787C">
              <w:rPr>
                <w:rFonts w:eastAsiaTheme="majorEastAsia"/>
                <w:bCs/>
                <w:i/>
                <w:iCs/>
                <w:color w:val="4F81BD" w:themeColor="accent1"/>
                <w:szCs w:val="24"/>
              </w:rPr>
              <w:tab/>
              <w:t xml:space="preserve"> Information and communication</w:t>
            </w:r>
            <w:bookmarkEnd w:id="108"/>
            <w:bookmarkEnd w:id="109"/>
            <w:bookmarkEnd w:id="110"/>
            <w:bookmarkEnd w:id="111"/>
            <w:bookmarkEnd w:id="112"/>
          </w:p>
          <w:p w:rsidR="007F31A7" w:rsidRPr="00433F7C" w:rsidRDefault="007F31A7" w:rsidP="007F31A7">
            <w:pPr>
              <w:rPr>
                <w:szCs w:val="24"/>
                <w:lang w:eastAsia="fr-BE"/>
              </w:rPr>
            </w:pPr>
            <w:r w:rsidRPr="00433F7C">
              <w:rPr>
                <w:szCs w:val="24"/>
                <w:lang w:eastAsia="fr-BE"/>
              </w:rPr>
              <w:t xml:space="preserve">In line with Articles 115 and 116 of the CPR, a communication strategy will be drafted and submitted to the JMC no later than 6 months after the adoption of the programme to ensure transparency towards and information of relevant partners and stakeholders. </w:t>
            </w:r>
          </w:p>
          <w:p w:rsidR="007F31A7" w:rsidRPr="00433F7C" w:rsidRDefault="007F31A7" w:rsidP="007F31A7">
            <w:pPr>
              <w:rPr>
                <w:szCs w:val="24"/>
                <w:lang w:eastAsia="fr-BE"/>
              </w:rPr>
            </w:pPr>
            <w:r w:rsidRPr="00433F7C">
              <w:rPr>
                <w:szCs w:val="24"/>
                <w:lang w:eastAsia="fr-BE"/>
              </w:rPr>
              <w:t xml:space="preserve">The strategy will define specific communication objectives, target audiences, messages as well as tactics and tools to support the achievement of wider programme goals. It will </w:t>
            </w:r>
            <w:r w:rsidRPr="00433F7C">
              <w:rPr>
                <w:szCs w:val="24"/>
                <w:lang w:eastAsia="fr-BE"/>
              </w:rPr>
              <w:lastRenderedPageBreak/>
              <w:t xml:space="preserve">take into account detailed rules concerning information and communication measures as laid down in Article 115 and Annex XII of the CPR. The strategy will be valid for the whole programming period, complemented by annual work plans. All programme and project communication activities might be branded consistently to a harmonised branding introduced on a voluntary basis by ETC/IPA programmes for the 2014-2020 period. </w:t>
            </w:r>
          </w:p>
          <w:p w:rsidR="007F31A7" w:rsidRPr="00433F7C" w:rsidRDefault="007F31A7" w:rsidP="007F31A7">
            <w:pPr>
              <w:rPr>
                <w:szCs w:val="24"/>
                <w:lang w:eastAsia="fr-BE"/>
              </w:rPr>
            </w:pPr>
            <w:r w:rsidRPr="00433F7C">
              <w:rPr>
                <w:szCs w:val="24"/>
                <w:lang w:eastAsia="fr-BE"/>
              </w:rPr>
              <w:t>The overall responsibility for communications rests with the MA together with the JS. However, at national and regional levels, the NA plays a crucial role in complementing cross-border and European activities. Approved operations play in addition a key role in communicating project achievements on all levels.</w:t>
            </w:r>
          </w:p>
          <w:p w:rsidR="00055394" w:rsidRPr="007F31A7" w:rsidRDefault="007F31A7" w:rsidP="007F31A7">
            <w:pPr>
              <w:rPr>
                <w:szCs w:val="24"/>
                <w:lang w:eastAsia="fr-BE"/>
              </w:rPr>
            </w:pPr>
            <w:r w:rsidRPr="00433F7C">
              <w:rPr>
                <w:szCs w:val="24"/>
                <w:lang w:eastAsia="fr-BE"/>
              </w:rPr>
              <w:t>The participating countries shall support the MA to ensure effective application of the information and publicity requirements by taking appropriate steps to disseminate information and provide publicity within their territory.</w:t>
            </w:r>
          </w:p>
        </w:tc>
      </w:tr>
    </w:tbl>
    <w:p w:rsidR="00055394" w:rsidRPr="003A787C" w:rsidRDefault="00055394" w:rsidP="00055394">
      <w:pPr>
        <w:spacing w:after="240"/>
        <w:rPr>
          <w:rFonts w:eastAsia="Times New Roman"/>
          <w:szCs w:val="24"/>
        </w:rPr>
      </w:pPr>
    </w:p>
    <w:p w:rsidR="00055394" w:rsidRPr="003A787C" w:rsidRDefault="00055394" w:rsidP="00055394">
      <w:pPr>
        <w:spacing w:after="240"/>
        <w:ind w:left="720" w:hanging="720"/>
        <w:rPr>
          <w:rFonts w:eastAsia="Times New Roman"/>
          <w:b/>
          <w:szCs w:val="24"/>
        </w:rPr>
      </w:pPr>
      <w:r w:rsidRPr="003A787C">
        <w:rPr>
          <w:rFonts w:eastAsia="Times New Roman"/>
          <w:b/>
          <w:szCs w:val="24"/>
        </w:rPr>
        <w:t>5.5</w:t>
      </w:r>
      <w:r w:rsidRPr="003A787C">
        <w:rPr>
          <w:rFonts w:eastAsia="Times New Roman"/>
          <w:b/>
          <w:szCs w:val="24"/>
        </w:rPr>
        <w:tab/>
        <w:t>Apportionment of liabilities among partner States in case of financial corrections imposed by the managing authority or the Commission</w:t>
      </w:r>
    </w:p>
    <w:p w:rsidR="00055394" w:rsidRPr="003A787C" w:rsidRDefault="00055394" w:rsidP="00055394">
      <w:pPr>
        <w:suppressAutoHyphens/>
        <w:spacing w:after="240"/>
        <w:ind w:left="720" w:hanging="720"/>
        <w:rPr>
          <w:rFonts w:eastAsia="Times New Roman"/>
          <w:szCs w:val="24"/>
        </w:rPr>
      </w:pPr>
      <w:r w:rsidRPr="003A787C">
        <w:rPr>
          <w:rFonts w:eastAsia="Times New Roman"/>
          <w:szCs w:val="24"/>
        </w:rPr>
        <w:t xml:space="preserve">(Reference: </w:t>
      </w:r>
      <w:r w:rsidRPr="003A787C">
        <w:rPr>
          <w:szCs w:val="24"/>
        </w:rPr>
        <w:t xml:space="preserve">point (a)(vi) of </w:t>
      </w:r>
      <w:r w:rsidRPr="003A787C">
        <w:rPr>
          <w:rFonts w:eastAsia="Times New Roman"/>
          <w:szCs w:val="24"/>
        </w:rPr>
        <w:t>Article 8(4)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055394" w:rsidRPr="003A787C" w:rsidTr="00165043">
        <w:tc>
          <w:tcPr>
            <w:tcW w:w="8834" w:type="dxa"/>
            <w:shd w:val="clear" w:color="auto" w:fill="auto"/>
          </w:tcPr>
          <w:p w:rsidR="0024159F" w:rsidRPr="00433F7C" w:rsidRDefault="0024159F" w:rsidP="0024159F">
            <w:pPr>
              <w:rPr>
                <w:noProof/>
                <w:szCs w:val="24"/>
                <w:lang w:eastAsia="fr-BE"/>
              </w:rPr>
            </w:pPr>
            <w:r w:rsidRPr="00433F7C">
              <w:rPr>
                <w:noProof/>
                <w:szCs w:val="24"/>
                <w:lang w:eastAsia="fr-BE"/>
              </w:rPr>
              <w:t>Without prejudice to the participating country responsibility for detecting and correcting irregularities and for recovering amounts unduly paid according to Article 122</w:t>
            </w:r>
            <w:r>
              <w:rPr>
                <w:noProof/>
                <w:szCs w:val="24"/>
                <w:lang w:eastAsia="fr-BE"/>
              </w:rPr>
              <w:t xml:space="preserve"> </w:t>
            </w:r>
            <w:r w:rsidRPr="00433F7C">
              <w:rPr>
                <w:noProof/>
                <w:szCs w:val="24"/>
                <w:lang w:eastAsia="fr-BE"/>
              </w:rPr>
              <w:t>(2) of the CPR, the managing authority shall ensure that any amount paid as a result of an irregularity is recovered from the lead beneficiary. In accordance with Article 27 of the ETC Regulation, the project partners shall repay the lead beneficiary any amounts unduly paid.</w:t>
            </w:r>
          </w:p>
          <w:p w:rsidR="0024159F" w:rsidRPr="00433F7C" w:rsidRDefault="0024159F" w:rsidP="0024159F">
            <w:pPr>
              <w:rPr>
                <w:noProof/>
                <w:szCs w:val="24"/>
                <w:lang w:eastAsia="fr-BE"/>
              </w:rPr>
            </w:pPr>
            <w:r w:rsidRPr="00433F7C">
              <w:rPr>
                <w:noProof/>
                <w:szCs w:val="24"/>
                <w:lang w:eastAsia="fr-BE"/>
              </w:rPr>
              <w:t>If the lead beneficiary does not succeed in securing repayment from a project partner or if the managing authority does not succeed in securing repayment from the lead beneficiary, the participating country on whose territory the project partner concerned is located shall reimburse the managing authority the amount unduly paid to that project partner according to Article 27</w:t>
            </w:r>
            <w:r>
              <w:rPr>
                <w:noProof/>
                <w:szCs w:val="24"/>
                <w:lang w:eastAsia="fr-BE"/>
              </w:rPr>
              <w:t xml:space="preserve"> </w:t>
            </w:r>
            <w:r w:rsidRPr="00433F7C">
              <w:rPr>
                <w:noProof/>
                <w:szCs w:val="24"/>
                <w:lang w:eastAsia="fr-BE"/>
              </w:rPr>
              <w:t>(3) of the ETC Regulation. The managing authority is responsible for reimbursing the amounts recovered to the general budget of the Union, in accordance with the apportionment of liabilities among the participating countries as laid down below. The MA will reimburse the funds to the Union once the amounts are recovered from the LB/PP/participating country.</w:t>
            </w:r>
          </w:p>
          <w:p w:rsidR="0024159F" w:rsidRPr="00433F7C" w:rsidRDefault="0024159F" w:rsidP="0024159F">
            <w:pPr>
              <w:rPr>
                <w:noProof/>
                <w:szCs w:val="24"/>
                <w:lang w:eastAsia="fr-BE"/>
              </w:rPr>
            </w:pPr>
            <w:r w:rsidRPr="00433F7C">
              <w:rPr>
                <w:noProof/>
                <w:szCs w:val="24"/>
                <w:lang w:eastAsia="fr-BE"/>
              </w:rPr>
              <w:t>Should the MA bear any legal expenses for recovery recourse proceedings – initiated after consultation and in mutual agreement with the respective PC - even if the proceedings are unsuccessful it will be reimbursed by the PC hosting the LB or PP responsible for the said procedure.</w:t>
            </w:r>
          </w:p>
          <w:p w:rsidR="0024159F" w:rsidRPr="00433F7C" w:rsidRDefault="0024159F" w:rsidP="0024159F">
            <w:pPr>
              <w:rPr>
                <w:noProof/>
                <w:szCs w:val="24"/>
                <w:lang w:eastAsia="fr-BE"/>
              </w:rPr>
            </w:pPr>
            <w:r w:rsidRPr="00433F7C">
              <w:rPr>
                <w:noProof/>
                <w:szCs w:val="24"/>
                <w:lang w:eastAsia="fr-BE"/>
              </w:rPr>
              <w:t xml:space="preserve">Since participating countries have the overall liability for the IPA support granted to LBs or PPs located on their territories, they shall ensure that – prior to certifying expenditure – any financial corrections required will be secured and they shall seek to recover any amounts lost as a result of an irregularity or negligence caused by a beneficiary located in their territory. Where appropriate, a PC may also charge interest on late payments. </w:t>
            </w:r>
          </w:p>
          <w:p w:rsidR="0024159F" w:rsidRPr="00433F7C" w:rsidRDefault="0024159F" w:rsidP="0024159F">
            <w:pPr>
              <w:rPr>
                <w:noProof/>
                <w:szCs w:val="24"/>
                <w:lang w:eastAsia="fr-BE"/>
              </w:rPr>
            </w:pPr>
            <w:r w:rsidRPr="00433F7C">
              <w:rPr>
                <w:noProof/>
                <w:szCs w:val="24"/>
                <w:lang w:eastAsia="fr-BE"/>
              </w:rPr>
              <w:t>In accordance with Article 122</w:t>
            </w:r>
            <w:r>
              <w:rPr>
                <w:noProof/>
                <w:szCs w:val="24"/>
                <w:lang w:eastAsia="fr-BE"/>
              </w:rPr>
              <w:t xml:space="preserve"> </w:t>
            </w:r>
            <w:r w:rsidRPr="00433F7C">
              <w:rPr>
                <w:noProof/>
                <w:szCs w:val="24"/>
                <w:lang w:eastAsia="fr-BE"/>
              </w:rPr>
              <w:t xml:space="preserve">(2) of the CPR, irregularities shall be reported by the PC in which the expenditure is paid by the lead beneficiary or project partner implementing the project. The participating country shall, at the same time, inform the managing </w:t>
            </w:r>
            <w:r w:rsidRPr="00433F7C">
              <w:rPr>
                <w:noProof/>
                <w:szCs w:val="24"/>
                <w:lang w:eastAsia="fr-BE"/>
              </w:rPr>
              <w:lastRenderedPageBreak/>
              <w:t xml:space="preserve">authority and the audit authority. Specific procedures in this respect will be laid down in the agreement between the managing authority and the PC and will also be part of the description of the management and control system. </w:t>
            </w:r>
          </w:p>
          <w:p w:rsidR="0024159F" w:rsidRPr="00433F7C" w:rsidRDefault="0024159F" w:rsidP="0024159F">
            <w:pPr>
              <w:rPr>
                <w:noProof/>
                <w:szCs w:val="24"/>
                <w:lang w:eastAsia="fr-BE"/>
              </w:rPr>
            </w:pPr>
            <w:r w:rsidRPr="00433F7C">
              <w:rPr>
                <w:noProof/>
                <w:szCs w:val="24"/>
                <w:lang w:eastAsia="fr-BE"/>
              </w:rPr>
              <w:t>The participating country will bear liability in connection with the use of the programme IPA funding as follows:</w:t>
            </w:r>
          </w:p>
          <w:p w:rsidR="0024159F" w:rsidRPr="00433F7C" w:rsidRDefault="0024159F" w:rsidP="0024159F">
            <w:pPr>
              <w:rPr>
                <w:noProof/>
                <w:szCs w:val="24"/>
                <w:lang w:eastAsia="fr-BE"/>
              </w:rPr>
            </w:pPr>
            <w:r w:rsidRPr="00433F7C">
              <w:rPr>
                <w:noProof/>
                <w:szCs w:val="24"/>
                <w:lang w:eastAsia="fr-BE"/>
              </w:rPr>
              <w:t>Each PC bears liability for possible financial consequences of irregularities caused by the lead beneficiaries and project partners located on its territory.</w:t>
            </w:r>
          </w:p>
          <w:p w:rsidR="0024159F" w:rsidRPr="00433F7C" w:rsidRDefault="0024159F" w:rsidP="0024159F">
            <w:pPr>
              <w:rPr>
                <w:noProof/>
                <w:szCs w:val="24"/>
                <w:lang w:eastAsia="fr-BE"/>
              </w:rPr>
            </w:pPr>
            <w:r w:rsidRPr="00433F7C">
              <w:rPr>
                <w:noProof/>
                <w:szCs w:val="24"/>
                <w:lang w:eastAsia="fr-BE"/>
              </w:rPr>
              <w:t>For a systemic irregularity or financial correction on programme level that cannot be linked to a specific PC, the liability shall be jointly borne by the PC in proportion to the IPA claimed to the European Commission for the period which forms the basis for the financial correction</w:t>
            </w:r>
            <w:r>
              <w:rPr>
                <w:noProof/>
                <w:szCs w:val="24"/>
                <w:lang w:eastAsia="fr-BE"/>
              </w:rPr>
              <w:t>.</w:t>
            </w:r>
            <w:r w:rsidRPr="00433F7C">
              <w:rPr>
                <w:noProof/>
                <w:szCs w:val="24"/>
                <w:lang w:eastAsia="fr-BE"/>
              </w:rPr>
              <w:t xml:space="preserve"> </w:t>
            </w:r>
          </w:p>
          <w:p w:rsidR="0024159F" w:rsidRPr="00433F7C" w:rsidRDefault="0024159F" w:rsidP="0024159F">
            <w:pPr>
              <w:rPr>
                <w:noProof/>
                <w:szCs w:val="24"/>
                <w:lang w:eastAsia="fr-BE"/>
              </w:rPr>
            </w:pPr>
            <w:r w:rsidRPr="00433F7C">
              <w:rPr>
                <w:noProof/>
                <w:szCs w:val="24"/>
                <w:lang w:eastAsia="fr-BE"/>
              </w:rPr>
              <w:t>For technical assistance expenditure incurred by the managing authority, the liability related to administrative irregularities shall be borne by the Managing Authority.</w:t>
            </w:r>
          </w:p>
          <w:p w:rsidR="00055394" w:rsidRPr="0024159F" w:rsidRDefault="0024159F" w:rsidP="0024159F">
            <w:pPr>
              <w:widowControl w:val="0"/>
              <w:rPr>
                <w:noProof/>
                <w:szCs w:val="24"/>
                <w:lang w:eastAsia="fr-BE"/>
              </w:rPr>
            </w:pPr>
            <w:r w:rsidRPr="00433F7C">
              <w:rPr>
                <w:noProof/>
                <w:szCs w:val="24"/>
                <w:lang w:eastAsia="fr-BE"/>
              </w:rPr>
              <w:t>For the technical assistance expenditure incurred by the PC, the liability shall be borne by the PC concerned.</w:t>
            </w:r>
          </w:p>
        </w:tc>
      </w:tr>
    </w:tbl>
    <w:p w:rsidR="00450B41" w:rsidRPr="003A787C" w:rsidRDefault="00450B41" w:rsidP="00055394">
      <w:pPr>
        <w:spacing w:after="240"/>
        <w:rPr>
          <w:rFonts w:eastAsia="Times New Roman"/>
          <w:szCs w:val="24"/>
        </w:rPr>
      </w:pPr>
    </w:p>
    <w:p w:rsidR="00055394" w:rsidRPr="003A787C" w:rsidRDefault="00055394" w:rsidP="00055394">
      <w:pPr>
        <w:spacing w:after="240"/>
        <w:rPr>
          <w:rFonts w:eastAsia="Times New Roman"/>
          <w:szCs w:val="24"/>
        </w:rPr>
      </w:pPr>
      <w:r w:rsidRPr="003A787C">
        <w:rPr>
          <w:rFonts w:eastAsia="Times New Roman"/>
          <w:b/>
          <w:szCs w:val="24"/>
        </w:rPr>
        <w:t xml:space="preserve">5.6 </w:t>
      </w:r>
      <w:r w:rsidRPr="003A787C">
        <w:rPr>
          <w:rFonts w:eastAsia="Times New Roman"/>
          <w:b/>
          <w:szCs w:val="24"/>
        </w:rPr>
        <w:tab/>
        <w:t xml:space="preserve">Use of the Euro </w:t>
      </w:r>
      <w:r w:rsidRPr="003A787C">
        <w:rPr>
          <w:rFonts w:eastAsia="Times New Roman"/>
          <w:szCs w:val="24"/>
        </w:rPr>
        <w:t>(where applicable)</w:t>
      </w:r>
    </w:p>
    <w:p w:rsidR="00055394" w:rsidRPr="003A787C" w:rsidRDefault="00055394" w:rsidP="00055394">
      <w:pPr>
        <w:spacing w:after="240"/>
        <w:rPr>
          <w:rFonts w:eastAsia="Times New Roman"/>
          <w:szCs w:val="24"/>
        </w:rPr>
      </w:pPr>
      <w:r w:rsidRPr="003A787C">
        <w:rPr>
          <w:rFonts w:eastAsia="Times New Roman"/>
          <w:szCs w:val="24"/>
        </w:rPr>
        <w:t>(Reference: Article 28 of Regulation (EU) No 1299/2013)</w:t>
      </w:r>
    </w:p>
    <w:p w:rsidR="00055394" w:rsidRPr="003A787C" w:rsidRDefault="00055394" w:rsidP="00055394">
      <w:pPr>
        <w:spacing w:after="240"/>
        <w:rPr>
          <w:rFonts w:eastAsia="Times New Roman"/>
          <w:szCs w:val="24"/>
        </w:rPr>
      </w:pPr>
      <w:r w:rsidRPr="003A787C">
        <w:rPr>
          <w:rFonts w:eastAsia="Times New Roman"/>
          <w:szCs w:val="24"/>
        </w:rPr>
        <w:t>Method chosen for the conversion of expenditure incurred in another currency than the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055394" w:rsidRPr="003A787C" w:rsidTr="00165043">
        <w:tc>
          <w:tcPr>
            <w:tcW w:w="8834" w:type="dxa"/>
            <w:shd w:val="clear" w:color="auto" w:fill="auto"/>
          </w:tcPr>
          <w:p w:rsidR="00055394" w:rsidRPr="00D42366" w:rsidRDefault="00D42366" w:rsidP="00165043">
            <w:pPr>
              <w:widowControl w:val="0"/>
              <w:rPr>
                <w:rFonts w:eastAsia="Times New Roman"/>
                <w:szCs w:val="24"/>
                <w:lang w:eastAsia="fr-BE"/>
              </w:rPr>
            </w:pPr>
            <w:r w:rsidRPr="00433F7C">
              <w:rPr>
                <w:noProof/>
                <w:szCs w:val="24"/>
                <w:lang w:eastAsia="fr-BE"/>
              </w:rPr>
              <w:t>In accordance with Article 28 of the ETC Regulation, expenditure incurred by project partners in countries outside the Euro zone, shall be converted into euro. The conversion is to be made by the beneficiaries/project partners by using the monthly accounting exchange rate of the European Commission in the month during which the expenditure was incurred.</w:t>
            </w:r>
          </w:p>
        </w:tc>
      </w:tr>
    </w:tbl>
    <w:p w:rsidR="00055394" w:rsidRPr="003A787C" w:rsidRDefault="00055394" w:rsidP="00055394">
      <w:pPr>
        <w:spacing w:after="240"/>
        <w:rPr>
          <w:rFonts w:eastAsia="Times New Roman"/>
          <w:b/>
          <w:szCs w:val="24"/>
        </w:rPr>
      </w:pPr>
    </w:p>
    <w:p w:rsidR="00055394" w:rsidRPr="003A787C" w:rsidRDefault="00055394" w:rsidP="00055394">
      <w:pPr>
        <w:spacing w:after="240"/>
        <w:rPr>
          <w:rFonts w:eastAsia="Times New Roman"/>
          <w:b/>
          <w:szCs w:val="24"/>
        </w:rPr>
      </w:pPr>
      <w:r w:rsidRPr="003A787C">
        <w:rPr>
          <w:rFonts w:eastAsia="Times New Roman"/>
          <w:b/>
          <w:szCs w:val="24"/>
        </w:rPr>
        <w:t>5.7</w:t>
      </w:r>
      <w:r w:rsidRPr="003A787C">
        <w:rPr>
          <w:rFonts w:eastAsia="Times New Roman"/>
          <w:b/>
          <w:szCs w:val="24"/>
        </w:rPr>
        <w:tab/>
        <w:t xml:space="preserve">Involvement of partners </w:t>
      </w:r>
    </w:p>
    <w:p w:rsidR="00055394" w:rsidRPr="003A787C" w:rsidRDefault="00055394" w:rsidP="00055394">
      <w:pPr>
        <w:spacing w:after="240"/>
        <w:rPr>
          <w:rFonts w:eastAsia="Times New Roman"/>
          <w:b/>
          <w:szCs w:val="24"/>
        </w:rPr>
      </w:pPr>
      <w:r w:rsidRPr="003A787C">
        <w:rPr>
          <w:rFonts w:eastAsia="Times New Roman"/>
          <w:szCs w:val="24"/>
        </w:rPr>
        <w:t xml:space="preserve">(Reference: </w:t>
      </w:r>
      <w:r w:rsidRPr="003A787C">
        <w:rPr>
          <w:szCs w:val="24"/>
        </w:rPr>
        <w:t xml:space="preserve">point (c) of </w:t>
      </w:r>
      <w:r w:rsidRPr="003A787C">
        <w:rPr>
          <w:rFonts w:eastAsia="Times New Roman"/>
          <w:szCs w:val="24"/>
        </w:rPr>
        <w:t>Article 8(4) of Regulation (EU) No 1299/2013)</w:t>
      </w:r>
    </w:p>
    <w:p w:rsidR="00055394" w:rsidRPr="003A787C" w:rsidRDefault="00055394" w:rsidP="00055394">
      <w:pPr>
        <w:suppressAutoHyphens/>
        <w:spacing w:after="240"/>
        <w:rPr>
          <w:rFonts w:eastAsia="Times New Roman"/>
          <w:b/>
          <w:szCs w:val="24"/>
        </w:rPr>
      </w:pPr>
      <w:r w:rsidRPr="003A787C">
        <w:rPr>
          <w:b/>
          <w:szCs w:val="24"/>
        </w:rPr>
        <w:t>Actions taken to involve the partners referred to in Article 5 of Regulation (EU) No 1303/2013 in the preparation</w:t>
      </w:r>
      <w:r w:rsidRPr="003A787C">
        <w:rPr>
          <w:rFonts w:eastAsia="Times New Roman"/>
          <w:b/>
          <w:szCs w:val="24"/>
        </w:rPr>
        <w:t xml:space="preserve"> of the cooperation programme, and the role of those partners in the preparation and implementation of the cooperation programme, including their involvement in the Joint Monitoring Committee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tblGrid>
      <w:tr w:rsidR="00055394" w:rsidRPr="003A787C" w:rsidTr="00165043">
        <w:trPr>
          <w:trHeight w:val="588"/>
        </w:trPr>
        <w:tc>
          <w:tcPr>
            <w:tcW w:w="8867" w:type="dxa"/>
            <w:shd w:val="clear" w:color="auto" w:fill="auto"/>
          </w:tcPr>
          <w:p w:rsidR="00B73805" w:rsidRDefault="00B73805" w:rsidP="00B73805">
            <w:pPr>
              <w:spacing w:before="0" w:after="0"/>
              <w:rPr>
                <w:rFonts w:eastAsia="Times New Roman"/>
                <w:lang w:eastAsia="ar-SA"/>
              </w:rPr>
            </w:pPr>
            <w:r w:rsidRPr="00D402F3">
              <w:rPr>
                <w:rFonts w:eastAsia="Times New Roman"/>
                <w:lang w:eastAsia="ar-SA"/>
              </w:rPr>
              <w:t xml:space="preserve">The process of partner involvement and preparation of the cooperation programme was coordinated by the </w:t>
            </w:r>
            <w:r>
              <w:rPr>
                <w:rFonts w:eastAsia="Times New Roman"/>
                <w:lang w:eastAsia="ar-SA"/>
              </w:rPr>
              <w:t xml:space="preserve">Ministry of Regional Development and EU Funds of the Republic of Croatia as well as by the </w:t>
            </w:r>
            <w:r w:rsidRPr="00D402F3">
              <w:rPr>
                <w:rFonts w:eastAsia="Times New Roman"/>
                <w:lang w:eastAsia="ar-SA"/>
              </w:rPr>
              <w:t>Task Force</w:t>
            </w:r>
            <w:r>
              <w:rPr>
                <w:rFonts w:eastAsia="Times New Roman"/>
                <w:lang w:eastAsia="ar-SA"/>
              </w:rPr>
              <w:t>, upon its nomination, in charge</w:t>
            </w:r>
            <w:r w:rsidRPr="00D402F3">
              <w:rPr>
                <w:rFonts w:eastAsia="Times New Roman"/>
                <w:lang w:eastAsia="ar-SA"/>
              </w:rPr>
              <w:t xml:space="preserve"> for the preparation of the IPA CBC Programme Croatia – Bosnia and Herzegovina - Montenegro 2014 – 2020.</w:t>
            </w:r>
          </w:p>
          <w:p w:rsidR="00B73805" w:rsidRDefault="00B73805" w:rsidP="00B73805">
            <w:pPr>
              <w:spacing w:before="0" w:after="0"/>
              <w:rPr>
                <w:rFonts w:eastAsia="Times New Roman"/>
                <w:lang w:eastAsia="ar-SA"/>
              </w:rPr>
            </w:pPr>
            <w:r>
              <w:rPr>
                <w:rFonts w:eastAsia="Times New Roman"/>
                <w:lang w:eastAsia="ar-SA"/>
              </w:rPr>
              <w:t>T</w:t>
            </w:r>
            <w:r w:rsidRPr="00D402F3">
              <w:rPr>
                <w:rFonts w:eastAsia="Times New Roman"/>
                <w:lang w:eastAsia="ar-SA"/>
              </w:rPr>
              <w:t xml:space="preserve">he process of partner involvement </w:t>
            </w:r>
            <w:r>
              <w:rPr>
                <w:rFonts w:eastAsia="Times New Roman"/>
                <w:lang w:eastAsia="ar-SA"/>
              </w:rPr>
              <w:t>included:</w:t>
            </w:r>
          </w:p>
          <w:p w:rsidR="00B73805" w:rsidRDefault="00B73805" w:rsidP="00B73805">
            <w:pPr>
              <w:spacing w:before="0" w:after="0"/>
              <w:rPr>
                <w:rFonts w:eastAsia="Times New Roman"/>
                <w:lang w:eastAsia="ar-SA"/>
              </w:rPr>
            </w:pPr>
            <w:r>
              <w:rPr>
                <w:rFonts w:eastAsia="Times New Roman"/>
                <w:lang w:eastAsia="ar-SA"/>
              </w:rPr>
              <w:t xml:space="preserve">- Six (6) meetings of the </w:t>
            </w:r>
            <w:r w:rsidRPr="00D402F3">
              <w:rPr>
                <w:rFonts w:eastAsia="Times New Roman"/>
                <w:lang w:eastAsia="ar-SA"/>
              </w:rPr>
              <w:t>Task Force for the preparation of the Programme</w:t>
            </w:r>
          </w:p>
          <w:p w:rsidR="00B73805" w:rsidRDefault="00B73805" w:rsidP="00B73805">
            <w:pPr>
              <w:spacing w:before="0" w:after="0"/>
              <w:rPr>
                <w:rFonts w:eastAsia="Times New Roman"/>
                <w:lang w:eastAsia="ar-SA"/>
              </w:rPr>
            </w:pPr>
            <w:r>
              <w:rPr>
                <w:rFonts w:eastAsia="Times New Roman"/>
                <w:lang w:eastAsia="ar-SA"/>
              </w:rPr>
              <w:lastRenderedPageBreak/>
              <w:t>- Online survey on programme thematic priorities</w:t>
            </w:r>
          </w:p>
          <w:p w:rsidR="00B73805" w:rsidRDefault="00B73805" w:rsidP="00B73805">
            <w:pPr>
              <w:spacing w:before="0" w:after="0"/>
              <w:rPr>
                <w:rFonts w:eastAsia="Times New Roman"/>
                <w:lang w:eastAsia="ar-SA"/>
              </w:rPr>
            </w:pPr>
            <w:r>
              <w:rPr>
                <w:rFonts w:eastAsia="Times New Roman"/>
                <w:lang w:eastAsia="ar-SA"/>
              </w:rPr>
              <w:t>- Two</w:t>
            </w:r>
            <w:r w:rsidRPr="00EC1C4B">
              <w:rPr>
                <w:rFonts w:eastAsia="Times New Roman"/>
                <w:lang w:eastAsia="ar-SA"/>
              </w:rPr>
              <w:t xml:space="preserve"> round</w:t>
            </w:r>
            <w:r>
              <w:rPr>
                <w:rFonts w:eastAsia="Times New Roman"/>
                <w:lang w:eastAsia="ar-SA"/>
              </w:rPr>
              <w:t>s</w:t>
            </w:r>
            <w:r w:rsidRPr="00EC1C4B">
              <w:rPr>
                <w:rFonts w:eastAsia="Times New Roman"/>
                <w:lang w:eastAsia="ar-SA"/>
              </w:rPr>
              <w:t xml:space="preserve"> of stakeholder consultation workshops</w:t>
            </w:r>
            <w:r>
              <w:rPr>
                <w:rFonts w:eastAsia="Times New Roman"/>
                <w:lang w:eastAsia="ar-SA"/>
              </w:rPr>
              <w:t xml:space="preserve"> held in Croatia and Montenegro in May 2014 and in Bosnia and Herzegovina in August 2014</w:t>
            </w:r>
            <w:r w:rsidRPr="00D402F3">
              <w:rPr>
                <w:rFonts w:eastAsia="Times New Roman"/>
                <w:lang w:eastAsia="ar-SA"/>
              </w:rPr>
              <w:tab/>
            </w:r>
          </w:p>
          <w:p w:rsidR="00B73805" w:rsidRPr="00AF47C0" w:rsidRDefault="00B73805" w:rsidP="00B73805">
            <w:pPr>
              <w:spacing w:before="0" w:after="0"/>
              <w:rPr>
                <w:rFonts w:eastAsia="Times New Roman"/>
                <w:lang w:eastAsia="ar-SA"/>
              </w:rPr>
            </w:pPr>
            <w:r w:rsidRPr="00AF47C0">
              <w:rPr>
                <w:rFonts w:eastAsia="Times New Roman"/>
                <w:lang w:eastAsia="ar-SA"/>
              </w:rPr>
              <w:t>- One online public consultations opened from 1 and 31 August 2014</w:t>
            </w:r>
          </w:p>
          <w:p w:rsidR="00B73805" w:rsidRDefault="00B73805" w:rsidP="00B73805">
            <w:pPr>
              <w:spacing w:before="0" w:after="0"/>
              <w:rPr>
                <w:rFonts w:eastAsia="Times New Roman"/>
                <w:lang w:eastAsia="ar-SA"/>
              </w:rPr>
            </w:pPr>
            <w:r w:rsidRPr="00AF47C0">
              <w:rPr>
                <w:rFonts w:eastAsia="Times New Roman"/>
                <w:lang w:eastAsia="ar-SA"/>
              </w:rPr>
              <w:t>- Public consultation meetings conducted within the strategic</w:t>
            </w:r>
            <w:r>
              <w:rPr>
                <w:rFonts w:eastAsia="Times New Roman"/>
                <w:lang w:eastAsia="ar-SA"/>
              </w:rPr>
              <w:t xml:space="preserve"> environmental assessment (SEA) process</w:t>
            </w:r>
            <w:r w:rsidR="00CB1819">
              <w:t xml:space="preserve"> </w:t>
            </w:r>
            <w:r w:rsidR="00CB1819" w:rsidRPr="00CB1819">
              <w:rPr>
                <w:rFonts w:eastAsia="Times New Roman"/>
                <w:lang w:eastAsia="ar-SA"/>
              </w:rPr>
              <w:t>in September and November 2014</w:t>
            </w:r>
            <w:r w:rsidR="00270E25">
              <w:rPr>
                <w:rFonts w:eastAsia="Times New Roman"/>
                <w:lang w:eastAsia="ar-SA"/>
              </w:rPr>
              <w:t>.</w:t>
            </w:r>
          </w:p>
          <w:p w:rsidR="00B73805" w:rsidRDefault="00B73805" w:rsidP="00B73805">
            <w:pPr>
              <w:spacing w:before="0" w:after="0"/>
              <w:rPr>
                <w:rFonts w:eastAsia="Times New Roman"/>
                <w:lang w:eastAsia="ar-SA"/>
              </w:rPr>
            </w:pPr>
          </w:p>
          <w:p w:rsidR="00B73805" w:rsidRDefault="00B73805" w:rsidP="00B73805">
            <w:pPr>
              <w:spacing w:before="0" w:after="0"/>
              <w:rPr>
                <w:rFonts w:eastAsia="Times New Roman"/>
                <w:lang w:eastAsia="ar-SA"/>
              </w:rPr>
            </w:pPr>
            <w:r>
              <w:rPr>
                <w:rFonts w:eastAsia="Times New Roman"/>
                <w:lang w:eastAsia="ar-SA"/>
              </w:rPr>
              <w:t xml:space="preserve">In general, the involvement of relevant partners in the programming exercise, including Task Force meetings and workshops, public consultation, online surveys and consultations </w:t>
            </w:r>
            <w:r w:rsidRPr="00D402F3">
              <w:rPr>
                <w:rFonts w:eastAsia="Times New Roman"/>
                <w:lang w:eastAsia="ar-SA"/>
              </w:rPr>
              <w:t xml:space="preserve">within the process of preparation of the Programme followed a multi-level approach </w:t>
            </w:r>
            <w:r>
              <w:rPr>
                <w:rFonts w:eastAsia="Times New Roman"/>
                <w:lang w:eastAsia="ar-SA"/>
              </w:rPr>
              <w:t xml:space="preserve">according to the </w:t>
            </w:r>
            <w:r w:rsidRPr="00D402F3">
              <w:rPr>
                <w:rFonts w:eastAsia="Times New Roman"/>
                <w:lang w:eastAsia="ar-SA"/>
              </w:rPr>
              <w:t>Regulation (EU) No 1303/2013</w:t>
            </w:r>
            <w:r>
              <w:rPr>
                <w:rFonts w:eastAsia="Times New Roman"/>
                <w:lang w:eastAsia="ar-SA"/>
              </w:rPr>
              <w:t>.</w:t>
            </w:r>
          </w:p>
          <w:p w:rsidR="00B73805" w:rsidRPr="00675C6C" w:rsidRDefault="00B73805" w:rsidP="00B73805">
            <w:pPr>
              <w:spacing w:before="0" w:after="0"/>
              <w:rPr>
                <w:rFonts w:eastAsia="Times New Roman"/>
                <w:lang w:eastAsia="ar-SA"/>
              </w:rPr>
            </w:pPr>
            <w:r>
              <w:rPr>
                <w:rFonts w:eastAsia="Times New Roman"/>
                <w:lang w:eastAsia="ar-SA"/>
              </w:rPr>
              <w:t xml:space="preserve">According to the </w:t>
            </w:r>
            <w:r w:rsidRPr="00675C6C">
              <w:rPr>
                <w:rFonts w:eastAsia="Times New Roman"/>
                <w:lang w:eastAsia="ar-SA"/>
              </w:rPr>
              <w:t>Article 5 o</w:t>
            </w:r>
            <w:r>
              <w:rPr>
                <w:rFonts w:eastAsia="Times New Roman"/>
                <w:lang w:eastAsia="ar-SA"/>
              </w:rPr>
              <w:t>f Regulation (EU) No 1303/2013,</w:t>
            </w:r>
            <w:r w:rsidRPr="00675C6C">
              <w:rPr>
                <w:rFonts w:eastAsia="Times New Roman"/>
                <w:lang w:eastAsia="ar-SA"/>
              </w:rPr>
              <w:t xml:space="preserve"> the involvement of the following partners </w:t>
            </w:r>
            <w:r>
              <w:rPr>
                <w:rFonts w:eastAsia="Times New Roman"/>
                <w:lang w:eastAsia="ar-SA"/>
              </w:rPr>
              <w:t xml:space="preserve">was ensured during the preparation of the Programme: </w:t>
            </w:r>
          </w:p>
          <w:p w:rsidR="00B73805" w:rsidRPr="00675C6C" w:rsidRDefault="00B73805" w:rsidP="00B73805">
            <w:pPr>
              <w:spacing w:before="0" w:after="0"/>
              <w:rPr>
                <w:rFonts w:eastAsia="Times New Roman"/>
                <w:lang w:eastAsia="ar-SA"/>
              </w:rPr>
            </w:pPr>
            <w:r w:rsidRPr="00675C6C">
              <w:rPr>
                <w:rFonts w:eastAsia="Times New Roman"/>
                <w:lang w:eastAsia="ar-SA"/>
              </w:rPr>
              <w:t xml:space="preserve">1. </w:t>
            </w:r>
            <w:r>
              <w:rPr>
                <w:rFonts w:eastAsia="Times New Roman"/>
                <w:lang w:eastAsia="ar-SA"/>
              </w:rPr>
              <w:t xml:space="preserve"> </w:t>
            </w:r>
            <w:r w:rsidRPr="00675C6C">
              <w:rPr>
                <w:rFonts w:eastAsia="Times New Roman"/>
                <w:lang w:eastAsia="ar-SA"/>
              </w:rPr>
              <w:t xml:space="preserve">the involvement of local and regional authorities, </w:t>
            </w:r>
          </w:p>
          <w:p w:rsidR="00B73805" w:rsidRPr="00675C6C" w:rsidRDefault="00B73805" w:rsidP="00B73805">
            <w:pPr>
              <w:spacing w:before="0" w:after="0"/>
              <w:rPr>
                <w:rFonts w:eastAsia="Times New Roman"/>
                <w:lang w:eastAsia="ar-SA"/>
              </w:rPr>
            </w:pPr>
            <w:r>
              <w:rPr>
                <w:rFonts w:eastAsia="Times New Roman"/>
                <w:lang w:eastAsia="ar-SA"/>
              </w:rPr>
              <w:t>2</w:t>
            </w:r>
            <w:r w:rsidRPr="00675C6C">
              <w:rPr>
                <w:rFonts w:eastAsia="Times New Roman"/>
                <w:lang w:eastAsia="ar-SA"/>
              </w:rPr>
              <w:t xml:space="preserve">. </w:t>
            </w:r>
            <w:r>
              <w:rPr>
                <w:rFonts w:eastAsia="Times New Roman"/>
                <w:lang w:eastAsia="ar-SA"/>
              </w:rPr>
              <w:t xml:space="preserve"> </w:t>
            </w:r>
            <w:r w:rsidRPr="00675C6C">
              <w:rPr>
                <w:rFonts w:eastAsia="Times New Roman"/>
                <w:lang w:eastAsia="ar-SA"/>
              </w:rPr>
              <w:t xml:space="preserve">economic and social partners; and </w:t>
            </w:r>
          </w:p>
          <w:p w:rsidR="00B73805" w:rsidRDefault="00B73805" w:rsidP="00B73805">
            <w:pPr>
              <w:tabs>
                <w:tab w:val="left" w:pos="176"/>
              </w:tabs>
              <w:spacing w:before="0" w:after="0"/>
              <w:rPr>
                <w:rFonts w:eastAsia="Times New Roman"/>
                <w:lang w:eastAsia="ar-SA"/>
              </w:rPr>
            </w:pPr>
            <w:r>
              <w:rPr>
                <w:rFonts w:eastAsia="Times New Roman"/>
                <w:lang w:eastAsia="ar-SA"/>
              </w:rPr>
              <w:t xml:space="preserve">3. </w:t>
            </w:r>
            <w:r w:rsidRPr="00675C6C">
              <w:rPr>
                <w:rFonts w:eastAsia="Times New Roman"/>
                <w:lang w:eastAsia="ar-SA"/>
              </w:rPr>
              <w:t>relevant bodies representing civil society, including environmental partners, non-governmental organisations, and bodies responsible for promoting social inclusion, gender equality and non-discrimination.</w:t>
            </w:r>
          </w:p>
          <w:p w:rsidR="00B73805" w:rsidRDefault="00B73805" w:rsidP="00B73805">
            <w:pPr>
              <w:spacing w:before="0" w:after="0"/>
              <w:rPr>
                <w:rFonts w:eastAsia="Times New Roman"/>
                <w:lang w:eastAsia="ar-SA"/>
              </w:rPr>
            </w:pPr>
          </w:p>
          <w:p w:rsidR="000E66FB" w:rsidRPr="00D402F3" w:rsidRDefault="00B73805" w:rsidP="00B73805">
            <w:pPr>
              <w:spacing w:before="0" w:after="0"/>
              <w:rPr>
                <w:rFonts w:eastAsia="Times New Roman"/>
                <w:lang w:eastAsia="ar-SA"/>
              </w:rPr>
            </w:pPr>
            <w:r w:rsidRPr="00D402F3">
              <w:rPr>
                <w:rFonts w:eastAsia="Times New Roman"/>
                <w:lang w:eastAsia="ar-SA"/>
              </w:rPr>
              <w:t xml:space="preserve">The aim of the process was to validate </w:t>
            </w:r>
            <w:r>
              <w:rPr>
                <w:rFonts w:eastAsia="Times New Roman"/>
                <w:lang w:eastAsia="ar-SA"/>
              </w:rPr>
              <w:t>thematic priorities chosen</w:t>
            </w:r>
            <w:r w:rsidRPr="00D402F3">
              <w:rPr>
                <w:rFonts w:eastAsia="Times New Roman"/>
                <w:lang w:eastAsia="ar-SA"/>
              </w:rPr>
              <w:t xml:space="preserve"> for the Programme and to collect additional inputs and suggestions as well as ideas on potential </w:t>
            </w:r>
            <w:r>
              <w:rPr>
                <w:rFonts w:eastAsia="Times New Roman"/>
                <w:lang w:eastAsia="ar-SA"/>
              </w:rPr>
              <w:t>cross-border</w:t>
            </w:r>
            <w:r w:rsidRPr="00D402F3">
              <w:rPr>
                <w:rFonts w:eastAsia="Times New Roman"/>
                <w:lang w:eastAsia="ar-SA"/>
              </w:rPr>
              <w:t xml:space="preserve"> actions to be supported. Therefore, the thematic focus </w:t>
            </w:r>
            <w:r>
              <w:rPr>
                <w:rFonts w:eastAsia="Times New Roman"/>
                <w:lang w:eastAsia="ar-SA"/>
              </w:rPr>
              <w:t xml:space="preserve">of the </w:t>
            </w:r>
            <w:r w:rsidRPr="00D402F3">
              <w:rPr>
                <w:rFonts w:eastAsia="Times New Roman"/>
                <w:lang w:eastAsia="ar-SA"/>
              </w:rPr>
              <w:t xml:space="preserve">Programme was discussed and consulted </w:t>
            </w:r>
            <w:r>
              <w:rPr>
                <w:rFonts w:eastAsia="Times New Roman"/>
                <w:lang w:eastAsia="ar-SA"/>
              </w:rPr>
              <w:t>during</w:t>
            </w:r>
            <w:r w:rsidRPr="00D402F3">
              <w:rPr>
                <w:rFonts w:eastAsia="Times New Roman"/>
                <w:lang w:eastAsia="ar-SA"/>
              </w:rPr>
              <w:t xml:space="preserve"> </w:t>
            </w:r>
            <w:r>
              <w:rPr>
                <w:rFonts w:eastAsia="Times New Roman"/>
                <w:lang w:eastAsia="ar-SA"/>
              </w:rPr>
              <w:t xml:space="preserve">Task Force meetings and workshops, two rounds of public stakeholders consultations, online consultations </w:t>
            </w:r>
            <w:r w:rsidRPr="00D402F3">
              <w:rPr>
                <w:rFonts w:eastAsia="Times New Roman"/>
                <w:lang w:eastAsia="ar-SA"/>
              </w:rPr>
              <w:t>a</w:t>
            </w:r>
            <w:r>
              <w:rPr>
                <w:rFonts w:eastAsia="Times New Roman"/>
                <w:lang w:eastAsia="ar-SA"/>
              </w:rPr>
              <w:t>s well as through online survey</w:t>
            </w:r>
            <w:r w:rsidRPr="00D402F3">
              <w:rPr>
                <w:rFonts w:eastAsia="Times New Roman"/>
                <w:lang w:eastAsia="ar-SA"/>
              </w:rPr>
              <w:t>.</w:t>
            </w:r>
          </w:p>
          <w:p w:rsidR="00B73805" w:rsidRDefault="00B73805" w:rsidP="00B73805">
            <w:pPr>
              <w:spacing w:before="0" w:after="0"/>
              <w:rPr>
                <w:rFonts w:eastAsia="Times New Roman"/>
                <w:u w:val="single"/>
                <w:lang w:eastAsia="ar-SA"/>
              </w:rPr>
            </w:pPr>
            <w:r w:rsidRPr="00FF3F04">
              <w:rPr>
                <w:rFonts w:eastAsia="Times New Roman"/>
                <w:u w:val="single"/>
                <w:lang w:eastAsia="ar-SA"/>
              </w:rPr>
              <w:t>Task Force meetings and workshops</w:t>
            </w:r>
          </w:p>
          <w:p w:rsidR="00B73805" w:rsidRPr="0052549C" w:rsidRDefault="00B73805" w:rsidP="00B73805">
            <w:pPr>
              <w:spacing w:before="0" w:after="0"/>
              <w:rPr>
                <w:rFonts w:eastAsia="Times New Roman"/>
                <w:u w:val="single"/>
                <w:lang w:eastAsia="ar-SA"/>
              </w:rPr>
            </w:pPr>
          </w:p>
          <w:p w:rsidR="00B73805" w:rsidRDefault="00B73805" w:rsidP="00B73805">
            <w:pPr>
              <w:spacing w:before="0" w:after="0"/>
              <w:rPr>
                <w:rFonts w:eastAsia="Times New Roman"/>
                <w:lang w:eastAsia="ar-SA"/>
              </w:rPr>
            </w:pPr>
            <w:r w:rsidRPr="00BC1851">
              <w:rPr>
                <w:rFonts w:eastAsia="Times New Roman"/>
                <w:lang w:eastAsia="ar-SA"/>
              </w:rPr>
              <w:t xml:space="preserve">The Task Force consisted of the </w:t>
            </w:r>
            <w:r>
              <w:rPr>
                <w:rFonts w:eastAsia="Times New Roman"/>
                <w:lang w:eastAsia="ar-SA"/>
              </w:rPr>
              <w:t xml:space="preserve">representatives on </w:t>
            </w:r>
            <w:r w:rsidRPr="00BC1851">
              <w:rPr>
                <w:rFonts w:eastAsia="Times New Roman"/>
                <w:lang w:eastAsia="ar-SA"/>
              </w:rPr>
              <w:t>national</w:t>
            </w:r>
            <w:r>
              <w:rPr>
                <w:rFonts w:eastAsia="Times New Roman"/>
                <w:lang w:eastAsia="ar-SA"/>
              </w:rPr>
              <w:t>/entity</w:t>
            </w:r>
            <w:r w:rsidRPr="00BC1851">
              <w:rPr>
                <w:rFonts w:eastAsia="Times New Roman"/>
                <w:lang w:eastAsia="ar-SA"/>
              </w:rPr>
              <w:t xml:space="preserve"> </w:t>
            </w:r>
            <w:r>
              <w:rPr>
                <w:rFonts w:eastAsia="Times New Roman"/>
                <w:lang w:eastAsia="ar-SA"/>
              </w:rPr>
              <w:t xml:space="preserve">and </w:t>
            </w:r>
            <w:r w:rsidRPr="00BC1851">
              <w:rPr>
                <w:rFonts w:eastAsia="Times New Roman"/>
                <w:lang w:eastAsia="ar-SA"/>
              </w:rPr>
              <w:t>regional</w:t>
            </w:r>
            <w:r>
              <w:rPr>
                <w:rFonts w:eastAsia="Times New Roman"/>
                <w:lang w:eastAsia="ar-SA"/>
              </w:rPr>
              <w:t>/local</w:t>
            </w:r>
            <w:r w:rsidRPr="00BC1851">
              <w:rPr>
                <w:rFonts w:eastAsia="Times New Roman"/>
                <w:lang w:eastAsia="ar-SA"/>
              </w:rPr>
              <w:t xml:space="preserve"> level</w:t>
            </w:r>
            <w:r>
              <w:rPr>
                <w:rFonts w:eastAsia="Times New Roman"/>
                <w:lang w:eastAsia="ar-SA"/>
              </w:rPr>
              <w:t xml:space="preserve"> of all partner countries</w:t>
            </w:r>
            <w:r w:rsidRPr="00BC1851">
              <w:rPr>
                <w:rFonts w:eastAsia="Times New Roman"/>
                <w:lang w:eastAsia="ar-SA"/>
              </w:rPr>
              <w:t>. This ensured that the regional</w:t>
            </w:r>
            <w:r>
              <w:rPr>
                <w:rFonts w:eastAsia="Times New Roman"/>
                <w:lang w:eastAsia="ar-SA"/>
              </w:rPr>
              <w:t>/local</w:t>
            </w:r>
            <w:r w:rsidRPr="00BC1851">
              <w:rPr>
                <w:rFonts w:eastAsia="Times New Roman"/>
                <w:lang w:eastAsia="ar-SA"/>
              </w:rPr>
              <w:t xml:space="preserve"> level was actively involved in the </w:t>
            </w:r>
            <w:r>
              <w:rPr>
                <w:rFonts w:eastAsia="Times New Roman"/>
                <w:lang w:eastAsia="ar-SA"/>
              </w:rPr>
              <w:t>programming process. R</w:t>
            </w:r>
            <w:r w:rsidRPr="00124179">
              <w:rPr>
                <w:rFonts w:eastAsia="Times New Roman"/>
                <w:lang w:eastAsia="ar-SA"/>
              </w:rPr>
              <w:t>egarding regional representatives from Croatia</w:t>
            </w:r>
            <w:r>
              <w:rPr>
                <w:rFonts w:eastAsia="Times New Roman"/>
                <w:lang w:eastAsia="ar-SA"/>
              </w:rPr>
              <w:t>, r</w:t>
            </w:r>
            <w:r w:rsidRPr="00124179">
              <w:rPr>
                <w:rFonts w:eastAsia="Times New Roman"/>
                <w:lang w:eastAsia="ar-SA"/>
              </w:rPr>
              <w:t xml:space="preserve">otation principle of participation at Task Force meetings </w:t>
            </w:r>
            <w:r>
              <w:rPr>
                <w:rFonts w:eastAsia="Times New Roman"/>
                <w:lang w:eastAsia="ar-SA"/>
              </w:rPr>
              <w:t xml:space="preserve">and workshops was agreed in order to enable participation and decision-making for all 12 Croatian counties. Additionally, one Task Force member was nominated from Association of Municipalities as a local representative from Montenegro. All Task Force members were actively involved in the preparation of all programme documents: situation analysis, SWOT analysis, programme strategy and Cooperation Programme. Relevant materials were prepared by Ministry of Regional Development and EU Funds and </w:t>
            </w:r>
            <w:r w:rsidRPr="000138A5">
              <w:rPr>
                <w:rFonts w:eastAsia="Times New Roman"/>
                <w:lang w:eastAsia="ar-SA"/>
              </w:rPr>
              <w:t>external experts</w:t>
            </w:r>
            <w:r>
              <w:rPr>
                <w:rFonts w:eastAsia="Times New Roman"/>
                <w:lang w:eastAsia="ar-SA"/>
              </w:rPr>
              <w:t>, mainly based on the inputs from the Task Force, and were sent to Task Force members prior to Task Force meetings where programme documents were discussed in details. Agreement on the content of documents as well as any d</w:t>
            </w:r>
            <w:r w:rsidRPr="000138A5">
              <w:rPr>
                <w:rFonts w:eastAsia="Times New Roman"/>
                <w:lang w:eastAsia="ar-SA"/>
              </w:rPr>
              <w:t xml:space="preserve">ecision-making in the Task Force </w:t>
            </w:r>
            <w:r>
              <w:rPr>
                <w:rFonts w:eastAsia="Times New Roman"/>
                <w:lang w:eastAsia="ar-SA"/>
              </w:rPr>
              <w:t>was</w:t>
            </w:r>
            <w:r w:rsidRPr="000138A5">
              <w:rPr>
                <w:rFonts w:eastAsia="Times New Roman"/>
                <w:lang w:eastAsia="ar-SA"/>
              </w:rPr>
              <w:t xml:space="preserve"> reached by consensus among the voting members present. </w:t>
            </w:r>
            <w:r>
              <w:rPr>
                <w:rFonts w:eastAsia="Times New Roman"/>
                <w:lang w:eastAsia="ar-SA"/>
              </w:rPr>
              <w:t>O</w:t>
            </w:r>
            <w:r w:rsidRPr="00E73543">
              <w:rPr>
                <w:rFonts w:eastAsia="Times New Roman"/>
                <w:lang w:eastAsia="ar-SA"/>
              </w:rPr>
              <w:t xml:space="preserve">ther </w:t>
            </w:r>
            <w:r>
              <w:rPr>
                <w:rFonts w:eastAsia="Times New Roman"/>
                <w:lang w:eastAsia="ar-SA"/>
              </w:rPr>
              <w:t>meeting participants</w:t>
            </w:r>
            <w:r w:rsidRPr="00E73543">
              <w:rPr>
                <w:rFonts w:eastAsia="Times New Roman"/>
                <w:lang w:eastAsia="ar-SA"/>
              </w:rPr>
              <w:t xml:space="preserve"> </w:t>
            </w:r>
            <w:r>
              <w:rPr>
                <w:rFonts w:eastAsia="Times New Roman"/>
                <w:lang w:eastAsia="ar-SA"/>
              </w:rPr>
              <w:t>such as</w:t>
            </w:r>
            <w:r w:rsidRPr="00E73543">
              <w:rPr>
                <w:rFonts w:eastAsia="Times New Roman"/>
                <w:lang w:eastAsia="ar-SA"/>
              </w:rPr>
              <w:t xml:space="preserve"> experts</w:t>
            </w:r>
            <w:r>
              <w:rPr>
                <w:rFonts w:eastAsia="Times New Roman"/>
                <w:lang w:eastAsia="ar-SA"/>
              </w:rPr>
              <w:t xml:space="preserve"> or</w:t>
            </w:r>
            <w:r w:rsidRPr="00E73543">
              <w:rPr>
                <w:rFonts w:eastAsia="Times New Roman"/>
                <w:lang w:eastAsia="ar-SA"/>
              </w:rPr>
              <w:t xml:space="preserve"> representatives of </w:t>
            </w:r>
            <w:r w:rsidRPr="00727AD1">
              <w:rPr>
                <w:rFonts w:eastAsia="Times New Roman"/>
                <w:lang w:eastAsia="ar-SA"/>
              </w:rPr>
              <w:t xml:space="preserve">relevant strategic partners of the programme </w:t>
            </w:r>
            <w:r w:rsidRPr="00E73543">
              <w:rPr>
                <w:rFonts w:eastAsia="Times New Roman"/>
                <w:lang w:eastAsia="ar-SA"/>
              </w:rPr>
              <w:t>attend</w:t>
            </w:r>
            <w:r>
              <w:rPr>
                <w:rFonts w:eastAsia="Times New Roman"/>
                <w:lang w:eastAsia="ar-SA"/>
              </w:rPr>
              <w:t>ed</w:t>
            </w:r>
            <w:r w:rsidRPr="00E73543">
              <w:rPr>
                <w:rFonts w:eastAsia="Times New Roman"/>
                <w:lang w:eastAsia="ar-SA"/>
              </w:rPr>
              <w:t xml:space="preserve"> the meeting</w:t>
            </w:r>
            <w:r>
              <w:rPr>
                <w:rFonts w:eastAsia="Times New Roman"/>
                <w:lang w:eastAsia="ar-SA"/>
              </w:rPr>
              <w:t xml:space="preserve">s according to the relevance of their participation, whereas their constructive feedback on relevant topics were discussed and taken into account by the </w:t>
            </w:r>
            <w:r w:rsidRPr="00727AD1">
              <w:rPr>
                <w:rFonts w:eastAsia="Times New Roman"/>
                <w:lang w:eastAsia="ar-SA"/>
              </w:rPr>
              <w:t>Task Force member’s decision.</w:t>
            </w:r>
          </w:p>
          <w:p w:rsidR="00B73805" w:rsidRDefault="00B73805" w:rsidP="00B73805">
            <w:pPr>
              <w:spacing w:before="0" w:after="0"/>
              <w:rPr>
                <w:rFonts w:eastAsia="Times New Roman"/>
                <w:lang w:eastAsia="ar-SA"/>
              </w:rPr>
            </w:pPr>
          </w:p>
          <w:p w:rsidR="00B73805" w:rsidRPr="0052549C" w:rsidRDefault="00B73805" w:rsidP="00B73805">
            <w:pPr>
              <w:spacing w:before="0" w:after="0"/>
              <w:rPr>
                <w:rFonts w:eastAsia="Times New Roman"/>
                <w:u w:val="single"/>
                <w:lang w:eastAsia="ar-SA"/>
              </w:rPr>
            </w:pPr>
            <w:r w:rsidRPr="00274C6F">
              <w:rPr>
                <w:rFonts w:eastAsia="Times New Roman"/>
                <w:u w:val="single"/>
                <w:lang w:eastAsia="ar-SA"/>
              </w:rPr>
              <w:t>On-line survey/questionnaire</w:t>
            </w:r>
          </w:p>
          <w:p w:rsidR="00B73805" w:rsidRDefault="00B73805" w:rsidP="00B73805">
            <w:pPr>
              <w:spacing w:before="240"/>
              <w:rPr>
                <w:rFonts w:eastAsia="Times New Roman"/>
                <w:lang w:eastAsia="fr-BE"/>
              </w:rPr>
            </w:pPr>
            <w:r>
              <w:rPr>
                <w:rFonts w:eastAsia="Times New Roman"/>
                <w:lang w:eastAsia="ar-SA"/>
              </w:rPr>
              <w:t>Online survey on programme thematic priorities</w:t>
            </w:r>
            <w:r w:rsidRPr="0065047E">
              <w:rPr>
                <w:rFonts w:eastAsia="Times New Roman"/>
                <w:lang w:eastAsia="fr-BE"/>
              </w:rPr>
              <w:t xml:space="preserve"> </w:t>
            </w:r>
            <w:r>
              <w:rPr>
                <w:rFonts w:eastAsia="Times New Roman"/>
                <w:lang w:eastAsia="fr-BE"/>
              </w:rPr>
              <w:t xml:space="preserve">was launched on 6 March 2014 and it was closed on 28 March 2014. The online survey was performed on the basis of questionnaire for the selection of thematic priorities sent to 2007-2013 programmes (IPA </w:t>
            </w:r>
            <w:r>
              <w:rPr>
                <w:rFonts w:eastAsia="Times New Roman"/>
                <w:lang w:eastAsia="fr-BE"/>
              </w:rPr>
              <w:lastRenderedPageBreak/>
              <w:t>CBC Croatia – Bosnia and Herzegovina and IPA CBC Croatia – Montenegro) potential and actual beneficiaries. The questionnaire was sent to approximately 500 contacts from IPA CBC Croatia - Bosnia and Herzegovina 2007-2013 programme mailing list that included development agencies, counties, entrepreneurship centres, towns, municipalities, civil society sector, county chambers, chambers of commerce, tourist offices and employment centres. Furthermore, the questionnaire was sent to nearly 400 potential and actual beneficiaries of the IPA CBC Croatia – Montenegro 2007-2013 programme that included educational institutions, towns, municipalities, civil society sector, national ministerial authorities, entrepreneurs, public utility companies, health and social care institutions, development agencies, libraries and museums.</w:t>
            </w:r>
          </w:p>
          <w:p w:rsidR="00B73805" w:rsidRPr="0065047E" w:rsidRDefault="00B73805" w:rsidP="00B73805">
            <w:pPr>
              <w:spacing w:before="240"/>
              <w:rPr>
                <w:rFonts w:eastAsia="Times New Roman"/>
                <w:b/>
                <w:lang w:eastAsia="fr-BE"/>
              </w:rPr>
            </w:pPr>
            <w:r w:rsidRPr="0065047E">
              <w:rPr>
                <w:rFonts w:eastAsia="Times New Roman"/>
                <w:lang w:eastAsia="fr-BE"/>
              </w:rPr>
              <w:t xml:space="preserve">The main result of the </w:t>
            </w:r>
            <w:r>
              <w:rPr>
                <w:rFonts w:eastAsia="Times New Roman"/>
                <w:lang w:eastAsia="fr-BE"/>
              </w:rPr>
              <w:t>questionnaire was</w:t>
            </w:r>
            <w:r w:rsidRPr="0065047E">
              <w:rPr>
                <w:rFonts w:eastAsia="Times New Roman"/>
                <w:lang w:eastAsia="fr-BE"/>
              </w:rPr>
              <w:t xml:space="preserve"> the </w:t>
            </w:r>
            <w:r>
              <w:rPr>
                <w:rFonts w:eastAsia="Times New Roman"/>
                <w:lang w:eastAsia="fr-BE"/>
              </w:rPr>
              <w:t xml:space="preserve">indicative ranking list of thematic priorities </w:t>
            </w:r>
            <w:r w:rsidRPr="0065047E">
              <w:rPr>
                <w:rFonts w:eastAsia="Times New Roman"/>
                <w:lang w:eastAsia="fr-BE"/>
              </w:rPr>
              <w:t xml:space="preserve">from the most to the least important </w:t>
            </w:r>
            <w:r>
              <w:rPr>
                <w:rFonts w:eastAsia="Times New Roman"/>
                <w:lang w:eastAsia="fr-BE"/>
              </w:rPr>
              <w:t xml:space="preserve">as scored by 39 institutions that filled in the questionnaire </w:t>
            </w:r>
            <w:r w:rsidRPr="0065047E">
              <w:rPr>
                <w:rFonts w:eastAsia="Times New Roman"/>
                <w:lang w:eastAsia="fr-BE"/>
              </w:rPr>
              <w:t xml:space="preserve">for the </w:t>
            </w:r>
            <w:r>
              <w:rPr>
                <w:rFonts w:eastAsia="Times New Roman"/>
                <w:lang w:eastAsia="fr-BE"/>
              </w:rPr>
              <w:t xml:space="preserve">selection of thematic priorities for </w:t>
            </w:r>
            <w:r w:rsidRPr="0065047E">
              <w:rPr>
                <w:rFonts w:eastAsia="Times New Roman"/>
                <w:lang w:eastAsia="fr-BE"/>
              </w:rPr>
              <w:t xml:space="preserve">the </w:t>
            </w:r>
            <w:r>
              <w:rPr>
                <w:rFonts w:eastAsia="Times New Roman"/>
                <w:lang w:eastAsia="fr-BE"/>
              </w:rPr>
              <w:t xml:space="preserve">IPA CBC Croatia – Bosnia and Herzegovina – Montenegro 2014-2020. The ranking list was as follows: </w:t>
            </w:r>
          </w:p>
          <w:p w:rsidR="00B73805" w:rsidRPr="00A925FE" w:rsidRDefault="00B73805" w:rsidP="00CB1819">
            <w:pPr>
              <w:numPr>
                <w:ilvl w:val="0"/>
                <w:numId w:val="57"/>
              </w:numPr>
              <w:suppressAutoHyphens/>
              <w:spacing w:before="0" w:after="0"/>
              <w:rPr>
                <w:rFonts w:eastAsia="Times New Roman"/>
                <w:szCs w:val="24"/>
                <w:lang w:val="hr-HR" w:eastAsia="en-US"/>
              </w:rPr>
            </w:pPr>
            <w:r w:rsidRPr="00A925FE">
              <w:rPr>
                <w:rFonts w:eastAsia="Times New Roman"/>
                <w:szCs w:val="24"/>
                <w:lang w:eastAsia="en-US"/>
              </w:rPr>
              <w:t>Encouraging tourism, cultural and natural heritage</w:t>
            </w:r>
          </w:p>
          <w:p w:rsidR="00B73805" w:rsidRPr="00A925FE" w:rsidRDefault="00B73805" w:rsidP="00CB1819">
            <w:pPr>
              <w:numPr>
                <w:ilvl w:val="0"/>
                <w:numId w:val="57"/>
              </w:numPr>
              <w:suppressAutoHyphens/>
              <w:spacing w:before="0" w:after="0"/>
              <w:rPr>
                <w:rFonts w:eastAsia="Times New Roman"/>
                <w:szCs w:val="24"/>
                <w:lang w:val="hr-HR" w:eastAsia="en-US"/>
              </w:rPr>
            </w:pPr>
            <w:r w:rsidRPr="00A925FE">
              <w:rPr>
                <w:rFonts w:eastAsia="Times New Roman"/>
                <w:bCs/>
                <w:iCs/>
                <w:szCs w:val="24"/>
                <w:lang w:val="en-US" w:eastAsia="en-US"/>
              </w:rPr>
              <w:t xml:space="preserve">Enhancing competitiveness, business and SME development, trade and investment. </w:t>
            </w:r>
          </w:p>
          <w:p w:rsidR="00B73805" w:rsidRPr="00A925FE" w:rsidRDefault="00B73805" w:rsidP="00CB1819">
            <w:pPr>
              <w:numPr>
                <w:ilvl w:val="0"/>
                <w:numId w:val="57"/>
              </w:numPr>
              <w:suppressAutoHyphens/>
              <w:spacing w:before="0" w:after="0"/>
              <w:rPr>
                <w:rFonts w:eastAsia="Times New Roman"/>
                <w:szCs w:val="24"/>
                <w:lang w:val="hr-HR" w:eastAsia="en-US"/>
              </w:rPr>
            </w:pPr>
            <w:r w:rsidRPr="00A925FE">
              <w:rPr>
                <w:rFonts w:eastAsia="Times New Roman"/>
                <w:szCs w:val="24"/>
                <w:lang w:val="en-US" w:eastAsia="en-US"/>
              </w:rPr>
              <w:t xml:space="preserve">Investing in youth and education </w:t>
            </w:r>
          </w:p>
          <w:p w:rsidR="00B73805" w:rsidRPr="00A925FE" w:rsidRDefault="00B73805" w:rsidP="00CB1819">
            <w:pPr>
              <w:numPr>
                <w:ilvl w:val="0"/>
                <w:numId w:val="57"/>
              </w:numPr>
              <w:suppressAutoHyphens/>
              <w:spacing w:before="0" w:after="0"/>
              <w:rPr>
                <w:rFonts w:eastAsia="Times New Roman"/>
                <w:szCs w:val="24"/>
                <w:lang w:val="hr-HR" w:eastAsia="en-US"/>
              </w:rPr>
            </w:pPr>
            <w:r w:rsidRPr="00A925FE">
              <w:rPr>
                <w:rFonts w:eastAsia="Times New Roman"/>
                <w:bCs/>
                <w:iCs/>
                <w:szCs w:val="24"/>
                <w:lang w:val="en-US" w:eastAsia="en-US"/>
              </w:rPr>
              <w:t>Protecting the environment and promoting climate change adaptation and risk prevention and promoting sustainable energy</w:t>
            </w:r>
          </w:p>
          <w:p w:rsidR="00B73805" w:rsidRPr="00A925FE" w:rsidRDefault="00B73805" w:rsidP="00CB1819">
            <w:pPr>
              <w:numPr>
                <w:ilvl w:val="0"/>
                <w:numId w:val="57"/>
              </w:numPr>
              <w:suppressAutoHyphens/>
              <w:spacing w:before="0" w:after="0"/>
              <w:rPr>
                <w:rFonts w:eastAsia="Times New Roman"/>
                <w:szCs w:val="24"/>
                <w:lang w:val="hr-HR" w:eastAsia="en-US"/>
              </w:rPr>
            </w:pPr>
            <w:r w:rsidRPr="00A925FE">
              <w:rPr>
                <w:rFonts w:eastAsia="Times New Roman"/>
                <w:szCs w:val="24"/>
                <w:lang w:val="en-US" w:eastAsia="en-US"/>
              </w:rPr>
              <w:t xml:space="preserve">Promoting sustainable transport and improving public infrastructures </w:t>
            </w:r>
          </w:p>
          <w:p w:rsidR="00B73805" w:rsidRPr="00A925FE" w:rsidRDefault="00B73805" w:rsidP="00CB1819">
            <w:pPr>
              <w:numPr>
                <w:ilvl w:val="0"/>
                <w:numId w:val="57"/>
              </w:numPr>
              <w:suppressAutoHyphens/>
              <w:spacing w:before="0" w:after="0"/>
              <w:rPr>
                <w:rFonts w:eastAsia="Times New Roman"/>
                <w:szCs w:val="24"/>
                <w:lang w:val="hr-HR" w:eastAsia="en-US"/>
              </w:rPr>
            </w:pPr>
            <w:r w:rsidRPr="00A925FE">
              <w:rPr>
                <w:rFonts w:eastAsia="Times New Roman"/>
                <w:szCs w:val="24"/>
                <w:lang w:val="en-US" w:eastAsia="en-US"/>
              </w:rPr>
              <w:t>Strengthening research, technological development, innovation and ICT</w:t>
            </w:r>
          </w:p>
          <w:p w:rsidR="00B73805" w:rsidRPr="00A925FE" w:rsidRDefault="00B73805" w:rsidP="00CB1819">
            <w:pPr>
              <w:numPr>
                <w:ilvl w:val="0"/>
                <w:numId w:val="57"/>
              </w:numPr>
              <w:suppressAutoHyphens/>
              <w:spacing w:before="0" w:after="0"/>
              <w:rPr>
                <w:rFonts w:eastAsia="Times New Roman"/>
                <w:szCs w:val="24"/>
                <w:lang w:val="hr-HR" w:eastAsia="en-US"/>
              </w:rPr>
            </w:pPr>
            <w:r w:rsidRPr="00A925FE">
              <w:rPr>
                <w:rFonts w:eastAsia="Times New Roman"/>
                <w:bCs/>
                <w:iCs/>
                <w:szCs w:val="24"/>
                <w:lang w:val="en-US" w:eastAsia="en-US"/>
              </w:rPr>
              <w:t>Promoting employment, labour mobility</w:t>
            </w:r>
            <w:r w:rsidRPr="00A925FE">
              <w:rPr>
                <w:rFonts w:eastAsia="Times New Roman"/>
                <w:bCs/>
                <w:iCs/>
                <w:szCs w:val="24"/>
                <w:lang w:val="hr-HR" w:eastAsia="en-US"/>
              </w:rPr>
              <w:t xml:space="preserve">, </w:t>
            </w:r>
            <w:r w:rsidRPr="00A925FE">
              <w:rPr>
                <w:rFonts w:eastAsia="Times New Roman"/>
                <w:bCs/>
                <w:iCs/>
                <w:szCs w:val="24"/>
                <w:lang w:val="en-US" w:eastAsia="en-US"/>
              </w:rPr>
              <w:t>social inclusio</w:t>
            </w:r>
            <w:r w:rsidRPr="00A925FE">
              <w:rPr>
                <w:rFonts w:eastAsia="Times New Roman"/>
                <w:bCs/>
                <w:iCs/>
                <w:szCs w:val="24"/>
                <w:lang w:val="hr-HR" w:eastAsia="en-US"/>
              </w:rPr>
              <w:t>n and health</w:t>
            </w:r>
          </w:p>
          <w:p w:rsidR="00B73805" w:rsidRPr="00A925FE" w:rsidRDefault="00B73805" w:rsidP="00CB1819">
            <w:pPr>
              <w:numPr>
                <w:ilvl w:val="0"/>
                <w:numId w:val="57"/>
              </w:numPr>
              <w:suppressAutoHyphens/>
              <w:spacing w:before="0" w:after="0"/>
              <w:rPr>
                <w:rFonts w:eastAsia="Times New Roman"/>
                <w:szCs w:val="24"/>
                <w:lang w:val="hr-HR" w:eastAsia="en-US"/>
              </w:rPr>
            </w:pPr>
            <w:r w:rsidRPr="00A925FE">
              <w:rPr>
                <w:rFonts w:eastAsia="Times New Roman"/>
                <w:szCs w:val="24"/>
                <w:lang w:val="en-US" w:eastAsia="en-US"/>
              </w:rPr>
              <w:t>Promoting local and regional governance, planning and administrative capacity building.</w:t>
            </w:r>
          </w:p>
          <w:p w:rsidR="00B73805" w:rsidRDefault="00B73805" w:rsidP="00B73805">
            <w:r>
              <w:t xml:space="preserve">Out of 39 institutions that participated in the online survey, the </w:t>
            </w:r>
            <w:r w:rsidRPr="005F1C90">
              <w:t xml:space="preserve">majority </w:t>
            </w:r>
            <w:r>
              <w:t xml:space="preserve">were local and regional government authorities (15 authorities were represented, which makes almost 39% of the total number) and civil society organizations (11 organizations in total, which makes 28% of the total number). There were also 3 companies owned by local/regional government units thus making 7,6%  and 2 tourist boards, which makes 5% of the total number of institutions that participated in the online survey. </w:t>
            </w:r>
          </w:p>
          <w:p w:rsidR="00B73805" w:rsidRDefault="00B73805" w:rsidP="00B73805">
            <w:r>
              <w:t>Other institutions that participated in the survey were county chamber of economy, public i</w:t>
            </w:r>
            <w:r w:rsidRPr="006B39F9">
              <w:t>nstitution</w:t>
            </w:r>
            <w:r>
              <w:t>, public cultural institution, l</w:t>
            </w:r>
            <w:r w:rsidRPr="006B39F9">
              <w:t>ocal development agency</w:t>
            </w:r>
            <w:r>
              <w:t>, educational institution, regional development energy a</w:t>
            </w:r>
            <w:r w:rsidRPr="006B39F9">
              <w:t>gency</w:t>
            </w:r>
            <w:r>
              <w:t xml:space="preserve"> and county t</w:t>
            </w:r>
            <w:r w:rsidRPr="006B39F9">
              <w:t xml:space="preserve">ourist </w:t>
            </w:r>
            <w:r>
              <w:t>b</w:t>
            </w:r>
            <w:r w:rsidRPr="006B39F9">
              <w:t>oard</w:t>
            </w:r>
            <w:r>
              <w:t xml:space="preserve">, each of them with 2,5% share out of the total number of institutions. </w:t>
            </w:r>
          </w:p>
          <w:p w:rsidR="00B73805" w:rsidRPr="0080687A" w:rsidRDefault="00B73805" w:rsidP="00B73805">
            <w:r>
              <w:t>The</w:t>
            </w:r>
            <w:r w:rsidRPr="00972BB2">
              <w:t xml:space="preserve"> </w:t>
            </w:r>
            <w:r>
              <w:t xml:space="preserve">information on thematic priorities ranking list </w:t>
            </w:r>
            <w:r w:rsidRPr="00972BB2">
              <w:t xml:space="preserve">helped to highlight priorities and to rank issues to be taken into account </w:t>
            </w:r>
            <w:r>
              <w:t xml:space="preserve">for discussion with the Task Force as regards to the programme strategy. </w:t>
            </w:r>
          </w:p>
          <w:p w:rsidR="00B73805" w:rsidRDefault="00B73805" w:rsidP="00B73805">
            <w:pPr>
              <w:spacing w:before="0" w:after="0"/>
              <w:rPr>
                <w:rFonts w:eastAsia="Times New Roman"/>
                <w:lang w:eastAsia="ar-SA"/>
              </w:rPr>
            </w:pPr>
          </w:p>
          <w:p w:rsidR="00B73805" w:rsidRPr="008B6B53" w:rsidRDefault="00B73805" w:rsidP="00B73805">
            <w:pPr>
              <w:spacing w:before="0" w:after="0"/>
              <w:rPr>
                <w:rFonts w:eastAsia="Times New Roman"/>
                <w:u w:val="single"/>
                <w:lang w:eastAsia="ar-SA"/>
              </w:rPr>
            </w:pPr>
            <w:r w:rsidRPr="00274C6F">
              <w:rPr>
                <w:rFonts w:eastAsia="Times New Roman"/>
                <w:u w:val="single"/>
                <w:lang w:eastAsia="ar-SA"/>
              </w:rPr>
              <w:t>Two rounds of stakeholder consultation workshops</w:t>
            </w:r>
            <w:r w:rsidRPr="008B6B53">
              <w:rPr>
                <w:rFonts w:eastAsia="Times New Roman"/>
                <w:u w:val="single"/>
                <w:lang w:eastAsia="ar-SA"/>
              </w:rPr>
              <w:t xml:space="preserve"> </w:t>
            </w:r>
          </w:p>
          <w:p w:rsidR="00B73805" w:rsidRDefault="00B73805" w:rsidP="00B73805">
            <w:pPr>
              <w:rPr>
                <w:rFonts w:eastAsia="Times New Roman"/>
                <w:lang w:eastAsia="ar-SA"/>
              </w:rPr>
            </w:pPr>
            <w:r>
              <w:rPr>
                <w:rFonts w:eastAsia="Times New Roman"/>
                <w:lang w:eastAsia="ar-SA"/>
              </w:rPr>
              <w:t xml:space="preserve">The first round of public stakeholders workshops was organised in Gospić (Croatia) and Tivat (Montenegro) in May 2014. The list of invitees, compiled </w:t>
            </w:r>
            <w:r w:rsidR="00CB1819" w:rsidRPr="00CB1819">
              <w:rPr>
                <w:rFonts w:eastAsia="Times New Roman"/>
                <w:lang w:eastAsia="ar-SA"/>
              </w:rPr>
              <w:t xml:space="preserve">and verified </w:t>
            </w:r>
            <w:r>
              <w:rPr>
                <w:rFonts w:eastAsia="Times New Roman"/>
                <w:lang w:eastAsia="ar-SA"/>
              </w:rPr>
              <w:t xml:space="preserve">by the Task Force members, consisted of 150 representative institutions per each participating country. In total, 450 institutions from the relevant sectors were invited to the first round of public stakeholders workshops. The institutions at the invitation list included the following institutions from the participating countries: national/entity ministerial </w:t>
            </w:r>
            <w:r>
              <w:rPr>
                <w:rFonts w:eastAsia="Times New Roman"/>
                <w:lang w:eastAsia="ar-SA"/>
              </w:rPr>
              <w:lastRenderedPageBreak/>
              <w:t xml:space="preserve">authorities, local and regional governance authorities, towns, municipalities, chambers of commerce, touristic associations, educational institutions, health and social care institutions, </w:t>
            </w:r>
            <w:r w:rsidRPr="002C6837">
              <w:rPr>
                <w:rFonts w:eastAsia="Times New Roman"/>
                <w:lang w:eastAsia="ar-SA"/>
              </w:rPr>
              <w:t>public companies,</w:t>
            </w:r>
            <w:r>
              <w:rPr>
                <w:rFonts w:eastAsia="Times New Roman"/>
                <w:lang w:eastAsia="ar-SA"/>
              </w:rPr>
              <w:t xml:space="preserve"> </w:t>
            </w:r>
            <w:r w:rsidRPr="002C6837">
              <w:rPr>
                <w:rFonts w:eastAsia="Times New Roman"/>
                <w:lang w:eastAsia="ar-SA"/>
              </w:rPr>
              <w:t>institutions responsible for environment and nature</w:t>
            </w:r>
            <w:r>
              <w:rPr>
                <w:rFonts w:eastAsia="Times New Roman"/>
                <w:lang w:eastAsia="ar-SA"/>
              </w:rPr>
              <w:t xml:space="preserve">, </w:t>
            </w:r>
            <w:r w:rsidRPr="002C6837">
              <w:rPr>
                <w:rFonts w:eastAsia="Times New Roman"/>
                <w:lang w:eastAsia="ar-SA"/>
              </w:rPr>
              <w:t xml:space="preserve">institutions responsible for culture, </w:t>
            </w:r>
            <w:r>
              <w:rPr>
                <w:rFonts w:eastAsia="Times New Roman"/>
                <w:lang w:eastAsia="ar-SA"/>
              </w:rPr>
              <w:t xml:space="preserve">development agencies, business support institutions, CSOs, </w:t>
            </w:r>
            <w:r w:rsidRPr="00AB647D">
              <w:rPr>
                <w:rFonts w:eastAsia="Times New Roman"/>
                <w:lang w:eastAsia="ar-SA"/>
              </w:rPr>
              <w:t xml:space="preserve">employers' </w:t>
            </w:r>
            <w:r>
              <w:rPr>
                <w:rFonts w:eastAsia="Times New Roman"/>
                <w:lang w:eastAsia="ar-SA"/>
              </w:rPr>
              <w:t>a</w:t>
            </w:r>
            <w:r w:rsidRPr="00AB647D">
              <w:rPr>
                <w:rFonts w:eastAsia="Times New Roman"/>
                <w:lang w:eastAsia="ar-SA"/>
              </w:rPr>
              <w:t>ssociations</w:t>
            </w:r>
            <w:r>
              <w:rPr>
                <w:rFonts w:eastAsia="Times New Roman"/>
                <w:lang w:eastAsia="ar-SA"/>
              </w:rPr>
              <w:t>,</w:t>
            </w:r>
            <w:r w:rsidRPr="00AB647D">
              <w:rPr>
                <w:rFonts w:eastAsia="Times New Roman"/>
                <w:lang w:eastAsia="ar-SA"/>
              </w:rPr>
              <w:t xml:space="preserve"> </w:t>
            </w:r>
            <w:r>
              <w:rPr>
                <w:rFonts w:eastAsia="Times New Roman"/>
                <w:lang w:eastAsia="ar-SA"/>
              </w:rPr>
              <w:t>and the national contact points for relevant macro regional strategies.</w:t>
            </w:r>
          </w:p>
          <w:p w:rsidR="00B73805" w:rsidRPr="0028552F" w:rsidRDefault="00B73805" w:rsidP="00B73805">
            <w:pPr>
              <w:rPr>
                <w:rFonts w:eastAsia="Times New Roman"/>
                <w:lang w:eastAsia="en-US"/>
              </w:rPr>
            </w:pPr>
            <w:r>
              <w:rPr>
                <w:rFonts w:eastAsia="Times New Roman"/>
                <w:lang w:eastAsia="ar-SA"/>
              </w:rPr>
              <w:t>The documents presented and discussed with the participants of the workshops were SWOT analysis and programme intervention logic (programme strategy) with specific emphasis on the selected thematic priorities and proposed specific objectives and types of actions.</w:t>
            </w:r>
            <w:r w:rsidRPr="0028552F">
              <w:rPr>
                <w:rFonts w:eastAsia="Times New Roman"/>
                <w:lang w:eastAsia="en-US"/>
              </w:rPr>
              <w:t xml:space="preserve"> </w:t>
            </w:r>
            <w:r>
              <w:rPr>
                <w:rFonts w:eastAsia="Times New Roman"/>
                <w:lang w:eastAsia="en-US"/>
              </w:rPr>
              <w:t xml:space="preserve">Participants </w:t>
            </w:r>
            <w:r w:rsidRPr="0028552F">
              <w:rPr>
                <w:rFonts w:eastAsia="Times New Roman"/>
                <w:lang w:eastAsia="en-US"/>
              </w:rPr>
              <w:t xml:space="preserve">helped to better identify </w:t>
            </w:r>
            <w:r>
              <w:rPr>
                <w:rFonts w:eastAsia="Times New Roman"/>
                <w:lang w:eastAsia="en-US"/>
              </w:rPr>
              <w:t xml:space="preserve">specific objectives and </w:t>
            </w:r>
            <w:r w:rsidRPr="0028552F">
              <w:rPr>
                <w:rFonts w:eastAsia="Times New Roman"/>
                <w:lang w:eastAsia="en-US"/>
              </w:rPr>
              <w:t>types of actions that should be support</w:t>
            </w:r>
            <w:r>
              <w:rPr>
                <w:rFonts w:eastAsia="Times New Roman"/>
                <w:lang w:eastAsia="en-US"/>
              </w:rPr>
              <w:t xml:space="preserve">ed within each </w:t>
            </w:r>
            <w:r w:rsidRPr="0028552F">
              <w:rPr>
                <w:rFonts w:eastAsia="Times New Roman"/>
                <w:lang w:eastAsia="en-US"/>
              </w:rPr>
              <w:t>Priority</w:t>
            </w:r>
            <w:r>
              <w:rPr>
                <w:rFonts w:eastAsia="Times New Roman"/>
                <w:lang w:eastAsia="en-US"/>
              </w:rPr>
              <w:t xml:space="preserve"> Axis</w:t>
            </w:r>
            <w:r w:rsidRPr="0028552F">
              <w:rPr>
                <w:rFonts w:eastAsia="Times New Roman"/>
                <w:lang w:eastAsia="en-US"/>
              </w:rPr>
              <w:t xml:space="preserve">. This was necessary to </w:t>
            </w:r>
            <w:r>
              <w:rPr>
                <w:rFonts w:eastAsia="Times New Roman"/>
                <w:lang w:eastAsia="en-US"/>
              </w:rPr>
              <w:t xml:space="preserve">validate the choice of thematic areas to be dealt within the programme and to agree on the </w:t>
            </w:r>
            <w:r w:rsidRPr="0028552F">
              <w:rPr>
                <w:rFonts w:eastAsia="Times New Roman"/>
                <w:lang w:eastAsia="en-US"/>
              </w:rPr>
              <w:t>operational and need-based types of actions able to generate concrete and measurable results.</w:t>
            </w:r>
          </w:p>
          <w:p w:rsidR="00B73805" w:rsidRDefault="00B73805" w:rsidP="00B73805">
            <w:pPr>
              <w:spacing w:before="0" w:after="0"/>
              <w:rPr>
                <w:rFonts w:eastAsia="Times New Roman"/>
                <w:lang w:eastAsia="ar-SA"/>
              </w:rPr>
            </w:pPr>
            <w:r>
              <w:rPr>
                <w:rFonts w:eastAsia="Times New Roman"/>
                <w:lang w:eastAsia="ar-SA"/>
              </w:rPr>
              <w:t xml:space="preserve">The second round of public stakeholders workshops was organised in Sarajevo (Bosnia and Herzegovina) on 28 August 2014. The list of invitees, compiled </w:t>
            </w:r>
            <w:r w:rsidR="00CB1819" w:rsidRPr="00CB1819">
              <w:rPr>
                <w:rFonts w:eastAsia="Times New Roman"/>
                <w:lang w:eastAsia="ar-SA"/>
              </w:rPr>
              <w:t xml:space="preserve">and verified </w:t>
            </w:r>
            <w:r>
              <w:rPr>
                <w:rFonts w:eastAsia="Times New Roman"/>
                <w:lang w:eastAsia="ar-SA"/>
              </w:rPr>
              <w:t>by the Task Force members, consisted of 150 representative institutions per each participating country. In total, 450 institutions from the relevant sectors were invited to the second round of public stakeholders workshops. The institutions at the invitation list included the following institutions from the participating countries: national/entity ministerial authorities, local and regional governance authorities, towns, municipalities, chambers of commerce, touristic associations, educational institutions, business support institutions, health and social care institutions and the national contact points for relevant macroregional strategies.</w:t>
            </w:r>
          </w:p>
          <w:p w:rsidR="00B73805" w:rsidRDefault="00B73805" w:rsidP="00B73805">
            <w:pPr>
              <w:rPr>
                <w:lang w:eastAsia="fr-BE"/>
              </w:rPr>
            </w:pPr>
            <w:r>
              <w:rPr>
                <w:rFonts w:eastAsia="Times New Roman"/>
                <w:lang w:eastAsia="ar-SA"/>
              </w:rPr>
              <w:t xml:space="preserve">The documents presented and discussed with the participants of the workshops were Situation Analysis, SWOT analysis, programme intervention logic (programme strategy) and draft Cooperation programme </w:t>
            </w:r>
            <w:r w:rsidRPr="00BA7B9B">
              <w:rPr>
                <w:rFonts w:eastAsia="Times New Roman"/>
                <w:lang w:eastAsia="ar-SA"/>
              </w:rPr>
              <w:t>with specific emphasis on the proposed specific objectives and types of actions within the allocated budget.</w:t>
            </w:r>
            <w:r w:rsidRPr="0028552F">
              <w:rPr>
                <w:rFonts w:eastAsia="Times New Roman"/>
                <w:lang w:eastAsia="en-US"/>
              </w:rPr>
              <w:t xml:space="preserve"> </w:t>
            </w:r>
            <w:r>
              <w:rPr>
                <w:rFonts w:eastAsia="Times New Roman"/>
                <w:lang w:eastAsia="en-US"/>
              </w:rPr>
              <w:t xml:space="preserve">Participants contributed </w:t>
            </w:r>
            <w:r w:rsidRPr="0028552F">
              <w:rPr>
                <w:rFonts w:eastAsia="Times New Roman"/>
                <w:lang w:eastAsia="en-US"/>
              </w:rPr>
              <w:t xml:space="preserve">to </w:t>
            </w:r>
            <w:r>
              <w:rPr>
                <w:rFonts w:eastAsia="Times New Roman"/>
                <w:lang w:eastAsia="en-US"/>
              </w:rPr>
              <w:t xml:space="preserve">further formulate the </w:t>
            </w:r>
            <w:r w:rsidRPr="0028552F">
              <w:rPr>
                <w:rFonts w:eastAsia="Times New Roman"/>
                <w:lang w:eastAsia="en-US"/>
              </w:rPr>
              <w:t xml:space="preserve">types of actions </w:t>
            </w:r>
            <w:r>
              <w:rPr>
                <w:rFonts w:eastAsia="Times New Roman"/>
                <w:lang w:eastAsia="en-US"/>
              </w:rPr>
              <w:t xml:space="preserve">to </w:t>
            </w:r>
            <w:r w:rsidRPr="0028552F">
              <w:rPr>
                <w:rFonts w:eastAsia="Times New Roman"/>
                <w:lang w:eastAsia="en-US"/>
              </w:rPr>
              <w:t>be support</w:t>
            </w:r>
            <w:r>
              <w:rPr>
                <w:rFonts w:eastAsia="Times New Roman"/>
                <w:lang w:eastAsia="en-US"/>
              </w:rPr>
              <w:t xml:space="preserve">ed within each </w:t>
            </w:r>
            <w:r w:rsidR="00CB1819">
              <w:rPr>
                <w:rFonts w:eastAsia="Times New Roman"/>
                <w:lang w:eastAsia="en-US"/>
              </w:rPr>
              <w:t>thematic priority/p</w:t>
            </w:r>
            <w:r w:rsidRPr="0028552F">
              <w:rPr>
                <w:rFonts w:eastAsia="Times New Roman"/>
                <w:lang w:eastAsia="en-US"/>
              </w:rPr>
              <w:t>riority</w:t>
            </w:r>
            <w:r>
              <w:rPr>
                <w:rFonts w:eastAsia="Times New Roman"/>
                <w:lang w:eastAsia="en-US"/>
              </w:rPr>
              <w:t xml:space="preserve"> </w:t>
            </w:r>
            <w:r w:rsidR="00CB1819">
              <w:rPr>
                <w:rFonts w:eastAsia="Times New Roman"/>
                <w:lang w:eastAsia="en-US"/>
              </w:rPr>
              <w:t>a</w:t>
            </w:r>
            <w:r>
              <w:rPr>
                <w:rFonts w:eastAsia="Times New Roman"/>
                <w:lang w:eastAsia="en-US"/>
              </w:rPr>
              <w:t>xis</w:t>
            </w:r>
            <w:r w:rsidRPr="0028552F">
              <w:rPr>
                <w:rFonts w:eastAsia="Times New Roman"/>
                <w:lang w:eastAsia="en-US"/>
              </w:rPr>
              <w:t xml:space="preserve">. This was </w:t>
            </w:r>
            <w:r>
              <w:rPr>
                <w:rFonts w:eastAsia="Times New Roman"/>
                <w:lang w:eastAsia="en-US"/>
              </w:rPr>
              <w:t xml:space="preserve">useful as the partners discussed and suggested further improvements in the types of actions thus enabling the programme </w:t>
            </w:r>
            <w:r w:rsidRPr="0028552F">
              <w:rPr>
                <w:rFonts w:eastAsia="Times New Roman"/>
                <w:lang w:eastAsia="en-US"/>
              </w:rPr>
              <w:t xml:space="preserve">to </w:t>
            </w:r>
            <w:r>
              <w:rPr>
                <w:rFonts w:eastAsia="Times New Roman"/>
                <w:lang w:eastAsia="en-US"/>
              </w:rPr>
              <w:t xml:space="preserve">focus on the </w:t>
            </w:r>
            <w:r w:rsidRPr="0028552F">
              <w:rPr>
                <w:rFonts w:eastAsia="Times New Roman"/>
                <w:lang w:eastAsia="en-US"/>
              </w:rPr>
              <w:t>operational and need-based types of actions able to generate concrete and measurable results.</w:t>
            </w:r>
            <w:r w:rsidRPr="00972BB2">
              <w:rPr>
                <w:lang w:eastAsia="fr-BE"/>
              </w:rPr>
              <w:t xml:space="preserve"> </w:t>
            </w:r>
          </w:p>
          <w:p w:rsidR="00B73805" w:rsidRPr="00AC58F6" w:rsidRDefault="00B73805" w:rsidP="00B73805">
            <w:r>
              <w:t>In total 95</w:t>
            </w:r>
            <w:r w:rsidRPr="00AC58F6">
              <w:t xml:space="preserve"> participants from </w:t>
            </w:r>
            <w:r>
              <w:t>67</w:t>
            </w:r>
            <w:r w:rsidRPr="00AC58F6">
              <w:t xml:space="preserve"> institutions participated in the stakeholders’ consultation workshops in Sarajevo, Tivat and Gospić. </w:t>
            </w:r>
          </w:p>
          <w:p w:rsidR="00B73805" w:rsidRPr="00AA6F23" w:rsidRDefault="00B73805" w:rsidP="00B73805">
            <w:r>
              <w:t>The majority of institutions</w:t>
            </w:r>
            <w:r w:rsidRPr="00AC58F6">
              <w:t xml:space="preserve"> represented at the workshop</w:t>
            </w:r>
            <w:r>
              <w:t>s</w:t>
            </w:r>
            <w:r w:rsidRPr="00AC58F6">
              <w:t xml:space="preserve"> belong to</w:t>
            </w:r>
            <w:r>
              <w:t xml:space="preserve"> </w:t>
            </w:r>
            <w:r w:rsidRPr="00AC58F6">
              <w:t>local and regional governance authorities, towns and municipalities (14 institutions</w:t>
            </w:r>
            <w:r>
              <w:t xml:space="preserve"> in total, 20,89</w:t>
            </w:r>
            <w:r w:rsidRPr="00AC58F6">
              <w:t>% of the total number), public institutions</w:t>
            </w:r>
            <w:r>
              <w:t xml:space="preserve"> (12 institutions in total, 17,91</w:t>
            </w:r>
            <w:r w:rsidRPr="00AC58F6">
              <w:t>% of the total number),</w:t>
            </w:r>
            <w:r>
              <w:t xml:space="preserve"> c</w:t>
            </w:r>
            <w:r w:rsidRPr="00AC58F6">
              <w:t>ivil society organisation</w:t>
            </w:r>
            <w:r>
              <w:t>s</w:t>
            </w:r>
            <w:r w:rsidRPr="00AC58F6">
              <w:t xml:space="preserve"> </w:t>
            </w:r>
            <w:r>
              <w:t>(11 institutions in total, 16,41</w:t>
            </w:r>
            <w:r w:rsidRPr="00AC58F6">
              <w:t>% of the total number),</w:t>
            </w:r>
            <w:r>
              <w:t xml:space="preserve"> </w:t>
            </w:r>
            <w:r w:rsidRPr="00AC58F6">
              <w:t>national/ entity ministerial authorities (9 institutions</w:t>
            </w:r>
            <w:r>
              <w:t xml:space="preserve"> in total, 13,43</w:t>
            </w:r>
            <w:r w:rsidRPr="00AC58F6">
              <w:t>% of the total number),</w:t>
            </w:r>
            <w:r w:rsidRPr="00AA6F23">
              <w:t xml:space="preserve"> development agencies (9 institutions in total, 13,43 % of the total number), business support institution (6 institutions in total, 8,95% of the total number), health and social care institutions (5 institutions in total, 7,46% of the total number) and educational institutions (1 institution in total, 1,49 % of the total number).</w:t>
            </w:r>
          </w:p>
          <w:p w:rsidR="00B73805" w:rsidRDefault="00B73805" w:rsidP="00B73805">
            <w:pPr>
              <w:spacing w:before="0" w:after="0"/>
              <w:rPr>
                <w:rFonts w:eastAsia="Times New Roman"/>
                <w:lang w:eastAsia="ar-SA"/>
              </w:rPr>
            </w:pPr>
          </w:p>
          <w:p w:rsidR="00B73805" w:rsidRDefault="00B73805" w:rsidP="00B73805">
            <w:pPr>
              <w:spacing w:before="0" w:after="0"/>
              <w:rPr>
                <w:rFonts w:eastAsia="Times New Roman"/>
                <w:u w:val="single"/>
                <w:lang w:eastAsia="ar-SA"/>
              </w:rPr>
            </w:pPr>
            <w:r w:rsidRPr="00274C6F">
              <w:rPr>
                <w:rFonts w:eastAsia="Times New Roman"/>
                <w:u w:val="single"/>
                <w:lang w:eastAsia="ar-SA"/>
              </w:rPr>
              <w:t>Online public consultations</w:t>
            </w:r>
          </w:p>
          <w:p w:rsidR="00B73805" w:rsidRPr="002B0780" w:rsidRDefault="00B73805" w:rsidP="00B73805">
            <w:pPr>
              <w:spacing w:before="0" w:after="0"/>
              <w:rPr>
                <w:rFonts w:eastAsia="Times New Roman"/>
                <w:u w:val="single"/>
                <w:lang w:eastAsia="ar-SA"/>
              </w:rPr>
            </w:pPr>
          </w:p>
          <w:p w:rsidR="00B73805" w:rsidRDefault="00B73805" w:rsidP="001F1183">
            <w:pPr>
              <w:spacing w:before="0"/>
              <w:rPr>
                <w:rFonts w:eastAsia="Times New Roman"/>
                <w:lang w:eastAsia="en-US"/>
              </w:rPr>
            </w:pPr>
            <w:r>
              <w:rPr>
                <w:rFonts w:eastAsia="Times New Roman"/>
                <w:lang w:eastAsia="en-US"/>
              </w:rPr>
              <w:t>The MRDEUF informed the</w:t>
            </w:r>
            <w:r w:rsidRPr="00CA7FDC">
              <w:rPr>
                <w:rFonts w:eastAsia="Times New Roman"/>
                <w:lang w:eastAsia="en-US"/>
              </w:rPr>
              <w:t xml:space="preserve"> programme </w:t>
            </w:r>
            <w:r>
              <w:rPr>
                <w:rFonts w:eastAsia="Times New Roman"/>
                <w:lang w:eastAsia="en-US"/>
              </w:rPr>
              <w:t xml:space="preserve">mailing list consisting of nearly 500 contacts </w:t>
            </w:r>
            <w:r>
              <w:rPr>
                <w:rFonts w:eastAsia="Times New Roman"/>
                <w:lang w:eastAsia="en-US"/>
              </w:rPr>
              <w:lastRenderedPageBreak/>
              <w:t xml:space="preserve">form the relevant institutions from the participating countries and Task Force </w:t>
            </w:r>
            <w:r w:rsidRPr="00CA7FDC">
              <w:rPr>
                <w:rFonts w:eastAsia="Times New Roman"/>
                <w:lang w:eastAsia="en-US"/>
              </w:rPr>
              <w:t xml:space="preserve">about the launch of the </w:t>
            </w:r>
            <w:r>
              <w:rPr>
                <w:rFonts w:eastAsia="Times New Roman"/>
                <w:lang w:eastAsia="en-US"/>
              </w:rPr>
              <w:t xml:space="preserve">public online consultations for the following programming documents </w:t>
            </w:r>
            <w:r w:rsidRPr="00CA7FDC">
              <w:rPr>
                <w:rFonts w:eastAsia="Times New Roman"/>
                <w:lang w:eastAsia="en-US"/>
              </w:rPr>
              <w:t>on its website</w:t>
            </w:r>
            <w:r>
              <w:rPr>
                <w:rFonts w:eastAsia="Times New Roman"/>
                <w:lang w:eastAsia="en-US"/>
              </w:rPr>
              <w:t xml:space="preserve">: </w:t>
            </w:r>
            <w:r>
              <w:rPr>
                <w:rFonts w:eastAsia="Times New Roman"/>
                <w:lang w:eastAsia="ar-SA"/>
              </w:rPr>
              <w:t>SWOT analysis, programme intervention logic (programme strategy) and draft Cooperation programme</w:t>
            </w:r>
            <w:r>
              <w:rPr>
                <w:rFonts w:eastAsia="Times New Roman"/>
                <w:lang w:eastAsia="en-US"/>
              </w:rPr>
              <w:t xml:space="preserve">. Online public consultations were open form 1 August to 30 August 2014 and the relevant partners were invited to submit their written comments to the documents indicated above. There were no comments received </w:t>
            </w:r>
            <w:r w:rsidR="00661D9F">
              <w:rPr>
                <w:rFonts w:eastAsia="Times New Roman"/>
                <w:lang w:eastAsia="en-US"/>
              </w:rPr>
              <w:t>within</w:t>
            </w:r>
            <w:r>
              <w:rPr>
                <w:rFonts w:eastAsia="Times New Roman"/>
                <w:lang w:eastAsia="en-US"/>
              </w:rPr>
              <w:t xml:space="preserve"> the online consultation deadline.</w:t>
            </w:r>
          </w:p>
          <w:p w:rsidR="00B73805" w:rsidRDefault="00B73805" w:rsidP="00B73805">
            <w:pPr>
              <w:spacing w:after="240"/>
              <w:rPr>
                <w:rFonts w:eastAsia="Times New Roman"/>
                <w:u w:val="single"/>
                <w:lang w:eastAsia="ar-SA"/>
              </w:rPr>
            </w:pPr>
            <w:r w:rsidRPr="00541903">
              <w:rPr>
                <w:rFonts w:eastAsia="Times New Roman"/>
                <w:u w:val="single"/>
                <w:lang w:eastAsia="ar-SA"/>
              </w:rPr>
              <w:t>Public consultation meetings within SEA</w:t>
            </w:r>
          </w:p>
          <w:p w:rsidR="00CB1819" w:rsidRDefault="00CB1819" w:rsidP="00B73805">
            <w:pPr>
              <w:spacing w:after="240"/>
              <w:rPr>
                <w:rFonts w:eastAsia="Times New Roman"/>
                <w:lang w:eastAsia="ar-SA"/>
              </w:rPr>
            </w:pPr>
            <w:r w:rsidRPr="00CB1819">
              <w:rPr>
                <w:rFonts w:eastAsia="Times New Roman"/>
                <w:lang w:eastAsia="ar-SA"/>
              </w:rPr>
              <w:t xml:space="preserve">In order to harmonize the submitted opinions on the content of strategic study and to determine the final content of Strategic Study, </w:t>
            </w:r>
            <w:r w:rsidR="00EC736B">
              <w:rPr>
                <w:rFonts w:eastAsia="Times New Roman"/>
                <w:lang w:eastAsia="ar-SA"/>
              </w:rPr>
              <w:t>Ministry of Regional Development of EU Funds</w:t>
            </w:r>
            <w:r w:rsidRPr="00CB1819">
              <w:rPr>
                <w:rFonts w:eastAsia="Times New Roman"/>
                <w:lang w:eastAsia="ar-SA"/>
              </w:rPr>
              <w:t xml:space="preserve"> organized a Consultation meeting within the scoping phase of the SEA procedure on 12 September 2014. The following institutions were represented at the meeting: Ministry of Environmental and Nature Protection, Ministry of Agriculture and Ministry of Science, Education and Sport.</w:t>
            </w:r>
          </w:p>
          <w:p w:rsidR="00955249" w:rsidRPr="00A750B1" w:rsidRDefault="00955249" w:rsidP="001448FC">
            <w:pPr>
              <w:rPr>
                <w:rFonts w:eastAsia="Times New Roman"/>
                <w:lang w:eastAsia="ar-SA"/>
              </w:rPr>
            </w:pPr>
            <w:r>
              <w:rPr>
                <w:rFonts w:eastAsia="Times New Roman"/>
                <w:lang w:eastAsia="ar-SA"/>
              </w:rPr>
              <w:t>Furthermore, the consultation meetings within the SEA study phase of the SEA procedure were organised by M</w:t>
            </w:r>
            <w:r w:rsidR="00EC736B">
              <w:rPr>
                <w:rFonts w:eastAsia="Times New Roman"/>
                <w:lang w:eastAsia="ar-SA"/>
              </w:rPr>
              <w:t xml:space="preserve">inistry of </w:t>
            </w:r>
            <w:r>
              <w:rPr>
                <w:rFonts w:eastAsia="Times New Roman"/>
                <w:lang w:eastAsia="ar-SA"/>
              </w:rPr>
              <w:t>R</w:t>
            </w:r>
            <w:r w:rsidR="00EC736B">
              <w:rPr>
                <w:rFonts w:eastAsia="Times New Roman"/>
                <w:lang w:eastAsia="ar-SA"/>
              </w:rPr>
              <w:t xml:space="preserve">egional </w:t>
            </w:r>
            <w:r>
              <w:rPr>
                <w:rFonts w:eastAsia="Times New Roman"/>
                <w:lang w:eastAsia="ar-SA"/>
              </w:rPr>
              <w:t>D</w:t>
            </w:r>
            <w:r w:rsidR="00EC736B">
              <w:rPr>
                <w:rFonts w:eastAsia="Times New Roman"/>
                <w:lang w:eastAsia="ar-SA"/>
              </w:rPr>
              <w:t xml:space="preserve">evelopment of </w:t>
            </w:r>
            <w:r>
              <w:rPr>
                <w:rFonts w:eastAsia="Times New Roman"/>
                <w:lang w:eastAsia="ar-SA"/>
              </w:rPr>
              <w:t>EU</w:t>
            </w:r>
            <w:r w:rsidR="00EC736B">
              <w:rPr>
                <w:rFonts w:eastAsia="Times New Roman"/>
                <w:lang w:eastAsia="ar-SA"/>
              </w:rPr>
              <w:t xml:space="preserve"> </w:t>
            </w:r>
            <w:r>
              <w:rPr>
                <w:rFonts w:eastAsia="Times New Roman"/>
                <w:lang w:eastAsia="ar-SA"/>
              </w:rPr>
              <w:t>F</w:t>
            </w:r>
            <w:r w:rsidR="00EC736B">
              <w:rPr>
                <w:rFonts w:eastAsia="Times New Roman"/>
                <w:lang w:eastAsia="ar-SA"/>
              </w:rPr>
              <w:t>unds</w:t>
            </w:r>
            <w:r>
              <w:rPr>
                <w:rFonts w:eastAsia="Times New Roman"/>
                <w:lang w:eastAsia="ar-SA"/>
              </w:rPr>
              <w:t xml:space="preserve"> in Zagreb on 12 November 2014. </w:t>
            </w:r>
            <w:r w:rsidRPr="00CB1819">
              <w:rPr>
                <w:rFonts w:eastAsia="Times New Roman"/>
                <w:lang w:eastAsia="ar-SA"/>
              </w:rPr>
              <w:t>The following institutions were represented at the meeting: Ministry of Environmental and Nature Protection,</w:t>
            </w:r>
            <w:r w:rsidR="00EC736B">
              <w:rPr>
                <w:rFonts w:eastAsia="Times New Roman"/>
                <w:lang w:eastAsia="ar-SA"/>
              </w:rPr>
              <w:t xml:space="preserve"> </w:t>
            </w:r>
            <w:r w:rsidR="001448FC" w:rsidRPr="001448FC">
              <w:rPr>
                <w:rFonts w:eastAsia="Times New Roman"/>
                <w:lang w:eastAsia="ar-SA"/>
              </w:rPr>
              <w:t>Ministry of Agriculture and Inland navigation development centre.</w:t>
            </w:r>
            <w:r w:rsidR="001448FC">
              <w:rPr>
                <w:rFonts w:eastAsia="Times New Roman"/>
                <w:lang w:eastAsia="ar-SA"/>
              </w:rPr>
              <w:t xml:space="preserve"> </w:t>
            </w:r>
            <w:r w:rsidR="00EC736B">
              <w:rPr>
                <w:rFonts w:eastAsia="Times New Roman"/>
                <w:lang w:eastAsia="ar-SA"/>
              </w:rPr>
              <w:t>The consultation workshop</w:t>
            </w:r>
            <w:r>
              <w:rPr>
                <w:rFonts w:eastAsia="Times New Roman"/>
                <w:lang w:eastAsia="ar-SA"/>
              </w:rPr>
              <w:t xml:space="preserve"> was also organised by </w:t>
            </w:r>
            <w:r w:rsidR="001448FC">
              <w:rPr>
                <w:rFonts w:eastAsia="Times New Roman"/>
                <w:lang w:eastAsia="ar-SA"/>
              </w:rPr>
              <w:t xml:space="preserve">the </w:t>
            </w:r>
            <w:r w:rsidR="00EC736B" w:rsidRPr="00EC736B">
              <w:rPr>
                <w:rFonts w:eastAsia="Times New Roman"/>
                <w:lang w:eastAsia="ar-SA"/>
              </w:rPr>
              <w:t>Ministry of Foreign Affairs and European Integration</w:t>
            </w:r>
            <w:r w:rsidR="00EC736B">
              <w:rPr>
                <w:rFonts w:eastAsia="Times New Roman"/>
                <w:lang w:eastAsia="ar-SA"/>
              </w:rPr>
              <w:t xml:space="preserve"> of Montenegro in Podgorica on 14 November 2014. </w:t>
            </w:r>
            <w:r w:rsidR="00EC736B" w:rsidRPr="00CB1819">
              <w:rPr>
                <w:rFonts w:eastAsia="Times New Roman"/>
                <w:lang w:eastAsia="ar-SA"/>
              </w:rPr>
              <w:t xml:space="preserve">The following </w:t>
            </w:r>
            <w:r w:rsidR="005E6BBF">
              <w:rPr>
                <w:rFonts w:eastAsia="Times New Roman"/>
                <w:lang w:eastAsia="ar-SA"/>
              </w:rPr>
              <w:t xml:space="preserve">national, regional and local level </w:t>
            </w:r>
            <w:r w:rsidR="00EC736B" w:rsidRPr="00CB1819">
              <w:rPr>
                <w:rFonts w:eastAsia="Times New Roman"/>
                <w:lang w:eastAsia="ar-SA"/>
              </w:rPr>
              <w:t>institutions were represented at the meeting:</w:t>
            </w:r>
            <w:r w:rsidR="00EC736B">
              <w:rPr>
                <w:rFonts w:eastAsia="Times New Roman"/>
                <w:lang w:eastAsia="ar-SA"/>
              </w:rPr>
              <w:t xml:space="preserve"> </w:t>
            </w:r>
            <w:r w:rsidR="00A750B1" w:rsidRPr="00A750B1">
              <w:rPr>
                <w:rFonts w:eastAsia="Times New Roman"/>
                <w:lang w:eastAsia="ar-SA"/>
              </w:rPr>
              <w:t>Ministry of the Interior</w:t>
            </w:r>
            <w:r w:rsidR="00A750B1">
              <w:rPr>
                <w:rFonts w:eastAsia="Times New Roman"/>
                <w:lang w:eastAsia="ar-SA"/>
              </w:rPr>
              <w:t xml:space="preserve">, </w:t>
            </w:r>
            <w:r w:rsidR="00A750B1" w:rsidRPr="00A750B1">
              <w:rPr>
                <w:rFonts w:eastAsia="Times New Roman"/>
                <w:lang w:eastAsia="ar-SA"/>
              </w:rPr>
              <w:t>Tourist Organization of Cetinje</w:t>
            </w:r>
            <w:r w:rsidR="00A750B1">
              <w:rPr>
                <w:rFonts w:eastAsia="Times New Roman"/>
                <w:lang w:eastAsia="ar-SA"/>
              </w:rPr>
              <w:t xml:space="preserve">, </w:t>
            </w:r>
            <w:r w:rsidR="00A750B1" w:rsidRPr="00A750B1">
              <w:rPr>
                <w:rFonts w:eastAsia="Times New Roman"/>
                <w:lang w:eastAsia="ar-SA"/>
              </w:rPr>
              <w:t>Union of Free Trade Unions of Montenegro</w:t>
            </w:r>
            <w:r w:rsidR="00A750B1">
              <w:rPr>
                <w:rFonts w:eastAsia="Times New Roman"/>
                <w:lang w:eastAsia="ar-SA"/>
              </w:rPr>
              <w:t xml:space="preserve">, </w:t>
            </w:r>
            <w:r w:rsidR="00A750B1" w:rsidRPr="00A750B1">
              <w:rPr>
                <w:rFonts w:eastAsia="Times New Roman"/>
                <w:lang w:eastAsia="ar-SA"/>
              </w:rPr>
              <w:t>” Mediteran”  University</w:t>
            </w:r>
            <w:r w:rsidR="00A750B1">
              <w:rPr>
                <w:rFonts w:eastAsia="Times New Roman"/>
                <w:lang w:eastAsia="ar-SA"/>
              </w:rPr>
              <w:t xml:space="preserve">, </w:t>
            </w:r>
            <w:r w:rsidR="00A750B1" w:rsidRPr="00A750B1">
              <w:rPr>
                <w:rFonts w:eastAsia="Times New Roman"/>
                <w:lang w:eastAsia="ar-SA"/>
              </w:rPr>
              <w:t>Ministry of Sustainable Development and Tourism</w:t>
            </w:r>
            <w:r w:rsidR="00A750B1">
              <w:rPr>
                <w:rFonts w:eastAsia="Times New Roman"/>
                <w:lang w:eastAsia="ar-SA"/>
              </w:rPr>
              <w:t xml:space="preserve">, </w:t>
            </w:r>
            <w:r w:rsidR="00A750B1" w:rsidRPr="00A750B1">
              <w:rPr>
                <w:rFonts w:eastAsia="Times New Roman"/>
                <w:lang w:eastAsia="ar-SA"/>
              </w:rPr>
              <w:t>Ministry of Finance</w:t>
            </w:r>
            <w:r w:rsidR="00A750B1">
              <w:rPr>
                <w:rFonts w:eastAsia="Times New Roman"/>
                <w:lang w:eastAsia="ar-SA"/>
              </w:rPr>
              <w:t xml:space="preserve">, </w:t>
            </w:r>
            <w:r w:rsidR="00A750B1" w:rsidRPr="00A750B1">
              <w:rPr>
                <w:rFonts w:eastAsia="Times New Roman"/>
                <w:lang w:eastAsia="ar-SA"/>
              </w:rPr>
              <w:t>NGO Green Home</w:t>
            </w:r>
            <w:r w:rsidR="00A750B1">
              <w:rPr>
                <w:rFonts w:eastAsia="Times New Roman"/>
                <w:lang w:eastAsia="ar-SA"/>
              </w:rPr>
              <w:t xml:space="preserve">, </w:t>
            </w:r>
            <w:r w:rsidR="00A750B1" w:rsidRPr="00A750B1">
              <w:rPr>
                <w:rFonts w:eastAsia="Times New Roman"/>
                <w:lang w:eastAsia="ar-SA"/>
              </w:rPr>
              <w:t>Agency for Environmental Protection</w:t>
            </w:r>
            <w:r w:rsidR="00A750B1">
              <w:rPr>
                <w:rFonts w:eastAsia="Times New Roman"/>
                <w:lang w:eastAsia="ar-SA"/>
              </w:rPr>
              <w:t xml:space="preserve">, </w:t>
            </w:r>
            <w:r w:rsidR="00A750B1" w:rsidRPr="00A750B1">
              <w:rPr>
                <w:rFonts w:eastAsia="Times New Roman"/>
                <w:lang w:eastAsia="ar-SA"/>
              </w:rPr>
              <w:t>Capital City of Podgorica</w:t>
            </w:r>
            <w:r w:rsidR="00A750B1">
              <w:rPr>
                <w:rFonts w:eastAsia="Times New Roman"/>
                <w:lang w:eastAsia="ar-SA"/>
              </w:rPr>
              <w:t xml:space="preserve">, </w:t>
            </w:r>
            <w:r w:rsidR="00A750B1" w:rsidRPr="00A750B1">
              <w:rPr>
                <w:rFonts w:eastAsia="Times New Roman"/>
                <w:lang w:eastAsia="ar-SA"/>
              </w:rPr>
              <w:t>Port Authority</w:t>
            </w:r>
            <w:r w:rsidR="00A750B1">
              <w:rPr>
                <w:rFonts w:eastAsia="Times New Roman"/>
                <w:lang w:eastAsia="ar-SA"/>
              </w:rPr>
              <w:t xml:space="preserve">, </w:t>
            </w:r>
            <w:r w:rsidR="00A750B1" w:rsidRPr="00A750B1">
              <w:rPr>
                <w:rFonts w:eastAsia="Times New Roman"/>
                <w:lang w:eastAsia="ar-SA"/>
              </w:rPr>
              <w:t>Tourist Organization of Podgorica</w:t>
            </w:r>
            <w:r w:rsidR="00A750B1">
              <w:rPr>
                <w:rFonts w:eastAsia="Times New Roman"/>
                <w:lang w:eastAsia="ar-SA"/>
              </w:rPr>
              <w:t xml:space="preserve">, </w:t>
            </w:r>
            <w:r w:rsidR="00A750B1" w:rsidRPr="00A750B1">
              <w:rPr>
                <w:rFonts w:eastAsia="Times New Roman"/>
                <w:lang w:eastAsia="ar-SA"/>
              </w:rPr>
              <w:t>Expeditio – Center  for Sustainable Development- Kotor</w:t>
            </w:r>
            <w:r w:rsidR="00A750B1">
              <w:rPr>
                <w:rFonts w:eastAsia="Times New Roman"/>
                <w:lang w:eastAsia="ar-SA"/>
              </w:rPr>
              <w:t xml:space="preserve">, </w:t>
            </w:r>
            <w:r w:rsidR="00A750B1" w:rsidRPr="00A750B1">
              <w:rPr>
                <w:rFonts w:eastAsia="Times New Roman"/>
                <w:lang w:eastAsia="ar-SA"/>
              </w:rPr>
              <w:t>Tourist Organization of Tivat</w:t>
            </w:r>
            <w:r w:rsidR="00A750B1">
              <w:rPr>
                <w:rFonts w:eastAsia="Times New Roman"/>
                <w:lang w:eastAsia="ar-SA"/>
              </w:rPr>
              <w:t xml:space="preserve">, </w:t>
            </w:r>
            <w:r w:rsidR="00A750B1" w:rsidRPr="00A750B1">
              <w:rPr>
                <w:rFonts w:eastAsia="Times New Roman"/>
                <w:lang w:eastAsia="ar-SA"/>
              </w:rPr>
              <w:t>Hydrometeorological   and Seismological Service of Montenegro</w:t>
            </w:r>
            <w:r w:rsidR="00A750B1">
              <w:rPr>
                <w:rFonts w:eastAsia="Times New Roman"/>
                <w:lang w:eastAsia="ar-SA"/>
              </w:rPr>
              <w:t xml:space="preserve">, </w:t>
            </w:r>
            <w:r w:rsidR="00A750B1" w:rsidRPr="00A750B1">
              <w:rPr>
                <w:rFonts w:eastAsia="Times New Roman"/>
                <w:lang w:eastAsia="ar-SA"/>
              </w:rPr>
              <w:t>Faculty of Civil Engineeri</w:t>
            </w:r>
            <w:r w:rsidR="00A750B1">
              <w:rPr>
                <w:rFonts w:eastAsia="Times New Roman"/>
                <w:lang w:eastAsia="ar-SA"/>
              </w:rPr>
              <w:t xml:space="preserve">ng, </w:t>
            </w:r>
            <w:r w:rsidR="00A750B1" w:rsidRPr="00A750B1">
              <w:rPr>
                <w:rFonts w:eastAsia="Times New Roman"/>
                <w:lang w:eastAsia="ar-SA"/>
              </w:rPr>
              <w:t>Municipality of Kotor</w:t>
            </w:r>
            <w:r w:rsidR="00A750B1">
              <w:rPr>
                <w:rFonts w:eastAsia="Times New Roman"/>
                <w:lang w:eastAsia="ar-SA"/>
              </w:rPr>
              <w:t>, Water Supply and Sewerage of</w:t>
            </w:r>
            <w:r w:rsidR="00A750B1" w:rsidRPr="00A750B1">
              <w:rPr>
                <w:rFonts w:eastAsia="Times New Roman"/>
                <w:lang w:eastAsia="ar-SA"/>
              </w:rPr>
              <w:t xml:space="preserve"> Cetinje</w:t>
            </w:r>
            <w:r w:rsidR="00A750B1">
              <w:rPr>
                <w:rFonts w:eastAsia="Times New Roman"/>
                <w:lang w:eastAsia="ar-SA"/>
              </w:rPr>
              <w:t xml:space="preserve">, </w:t>
            </w:r>
            <w:r w:rsidR="00A750B1" w:rsidRPr="00A750B1">
              <w:rPr>
                <w:rFonts w:eastAsia="Times New Roman"/>
                <w:lang w:eastAsia="ar-SA"/>
              </w:rPr>
              <w:t>Chamber of Commerce of Montenegro</w:t>
            </w:r>
            <w:r w:rsidR="00A750B1">
              <w:rPr>
                <w:rFonts w:eastAsia="Times New Roman"/>
                <w:lang w:eastAsia="ar-SA"/>
              </w:rPr>
              <w:t xml:space="preserve">, </w:t>
            </w:r>
            <w:r w:rsidR="00A750B1" w:rsidRPr="00A750B1">
              <w:rPr>
                <w:rFonts w:eastAsia="Times New Roman"/>
                <w:lang w:eastAsia="ar-SA"/>
              </w:rPr>
              <w:t>Coast Regional Water Supply</w:t>
            </w:r>
            <w:r w:rsidR="00A750B1">
              <w:rPr>
                <w:rFonts w:eastAsia="Times New Roman"/>
                <w:lang w:eastAsia="ar-SA"/>
              </w:rPr>
              <w:t xml:space="preserve">, </w:t>
            </w:r>
            <w:r w:rsidR="00A750B1" w:rsidRPr="00A750B1">
              <w:rPr>
                <w:rFonts w:eastAsia="Times New Roman"/>
                <w:lang w:eastAsia="ar-SA"/>
              </w:rPr>
              <w:t>The Royal Theatre “Zetski dom”</w:t>
            </w:r>
            <w:r w:rsidR="00A750B1">
              <w:rPr>
                <w:rFonts w:eastAsia="Times New Roman"/>
                <w:lang w:eastAsia="ar-SA"/>
              </w:rPr>
              <w:t xml:space="preserve">, </w:t>
            </w:r>
            <w:r w:rsidR="00A750B1" w:rsidRPr="00A750B1">
              <w:rPr>
                <w:rFonts w:eastAsia="Times New Roman"/>
                <w:lang w:eastAsia="ar-SA"/>
              </w:rPr>
              <w:t>Employment Service</w:t>
            </w:r>
            <w:r w:rsidR="00A750B1">
              <w:rPr>
                <w:rFonts w:eastAsia="Times New Roman"/>
                <w:lang w:eastAsia="ar-SA"/>
              </w:rPr>
              <w:t xml:space="preserve">, </w:t>
            </w:r>
            <w:r w:rsidR="00A750B1" w:rsidRPr="00A750B1">
              <w:rPr>
                <w:rFonts w:eastAsia="Times New Roman"/>
                <w:lang w:eastAsia="ar-SA"/>
              </w:rPr>
              <w:t>Ministry of Agriculture and Rural Development</w:t>
            </w:r>
            <w:r w:rsidR="00A750B1">
              <w:rPr>
                <w:rFonts w:eastAsia="Times New Roman"/>
                <w:lang w:eastAsia="ar-SA"/>
              </w:rPr>
              <w:t xml:space="preserve">, </w:t>
            </w:r>
            <w:r w:rsidR="00A750B1" w:rsidRPr="00A750B1">
              <w:rPr>
                <w:rFonts w:eastAsia="Times New Roman"/>
                <w:lang w:eastAsia="ar-SA"/>
              </w:rPr>
              <w:t>Institute for Entrepreneurship and Economic Development</w:t>
            </w:r>
            <w:r w:rsidR="00A750B1">
              <w:rPr>
                <w:rFonts w:eastAsia="Times New Roman"/>
                <w:lang w:eastAsia="ar-SA"/>
              </w:rPr>
              <w:t xml:space="preserve">, </w:t>
            </w:r>
            <w:r w:rsidR="00A750B1" w:rsidRPr="00A750B1">
              <w:rPr>
                <w:rFonts w:eastAsia="Times New Roman"/>
                <w:lang w:eastAsia="ar-SA"/>
              </w:rPr>
              <w:t>National Library of Montenegro “Đurđe Crnojević“,  Cetinje</w:t>
            </w:r>
            <w:r w:rsidR="00A750B1">
              <w:rPr>
                <w:rFonts w:eastAsia="Times New Roman"/>
                <w:lang w:eastAsia="ar-SA"/>
              </w:rPr>
              <w:t xml:space="preserve">, </w:t>
            </w:r>
            <w:r w:rsidR="00A750B1" w:rsidRPr="00A750B1">
              <w:rPr>
                <w:rFonts w:eastAsia="Times New Roman"/>
                <w:lang w:eastAsia="ar-SA"/>
              </w:rPr>
              <w:t>NGO European Movement</w:t>
            </w:r>
            <w:r w:rsidR="00A750B1">
              <w:rPr>
                <w:rFonts w:eastAsia="Times New Roman"/>
                <w:lang w:eastAsia="ar-SA"/>
              </w:rPr>
              <w:t xml:space="preserve">, </w:t>
            </w:r>
            <w:r w:rsidR="00A750B1" w:rsidRPr="00A750B1">
              <w:rPr>
                <w:rFonts w:eastAsia="Times New Roman"/>
                <w:lang w:eastAsia="ar-SA"/>
              </w:rPr>
              <w:t>Water Supply and Sewerage, Kotor</w:t>
            </w:r>
            <w:r w:rsidR="00A750B1">
              <w:rPr>
                <w:rFonts w:eastAsia="Times New Roman"/>
                <w:lang w:eastAsia="ar-SA"/>
              </w:rPr>
              <w:t xml:space="preserve">, </w:t>
            </w:r>
            <w:r w:rsidR="00A750B1" w:rsidRPr="00A750B1">
              <w:rPr>
                <w:rFonts w:eastAsia="Times New Roman"/>
                <w:lang w:eastAsia="ar-SA"/>
              </w:rPr>
              <w:t>Montenegro Chamber of Skilled Crafts and Entrepreneurship</w:t>
            </w:r>
            <w:r w:rsidR="00A750B1">
              <w:rPr>
                <w:rFonts w:eastAsia="Times New Roman"/>
                <w:lang w:eastAsia="ar-SA"/>
              </w:rPr>
              <w:t xml:space="preserve">, </w:t>
            </w:r>
            <w:r w:rsidR="00A750B1" w:rsidRPr="00A750B1">
              <w:rPr>
                <w:rFonts w:eastAsia="Times New Roman"/>
                <w:lang w:eastAsia="ar-SA"/>
              </w:rPr>
              <w:t>Municipality of Nikšić</w:t>
            </w:r>
            <w:r w:rsidR="00A750B1">
              <w:rPr>
                <w:rFonts w:eastAsia="Times New Roman"/>
                <w:lang w:eastAsia="ar-SA"/>
              </w:rPr>
              <w:t xml:space="preserve"> and </w:t>
            </w:r>
            <w:r w:rsidR="00A750B1" w:rsidRPr="00A750B1">
              <w:rPr>
                <w:rFonts w:eastAsia="Times New Roman"/>
                <w:lang w:eastAsia="ar-SA"/>
              </w:rPr>
              <w:t>Montenegro Bussines Alliance</w:t>
            </w:r>
            <w:r w:rsidR="00A750B1">
              <w:rPr>
                <w:rFonts w:eastAsia="Times New Roman"/>
                <w:lang w:eastAsia="ar-SA"/>
              </w:rPr>
              <w:t>.</w:t>
            </w:r>
          </w:p>
          <w:p w:rsidR="00CB1819" w:rsidRDefault="00CB1819" w:rsidP="00B73805">
            <w:pPr>
              <w:spacing w:after="240"/>
              <w:rPr>
                <w:rFonts w:eastAsia="Times New Roman"/>
                <w:lang w:eastAsia="ar-SA"/>
              </w:rPr>
            </w:pPr>
            <w:r w:rsidRPr="00CB1819">
              <w:rPr>
                <w:rFonts w:eastAsia="Times New Roman"/>
                <w:lang w:eastAsia="ar-SA"/>
              </w:rPr>
              <w:t>As regards to the involvement of partners during the implementation of the Programme, specific attention will be paid to the following actions:</w:t>
            </w:r>
          </w:p>
          <w:p w:rsidR="00B73805" w:rsidRPr="00675C6C" w:rsidRDefault="00B73805" w:rsidP="00B73805">
            <w:pPr>
              <w:spacing w:after="240"/>
              <w:rPr>
                <w:rFonts w:eastAsia="Times New Roman"/>
                <w:lang w:eastAsia="ar-SA"/>
              </w:rPr>
            </w:pPr>
            <w:r w:rsidRPr="00675C6C">
              <w:rPr>
                <w:rFonts w:eastAsia="Times New Roman"/>
                <w:lang w:eastAsia="ar-SA"/>
              </w:rPr>
              <w:t xml:space="preserve">1. The </w:t>
            </w:r>
            <w:r>
              <w:rPr>
                <w:rFonts w:eastAsia="Times New Roman"/>
                <w:lang w:eastAsia="ar-SA"/>
              </w:rPr>
              <w:t>national/</w:t>
            </w:r>
            <w:r w:rsidRPr="00675C6C">
              <w:rPr>
                <w:rFonts w:eastAsia="Times New Roman"/>
                <w:lang w:eastAsia="ar-SA"/>
              </w:rPr>
              <w:t>regional</w:t>
            </w:r>
            <w:r>
              <w:rPr>
                <w:rFonts w:eastAsia="Times New Roman"/>
                <w:lang w:eastAsia="ar-SA"/>
              </w:rPr>
              <w:t>/local and other relevant stakeholders to</w:t>
            </w:r>
            <w:r w:rsidRPr="00675C6C">
              <w:rPr>
                <w:rFonts w:eastAsia="Times New Roman"/>
                <w:lang w:eastAsia="ar-SA"/>
              </w:rPr>
              <w:t xml:space="preserve"> be involved in the </w:t>
            </w:r>
            <w:r>
              <w:rPr>
                <w:rFonts w:eastAsia="Times New Roman"/>
                <w:lang w:eastAsia="ar-SA"/>
              </w:rPr>
              <w:t xml:space="preserve">Joint </w:t>
            </w:r>
            <w:r w:rsidRPr="00675C6C">
              <w:rPr>
                <w:rFonts w:eastAsia="Times New Roman"/>
                <w:lang w:eastAsia="ar-SA"/>
              </w:rPr>
              <w:t>Monitoring Committee</w:t>
            </w:r>
            <w:r>
              <w:rPr>
                <w:rFonts w:eastAsia="Times New Roman"/>
                <w:lang w:eastAsia="ar-SA"/>
              </w:rPr>
              <w:t>.</w:t>
            </w:r>
          </w:p>
          <w:p w:rsidR="00B73805" w:rsidRPr="00675C6C" w:rsidRDefault="00B73805" w:rsidP="00B73805">
            <w:pPr>
              <w:spacing w:after="240"/>
              <w:rPr>
                <w:rFonts w:eastAsia="Times New Roman"/>
                <w:lang w:eastAsia="ar-SA"/>
              </w:rPr>
            </w:pPr>
            <w:r w:rsidRPr="00675C6C">
              <w:rPr>
                <w:rFonts w:eastAsia="Times New Roman"/>
                <w:lang w:eastAsia="ar-SA"/>
              </w:rPr>
              <w:t xml:space="preserve">2. The </w:t>
            </w:r>
            <w:r>
              <w:rPr>
                <w:rFonts w:eastAsia="Times New Roman"/>
                <w:lang w:eastAsia="ar-SA"/>
              </w:rPr>
              <w:t xml:space="preserve">involvement of potential beneficiaries and </w:t>
            </w:r>
            <w:r w:rsidRPr="00675C6C">
              <w:rPr>
                <w:rFonts w:eastAsia="Times New Roman"/>
                <w:lang w:eastAsia="ar-SA"/>
              </w:rPr>
              <w:t xml:space="preserve">target groups </w:t>
            </w:r>
            <w:r>
              <w:rPr>
                <w:rFonts w:eastAsia="Times New Roman"/>
                <w:lang w:eastAsia="ar-SA"/>
              </w:rPr>
              <w:t xml:space="preserve">as </w:t>
            </w:r>
            <w:r w:rsidRPr="00675C6C">
              <w:rPr>
                <w:rFonts w:eastAsia="Times New Roman"/>
                <w:lang w:eastAsia="ar-SA"/>
              </w:rPr>
              <w:t>specified in detail</w:t>
            </w:r>
            <w:r>
              <w:rPr>
                <w:rFonts w:eastAsia="Times New Roman"/>
                <w:lang w:eastAsia="ar-SA"/>
              </w:rPr>
              <w:t>s under respective Priority Axes</w:t>
            </w:r>
            <w:r w:rsidRPr="00675C6C">
              <w:rPr>
                <w:rFonts w:eastAsia="Times New Roman"/>
                <w:lang w:eastAsia="ar-SA"/>
              </w:rPr>
              <w:t>.</w:t>
            </w:r>
          </w:p>
          <w:p w:rsidR="00055394" w:rsidRPr="00B73805" w:rsidRDefault="00B73805" w:rsidP="00B73805">
            <w:pPr>
              <w:spacing w:after="240"/>
              <w:rPr>
                <w:rFonts w:eastAsia="Times New Roman"/>
                <w:szCs w:val="24"/>
                <w:lang w:eastAsia="ar-SA"/>
              </w:rPr>
            </w:pPr>
            <w:r w:rsidRPr="00675C6C">
              <w:rPr>
                <w:rFonts w:eastAsia="Times New Roman"/>
                <w:lang w:eastAsia="ar-SA"/>
              </w:rPr>
              <w:t xml:space="preserve">3. Workshops and trainings will be provided on the implementation of the programme </w:t>
            </w:r>
            <w:r>
              <w:rPr>
                <w:rFonts w:eastAsia="Times New Roman"/>
                <w:lang w:eastAsia="ar-SA"/>
              </w:rPr>
              <w:t>to</w:t>
            </w:r>
            <w:r w:rsidRPr="00675C6C">
              <w:rPr>
                <w:rFonts w:eastAsia="Times New Roman"/>
                <w:lang w:eastAsia="ar-SA"/>
              </w:rPr>
              <w:t xml:space="preserve"> which the </w:t>
            </w:r>
            <w:r>
              <w:rPr>
                <w:rFonts w:eastAsia="Times New Roman"/>
                <w:lang w:eastAsia="ar-SA"/>
              </w:rPr>
              <w:t xml:space="preserve">partners </w:t>
            </w:r>
            <w:r w:rsidRPr="00675C6C">
              <w:rPr>
                <w:rFonts w:eastAsia="Times New Roman"/>
                <w:lang w:eastAsia="ar-SA"/>
              </w:rPr>
              <w:t>will be actively invited.</w:t>
            </w:r>
          </w:p>
        </w:tc>
      </w:tr>
    </w:tbl>
    <w:p w:rsidR="00055394" w:rsidRPr="003A787C" w:rsidRDefault="00055394" w:rsidP="00055394">
      <w:pPr>
        <w:rPr>
          <w:szCs w:val="24"/>
        </w:rPr>
      </w:pPr>
    </w:p>
    <w:p w:rsidR="00FB701A" w:rsidRPr="00B76110" w:rsidRDefault="00FB701A" w:rsidP="00055394">
      <w:pPr>
        <w:keepNext/>
        <w:spacing w:before="360" w:after="240"/>
        <w:outlineLvl w:val="0"/>
        <w:rPr>
          <w:rFonts w:eastAsia="Times New Roman"/>
        </w:rPr>
        <w:sectPr w:rsidR="00FB701A" w:rsidRPr="00B76110" w:rsidSect="006A4BDD">
          <w:pgSz w:w="11906" w:h="16838"/>
          <w:pgMar w:top="1020" w:right="1701" w:bottom="1020" w:left="1587" w:header="601" w:footer="1077" w:gutter="0"/>
          <w:cols w:space="720"/>
          <w:docGrid w:linePitch="326"/>
        </w:sectPr>
      </w:pPr>
    </w:p>
    <w:p w:rsidR="009E646A" w:rsidRPr="00042E79" w:rsidRDefault="00FB701A" w:rsidP="007966EA">
      <w:pPr>
        <w:keepNext/>
        <w:spacing w:before="360" w:after="240"/>
        <w:outlineLvl w:val="0"/>
        <w:rPr>
          <w:rFonts w:eastAsia="Times New Roman"/>
          <w:b/>
          <w:bCs/>
          <w:smallCaps/>
          <w:szCs w:val="24"/>
        </w:rPr>
      </w:pPr>
      <w:r w:rsidRPr="00042E79">
        <w:rPr>
          <w:rFonts w:eastAsia="Times New Roman"/>
          <w:b/>
          <w:bCs/>
          <w:smallCaps/>
          <w:szCs w:val="24"/>
        </w:rPr>
        <w:lastRenderedPageBreak/>
        <w:t xml:space="preserve">SECTION </w:t>
      </w:r>
      <w:r w:rsidR="001E581E">
        <w:rPr>
          <w:rFonts w:eastAsia="Times New Roman"/>
          <w:b/>
          <w:bCs/>
          <w:smallCaps/>
          <w:szCs w:val="24"/>
        </w:rPr>
        <w:t>6</w:t>
      </w:r>
      <w:r w:rsidRPr="00042E79">
        <w:rPr>
          <w:rFonts w:eastAsia="Times New Roman"/>
          <w:b/>
          <w:bCs/>
          <w:smallCaps/>
          <w:szCs w:val="24"/>
        </w:rPr>
        <w:tab/>
        <w:t xml:space="preserve">Horizontal Principles </w:t>
      </w:r>
    </w:p>
    <w:p w:rsidR="00FB701A" w:rsidRDefault="00FB701A" w:rsidP="00567F19">
      <w:r w:rsidRPr="00567F19">
        <w:t>(</w:t>
      </w:r>
      <w:r w:rsidR="009E646A" w:rsidRPr="00567F19">
        <w:t xml:space="preserve">Reference : </w:t>
      </w:r>
      <w:r w:rsidRPr="00567F19">
        <w:t xml:space="preserve">Article </w:t>
      </w:r>
      <w:r w:rsidR="00906380" w:rsidRPr="00567F19">
        <w:t>8</w:t>
      </w:r>
      <w:r w:rsidRPr="00567F19">
        <w:t>(</w:t>
      </w:r>
      <w:r w:rsidR="00906380" w:rsidRPr="00567F19">
        <w:t>7</w:t>
      </w:r>
      <w:r w:rsidRPr="00567F19">
        <w:t xml:space="preserve">) </w:t>
      </w:r>
      <w:r w:rsidR="00AC487B">
        <w:t>of Regulation (EU) No 1299/2013</w:t>
      </w:r>
      <w:r w:rsidRPr="00567F19">
        <w:t>)</w:t>
      </w:r>
    </w:p>
    <w:p w:rsidR="006A7AA9" w:rsidRPr="00567F19" w:rsidRDefault="006A7AA9" w:rsidP="00567F19"/>
    <w:p w:rsidR="00FB701A" w:rsidRPr="00B76110" w:rsidRDefault="002E0699" w:rsidP="00D17A3D">
      <w:pPr>
        <w:spacing w:after="240"/>
        <w:rPr>
          <w:rFonts w:eastAsia="Times New Roman"/>
          <w:b/>
        </w:rPr>
      </w:pPr>
      <w:r>
        <w:rPr>
          <w:rFonts w:eastAsia="Times New Roman"/>
          <w:b/>
        </w:rPr>
        <w:t>6</w:t>
      </w:r>
      <w:r w:rsidR="00FB701A" w:rsidRPr="00B76110">
        <w:rPr>
          <w:rFonts w:eastAsia="Times New Roman"/>
          <w:b/>
        </w:rPr>
        <w:t>.1 Sustainable development</w:t>
      </w:r>
    </w:p>
    <w:p w:rsidR="00FB701A" w:rsidRPr="00B76110" w:rsidRDefault="009E646A" w:rsidP="00D17A3D">
      <w:pPr>
        <w:spacing w:after="240"/>
        <w:rPr>
          <w:rFonts w:eastAsia="Times New Roman"/>
        </w:rPr>
      </w:pPr>
      <w:r>
        <w:rPr>
          <w:rFonts w:eastAsia="Times New Roman"/>
        </w:rPr>
        <w:t>D</w:t>
      </w:r>
      <w:r w:rsidR="00FB701A" w:rsidRPr="00B76110">
        <w:rPr>
          <w:rFonts w:eastAsia="Times New Roman"/>
        </w:rPr>
        <w:t>escription of specific actions to take into account environmental protection requirements, resource efficiency, climate change mitigation and adaptation, disaster resilience and risk prevention and management, in the selection of operations.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87481" w:rsidRPr="00B76110" w:rsidTr="006248F5">
        <w:trPr>
          <w:trHeight w:val="610"/>
        </w:trPr>
        <w:tc>
          <w:tcPr>
            <w:tcW w:w="8789" w:type="dxa"/>
            <w:shd w:val="clear" w:color="auto" w:fill="auto"/>
          </w:tcPr>
          <w:p w:rsidR="00187481" w:rsidRPr="005542D6" w:rsidRDefault="00187481" w:rsidP="00420C70">
            <w:pPr>
              <w:widowControl w:val="0"/>
              <w:autoSpaceDE w:val="0"/>
              <w:autoSpaceDN w:val="0"/>
              <w:adjustRightInd w:val="0"/>
              <w:spacing w:before="0"/>
              <w:rPr>
                <w:szCs w:val="24"/>
                <w:lang w:val="en-US"/>
              </w:rPr>
            </w:pPr>
            <w:r w:rsidRPr="005542D6">
              <w:rPr>
                <w:szCs w:val="24"/>
                <w:lang w:eastAsia="fr-BE"/>
              </w:rPr>
              <w:t>S</w:t>
            </w:r>
            <w:r w:rsidR="00C268AA" w:rsidRPr="005542D6">
              <w:rPr>
                <w:szCs w:val="24"/>
                <w:lang w:val="en-US"/>
              </w:rPr>
              <w:t>ustainable</w:t>
            </w:r>
            <w:r w:rsidRPr="005542D6">
              <w:rPr>
                <w:szCs w:val="24"/>
                <w:lang w:val="en-US"/>
              </w:rPr>
              <w:t xml:space="preserve"> development is one of the key issues for the </w:t>
            </w:r>
            <w:r>
              <w:rPr>
                <w:szCs w:val="24"/>
                <w:lang w:val="en-US"/>
              </w:rPr>
              <w:t>programme</w:t>
            </w:r>
            <w:r w:rsidRPr="005542D6">
              <w:rPr>
                <w:szCs w:val="24"/>
                <w:lang w:val="en-US"/>
              </w:rPr>
              <w:t xml:space="preserve"> area as </w:t>
            </w:r>
            <w:r w:rsidR="0082412C">
              <w:rPr>
                <w:szCs w:val="24"/>
                <w:lang w:val="en-US"/>
              </w:rPr>
              <w:t xml:space="preserve">it </w:t>
            </w:r>
            <w:r w:rsidRPr="005542D6">
              <w:rPr>
                <w:szCs w:val="24"/>
                <w:lang w:val="en-US"/>
              </w:rPr>
              <w:t>is described in</w:t>
            </w:r>
            <w:r w:rsidRPr="005542D6">
              <w:rPr>
                <w:szCs w:val="24"/>
                <w:lang w:eastAsia="fr-BE"/>
              </w:rPr>
              <w:t xml:space="preserve"> the cooperation programme’s strategy</w:t>
            </w:r>
            <w:r w:rsidRPr="005542D6">
              <w:rPr>
                <w:szCs w:val="24"/>
                <w:lang w:val="en-US"/>
              </w:rPr>
              <w:t>. This trilateral program</w:t>
            </w:r>
            <w:r w:rsidR="0082412C">
              <w:rPr>
                <w:szCs w:val="24"/>
                <w:lang w:val="en-US"/>
              </w:rPr>
              <w:t>me</w:t>
            </w:r>
            <w:r w:rsidRPr="005542D6">
              <w:rPr>
                <w:szCs w:val="24"/>
                <w:lang w:val="en-US"/>
              </w:rPr>
              <w:t xml:space="preserve"> with its territory rich in natural and cultural resources has a vast potential to improve the cross-border environmental </w:t>
            </w:r>
            <w:r w:rsidR="00C129A2">
              <w:rPr>
                <w:szCs w:val="24"/>
                <w:lang w:val="en-US"/>
              </w:rPr>
              <w:t xml:space="preserve">and nature </w:t>
            </w:r>
            <w:r w:rsidRPr="005542D6">
              <w:rPr>
                <w:szCs w:val="24"/>
                <w:lang w:val="en-US"/>
              </w:rPr>
              <w:t>protection, resource efficiency, climate change mitigation and adaptation, disaster resilience and risk prevention and management</w:t>
            </w:r>
            <w:r w:rsidR="0082412C">
              <w:rPr>
                <w:szCs w:val="24"/>
                <w:lang w:val="en-US"/>
              </w:rPr>
              <w:t xml:space="preserve"> amd sustainable energy and energy efficiency</w:t>
            </w:r>
            <w:r w:rsidRPr="005542D6">
              <w:rPr>
                <w:szCs w:val="24"/>
                <w:lang w:val="en-US"/>
              </w:rPr>
              <w:t>. And there is also a strong need for this improvement as has been identified in the situation and SWOT</w:t>
            </w:r>
            <w:r w:rsidR="00C129A2">
              <w:t xml:space="preserve"> </w:t>
            </w:r>
            <w:r w:rsidR="00C129A2" w:rsidRPr="00C129A2">
              <w:rPr>
                <w:szCs w:val="24"/>
                <w:lang w:val="en-US"/>
              </w:rPr>
              <w:t>analys</w:t>
            </w:r>
            <w:r w:rsidR="0082412C">
              <w:rPr>
                <w:szCs w:val="24"/>
                <w:lang w:val="en-US"/>
              </w:rPr>
              <w:t>e</w:t>
            </w:r>
            <w:r w:rsidR="00C129A2" w:rsidRPr="00C129A2">
              <w:rPr>
                <w:szCs w:val="24"/>
                <w:lang w:val="en-US"/>
              </w:rPr>
              <w:t>s</w:t>
            </w:r>
            <w:r w:rsidRPr="005542D6">
              <w:rPr>
                <w:szCs w:val="24"/>
                <w:lang w:val="en-US"/>
              </w:rPr>
              <w:t xml:space="preserve">. </w:t>
            </w:r>
          </w:p>
          <w:p w:rsidR="00187481" w:rsidRPr="005542D6" w:rsidRDefault="00187481" w:rsidP="00420C70">
            <w:pPr>
              <w:widowControl w:val="0"/>
              <w:autoSpaceDE w:val="0"/>
              <w:autoSpaceDN w:val="0"/>
              <w:adjustRightInd w:val="0"/>
              <w:spacing w:before="0"/>
              <w:rPr>
                <w:szCs w:val="24"/>
                <w:lang w:val="en-US"/>
              </w:rPr>
            </w:pPr>
            <w:r w:rsidRPr="005542D6">
              <w:rPr>
                <w:szCs w:val="24"/>
                <w:lang w:val="en-US"/>
              </w:rPr>
              <w:t>Therefore</w:t>
            </w:r>
            <w:r w:rsidR="0082412C">
              <w:rPr>
                <w:szCs w:val="24"/>
                <w:lang w:val="en-US"/>
              </w:rPr>
              <w:t>,</w:t>
            </w:r>
            <w:r w:rsidRPr="005542D6">
              <w:rPr>
                <w:szCs w:val="24"/>
                <w:lang w:val="en-US"/>
              </w:rPr>
              <w:t xml:space="preserve"> the largest </w:t>
            </w:r>
            <w:r w:rsidR="0082412C">
              <w:rPr>
                <w:szCs w:val="24"/>
                <w:lang w:val="en-US"/>
              </w:rPr>
              <w:t xml:space="preserve">share of the </w:t>
            </w:r>
            <w:r w:rsidRPr="005542D6">
              <w:rPr>
                <w:szCs w:val="24"/>
                <w:lang w:val="en-US"/>
              </w:rPr>
              <w:t xml:space="preserve">budget is reserved for Priority Axis 2, which is completely focused on sustainable development. Priority 2 is not only focusing on environmental </w:t>
            </w:r>
            <w:r w:rsidR="00C129A2">
              <w:rPr>
                <w:szCs w:val="24"/>
                <w:lang w:val="en-US"/>
              </w:rPr>
              <w:t xml:space="preserve">and nature </w:t>
            </w:r>
            <w:r w:rsidRPr="005542D6">
              <w:rPr>
                <w:szCs w:val="24"/>
                <w:lang w:val="en-US"/>
              </w:rPr>
              <w:t>protection, risk prevention and risk management but also on energy efficiency and renewable energy</w:t>
            </w:r>
            <w:r w:rsidR="00C129A2">
              <w:rPr>
                <w:szCs w:val="24"/>
                <w:lang w:val="en-US"/>
              </w:rPr>
              <w:t xml:space="preserve"> resources</w:t>
            </w:r>
            <w:r w:rsidRPr="005542D6">
              <w:rPr>
                <w:szCs w:val="24"/>
                <w:lang w:val="en-US"/>
              </w:rPr>
              <w:t>. Operations will have to show clearly how they contribute to the results indicators of Priority Axis 2</w:t>
            </w:r>
            <w:r w:rsidR="00C129A2">
              <w:rPr>
                <w:szCs w:val="24"/>
                <w:lang w:val="en-US"/>
              </w:rPr>
              <w:t>:</w:t>
            </w:r>
          </w:p>
          <w:p w:rsidR="00C129A2" w:rsidRPr="00C129A2" w:rsidRDefault="00C129A2" w:rsidP="00270E25">
            <w:pPr>
              <w:pStyle w:val="ListParagraph"/>
              <w:widowControl w:val="0"/>
              <w:numPr>
                <w:ilvl w:val="0"/>
                <w:numId w:val="81"/>
              </w:numPr>
              <w:autoSpaceDE w:val="0"/>
              <w:autoSpaceDN w:val="0"/>
              <w:adjustRightInd w:val="0"/>
              <w:rPr>
                <w:szCs w:val="24"/>
                <w:lang w:val="en-US"/>
              </w:rPr>
            </w:pPr>
            <w:r w:rsidRPr="00C129A2">
              <w:rPr>
                <w:szCs w:val="24"/>
                <w:lang w:val="en-US"/>
              </w:rPr>
              <w:t>Number of km2 covered by improved management systems for risk prevention in the programme area</w:t>
            </w:r>
          </w:p>
          <w:p w:rsidR="00C129A2" w:rsidRPr="00C129A2" w:rsidRDefault="00C129A2" w:rsidP="00270E25">
            <w:pPr>
              <w:pStyle w:val="ListParagraph"/>
              <w:widowControl w:val="0"/>
              <w:numPr>
                <w:ilvl w:val="0"/>
                <w:numId w:val="81"/>
              </w:numPr>
              <w:autoSpaceDE w:val="0"/>
              <w:autoSpaceDN w:val="0"/>
              <w:adjustRightInd w:val="0"/>
              <w:rPr>
                <w:szCs w:val="24"/>
                <w:lang w:val="en-US"/>
              </w:rPr>
            </w:pPr>
            <w:r w:rsidRPr="00C129A2">
              <w:rPr>
                <w:szCs w:val="24"/>
                <w:lang w:val="en-US"/>
              </w:rPr>
              <w:t>Increase in percentage of energy saved  in public buildings in the programme area</w:t>
            </w:r>
          </w:p>
          <w:p w:rsidR="00C129A2" w:rsidRPr="00270E25" w:rsidRDefault="00C129A2" w:rsidP="00C129A2">
            <w:pPr>
              <w:widowControl w:val="0"/>
              <w:autoSpaceDE w:val="0"/>
              <w:autoSpaceDN w:val="0"/>
              <w:adjustRightInd w:val="0"/>
              <w:rPr>
                <w:szCs w:val="24"/>
              </w:rPr>
            </w:pPr>
            <w:r w:rsidRPr="00270E25">
              <w:rPr>
                <w:szCs w:val="24"/>
              </w:rPr>
              <w:t>Furthermore, during the selection procedure, the relevant indicative questions, where appropriate, are:</w:t>
            </w:r>
          </w:p>
          <w:p w:rsidR="00C129A2" w:rsidRPr="00270E25" w:rsidRDefault="00C129A2" w:rsidP="00C129A2">
            <w:pPr>
              <w:pStyle w:val="ListParagraph"/>
              <w:widowControl w:val="0"/>
              <w:numPr>
                <w:ilvl w:val="0"/>
                <w:numId w:val="82"/>
              </w:numPr>
              <w:autoSpaceDE w:val="0"/>
              <w:autoSpaceDN w:val="0"/>
              <w:adjustRightInd w:val="0"/>
              <w:rPr>
                <w:szCs w:val="24"/>
              </w:rPr>
            </w:pPr>
            <w:r w:rsidRPr="00270E25">
              <w:rPr>
                <w:szCs w:val="24"/>
              </w:rPr>
              <w:t xml:space="preserve">For all </w:t>
            </w:r>
            <w:r w:rsidR="00270E25">
              <w:rPr>
                <w:szCs w:val="24"/>
              </w:rPr>
              <w:t>p</w:t>
            </w:r>
            <w:r w:rsidRPr="00270E25">
              <w:rPr>
                <w:szCs w:val="24"/>
              </w:rPr>
              <w:t xml:space="preserve">riority </w:t>
            </w:r>
            <w:r w:rsidR="00270E25">
              <w:rPr>
                <w:szCs w:val="24"/>
              </w:rPr>
              <w:t>a</w:t>
            </w:r>
            <w:r w:rsidRPr="00270E25">
              <w:rPr>
                <w:szCs w:val="24"/>
              </w:rPr>
              <w:t>xes: to what extent is the operation contributing to the realization of the EU2020 goals of sustainable development (e.g. decrease of greenhouse gas emissions, the increase in energy efficiency and in renewable energy production)?</w:t>
            </w:r>
          </w:p>
          <w:p w:rsidR="00C129A2" w:rsidRPr="00270E25" w:rsidRDefault="00C129A2" w:rsidP="00C129A2">
            <w:pPr>
              <w:pStyle w:val="ListParagraph"/>
              <w:widowControl w:val="0"/>
              <w:numPr>
                <w:ilvl w:val="0"/>
                <w:numId w:val="82"/>
              </w:numPr>
              <w:autoSpaceDE w:val="0"/>
              <w:autoSpaceDN w:val="0"/>
              <w:adjustRightInd w:val="0"/>
              <w:rPr>
                <w:szCs w:val="24"/>
              </w:rPr>
            </w:pPr>
            <w:r w:rsidRPr="00270E25">
              <w:rPr>
                <w:szCs w:val="24"/>
              </w:rPr>
              <w:t xml:space="preserve">For all </w:t>
            </w:r>
            <w:r w:rsidR="00270E25">
              <w:rPr>
                <w:szCs w:val="24"/>
              </w:rPr>
              <w:t>p</w:t>
            </w:r>
            <w:r w:rsidRPr="00270E25">
              <w:rPr>
                <w:szCs w:val="24"/>
              </w:rPr>
              <w:t xml:space="preserve">riority </w:t>
            </w:r>
            <w:r w:rsidR="00270E25">
              <w:rPr>
                <w:szCs w:val="24"/>
              </w:rPr>
              <w:t>a</w:t>
            </w:r>
            <w:r w:rsidRPr="00270E25">
              <w:rPr>
                <w:szCs w:val="24"/>
              </w:rPr>
              <w:t xml:space="preserve">xes: To what extent will the operations stimulate a sustainable development? </w:t>
            </w:r>
          </w:p>
          <w:p w:rsidR="00C129A2" w:rsidRPr="00C129A2" w:rsidRDefault="00C129A2" w:rsidP="00C129A2">
            <w:pPr>
              <w:pStyle w:val="ListParagraph"/>
              <w:widowControl w:val="0"/>
              <w:numPr>
                <w:ilvl w:val="0"/>
                <w:numId w:val="82"/>
              </w:numPr>
              <w:autoSpaceDE w:val="0"/>
              <w:autoSpaceDN w:val="0"/>
              <w:adjustRightInd w:val="0"/>
              <w:rPr>
                <w:szCs w:val="24"/>
              </w:rPr>
            </w:pPr>
            <w:r w:rsidRPr="00270E25">
              <w:rPr>
                <w:szCs w:val="24"/>
              </w:rPr>
              <w:t xml:space="preserve">For </w:t>
            </w:r>
            <w:r w:rsidR="00270E25">
              <w:rPr>
                <w:szCs w:val="24"/>
              </w:rPr>
              <w:t>p</w:t>
            </w:r>
            <w:r w:rsidRPr="00270E25">
              <w:rPr>
                <w:szCs w:val="24"/>
              </w:rPr>
              <w:t xml:space="preserve">riority </w:t>
            </w:r>
            <w:r w:rsidR="00270E25">
              <w:rPr>
                <w:szCs w:val="24"/>
              </w:rPr>
              <w:t>a</w:t>
            </w:r>
            <w:r w:rsidRPr="00270E25">
              <w:rPr>
                <w:szCs w:val="24"/>
              </w:rPr>
              <w:t>xis 1 which focuses on improved and efficient public health and social care system: To what extent the operations incorporate elements of sustainability in healthcare and other social sector interventions.</w:t>
            </w:r>
          </w:p>
          <w:p w:rsidR="00C129A2" w:rsidRPr="007B18AC" w:rsidRDefault="00C129A2" w:rsidP="00C129A2">
            <w:pPr>
              <w:pStyle w:val="ListParagraph"/>
              <w:widowControl w:val="0"/>
              <w:numPr>
                <w:ilvl w:val="0"/>
                <w:numId w:val="82"/>
              </w:numPr>
              <w:autoSpaceDE w:val="0"/>
              <w:autoSpaceDN w:val="0"/>
              <w:adjustRightInd w:val="0"/>
              <w:rPr>
                <w:szCs w:val="24"/>
              </w:rPr>
            </w:pPr>
            <w:r w:rsidRPr="007B18AC">
              <w:rPr>
                <w:szCs w:val="24"/>
              </w:rPr>
              <w:t xml:space="preserve">For </w:t>
            </w:r>
            <w:r w:rsidR="00270E25">
              <w:rPr>
                <w:szCs w:val="24"/>
              </w:rPr>
              <w:t>p</w:t>
            </w:r>
            <w:r w:rsidRPr="007B18AC">
              <w:rPr>
                <w:szCs w:val="24"/>
              </w:rPr>
              <w:t xml:space="preserve">riority </w:t>
            </w:r>
            <w:r w:rsidR="00270E25">
              <w:rPr>
                <w:szCs w:val="24"/>
              </w:rPr>
              <w:t>a</w:t>
            </w:r>
            <w:r w:rsidRPr="007B18AC">
              <w:rPr>
                <w:szCs w:val="24"/>
              </w:rPr>
              <w:t>xis 2 which focuses on protecting the environment</w:t>
            </w:r>
            <w:r w:rsidR="0082412C">
              <w:rPr>
                <w:szCs w:val="24"/>
              </w:rPr>
              <w:t xml:space="preserve"> and nature</w:t>
            </w:r>
            <w:r w:rsidRPr="007B18AC">
              <w:rPr>
                <w:szCs w:val="24"/>
              </w:rPr>
              <w:t>, improving risk prevention and sustainable energy and energy efficiency: To what extent the operations incorporate sustainable development, e.g. through environmental protection, energy efficiency, climate change mitigation and adaptation, disaster resilience and risk prevention and management.</w:t>
            </w:r>
          </w:p>
          <w:p w:rsidR="00C129A2" w:rsidRPr="007B18AC" w:rsidRDefault="00C129A2" w:rsidP="00C129A2">
            <w:pPr>
              <w:pStyle w:val="ListParagraph"/>
              <w:widowControl w:val="0"/>
              <w:numPr>
                <w:ilvl w:val="0"/>
                <w:numId w:val="82"/>
              </w:numPr>
              <w:autoSpaceDE w:val="0"/>
              <w:autoSpaceDN w:val="0"/>
              <w:adjustRightInd w:val="0"/>
              <w:rPr>
                <w:szCs w:val="24"/>
              </w:rPr>
            </w:pPr>
            <w:r w:rsidRPr="007B18AC">
              <w:rPr>
                <w:szCs w:val="24"/>
              </w:rPr>
              <w:lastRenderedPageBreak/>
              <w:t xml:space="preserve">For </w:t>
            </w:r>
            <w:r w:rsidR="00270E25">
              <w:rPr>
                <w:szCs w:val="24"/>
              </w:rPr>
              <w:t>p</w:t>
            </w:r>
            <w:r w:rsidRPr="007B18AC">
              <w:rPr>
                <w:szCs w:val="24"/>
              </w:rPr>
              <w:t xml:space="preserve">riority </w:t>
            </w:r>
            <w:r w:rsidR="00270E25">
              <w:rPr>
                <w:szCs w:val="24"/>
              </w:rPr>
              <w:t>a</w:t>
            </w:r>
            <w:r w:rsidRPr="007B18AC">
              <w:rPr>
                <w:szCs w:val="24"/>
              </w:rPr>
              <w:t xml:space="preserve">xis 3 which focuses on development of tourism and preservation and sustainable use of cultural and natural heritage: To what extent the operations incorporate the sustainability factor not only stimulating economic development but also clearly protecting the cultural and/or natural heritage and/or the environment. </w:t>
            </w:r>
          </w:p>
          <w:p w:rsidR="00187481" w:rsidRPr="007B18AC" w:rsidRDefault="00C129A2" w:rsidP="00270E25">
            <w:pPr>
              <w:pStyle w:val="ListParagraph"/>
              <w:widowControl w:val="0"/>
              <w:numPr>
                <w:ilvl w:val="0"/>
                <w:numId w:val="82"/>
              </w:numPr>
              <w:autoSpaceDE w:val="0"/>
              <w:autoSpaceDN w:val="0"/>
              <w:adjustRightInd w:val="0"/>
              <w:rPr>
                <w:szCs w:val="24"/>
              </w:rPr>
            </w:pPr>
            <w:r w:rsidRPr="007B18AC">
              <w:rPr>
                <w:szCs w:val="24"/>
              </w:rPr>
              <w:t xml:space="preserve">For </w:t>
            </w:r>
            <w:r w:rsidR="00270E25">
              <w:rPr>
                <w:szCs w:val="24"/>
              </w:rPr>
              <w:t>p</w:t>
            </w:r>
            <w:r w:rsidRPr="007B18AC">
              <w:rPr>
                <w:szCs w:val="24"/>
              </w:rPr>
              <w:t xml:space="preserve">riority </w:t>
            </w:r>
            <w:r w:rsidR="00270E25">
              <w:rPr>
                <w:szCs w:val="24"/>
              </w:rPr>
              <w:t>a</w:t>
            </w:r>
            <w:r w:rsidRPr="007B18AC">
              <w:rPr>
                <w:szCs w:val="24"/>
              </w:rPr>
              <w:t xml:space="preserve">xis 4 which focuses on enhancing competitiveness and development of business environment: To what extent the operations incorporate the sustainability factor through green entrepreneurship, business focused on sustainable development, preventions of investments with considerable negative environmental and climate effects and overall sustainability of the investment.  </w:t>
            </w:r>
            <w:r w:rsidR="00187481" w:rsidRPr="007B18AC">
              <w:rPr>
                <w:sz w:val="22"/>
                <w:szCs w:val="22"/>
                <w:lang w:val="en-US"/>
              </w:rPr>
              <w:t xml:space="preserve"> </w:t>
            </w:r>
          </w:p>
        </w:tc>
      </w:tr>
    </w:tbl>
    <w:p w:rsidR="00FB701A" w:rsidRPr="00B76110" w:rsidRDefault="00FB701A" w:rsidP="00D17A3D">
      <w:pPr>
        <w:spacing w:after="240"/>
        <w:rPr>
          <w:rFonts w:eastAsia="Times New Roman"/>
        </w:rPr>
      </w:pPr>
    </w:p>
    <w:p w:rsidR="00FB701A" w:rsidRPr="00B76110" w:rsidRDefault="002E0699" w:rsidP="00D17A3D">
      <w:pPr>
        <w:spacing w:after="240"/>
        <w:rPr>
          <w:rFonts w:eastAsia="Times New Roman"/>
          <w:b/>
        </w:rPr>
      </w:pPr>
      <w:r>
        <w:rPr>
          <w:rFonts w:eastAsia="Times New Roman"/>
          <w:b/>
        </w:rPr>
        <w:t>6</w:t>
      </w:r>
      <w:r w:rsidR="00FB701A" w:rsidRPr="00B76110">
        <w:rPr>
          <w:rFonts w:eastAsia="Times New Roman"/>
          <w:b/>
        </w:rPr>
        <w:t>.2 Equal opportunities and non-discrimination</w:t>
      </w:r>
    </w:p>
    <w:p w:rsidR="00FB701A" w:rsidRPr="00B76110" w:rsidRDefault="009E646A" w:rsidP="00D17A3D">
      <w:pPr>
        <w:spacing w:after="240"/>
        <w:rPr>
          <w:rFonts w:eastAsia="Times New Roman"/>
          <w:lang w:eastAsia="fr-FR"/>
        </w:rPr>
      </w:pPr>
      <w:r>
        <w:rPr>
          <w:rFonts w:eastAsia="Times New Roman"/>
        </w:rPr>
        <w:t>D</w:t>
      </w:r>
      <w:r w:rsidR="00FB701A" w:rsidRPr="00B76110">
        <w:rPr>
          <w:rFonts w:eastAsia="Times New Roman"/>
        </w:rPr>
        <w:t>escription of the specific actions to promote equal opportunities and prevent any discrimination based on sex, racial or ethnic origin, religion or belief, disability, age or sexual orientation during the preparation, design and implementation of the cooperation programme and</w:t>
      </w:r>
      <w:r w:rsidR="009F3089">
        <w:rPr>
          <w:rFonts w:eastAsia="Times New Roman"/>
        </w:rPr>
        <w:t>,</w:t>
      </w:r>
      <w:r w:rsidR="00FB701A" w:rsidRPr="00B76110">
        <w:rPr>
          <w:rFonts w:eastAsia="Times New Roman"/>
        </w:rPr>
        <w:t xml:space="preserve"> in particular</w:t>
      </w:r>
      <w:r w:rsidR="009F3089">
        <w:rPr>
          <w:rFonts w:eastAsia="Times New Roman"/>
        </w:rPr>
        <w:t>,</w:t>
      </w:r>
      <w:r w:rsidR="00FB701A" w:rsidRPr="00B76110">
        <w:rPr>
          <w:rFonts w:eastAsia="Times New Roman"/>
        </w:rPr>
        <w:t xml:space="preserve"> in relation to access to funding</w:t>
      </w:r>
      <w:r w:rsidR="009F3089">
        <w:rPr>
          <w:rFonts w:eastAsia="Times New Roman"/>
        </w:rPr>
        <w:t>,</w:t>
      </w:r>
      <w:r w:rsidR="00FB701A" w:rsidRPr="00B76110">
        <w:rPr>
          <w:rFonts w:eastAsia="Times New Roman"/>
        </w:rPr>
        <w:t xml:space="preserve"> taking account of the </w:t>
      </w:r>
      <w:r w:rsidR="00FB701A" w:rsidRPr="00B76110">
        <w:rPr>
          <w:rFonts w:eastAsia="Times New Roman"/>
          <w:lang w:eastAsia="fr-FR"/>
        </w:rPr>
        <w:t>needs of the various target groups at risk of such discrimination</w:t>
      </w:r>
      <w:r w:rsidR="009F3089">
        <w:rPr>
          <w:rFonts w:eastAsia="Times New Roman"/>
          <w:lang w:eastAsia="fr-FR"/>
        </w:rPr>
        <w:t>,</w:t>
      </w:r>
      <w:r w:rsidR="00FB701A" w:rsidRPr="00B76110">
        <w:rPr>
          <w:rFonts w:eastAsia="Times New Roman"/>
          <w:lang w:eastAsia="fr-FR"/>
        </w:rPr>
        <w:t xml:space="preserve"> and in particular</w:t>
      </w:r>
      <w:r w:rsidR="009F3089">
        <w:rPr>
          <w:rFonts w:eastAsia="Times New Roman"/>
          <w:lang w:eastAsia="fr-FR"/>
        </w:rPr>
        <w:t>,</w:t>
      </w:r>
      <w:r w:rsidR="00FB701A" w:rsidRPr="00B76110">
        <w:rPr>
          <w:rFonts w:eastAsia="Times New Roman"/>
          <w:lang w:eastAsia="fr-FR"/>
        </w:rPr>
        <w:t xml:space="preserve"> the requirements of ensuring accessibility for persons with </w:t>
      </w:r>
      <w:r w:rsidR="009F3089">
        <w:rPr>
          <w:rFonts w:eastAsia="Times New Roman"/>
          <w:lang w:eastAsia="fr-FR"/>
        </w:rPr>
        <w:t xml:space="preserve"> </w:t>
      </w:r>
      <w:r w:rsidR="00FB701A" w:rsidRPr="00B76110">
        <w:rPr>
          <w:rFonts w:eastAsia="Times New Roman"/>
          <w:lang w:eastAsia="fr-FR"/>
        </w:rPr>
        <w:t>disabilit</w:t>
      </w:r>
      <w:r w:rsidR="00BD0CAA">
        <w:rPr>
          <w:rFonts w:eastAsia="Times New Roman"/>
          <w:lang w:eastAsia="fr-FR"/>
        </w:rPr>
        <w:t>ies</w:t>
      </w:r>
      <w:r w:rsidR="00FB701A" w:rsidRPr="00B76110">
        <w:rPr>
          <w:rFonts w:eastAsia="Times New Roman"/>
          <w:lang w:eastAsia="fr-FR"/>
        </w:rPr>
        <w:t>.</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8"/>
      </w:tblGrid>
      <w:tr w:rsidR="00187481" w:rsidRPr="00B76110" w:rsidTr="00A90053">
        <w:trPr>
          <w:trHeight w:val="690"/>
        </w:trPr>
        <w:tc>
          <w:tcPr>
            <w:tcW w:w="8834" w:type="dxa"/>
            <w:shd w:val="clear" w:color="auto" w:fill="auto"/>
          </w:tcPr>
          <w:p w:rsidR="009B3883" w:rsidRPr="009B3883" w:rsidRDefault="009B3883" w:rsidP="009B3883">
            <w:pPr>
              <w:widowControl w:val="0"/>
              <w:autoSpaceDE w:val="0"/>
              <w:autoSpaceDN w:val="0"/>
              <w:adjustRightInd w:val="0"/>
              <w:spacing w:before="0"/>
              <w:rPr>
                <w:szCs w:val="24"/>
              </w:rPr>
            </w:pPr>
            <w:r w:rsidRPr="009B3883">
              <w:rPr>
                <w:szCs w:val="24"/>
              </w:rPr>
              <w:t>The programme has been and will promote equal opportunities and non-discrimination through the following actions:</w:t>
            </w:r>
          </w:p>
          <w:p w:rsidR="009B3883" w:rsidRPr="009B3883" w:rsidRDefault="009B3883" w:rsidP="009B3883">
            <w:pPr>
              <w:widowControl w:val="0"/>
              <w:numPr>
                <w:ilvl w:val="0"/>
                <w:numId w:val="36"/>
              </w:numPr>
              <w:autoSpaceDE w:val="0"/>
              <w:autoSpaceDN w:val="0"/>
              <w:adjustRightInd w:val="0"/>
              <w:spacing w:before="0"/>
              <w:rPr>
                <w:szCs w:val="24"/>
              </w:rPr>
            </w:pPr>
            <w:r w:rsidRPr="009B3883">
              <w:rPr>
                <w:szCs w:val="24"/>
                <w:u w:val="single"/>
              </w:rPr>
              <w:t>Programming</w:t>
            </w:r>
            <w:r w:rsidRPr="009B3883">
              <w:rPr>
                <w:szCs w:val="24"/>
              </w:rPr>
              <w:t xml:space="preserve">: In the situation analysis and SWOT the needs of various target groups, such as vulnerable groups have been identified as a core issue of the programme area with special emphasis on their socio-economic situation. Especially </w:t>
            </w:r>
            <w:r>
              <w:rPr>
                <w:bCs/>
                <w:szCs w:val="24"/>
              </w:rPr>
              <w:t>p</w:t>
            </w:r>
            <w:r w:rsidRPr="009B3883">
              <w:rPr>
                <w:bCs/>
                <w:szCs w:val="24"/>
              </w:rPr>
              <w:t xml:space="preserve">riority axis 1 is strongly rooted in principle of equal opportunities and non-discrimination giving special attention to vulnerable groups by working on the </w:t>
            </w:r>
            <w:r w:rsidRPr="009B3883">
              <w:rPr>
                <w:szCs w:val="24"/>
              </w:rPr>
              <w:t>improvement of services in the area of public health and social care sector thus creating positive impact in decreasing discrimination and providing equal opportunities. This will contribute to ensuring that there are specific operations focused on promoting equal opportunities and preventing any discrimination based on sex, racial or ethnic origin, religion or belief, disability, age or sexual orientation.</w:t>
            </w:r>
          </w:p>
          <w:p w:rsidR="009B3883" w:rsidRPr="009B3883" w:rsidRDefault="009B3883" w:rsidP="009B3883">
            <w:pPr>
              <w:widowControl w:val="0"/>
              <w:numPr>
                <w:ilvl w:val="0"/>
                <w:numId w:val="36"/>
              </w:numPr>
              <w:autoSpaceDE w:val="0"/>
              <w:autoSpaceDN w:val="0"/>
              <w:adjustRightInd w:val="0"/>
              <w:spacing w:before="0"/>
              <w:rPr>
                <w:szCs w:val="24"/>
              </w:rPr>
            </w:pPr>
            <w:r w:rsidRPr="009B3883">
              <w:rPr>
                <w:szCs w:val="24"/>
                <w:u w:val="single"/>
              </w:rPr>
              <w:t>Programming and monitoring</w:t>
            </w:r>
            <w:r w:rsidRPr="009B3883">
              <w:rPr>
                <w:szCs w:val="24"/>
              </w:rPr>
              <w:t>: The members of the Task Force for the preparation of the Cooperation Programme have been selected on the basis of the equal opportunity and non-discrimination principle. Adequate consideration of equal opportunities and non-discrimination issues was ensured through workshops and Task Force meetings with inviting and consulting all relevant representatives of these groups. This will also be applied to the Joint Monitoring Committee by integrating it in the Rules of Procedure.</w:t>
            </w:r>
          </w:p>
          <w:p w:rsidR="009B3883" w:rsidRPr="009B3883" w:rsidRDefault="009B3883" w:rsidP="009B3883">
            <w:pPr>
              <w:widowControl w:val="0"/>
              <w:numPr>
                <w:ilvl w:val="0"/>
                <w:numId w:val="36"/>
              </w:numPr>
              <w:autoSpaceDE w:val="0"/>
              <w:autoSpaceDN w:val="0"/>
              <w:adjustRightInd w:val="0"/>
              <w:spacing w:before="0"/>
              <w:rPr>
                <w:szCs w:val="24"/>
              </w:rPr>
            </w:pPr>
            <w:r w:rsidRPr="009B3883">
              <w:rPr>
                <w:szCs w:val="24"/>
                <w:u w:val="single"/>
              </w:rPr>
              <w:t>Monitoring and reporting</w:t>
            </w:r>
            <w:r w:rsidRPr="009B3883">
              <w:rPr>
                <w:szCs w:val="24"/>
              </w:rPr>
              <w:t xml:space="preserve">: All operations of all four </w:t>
            </w:r>
            <w:r w:rsidR="00CE1FA0">
              <w:rPr>
                <w:szCs w:val="24"/>
              </w:rPr>
              <w:t>p</w:t>
            </w:r>
            <w:r w:rsidRPr="009B3883">
              <w:rPr>
                <w:szCs w:val="24"/>
              </w:rPr>
              <w:t>riority axes will have to demonstrate in the application form how they intend to contribute to the equal opportunities and non-discrimination, either through operation staff or focus of the topic on equal opportunities and non-discrimination.</w:t>
            </w:r>
          </w:p>
          <w:p w:rsidR="009B3883" w:rsidRPr="009B3883" w:rsidRDefault="009B3883" w:rsidP="009B3883">
            <w:pPr>
              <w:widowControl w:val="0"/>
              <w:numPr>
                <w:ilvl w:val="0"/>
                <w:numId w:val="36"/>
              </w:numPr>
              <w:autoSpaceDE w:val="0"/>
              <w:autoSpaceDN w:val="0"/>
              <w:adjustRightInd w:val="0"/>
              <w:spacing w:before="0"/>
              <w:rPr>
                <w:szCs w:val="24"/>
              </w:rPr>
            </w:pPr>
            <w:r w:rsidRPr="009B3883">
              <w:rPr>
                <w:szCs w:val="24"/>
              </w:rPr>
              <w:t xml:space="preserve">For Priority Axis 1 operations are requested to indicate how they contribute to </w:t>
            </w:r>
            <w:r w:rsidRPr="009B3883">
              <w:rPr>
                <w:szCs w:val="24"/>
              </w:rPr>
              <w:lastRenderedPageBreak/>
              <w:t>the following output indicators:</w:t>
            </w:r>
          </w:p>
          <w:p w:rsidR="009B3883" w:rsidRPr="009B3883" w:rsidRDefault="009B3883" w:rsidP="009B3883">
            <w:pPr>
              <w:pStyle w:val="ListParagraph"/>
              <w:widowControl w:val="0"/>
              <w:numPr>
                <w:ilvl w:val="0"/>
                <w:numId w:val="83"/>
              </w:numPr>
              <w:autoSpaceDE w:val="0"/>
              <w:autoSpaceDN w:val="0"/>
              <w:adjustRightInd w:val="0"/>
              <w:spacing w:after="0"/>
              <w:ind w:left="459" w:hanging="425"/>
              <w:rPr>
                <w:szCs w:val="24"/>
              </w:rPr>
            </w:pPr>
            <w:r w:rsidRPr="009B3883">
              <w:rPr>
                <w:szCs w:val="24"/>
              </w:rPr>
              <w:t>Number of persons related to improving health care services and/or social care services trained</w:t>
            </w:r>
          </w:p>
          <w:p w:rsidR="009B3883" w:rsidRPr="009B3883" w:rsidRDefault="009B3883" w:rsidP="009B3883">
            <w:pPr>
              <w:pStyle w:val="ListParagraph"/>
              <w:widowControl w:val="0"/>
              <w:numPr>
                <w:ilvl w:val="0"/>
                <w:numId w:val="83"/>
              </w:numPr>
              <w:autoSpaceDE w:val="0"/>
              <w:autoSpaceDN w:val="0"/>
              <w:adjustRightInd w:val="0"/>
              <w:spacing w:after="0"/>
              <w:ind w:left="459" w:hanging="425"/>
              <w:rPr>
                <w:szCs w:val="24"/>
              </w:rPr>
            </w:pPr>
            <w:r w:rsidRPr="009B3883">
              <w:rPr>
                <w:szCs w:val="24"/>
              </w:rPr>
              <w:t>Number of jointly developed tools/services/pilot projects that enable better quality of social and health care</w:t>
            </w:r>
          </w:p>
          <w:p w:rsidR="009B3883" w:rsidRPr="009B3883" w:rsidRDefault="009B3883" w:rsidP="009B3883">
            <w:pPr>
              <w:pStyle w:val="ListParagraph"/>
              <w:widowControl w:val="0"/>
              <w:numPr>
                <w:ilvl w:val="0"/>
                <w:numId w:val="83"/>
              </w:numPr>
              <w:autoSpaceDE w:val="0"/>
              <w:autoSpaceDN w:val="0"/>
              <w:adjustRightInd w:val="0"/>
              <w:spacing w:after="0"/>
              <w:ind w:left="459" w:hanging="425"/>
              <w:rPr>
                <w:szCs w:val="24"/>
              </w:rPr>
            </w:pPr>
            <w:r w:rsidRPr="009B3883">
              <w:rPr>
                <w:szCs w:val="24"/>
              </w:rPr>
              <w:t>Population covered with improved health and/or social services or facilities.</w:t>
            </w:r>
          </w:p>
          <w:p w:rsidR="009B3883" w:rsidRPr="009B3883" w:rsidRDefault="009B3883" w:rsidP="009B3883">
            <w:pPr>
              <w:pStyle w:val="ListParagraph"/>
              <w:widowControl w:val="0"/>
              <w:autoSpaceDE w:val="0"/>
              <w:autoSpaceDN w:val="0"/>
              <w:adjustRightInd w:val="0"/>
              <w:spacing w:after="0"/>
              <w:ind w:left="357"/>
              <w:rPr>
                <w:szCs w:val="24"/>
              </w:rPr>
            </w:pPr>
          </w:p>
          <w:p w:rsidR="009B3883" w:rsidRPr="009B3883" w:rsidRDefault="009B3883" w:rsidP="0082412C">
            <w:pPr>
              <w:widowControl w:val="0"/>
              <w:autoSpaceDE w:val="0"/>
              <w:autoSpaceDN w:val="0"/>
              <w:adjustRightInd w:val="0"/>
              <w:spacing w:before="0"/>
              <w:rPr>
                <w:szCs w:val="24"/>
              </w:rPr>
            </w:pPr>
            <w:r w:rsidRPr="009B3883">
              <w:rPr>
                <w:szCs w:val="24"/>
              </w:rPr>
              <w:t xml:space="preserve">For Priority Axis 2, 3 and 4, equal opportunities and non-discrimination will be monitored as horizontal priority. However, the operations can also indicate to which extent they are ensuring accessibility for all (barrier free solutions and similar) and that inclusion is promoted in designing and implementing actions in relation to cultural varieties and ethnic richness of the programme area where actions incorporating celebration and promotion of multi-ethnicity will be encouraged. And especially </w:t>
            </w:r>
            <w:r>
              <w:rPr>
                <w:szCs w:val="24"/>
              </w:rPr>
              <w:t>p</w:t>
            </w:r>
            <w:r w:rsidRPr="009B3883">
              <w:rPr>
                <w:szCs w:val="24"/>
              </w:rPr>
              <w:t>riority axis 4 operations will be preferred with improvements and ideas in promotion and development of corporate social responsibility and social inclusion in SME sector.</w:t>
            </w:r>
          </w:p>
          <w:p w:rsidR="00187481" w:rsidRPr="009B3883" w:rsidRDefault="009B3883" w:rsidP="009B3883">
            <w:pPr>
              <w:widowControl w:val="0"/>
              <w:autoSpaceDE w:val="0"/>
              <w:autoSpaceDN w:val="0"/>
              <w:adjustRightInd w:val="0"/>
              <w:jc w:val="left"/>
              <w:rPr>
                <w:szCs w:val="24"/>
              </w:rPr>
            </w:pPr>
            <w:r w:rsidRPr="009B3883">
              <w:rPr>
                <w:szCs w:val="24"/>
                <w:u w:val="single"/>
              </w:rPr>
              <w:t>Evaluation</w:t>
            </w:r>
            <w:r w:rsidRPr="009B3883">
              <w:rPr>
                <w:szCs w:val="24"/>
              </w:rPr>
              <w:t>: The evaluation of the programme will indicate how has been dealt with the equal opportunities and non-discrimination principle.</w:t>
            </w:r>
          </w:p>
        </w:tc>
      </w:tr>
    </w:tbl>
    <w:p w:rsidR="00487311" w:rsidRDefault="00487311" w:rsidP="00D17A3D">
      <w:pPr>
        <w:spacing w:after="240"/>
        <w:rPr>
          <w:rFonts w:eastAsia="Times New Roman"/>
          <w:b/>
        </w:rPr>
      </w:pPr>
    </w:p>
    <w:p w:rsidR="00FB701A" w:rsidRPr="00B76110" w:rsidRDefault="002E0699" w:rsidP="00D17A3D">
      <w:pPr>
        <w:spacing w:after="240"/>
        <w:rPr>
          <w:rFonts w:eastAsia="Times New Roman"/>
          <w:b/>
        </w:rPr>
      </w:pPr>
      <w:r>
        <w:rPr>
          <w:rFonts w:eastAsia="Times New Roman"/>
          <w:b/>
        </w:rPr>
        <w:t>6</w:t>
      </w:r>
      <w:r w:rsidR="00FB701A" w:rsidRPr="00B76110">
        <w:rPr>
          <w:rFonts w:eastAsia="Times New Roman"/>
          <w:b/>
        </w:rPr>
        <w:t>.3 Equality between men and women</w:t>
      </w:r>
    </w:p>
    <w:p w:rsidR="00FB701A" w:rsidRPr="00B76110" w:rsidRDefault="00BD0CAA" w:rsidP="00D17A3D">
      <w:pPr>
        <w:rPr>
          <w:rFonts w:eastAsia="Times New Roman"/>
        </w:rPr>
      </w:pPr>
      <w:r>
        <w:rPr>
          <w:rFonts w:eastAsia="Times New Roman"/>
        </w:rPr>
        <w:t>D</w:t>
      </w:r>
      <w:r w:rsidR="00FB701A" w:rsidRPr="00B76110">
        <w:rPr>
          <w:rFonts w:eastAsia="Times New Roman"/>
        </w:rPr>
        <w:t xml:space="preserve">escription of the contribution </w:t>
      </w:r>
      <w:r>
        <w:rPr>
          <w:rFonts w:eastAsia="Times New Roman"/>
        </w:rPr>
        <w:t xml:space="preserve">of the cooperation programme </w:t>
      </w:r>
      <w:r w:rsidR="00FB701A" w:rsidRPr="00B76110">
        <w:rPr>
          <w:rFonts w:eastAsia="Times New Roman"/>
        </w:rPr>
        <w:t>to the promotion of equality between men and women and, where appropriate, the arrangements to ensure the integration of the gender perspective at cooperation programme and operation level.</w:t>
      </w:r>
    </w:p>
    <w:p w:rsidR="00FB701A" w:rsidRDefault="00FB701A" w:rsidP="00D17A3D">
      <w:pPr>
        <w:ind w:left="584"/>
        <w:rPr>
          <w:rFonts w:eastAsia="Times New Roman"/>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8"/>
      </w:tblGrid>
      <w:tr w:rsidR="00461E7A" w:rsidRPr="00B76110" w:rsidTr="00A90053">
        <w:trPr>
          <w:trHeight w:val="1177"/>
        </w:trPr>
        <w:tc>
          <w:tcPr>
            <w:tcW w:w="8248" w:type="dxa"/>
            <w:shd w:val="clear" w:color="auto" w:fill="auto"/>
          </w:tcPr>
          <w:p w:rsidR="00461E7A" w:rsidRPr="00F27E5F" w:rsidRDefault="00461E7A" w:rsidP="00BE52E6">
            <w:pPr>
              <w:widowControl w:val="0"/>
              <w:autoSpaceDE w:val="0"/>
              <w:autoSpaceDN w:val="0"/>
              <w:adjustRightInd w:val="0"/>
              <w:spacing w:before="0"/>
              <w:rPr>
                <w:szCs w:val="24"/>
                <w:lang w:val="en-US"/>
              </w:rPr>
            </w:pPr>
            <w:r w:rsidRPr="00F27E5F">
              <w:rPr>
                <w:szCs w:val="24"/>
                <w:lang w:val="en-US"/>
              </w:rPr>
              <w:t>Equality between women and men has been in focus throughout the entire programming process. Gender gap and gender mainstreaming were analyzed during the preparatory process results of which are visible in the situation analysis while principle as such was fully respected in the preparation of the programme. As one of the fundamental values of the European Union</w:t>
            </w:r>
            <w:r w:rsidR="0082412C">
              <w:rPr>
                <w:szCs w:val="24"/>
                <w:lang w:val="en-US"/>
              </w:rPr>
              <w:t>,</w:t>
            </w:r>
            <w:r w:rsidRPr="00F27E5F">
              <w:rPr>
                <w:szCs w:val="24"/>
                <w:lang w:val="en-US"/>
              </w:rPr>
              <w:t xml:space="preserve"> it is incorporated in this cooperation programme which has been designed in order to give equal access to all members of society and contribute to neutralize discrimination and provide equality. </w:t>
            </w:r>
          </w:p>
          <w:p w:rsidR="00461E7A" w:rsidRPr="00F27E5F" w:rsidRDefault="00461E7A" w:rsidP="0082412C">
            <w:pPr>
              <w:widowControl w:val="0"/>
              <w:autoSpaceDE w:val="0"/>
              <w:autoSpaceDN w:val="0"/>
              <w:adjustRightInd w:val="0"/>
              <w:spacing w:before="0"/>
              <w:rPr>
                <w:rFonts w:cstheme="minorBidi"/>
                <w:szCs w:val="24"/>
                <w:lang w:val="en-US" w:eastAsia="ja-JP"/>
              </w:rPr>
            </w:pPr>
            <w:r w:rsidRPr="00F27E5F">
              <w:rPr>
                <w:szCs w:val="24"/>
                <w:lang w:val="en-US"/>
              </w:rPr>
              <w:t xml:space="preserve">Each operation supported under this programme will be asked to indicate how they intend to promote equality between men and women. </w:t>
            </w:r>
          </w:p>
          <w:p w:rsidR="00461E7A" w:rsidRPr="00F27E5F" w:rsidRDefault="00461E7A" w:rsidP="00BE52E6">
            <w:pPr>
              <w:pStyle w:val="Default"/>
              <w:spacing w:after="120"/>
              <w:jc w:val="both"/>
              <w:rPr>
                <w:rFonts w:ascii="Times New Roman" w:hAnsi="Times New Roman" w:cs="Times New Roman"/>
                <w:i/>
              </w:rPr>
            </w:pPr>
            <w:r w:rsidRPr="00F27E5F">
              <w:rPr>
                <w:rFonts w:ascii="Times New Roman" w:hAnsi="Times New Roman" w:cs="Times New Roman"/>
              </w:rPr>
              <w:t xml:space="preserve">The programme area will follow the description: “Gender mainstreaming in the operation approach means that objectives and results are defined is such a way that aspirations, wishes and needs of women and men are equally valued and favoured through the operation activities. Operations with a gender perspective contribute to the achievement of the policy goals of partner governments and the </w:t>
            </w:r>
            <w:r w:rsidR="0082412C" w:rsidRPr="0082412C">
              <w:rPr>
                <w:rFonts w:ascii="Times New Roman" w:hAnsi="Times New Roman" w:cs="Times New Roman"/>
              </w:rPr>
              <w:t>European Commission</w:t>
            </w:r>
            <w:r w:rsidRPr="00F27E5F">
              <w:rPr>
                <w:rFonts w:ascii="Times New Roman" w:hAnsi="Times New Roman" w:cs="Times New Roman"/>
              </w:rPr>
              <w:t xml:space="preserve"> regarding women’s rights and gender equality. A development operation is a way of clearly defining and managing investments and change processes. Gender blind operations can change in a negative or positive way the existing gender relations; however they do not render accounts of the differentiated effects and impact on the lives of men and women, boys and girls.” </w:t>
            </w:r>
            <w:r w:rsidRPr="00F27E5F">
              <w:rPr>
                <w:rFonts w:ascii="Times New Roman" w:hAnsi="Times New Roman" w:cs="Times New Roman"/>
                <w:bCs/>
                <w:i/>
              </w:rPr>
              <w:t xml:space="preserve">Mainstreaming </w:t>
            </w:r>
            <w:r w:rsidRPr="00F27E5F">
              <w:rPr>
                <w:rFonts w:ascii="Times New Roman" w:hAnsi="Times New Roman" w:cs="Times New Roman"/>
                <w:bCs/>
                <w:i/>
              </w:rPr>
              <w:lastRenderedPageBreak/>
              <w:t xml:space="preserve">gender equality through the operation approach </w:t>
            </w:r>
            <w:r w:rsidRPr="00F27E5F">
              <w:rPr>
                <w:rFonts w:ascii="Times New Roman" w:hAnsi="Times New Roman" w:cs="Times New Roman"/>
                <w:i/>
              </w:rPr>
              <w:t>Paper for EU Delegations Thera van Osch, EU Gender Advisory Services 2010</w:t>
            </w:r>
          </w:p>
          <w:p w:rsidR="00461E7A" w:rsidRPr="005542D6" w:rsidRDefault="00461E7A" w:rsidP="00BE52E6">
            <w:pPr>
              <w:spacing w:before="0"/>
              <w:rPr>
                <w:sz w:val="22"/>
                <w:szCs w:val="22"/>
              </w:rPr>
            </w:pPr>
            <w:r w:rsidRPr="00F27E5F">
              <w:rPr>
                <w:rFonts w:eastAsia="Times New Roman"/>
                <w:szCs w:val="24"/>
              </w:rPr>
              <w:t>In order to be fully in line with the E</w:t>
            </w:r>
            <w:r w:rsidR="0082412C">
              <w:rPr>
                <w:rFonts w:eastAsia="Times New Roman"/>
                <w:szCs w:val="24"/>
              </w:rPr>
              <w:t xml:space="preserve">uropean </w:t>
            </w:r>
            <w:r w:rsidRPr="00F27E5F">
              <w:rPr>
                <w:rFonts w:eastAsia="Times New Roman"/>
                <w:szCs w:val="24"/>
              </w:rPr>
              <w:t>C</w:t>
            </w:r>
            <w:r w:rsidR="0082412C">
              <w:rPr>
                <w:rFonts w:eastAsia="Times New Roman"/>
                <w:szCs w:val="24"/>
              </w:rPr>
              <w:t>ommission</w:t>
            </w:r>
            <w:r w:rsidRPr="00F27E5F">
              <w:rPr>
                <w:rFonts w:eastAsia="Times New Roman"/>
                <w:szCs w:val="24"/>
              </w:rPr>
              <w:t xml:space="preserve"> recommendations in these areas operations supported under this cooperation programme will be gender sensitive in choosing their stakeholders; organizing coordination and managements, respecting gender perspective when organizing human resources.</w:t>
            </w:r>
            <w:r w:rsidRPr="005B656F">
              <w:rPr>
                <w:rFonts w:eastAsia="Times New Roman"/>
                <w:sz w:val="22"/>
                <w:szCs w:val="22"/>
              </w:rPr>
              <w:t xml:space="preserve"> </w:t>
            </w:r>
          </w:p>
        </w:tc>
      </w:tr>
    </w:tbl>
    <w:p w:rsidR="00461E7A" w:rsidRPr="00B76110" w:rsidRDefault="00461E7A" w:rsidP="00D17A3D">
      <w:pPr>
        <w:ind w:left="584"/>
        <w:rPr>
          <w:rFonts w:eastAsia="Times New Roman"/>
        </w:rPr>
        <w:sectPr w:rsidR="00461E7A" w:rsidRPr="00B76110" w:rsidSect="006A4BDD">
          <w:headerReference w:type="default" r:id="rId56"/>
          <w:footerReference w:type="default" r:id="rId57"/>
          <w:headerReference w:type="first" r:id="rId58"/>
          <w:footerReference w:type="first" r:id="rId59"/>
          <w:pgSz w:w="11906" w:h="16838"/>
          <w:pgMar w:top="1021" w:right="1701" w:bottom="1021" w:left="1588" w:header="601" w:footer="1077" w:gutter="0"/>
          <w:cols w:space="720"/>
          <w:docGrid w:linePitch="326"/>
        </w:sectPr>
      </w:pPr>
    </w:p>
    <w:p w:rsidR="00BD42A0" w:rsidRPr="00BD42A0" w:rsidRDefault="00BD42A0" w:rsidP="00BD42A0">
      <w:pPr>
        <w:pStyle w:val="Heading1"/>
        <w:numPr>
          <w:ilvl w:val="0"/>
          <w:numId w:val="0"/>
        </w:numPr>
        <w:ind w:left="850" w:hanging="850"/>
        <w:rPr>
          <w:szCs w:val="24"/>
        </w:rPr>
      </w:pPr>
      <w:r w:rsidRPr="00BD42A0">
        <w:rPr>
          <w:szCs w:val="24"/>
        </w:rPr>
        <w:lastRenderedPageBreak/>
        <w:t>ANNEXES (uploaded to electronic data exchange systems as separate files):</w:t>
      </w:r>
    </w:p>
    <w:p w:rsidR="00BD42A0" w:rsidRPr="00BD42A0" w:rsidRDefault="00BD42A0" w:rsidP="00BD42A0">
      <w:pPr>
        <w:pStyle w:val="Text1"/>
        <w:rPr>
          <w:szCs w:val="24"/>
        </w:rPr>
      </w:pPr>
    </w:p>
    <w:p w:rsidR="00BD42A0" w:rsidRPr="00BD42A0" w:rsidRDefault="00BD42A0" w:rsidP="00BD42A0">
      <w:pPr>
        <w:pStyle w:val="Heading2"/>
        <w:numPr>
          <w:ilvl w:val="0"/>
          <w:numId w:val="67"/>
        </w:numPr>
        <w:rPr>
          <w:szCs w:val="24"/>
        </w:rPr>
      </w:pPr>
      <w:r w:rsidRPr="00BD42A0">
        <w:rPr>
          <w:szCs w:val="24"/>
        </w:rPr>
        <w:t xml:space="preserve">Draft report of the ex-ante evaluation (including an executive summary of the report) </w:t>
      </w:r>
    </w:p>
    <w:p w:rsidR="00BD42A0" w:rsidRPr="00BD42A0" w:rsidRDefault="00BD42A0" w:rsidP="00BD42A0">
      <w:pPr>
        <w:pStyle w:val="Heading2"/>
        <w:numPr>
          <w:ilvl w:val="0"/>
          <w:numId w:val="67"/>
        </w:numPr>
        <w:rPr>
          <w:szCs w:val="24"/>
        </w:rPr>
      </w:pPr>
      <w:r w:rsidRPr="00BD42A0">
        <w:rPr>
          <w:szCs w:val="24"/>
        </w:rPr>
        <w:t>Confirmation of agreement in writing to the contents of the cooperation programme (Reference: Article 8(9) of Regulation (EU) No 1299/2013)</w:t>
      </w:r>
    </w:p>
    <w:p w:rsidR="00BD42A0" w:rsidRPr="00BD42A0" w:rsidRDefault="00BD42A0" w:rsidP="00BD42A0">
      <w:pPr>
        <w:pStyle w:val="Heading2"/>
        <w:numPr>
          <w:ilvl w:val="0"/>
          <w:numId w:val="67"/>
        </w:numPr>
        <w:rPr>
          <w:szCs w:val="24"/>
        </w:rPr>
      </w:pPr>
      <w:r w:rsidRPr="00BD42A0">
        <w:rPr>
          <w:szCs w:val="24"/>
        </w:rPr>
        <w:t xml:space="preserve">A map of the area covered by the cooperation programme </w:t>
      </w:r>
    </w:p>
    <w:p w:rsidR="00BD42A0" w:rsidRPr="00BD42A0" w:rsidRDefault="00BD42A0" w:rsidP="00BD42A0">
      <w:pPr>
        <w:pStyle w:val="Heading2"/>
        <w:numPr>
          <w:ilvl w:val="0"/>
          <w:numId w:val="67"/>
        </w:numPr>
        <w:rPr>
          <w:szCs w:val="24"/>
        </w:rPr>
      </w:pPr>
      <w:r w:rsidRPr="00BD42A0">
        <w:rPr>
          <w:szCs w:val="24"/>
        </w:rPr>
        <w:t xml:space="preserve">A "citizens summary" of the cooperation programme </w:t>
      </w:r>
    </w:p>
    <w:p w:rsidR="00BD42A0" w:rsidRPr="00BD42A0" w:rsidRDefault="00BD42A0" w:rsidP="00BD42A0">
      <w:pPr>
        <w:pStyle w:val="Heading2"/>
        <w:numPr>
          <w:ilvl w:val="0"/>
          <w:numId w:val="67"/>
        </w:numPr>
        <w:rPr>
          <w:szCs w:val="24"/>
        </w:rPr>
      </w:pPr>
      <w:r w:rsidRPr="00BD42A0">
        <w:rPr>
          <w:szCs w:val="24"/>
        </w:rPr>
        <w:t>Strategic Environmental Assessment</w:t>
      </w:r>
    </w:p>
    <w:p w:rsidR="00BD42A0" w:rsidRPr="00BD42A0" w:rsidRDefault="00BD42A0" w:rsidP="00BD42A0">
      <w:pPr>
        <w:pStyle w:val="Heading2"/>
        <w:numPr>
          <w:ilvl w:val="0"/>
          <w:numId w:val="67"/>
        </w:numPr>
        <w:ind w:left="851" w:hanging="851"/>
        <w:rPr>
          <w:szCs w:val="24"/>
        </w:rPr>
      </w:pPr>
      <w:r w:rsidRPr="00BD42A0">
        <w:rPr>
          <w:szCs w:val="24"/>
        </w:rPr>
        <w:t xml:space="preserve">Situation Analysis </w:t>
      </w:r>
    </w:p>
    <w:p w:rsidR="00BD42A0" w:rsidRPr="00BD42A0" w:rsidRDefault="00BD42A0" w:rsidP="00BD42A0">
      <w:pPr>
        <w:pStyle w:val="Heading2"/>
        <w:numPr>
          <w:ilvl w:val="0"/>
          <w:numId w:val="67"/>
        </w:numPr>
        <w:rPr>
          <w:szCs w:val="24"/>
        </w:rPr>
      </w:pPr>
      <w:r w:rsidRPr="00BD42A0">
        <w:rPr>
          <w:szCs w:val="24"/>
        </w:rPr>
        <w:t>SWOT Analysis</w:t>
      </w:r>
    </w:p>
    <w:p w:rsidR="00BD42A0" w:rsidRPr="00BD42A0" w:rsidRDefault="00BD42A0" w:rsidP="00BD42A0">
      <w:pPr>
        <w:pStyle w:val="Heading2"/>
        <w:numPr>
          <w:ilvl w:val="0"/>
          <w:numId w:val="67"/>
        </w:numPr>
        <w:rPr>
          <w:szCs w:val="24"/>
        </w:rPr>
      </w:pPr>
      <w:r w:rsidRPr="00BD42A0">
        <w:rPr>
          <w:szCs w:val="24"/>
        </w:rPr>
        <w:t>Programme intervention logic</w:t>
      </w:r>
    </w:p>
    <w:p w:rsidR="00BD42A0" w:rsidRPr="00BD42A0" w:rsidRDefault="00BD42A0" w:rsidP="00BD42A0">
      <w:pPr>
        <w:pStyle w:val="Heading2"/>
        <w:numPr>
          <w:ilvl w:val="0"/>
          <w:numId w:val="67"/>
        </w:numPr>
        <w:rPr>
          <w:szCs w:val="24"/>
        </w:rPr>
      </w:pPr>
      <w:r w:rsidRPr="00BD42A0">
        <w:rPr>
          <w:szCs w:val="24"/>
        </w:rPr>
        <w:t>Programme management structure</w:t>
      </w:r>
    </w:p>
    <w:p w:rsidR="00BD42A0" w:rsidRPr="00BD42A0" w:rsidRDefault="00BD42A0" w:rsidP="00BD42A0">
      <w:pPr>
        <w:pStyle w:val="Heading2"/>
        <w:numPr>
          <w:ilvl w:val="0"/>
          <w:numId w:val="67"/>
        </w:numPr>
        <w:rPr>
          <w:szCs w:val="24"/>
        </w:rPr>
      </w:pPr>
      <w:r w:rsidRPr="00BD42A0">
        <w:rPr>
          <w:szCs w:val="24"/>
        </w:rPr>
        <w:t>JMC functions</w:t>
      </w:r>
    </w:p>
    <w:p w:rsidR="00BD42A0" w:rsidRPr="00BD42A0" w:rsidRDefault="00BD42A0" w:rsidP="00BD42A0">
      <w:pPr>
        <w:pStyle w:val="Heading2"/>
        <w:numPr>
          <w:ilvl w:val="0"/>
          <w:numId w:val="67"/>
        </w:numPr>
        <w:rPr>
          <w:szCs w:val="24"/>
        </w:rPr>
      </w:pPr>
      <w:r w:rsidRPr="00BD42A0">
        <w:rPr>
          <w:szCs w:val="24"/>
        </w:rPr>
        <w:t>NA responsibilities</w:t>
      </w:r>
    </w:p>
    <w:p w:rsidR="00BD42A0" w:rsidRPr="00BD42A0" w:rsidRDefault="00BD42A0" w:rsidP="00BD42A0">
      <w:pPr>
        <w:pStyle w:val="Heading2"/>
        <w:numPr>
          <w:ilvl w:val="0"/>
          <w:numId w:val="67"/>
        </w:numPr>
        <w:rPr>
          <w:szCs w:val="24"/>
        </w:rPr>
      </w:pPr>
      <w:r w:rsidRPr="00BD42A0">
        <w:rPr>
          <w:szCs w:val="24"/>
        </w:rPr>
        <w:t>MA functions</w:t>
      </w:r>
    </w:p>
    <w:p w:rsidR="00BD42A0" w:rsidRPr="00BD42A0" w:rsidRDefault="00BD42A0" w:rsidP="00BD42A0">
      <w:pPr>
        <w:pStyle w:val="Heading2"/>
        <w:numPr>
          <w:ilvl w:val="0"/>
          <w:numId w:val="67"/>
        </w:numPr>
        <w:rPr>
          <w:szCs w:val="24"/>
        </w:rPr>
      </w:pPr>
      <w:r w:rsidRPr="00BD42A0">
        <w:rPr>
          <w:szCs w:val="24"/>
        </w:rPr>
        <w:t>CA functions</w:t>
      </w:r>
    </w:p>
    <w:p w:rsidR="00BD42A0" w:rsidRPr="00BD42A0" w:rsidRDefault="00BD42A0" w:rsidP="00BD42A0">
      <w:pPr>
        <w:pStyle w:val="Heading2"/>
        <w:numPr>
          <w:ilvl w:val="0"/>
          <w:numId w:val="67"/>
        </w:numPr>
        <w:rPr>
          <w:szCs w:val="24"/>
        </w:rPr>
      </w:pPr>
      <w:r w:rsidRPr="00BD42A0">
        <w:rPr>
          <w:szCs w:val="24"/>
        </w:rPr>
        <w:t>AA functions</w:t>
      </w:r>
    </w:p>
    <w:p w:rsidR="00BD42A0" w:rsidRPr="00BD42A0" w:rsidRDefault="00BD42A0" w:rsidP="00BD42A0">
      <w:pPr>
        <w:pStyle w:val="Heading2"/>
        <w:numPr>
          <w:ilvl w:val="0"/>
          <w:numId w:val="67"/>
        </w:numPr>
        <w:rPr>
          <w:szCs w:val="24"/>
        </w:rPr>
      </w:pPr>
      <w:r w:rsidRPr="00BD42A0">
        <w:rPr>
          <w:szCs w:val="24"/>
        </w:rPr>
        <w:t>JS responsibilities</w:t>
      </w:r>
    </w:p>
    <w:p w:rsidR="00BD42A0" w:rsidRPr="00BD42A0" w:rsidRDefault="00BD42A0" w:rsidP="00BD42A0">
      <w:pPr>
        <w:pStyle w:val="Heading2"/>
        <w:numPr>
          <w:ilvl w:val="0"/>
          <w:numId w:val="67"/>
        </w:numPr>
        <w:rPr>
          <w:szCs w:val="24"/>
        </w:rPr>
      </w:pPr>
      <w:r w:rsidRPr="00BD42A0">
        <w:rPr>
          <w:szCs w:val="24"/>
        </w:rPr>
        <w:t>Financial flows</w:t>
      </w:r>
    </w:p>
    <w:p w:rsidR="00BD42A0" w:rsidRPr="00BD42A0" w:rsidRDefault="00BD42A0" w:rsidP="00BD42A0">
      <w:pPr>
        <w:pStyle w:val="Heading2"/>
        <w:numPr>
          <w:ilvl w:val="0"/>
          <w:numId w:val="67"/>
        </w:numPr>
        <w:rPr>
          <w:szCs w:val="24"/>
        </w:rPr>
      </w:pPr>
      <w:r w:rsidRPr="00BD42A0">
        <w:rPr>
          <w:szCs w:val="24"/>
        </w:rPr>
        <w:t>Indicator description table</w:t>
      </w:r>
    </w:p>
    <w:p w:rsidR="00F91737" w:rsidRPr="00B76110" w:rsidRDefault="00F91737" w:rsidP="00BD42A0">
      <w:pPr>
        <w:spacing w:after="480"/>
      </w:pPr>
    </w:p>
    <w:sectPr w:rsidR="00F91737" w:rsidRPr="00B76110" w:rsidSect="006A4BD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7D" w:rsidRPr="00B76110" w:rsidRDefault="00A14C7D" w:rsidP="00292003">
      <w:pPr>
        <w:spacing w:before="0" w:after="0"/>
      </w:pPr>
      <w:r w:rsidRPr="00B76110">
        <w:separator/>
      </w:r>
    </w:p>
  </w:endnote>
  <w:endnote w:type="continuationSeparator" w:id="0">
    <w:p w:rsidR="00A14C7D" w:rsidRPr="00B76110" w:rsidRDefault="00A14C7D" w:rsidP="00292003">
      <w:pPr>
        <w:spacing w:before="0" w:after="0"/>
      </w:pPr>
      <w:r w:rsidRPr="00B761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332654" w:rsidRDefault="00441280" w:rsidP="00332654">
    <w:pPr>
      <w:pStyle w:val="Header"/>
      <w:jc w:val="center"/>
    </w:pPr>
    <w:r w:rsidRPr="00CC4D08">
      <w:t xml:space="preserve">IPA </w:t>
    </w:r>
    <w:r>
      <w:t>CBC</w:t>
    </w:r>
    <w:r w:rsidRPr="00CC4D08">
      <w:t xml:space="preserve"> Programme Croatia-Bosnia and Herzegovina-Montenegro 2014-2020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37</w:t>
    </w:r>
    <w:r>
      <w:fldChar w:fldCharType="end"/>
    </w: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43</w:t>
    </w:r>
    <w:r>
      <w:fldChar w:fldCharType="end"/>
    </w: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48</w:t>
    </w:r>
    <w:r>
      <w:fldChar w:fldCharType="end"/>
    </w: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55</w:t>
    </w:r>
    <w:r>
      <w:fldChar w:fldCharType="end"/>
    </w: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57</w:t>
    </w:r>
    <w:r>
      <w:fldChar w:fldCharType="end"/>
    </w: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365" w:rsidRPr="00332654" w:rsidRDefault="00441280" w:rsidP="00184365">
    <w:pPr>
      <w:pStyle w:val="Header"/>
      <w:jc w:val="cente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19</w:t>
    </w:r>
    <w:r>
      <w:fldChar w:fldCharType="end"/>
    </w:r>
    <w:r w:rsidR="00184365" w:rsidRPr="00184365">
      <w:t xml:space="preserve"> </w:t>
    </w:r>
    <w:r w:rsidR="00184365" w:rsidRPr="00CC4D08">
      <w:t xml:space="preserve">IPA </w:t>
    </w:r>
    <w:r w:rsidR="00184365">
      <w:t>CBC</w:t>
    </w:r>
    <w:r w:rsidR="00184365" w:rsidRPr="00CC4D08">
      <w:t xml:space="preserve"> Programme Croatia-Bosnia and Herzegovina-Montenegro 2014-2020</w:t>
    </w:r>
  </w:p>
  <w:p w:rsidR="00441280" w:rsidRPr="006A4BDD" w:rsidRDefault="00441280" w:rsidP="006A4BDD">
    <w:pPr>
      <w:pStyle w:val="FooterLandscape"/>
      <w:rPr>
        <w:rFonts w:ascii="Arial" w:hAnsi="Arial" w:cs="Arial"/>
        <w:b/>
        <w:sz w:val="48"/>
      </w:rPr>
    </w:pP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70</w:t>
    </w:r>
    <w:r>
      <w:fldChar w:fldCharType="end"/>
    </w: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97</w:t>
    </w:r>
    <w:r>
      <w:fldChar w:fldCharType="end"/>
    </w: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102</w:t>
    </w:r>
    <w:r>
      <w:fldChar w:fldCharType="end"/>
    </w:r>
    <w:r>
      <w:tab/>
    </w:r>
    <w:r w:rsidR="00C04087">
      <w:fldChar w:fldCharType="begin"/>
    </w:r>
    <w:r w:rsidR="00C04087">
      <w:instrText xml:space="preserve"> DOCVARIA</w:instrText>
    </w:r>
    <w:r w:rsidR="00C04087">
      <w:instrText xml:space="preserve">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365" w:rsidRPr="00332654" w:rsidRDefault="00441280" w:rsidP="00184365">
    <w:pPr>
      <w:pStyle w:val="Header"/>
      <w:jc w:val="cente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25</w:t>
    </w:r>
    <w:r>
      <w:fldChar w:fldCharType="end"/>
    </w:r>
    <w:r w:rsidR="00184365" w:rsidRPr="00184365">
      <w:t xml:space="preserve"> </w:t>
    </w:r>
    <w:r w:rsidR="00184365" w:rsidRPr="00CC4D08">
      <w:t xml:space="preserve">IPA </w:t>
    </w:r>
    <w:r w:rsidR="00184365">
      <w:t>CBC</w:t>
    </w:r>
    <w:r w:rsidR="00184365" w:rsidRPr="00CC4D08">
      <w:t xml:space="preserve"> Programme Croatia-Bosnia and Herzegovina-Montenegro 2014-2020</w:t>
    </w:r>
  </w:p>
  <w:p w:rsidR="00441280" w:rsidRPr="006A4BDD" w:rsidRDefault="00441280" w:rsidP="006A4BDD">
    <w:pPr>
      <w:pStyle w:val="Footer"/>
      <w:rPr>
        <w:rFonts w:ascii="Arial" w:hAnsi="Arial" w:cs="Arial"/>
        <w:b/>
        <w:sz w:val="48"/>
      </w:rPr>
    </w:pP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27</w:t>
    </w:r>
    <w:r>
      <w:fldChar w:fldCharType="end"/>
    </w: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fldChar w:fldCharType="begin"/>
    </w:r>
    <w:r>
      <w:instrText xml:space="preserve"> PAGE  \* MERGEFORMAT </w:instrText>
    </w:r>
    <w:r>
      <w:fldChar w:fldCharType="separate"/>
    </w:r>
    <w:r w:rsidR="00C04087">
      <w:rPr>
        <w:noProof/>
      </w:rPr>
      <w:t>30</w:t>
    </w:r>
    <w:r>
      <w:fldChar w:fldCharType="end"/>
    </w:r>
    <w:r>
      <w:tab/>
    </w:r>
    <w:r w:rsidR="00C04087">
      <w:fldChar w:fldCharType="begin"/>
    </w:r>
    <w:r w:rsidR="00C04087">
      <w:instrText xml:space="preserve"> DOCVARIABLE "LW_Confidence" \* MERGEFORMAT </w:instrText>
    </w:r>
    <w:r w:rsidR="00C04087">
      <w:fldChar w:fldCharType="separate"/>
    </w:r>
    <w:r>
      <w:t xml:space="preserve"> </w:t>
    </w:r>
    <w:r w:rsidR="00C04087">
      <w:fldChar w:fldCharType="end"/>
    </w:r>
    <w:r w:rsidRPr="006A4BDD">
      <w:tab/>
    </w:r>
    <w:r w:rsidRPr="006A4BDD">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7D" w:rsidRPr="00B76110" w:rsidRDefault="00A14C7D" w:rsidP="00292003">
      <w:pPr>
        <w:spacing w:before="0" w:after="0"/>
      </w:pPr>
      <w:r w:rsidRPr="00B76110">
        <w:separator/>
      </w:r>
    </w:p>
  </w:footnote>
  <w:footnote w:type="continuationSeparator" w:id="0">
    <w:p w:rsidR="00A14C7D" w:rsidRPr="00B76110" w:rsidRDefault="00A14C7D" w:rsidP="00292003">
      <w:pPr>
        <w:spacing w:before="0" w:after="0"/>
      </w:pPr>
      <w:r w:rsidRPr="00B76110">
        <w:continuationSeparator/>
      </w:r>
    </w:p>
  </w:footnote>
  <w:footnote w:id="1">
    <w:p w:rsidR="00441280" w:rsidRPr="00EF32FA" w:rsidRDefault="00441280">
      <w:pPr>
        <w:pStyle w:val="FootnoteText"/>
      </w:pPr>
      <w:r w:rsidRPr="00394F8E">
        <w:rPr>
          <w:rStyle w:val="FootnoteReference"/>
        </w:rPr>
        <w:footnoteRef/>
      </w:r>
      <w:r>
        <w:tab/>
        <w:t>T</w:t>
      </w:r>
      <w:r w:rsidRPr="0085711A">
        <w:t>arget values may be qualitative or quantitative</w:t>
      </w:r>
      <w:r>
        <w:t xml:space="preserve">. </w:t>
      </w:r>
    </w:p>
  </w:footnote>
  <w:footnote w:id="2">
    <w:p w:rsidR="00441280" w:rsidRPr="00EF32FA" w:rsidRDefault="00441280" w:rsidP="00F10141">
      <w:pPr>
        <w:pStyle w:val="FootnoteText"/>
      </w:pPr>
      <w:r w:rsidRPr="00394F8E">
        <w:rPr>
          <w:rStyle w:val="FootnoteReference"/>
        </w:rPr>
        <w:footnoteRef/>
      </w:r>
      <w:r>
        <w:tab/>
        <w:t>T</w:t>
      </w:r>
      <w:r w:rsidRPr="0085711A">
        <w:t>arget values may be qualitative or quantitative</w:t>
      </w:r>
      <w:r>
        <w:t xml:space="preserve">. </w:t>
      </w:r>
    </w:p>
  </w:footnote>
  <w:footnote w:id="3">
    <w:p w:rsidR="00441280" w:rsidRPr="00EF32FA" w:rsidRDefault="00441280" w:rsidP="002701C9">
      <w:pPr>
        <w:pStyle w:val="FootnoteText"/>
      </w:pPr>
      <w:r w:rsidRPr="00394F8E">
        <w:rPr>
          <w:rStyle w:val="FootnoteReference"/>
        </w:rPr>
        <w:footnoteRef/>
      </w:r>
      <w:r>
        <w:tab/>
        <w:t>T</w:t>
      </w:r>
      <w:r w:rsidRPr="0085711A">
        <w:t>arget values may be qualitative or quantitative</w:t>
      </w:r>
      <w:r>
        <w:t xml:space="preserve">. </w:t>
      </w:r>
    </w:p>
  </w:footnote>
  <w:footnote w:id="4">
    <w:p w:rsidR="00441280" w:rsidRPr="00EF32FA" w:rsidRDefault="00441280" w:rsidP="00487D34">
      <w:pPr>
        <w:pStyle w:val="FootnoteText"/>
      </w:pPr>
      <w:r w:rsidRPr="00394F8E">
        <w:rPr>
          <w:rStyle w:val="FootnoteReference"/>
        </w:rPr>
        <w:footnoteRef/>
      </w:r>
      <w:r>
        <w:tab/>
        <w:t>T</w:t>
      </w:r>
      <w:r w:rsidRPr="0085711A">
        <w:t>arget values may be qualitative or quantitative</w:t>
      </w:r>
      <w:r>
        <w:t xml:space="preserve">. </w:t>
      </w:r>
    </w:p>
  </w:footnote>
  <w:footnote w:id="5">
    <w:p w:rsidR="00441280" w:rsidRDefault="00441280" w:rsidP="00BE14B5">
      <w:pPr>
        <w:pStyle w:val="FootnoteText"/>
        <w:ind w:left="0" w:firstLine="0"/>
      </w:pPr>
      <w:r w:rsidRPr="00B76110">
        <w:rPr>
          <w:rStyle w:val="FootnoteReference"/>
        </w:rPr>
        <w:footnoteRef/>
      </w:r>
      <w:r w:rsidRPr="00B76110">
        <w:tab/>
      </w:r>
      <w:r w:rsidRPr="00567F19">
        <w:t>Required where the Union support to technical assistance in the cooperation programme exceeds EUR 15 million.</w:t>
      </w:r>
    </w:p>
  </w:footnote>
  <w:footnote w:id="6">
    <w:p w:rsidR="00441280" w:rsidRDefault="00441280" w:rsidP="0079451A">
      <w:pPr>
        <w:pStyle w:val="FootnoteText"/>
        <w:ind w:left="0" w:firstLine="0"/>
      </w:pPr>
      <w:r w:rsidRPr="00B76110">
        <w:rPr>
          <w:rStyle w:val="FootnoteReference"/>
        </w:rPr>
        <w:footnoteRef/>
      </w:r>
      <w:r w:rsidRPr="00B76110">
        <w:tab/>
      </w:r>
      <w:r w:rsidRPr="00567F19">
        <w:t>Required where the Union support to technical assistance in the cooperation programme exceeds EUR 15 million.</w:t>
      </w:r>
    </w:p>
  </w:footnote>
  <w:footnote w:id="7">
    <w:p w:rsidR="00441280" w:rsidRPr="00B76110" w:rsidRDefault="00441280" w:rsidP="005D0A11">
      <w:pPr>
        <w:pStyle w:val="FootnoteText"/>
        <w:ind w:left="0" w:firstLine="0"/>
      </w:pPr>
      <w:r w:rsidRPr="00B76110">
        <w:rPr>
          <w:rStyle w:val="FootnoteReference"/>
        </w:rPr>
        <w:footnoteRef/>
      </w:r>
      <w:r w:rsidRPr="00B76110">
        <w:tab/>
        <w:t xml:space="preserve">Required </w:t>
      </w:r>
      <w:r>
        <w:t xml:space="preserve">where objectively justified by the given the content of the actions and </w:t>
      </w:r>
      <w:r w:rsidRPr="00B76110">
        <w:t>where the Union support to technical assistance in the cooperation programme exceeds EUR 15 million.</w:t>
      </w:r>
    </w:p>
  </w:footnote>
  <w:footnote w:id="8">
    <w:p w:rsidR="00441280" w:rsidRPr="00124575" w:rsidRDefault="00441280">
      <w:pPr>
        <w:pStyle w:val="FootnoteText"/>
        <w:rPr>
          <w:lang w:val="hr-HR"/>
        </w:rPr>
      </w:pPr>
      <w:r>
        <w:rPr>
          <w:rStyle w:val="FootnoteReference"/>
        </w:rPr>
        <w:footnoteRef/>
      </w:r>
      <w:r>
        <w:t xml:space="preserve"> </w:t>
      </w:r>
      <w:r w:rsidRPr="00124575">
        <w:t>Indicator description table is Annex 17 to the Cooperation Programme</w:t>
      </w:r>
    </w:p>
  </w:footnote>
  <w:footnote w:id="9">
    <w:p w:rsidR="00441280" w:rsidRDefault="00441280">
      <w:pPr>
        <w:pStyle w:val="FootnoteText"/>
      </w:pPr>
      <w:r w:rsidRPr="00613EA2">
        <w:rPr>
          <w:rStyle w:val="FootnoteReference"/>
        </w:rPr>
        <w:footnoteRef/>
      </w:r>
      <w:r>
        <w:tab/>
      </w:r>
      <w:r w:rsidRPr="00166627">
        <w:t>European Investment Bank</w:t>
      </w:r>
    </w:p>
  </w:footnote>
  <w:footnote w:id="10">
    <w:p w:rsidR="00441280" w:rsidRPr="006750A9" w:rsidRDefault="00441280">
      <w:pPr>
        <w:pStyle w:val="FootnoteText"/>
        <w:rPr>
          <w:lang w:val="hr-HR"/>
        </w:rPr>
      </w:pPr>
      <w:r>
        <w:rPr>
          <w:rStyle w:val="FootnoteReference"/>
        </w:rPr>
        <w:footnoteRef/>
      </w:r>
      <w:r>
        <w:t xml:space="preserve">            </w:t>
      </w:r>
      <w:r w:rsidRPr="00616B58">
        <w:t>Numbers in the table are indicative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Default="00441280" w:rsidP="00A94099">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90517" w:rsidRDefault="00441280" w:rsidP="006A4BDD">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90517" w:rsidRDefault="00441280" w:rsidP="006A4BDD">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90517" w:rsidRDefault="00441280" w:rsidP="006A4BDD">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Landscap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90517" w:rsidRDefault="00441280" w:rsidP="006A4BD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90517" w:rsidRDefault="00441280" w:rsidP="006A4BDD">
    <w:pPr>
      <w:pStyle w:val="HeaderLandscap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90517" w:rsidRDefault="00441280" w:rsidP="006A4BD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90517" w:rsidRDefault="00441280" w:rsidP="006A4BDD">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80" w:rsidRPr="006A4BDD" w:rsidRDefault="00441280" w:rsidP="006A4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9759F4"/>
    <w:multiLevelType w:val="hybridMultilevel"/>
    <w:tmpl w:val="77CEC08A"/>
    <w:lvl w:ilvl="0" w:tplc="0413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0EA3BA9"/>
    <w:multiLevelType w:val="hybridMultilevel"/>
    <w:tmpl w:val="0D98D33E"/>
    <w:lvl w:ilvl="0" w:tplc="0413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01026B06"/>
    <w:multiLevelType w:val="hybridMultilevel"/>
    <w:tmpl w:val="17103F60"/>
    <w:lvl w:ilvl="0" w:tplc="2376EC96">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BFD1F4F"/>
    <w:multiLevelType w:val="hybridMultilevel"/>
    <w:tmpl w:val="B5FE6C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0DFA61A4"/>
    <w:multiLevelType w:val="hybridMultilevel"/>
    <w:tmpl w:val="20C808D8"/>
    <w:lvl w:ilvl="0" w:tplc="0413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65A2E60"/>
    <w:multiLevelType w:val="hybridMultilevel"/>
    <w:tmpl w:val="B468A234"/>
    <w:lvl w:ilvl="0" w:tplc="2376EC96">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67F431B"/>
    <w:multiLevelType w:val="hybridMultilevel"/>
    <w:tmpl w:val="4EF0A3C6"/>
    <w:lvl w:ilvl="0" w:tplc="2376EC96">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AE44247"/>
    <w:multiLevelType w:val="multilevel"/>
    <w:tmpl w:val="B8AAEF0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upperLetter"/>
      <w:lvlText w:val="%4."/>
      <w:lvlJc w:val="left"/>
      <w:pPr>
        <w:tabs>
          <w:tab w:val="num" w:pos="850"/>
        </w:tabs>
        <w:ind w:left="850" w:hanging="850"/>
      </w:pPr>
      <w:rPr>
        <w:rFonts w:ascii="Times New Roman" w:eastAsia="Times New Roman" w:hAnsi="Times New Roman"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1D2845C5"/>
    <w:multiLevelType w:val="hybridMultilevel"/>
    <w:tmpl w:val="D46CE04C"/>
    <w:lvl w:ilvl="0" w:tplc="2376EC96">
      <w:numFmt w:val="bullet"/>
      <w:lvlText w:val="-"/>
      <w:lvlJc w:val="left"/>
      <w:pPr>
        <w:ind w:left="360" w:hanging="360"/>
      </w:pPr>
      <w:rPr>
        <w:rFonts w:ascii="Trebuchet MS" w:eastAsia="Times New Roman" w:hAnsi="Trebuchet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22E44180"/>
    <w:multiLevelType w:val="multilevel"/>
    <w:tmpl w:val="C7B038BA"/>
    <w:name w:val="NumPar"/>
    <w:lvl w:ilvl="0">
      <w:start w:val="2"/>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68"/>
        </w:tabs>
        <w:ind w:left="868"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0">
    <w:nsid w:val="282C620A"/>
    <w:multiLevelType w:val="hybridMultilevel"/>
    <w:tmpl w:val="C89A546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2D03139E"/>
    <w:multiLevelType w:val="hybridMultilevel"/>
    <w:tmpl w:val="6B505746"/>
    <w:lvl w:ilvl="0" w:tplc="2376EC96">
      <w:numFmt w:val="bullet"/>
      <w:lvlText w:val="-"/>
      <w:lvlJc w:val="left"/>
      <w:pPr>
        <w:ind w:left="360" w:hanging="360"/>
      </w:pPr>
      <w:rPr>
        <w:rFonts w:ascii="Trebuchet MS" w:eastAsia="Times New Roman" w:hAnsi="Trebuchet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2D706CF9"/>
    <w:multiLevelType w:val="hybridMultilevel"/>
    <w:tmpl w:val="DC52B6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32D605E4"/>
    <w:multiLevelType w:val="hybridMultilevel"/>
    <w:tmpl w:val="43DC9B46"/>
    <w:lvl w:ilvl="0" w:tplc="2376EC96">
      <w:numFmt w:val="bullet"/>
      <w:lvlText w:val="-"/>
      <w:lvlJc w:val="left"/>
      <w:pPr>
        <w:ind w:left="360" w:hanging="360"/>
      </w:pPr>
      <w:rPr>
        <w:rFonts w:ascii="Trebuchet MS" w:eastAsia="Times New Roman" w:hAnsi="Trebuchet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nsid w:val="34BC3F76"/>
    <w:multiLevelType w:val="hybridMultilevel"/>
    <w:tmpl w:val="9E4AF034"/>
    <w:lvl w:ilvl="0" w:tplc="2376EC96">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95820B6"/>
    <w:multiLevelType w:val="hybridMultilevel"/>
    <w:tmpl w:val="1CB48E7E"/>
    <w:name w:val="NumPar22"/>
    <w:lvl w:ilvl="0" w:tplc="7E1C9028">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A2C65F3"/>
    <w:multiLevelType w:val="hybridMultilevel"/>
    <w:tmpl w:val="ADBA6E34"/>
    <w:lvl w:ilvl="0" w:tplc="2376EC96">
      <w:numFmt w:val="bullet"/>
      <w:lvlText w:val="-"/>
      <w:lvlJc w:val="left"/>
      <w:pPr>
        <w:ind w:left="360" w:hanging="360"/>
      </w:pPr>
      <w:rPr>
        <w:rFonts w:ascii="Trebuchet MS" w:eastAsia="Times New Roman" w:hAnsi="Trebuchet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3AF75CF6"/>
    <w:multiLevelType w:val="hybridMultilevel"/>
    <w:tmpl w:val="283499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3B0F6090"/>
    <w:multiLevelType w:val="multilevel"/>
    <w:tmpl w:val="A412E33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B6B4163"/>
    <w:multiLevelType w:val="hybridMultilevel"/>
    <w:tmpl w:val="5E4888B2"/>
    <w:lvl w:ilvl="0" w:tplc="0413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3CA37CA7"/>
    <w:multiLevelType w:val="hybridMultilevel"/>
    <w:tmpl w:val="567E9F2C"/>
    <w:lvl w:ilvl="0" w:tplc="B2829188">
      <w:start w:val="1"/>
      <w:numFmt w:val="decimal"/>
      <w:lvlText w:val="%1."/>
      <w:lvlJc w:val="left"/>
      <w:pPr>
        <w:tabs>
          <w:tab w:val="num" w:pos="720"/>
        </w:tabs>
        <w:ind w:left="720" w:hanging="360"/>
      </w:pPr>
    </w:lvl>
    <w:lvl w:ilvl="1" w:tplc="A792F636" w:tentative="1">
      <w:start w:val="1"/>
      <w:numFmt w:val="decimal"/>
      <w:lvlText w:val="%2."/>
      <w:lvlJc w:val="left"/>
      <w:pPr>
        <w:tabs>
          <w:tab w:val="num" w:pos="1440"/>
        </w:tabs>
        <w:ind w:left="1440" w:hanging="360"/>
      </w:pPr>
    </w:lvl>
    <w:lvl w:ilvl="2" w:tplc="2DD001D2" w:tentative="1">
      <w:start w:val="1"/>
      <w:numFmt w:val="decimal"/>
      <w:lvlText w:val="%3."/>
      <w:lvlJc w:val="left"/>
      <w:pPr>
        <w:tabs>
          <w:tab w:val="num" w:pos="2160"/>
        </w:tabs>
        <w:ind w:left="2160" w:hanging="360"/>
      </w:pPr>
    </w:lvl>
    <w:lvl w:ilvl="3" w:tplc="274ACDE4" w:tentative="1">
      <w:start w:val="1"/>
      <w:numFmt w:val="decimal"/>
      <w:lvlText w:val="%4."/>
      <w:lvlJc w:val="left"/>
      <w:pPr>
        <w:tabs>
          <w:tab w:val="num" w:pos="2880"/>
        </w:tabs>
        <w:ind w:left="2880" w:hanging="360"/>
      </w:pPr>
    </w:lvl>
    <w:lvl w:ilvl="4" w:tplc="3BD2501C" w:tentative="1">
      <w:start w:val="1"/>
      <w:numFmt w:val="decimal"/>
      <w:lvlText w:val="%5."/>
      <w:lvlJc w:val="left"/>
      <w:pPr>
        <w:tabs>
          <w:tab w:val="num" w:pos="3600"/>
        </w:tabs>
        <w:ind w:left="3600" w:hanging="360"/>
      </w:pPr>
    </w:lvl>
    <w:lvl w:ilvl="5" w:tplc="C038CA46" w:tentative="1">
      <w:start w:val="1"/>
      <w:numFmt w:val="decimal"/>
      <w:lvlText w:val="%6."/>
      <w:lvlJc w:val="left"/>
      <w:pPr>
        <w:tabs>
          <w:tab w:val="num" w:pos="4320"/>
        </w:tabs>
        <w:ind w:left="4320" w:hanging="360"/>
      </w:pPr>
    </w:lvl>
    <w:lvl w:ilvl="6" w:tplc="6E3C7DEE">
      <w:start w:val="1"/>
      <w:numFmt w:val="decimal"/>
      <w:lvlText w:val="%7."/>
      <w:lvlJc w:val="left"/>
      <w:pPr>
        <w:tabs>
          <w:tab w:val="num" w:pos="5040"/>
        </w:tabs>
        <w:ind w:left="5040" w:hanging="360"/>
      </w:pPr>
    </w:lvl>
    <w:lvl w:ilvl="7" w:tplc="AB1E0C98" w:tentative="1">
      <w:start w:val="1"/>
      <w:numFmt w:val="decimal"/>
      <w:lvlText w:val="%8."/>
      <w:lvlJc w:val="left"/>
      <w:pPr>
        <w:tabs>
          <w:tab w:val="num" w:pos="5760"/>
        </w:tabs>
        <w:ind w:left="5760" w:hanging="360"/>
      </w:pPr>
    </w:lvl>
    <w:lvl w:ilvl="8" w:tplc="5FEEC1D8" w:tentative="1">
      <w:start w:val="1"/>
      <w:numFmt w:val="decimal"/>
      <w:lvlText w:val="%9."/>
      <w:lvlJc w:val="left"/>
      <w:pPr>
        <w:tabs>
          <w:tab w:val="num" w:pos="6480"/>
        </w:tabs>
        <w:ind w:left="6480" w:hanging="36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6">
    <w:nsid w:val="430B3554"/>
    <w:multiLevelType w:val="hybridMultilevel"/>
    <w:tmpl w:val="12B4D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471A7914"/>
    <w:multiLevelType w:val="hybridMultilevel"/>
    <w:tmpl w:val="09020D8E"/>
    <w:lvl w:ilvl="0" w:tplc="178242FA">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178242FA">
      <w:numFmt w:val="bullet"/>
      <w:lvlText w:val="-"/>
      <w:lvlJc w:val="left"/>
      <w:pPr>
        <w:ind w:left="678" w:hanging="360"/>
      </w:pPr>
      <w:rPr>
        <w:rFonts w:ascii="Calibri" w:eastAsia="MS Mincho" w:hAnsi="Calibri" w:cs="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51F15B06"/>
    <w:multiLevelType w:val="hybridMultilevel"/>
    <w:tmpl w:val="A03EDC2E"/>
    <w:lvl w:ilvl="0" w:tplc="041A000B">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nsid w:val="5DE020D3"/>
    <w:multiLevelType w:val="hybridMultilevel"/>
    <w:tmpl w:val="D7C07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nsid w:val="5EE4185E"/>
    <w:multiLevelType w:val="multilevel"/>
    <w:tmpl w:val="E2DA8B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5EF64A2C"/>
    <w:multiLevelType w:val="hybridMultilevel"/>
    <w:tmpl w:val="6122C5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60CC3654"/>
    <w:multiLevelType w:val="hybridMultilevel"/>
    <w:tmpl w:val="CA4C6EF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nsid w:val="60FA2693"/>
    <w:multiLevelType w:val="hybridMultilevel"/>
    <w:tmpl w:val="BB38F0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10B3D67"/>
    <w:multiLevelType w:val="hybridMultilevel"/>
    <w:tmpl w:val="C66240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nsid w:val="61C16D4A"/>
    <w:multiLevelType w:val="hybridMultilevel"/>
    <w:tmpl w:val="05A872FE"/>
    <w:lvl w:ilvl="0" w:tplc="2376EC96">
      <w:numFmt w:val="bullet"/>
      <w:lvlText w:val="-"/>
      <w:lvlJc w:val="left"/>
      <w:pPr>
        <w:ind w:left="644" w:hanging="360"/>
      </w:pPr>
      <w:rPr>
        <w:rFonts w:ascii="Trebuchet MS" w:eastAsia="Times New Roman" w:hAnsi="Trebuchet MS"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4">
    <w:nsid w:val="625532E8"/>
    <w:multiLevelType w:val="hybridMultilevel"/>
    <w:tmpl w:val="3C76F184"/>
    <w:lvl w:ilvl="0" w:tplc="2376EC96">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62B50230"/>
    <w:multiLevelType w:val="hybridMultilevel"/>
    <w:tmpl w:val="9D10147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nsid w:val="633A7549"/>
    <w:multiLevelType w:val="hybridMultilevel"/>
    <w:tmpl w:val="700AC98C"/>
    <w:lvl w:ilvl="0" w:tplc="0413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2">
    <w:nsid w:val="67C37048"/>
    <w:multiLevelType w:val="hybridMultilevel"/>
    <w:tmpl w:val="72EA1A5E"/>
    <w:name w:val="NumPar2"/>
    <w:lvl w:ilvl="0" w:tplc="7E1C9028">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69941328"/>
    <w:multiLevelType w:val="hybridMultilevel"/>
    <w:tmpl w:val="DE4C90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nsid w:val="6B7F30B5"/>
    <w:multiLevelType w:val="hybridMultilevel"/>
    <w:tmpl w:val="ABF4228A"/>
    <w:lvl w:ilvl="0" w:tplc="0413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5">
    <w:nsid w:val="6BF13F16"/>
    <w:multiLevelType w:val="multilevel"/>
    <w:tmpl w:val="E652797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7">
    <w:nsid w:val="6EB7345A"/>
    <w:multiLevelType w:val="hybridMultilevel"/>
    <w:tmpl w:val="EAE879FA"/>
    <w:lvl w:ilvl="0" w:tplc="F43C456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8">
    <w:nsid w:val="77C04817"/>
    <w:multiLevelType w:val="hybridMultilevel"/>
    <w:tmpl w:val="A5B484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789B235A"/>
    <w:multiLevelType w:val="hybridMultilevel"/>
    <w:tmpl w:val="D7F43F08"/>
    <w:lvl w:ilvl="0" w:tplc="AD9A7A3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nsid w:val="79B85DC1"/>
    <w:multiLevelType w:val="hybridMultilevel"/>
    <w:tmpl w:val="73D2D046"/>
    <w:lvl w:ilvl="0" w:tplc="7FA8F16A">
      <w:start w:val="1"/>
      <w:numFmt w:val="bullet"/>
      <w:lvlText w:val="–"/>
      <w:lvlJc w:val="left"/>
      <w:pPr>
        <w:ind w:left="360" w:hanging="360"/>
      </w:pPr>
      <w:rPr>
        <w:rFonts w:ascii="Arial" w:hAnsi="Arial" w:cs="Arial" w:hint="default"/>
        <w:color w:val="0060A9"/>
      </w:rPr>
    </w:lvl>
    <w:lvl w:ilvl="1" w:tplc="0F4E75A0" w:tentative="1">
      <w:start w:val="1"/>
      <w:numFmt w:val="bullet"/>
      <w:lvlText w:val="o"/>
      <w:lvlJc w:val="left"/>
      <w:pPr>
        <w:ind w:left="1080" w:hanging="360"/>
      </w:pPr>
      <w:rPr>
        <w:rFonts w:ascii="Courier New" w:hAnsi="Courier New" w:cs="Courier New" w:hint="default"/>
      </w:rPr>
    </w:lvl>
    <w:lvl w:ilvl="2" w:tplc="06AAF4DA" w:tentative="1">
      <w:start w:val="1"/>
      <w:numFmt w:val="bullet"/>
      <w:lvlText w:val=""/>
      <w:lvlJc w:val="left"/>
      <w:pPr>
        <w:ind w:left="1800" w:hanging="360"/>
      </w:pPr>
      <w:rPr>
        <w:rFonts w:ascii="Wingdings" w:hAnsi="Wingdings" w:hint="default"/>
      </w:rPr>
    </w:lvl>
    <w:lvl w:ilvl="3" w:tplc="E4181F90" w:tentative="1">
      <w:start w:val="1"/>
      <w:numFmt w:val="bullet"/>
      <w:lvlText w:val=""/>
      <w:lvlJc w:val="left"/>
      <w:pPr>
        <w:ind w:left="2520" w:hanging="360"/>
      </w:pPr>
      <w:rPr>
        <w:rFonts w:ascii="Symbol" w:hAnsi="Symbol" w:hint="default"/>
      </w:rPr>
    </w:lvl>
    <w:lvl w:ilvl="4" w:tplc="5D8E875C" w:tentative="1">
      <w:start w:val="1"/>
      <w:numFmt w:val="bullet"/>
      <w:lvlText w:val="o"/>
      <w:lvlJc w:val="left"/>
      <w:pPr>
        <w:ind w:left="3240" w:hanging="360"/>
      </w:pPr>
      <w:rPr>
        <w:rFonts w:ascii="Courier New" w:hAnsi="Courier New" w:cs="Courier New" w:hint="default"/>
      </w:rPr>
    </w:lvl>
    <w:lvl w:ilvl="5" w:tplc="75C68C24" w:tentative="1">
      <w:start w:val="1"/>
      <w:numFmt w:val="bullet"/>
      <w:lvlText w:val=""/>
      <w:lvlJc w:val="left"/>
      <w:pPr>
        <w:ind w:left="3960" w:hanging="360"/>
      </w:pPr>
      <w:rPr>
        <w:rFonts w:ascii="Wingdings" w:hAnsi="Wingdings" w:hint="default"/>
      </w:rPr>
    </w:lvl>
    <w:lvl w:ilvl="6" w:tplc="E8468244" w:tentative="1">
      <w:start w:val="1"/>
      <w:numFmt w:val="bullet"/>
      <w:lvlText w:val=""/>
      <w:lvlJc w:val="left"/>
      <w:pPr>
        <w:ind w:left="4680" w:hanging="360"/>
      </w:pPr>
      <w:rPr>
        <w:rFonts w:ascii="Symbol" w:hAnsi="Symbol" w:hint="default"/>
      </w:rPr>
    </w:lvl>
    <w:lvl w:ilvl="7" w:tplc="F32A57DA" w:tentative="1">
      <w:start w:val="1"/>
      <w:numFmt w:val="bullet"/>
      <w:lvlText w:val="o"/>
      <w:lvlJc w:val="left"/>
      <w:pPr>
        <w:ind w:left="5400" w:hanging="360"/>
      </w:pPr>
      <w:rPr>
        <w:rFonts w:ascii="Courier New" w:hAnsi="Courier New" w:cs="Courier New" w:hint="default"/>
      </w:rPr>
    </w:lvl>
    <w:lvl w:ilvl="8" w:tplc="9E3A7CAC" w:tentative="1">
      <w:start w:val="1"/>
      <w:numFmt w:val="bullet"/>
      <w:lvlText w:val=""/>
      <w:lvlJc w:val="left"/>
      <w:pPr>
        <w:ind w:left="6120" w:hanging="360"/>
      </w:pPr>
      <w:rPr>
        <w:rFonts w:ascii="Wingdings" w:hAnsi="Wingdings" w:hint="default"/>
      </w:rPr>
    </w:lvl>
  </w:abstractNum>
  <w:abstractNum w:abstractNumId="71">
    <w:nsid w:val="7BA95131"/>
    <w:multiLevelType w:val="hybridMultilevel"/>
    <w:tmpl w:val="CD6EB25E"/>
    <w:lvl w:ilvl="0" w:tplc="2376EC96">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2">
    <w:nsid w:val="7C470D0B"/>
    <w:multiLevelType w:val="hybridMultilevel"/>
    <w:tmpl w:val="126C019E"/>
    <w:lvl w:ilvl="0" w:tplc="2376EC96">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58"/>
  </w:num>
  <w:num w:numId="8">
    <w:abstractNumId w:val="60"/>
  </w:num>
  <w:num w:numId="9">
    <w:abstractNumId w:val="59"/>
  </w:num>
  <w:num w:numId="10">
    <w:abstractNumId w:val="66"/>
  </w:num>
  <w:num w:numId="11">
    <w:abstractNumId w:val="19"/>
  </w:num>
  <w:num w:numId="12">
    <w:abstractNumId w:val="34"/>
  </w:num>
  <w:num w:numId="13">
    <w:abstractNumId w:val="39"/>
  </w:num>
  <w:num w:numId="14">
    <w:abstractNumId w:val="37"/>
  </w:num>
  <w:num w:numId="15">
    <w:abstractNumId w:val="9"/>
  </w:num>
  <w:num w:numId="16">
    <w:abstractNumId w:val="41"/>
  </w:num>
  <w:num w:numId="17">
    <w:abstractNumId w:val="36"/>
  </w:num>
  <w:num w:numId="18">
    <w:abstractNumId w:val="12"/>
  </w:num>
  <w:num w:numId="19">
    <w:abstractNumId w:val="46"/>
  </w:num>
  <w:num w:numId="20">
    <w:abstractNumId w:val="33"/>
  </w:num>
  <w:num w:numId="21">
    <w:abstractNumId w:val="61"/>
  </w:num>
  <w:num w:numId="22">
    <w:abstractNumId w:val="22"/>
  </w:num>
  <w:num w:numId="23">
    <w:abstractNumId w:val="35"/>
  </w:num>
  <w:num w:numId="24">
    <w:abstractNumId w:val="57"/>
  </w:num>
  <w:num w:numId="25">
    <w:abstractNumId w:val="16"/>
  </w:num>
  <w:num w:numId="26">
    <w:abstractNumId w:val="38"/>
  </w:num>
  <w:num w:numId="27">
    <w:abstractNumId w:val="44"/>
  </w:num>
  <w:num w:numId="28">
    <w:abstractNumId w:val="45"/>
  </w:num>
  <w:num w:numId="29">
    <w:abstractNumId w:val="21"/>
  </w:num>
  <w:num w:numId="30">
    <w:abstractNumId w:val="43"/>
  </w:num>
  <w:num w:numId="31">
    <w:abstractNumId w:val="73"/>
  </w:num>
  <w:num w:numId="32">
    <w:abstractNumId w:val="26"/>
  </w:num>
  <w:num w:numId="33">
    <w:abstractNumId w:val="52"/>
  </w:num>
  <w:num w:numId="34">
    <w:abstractNumId w:val="24"/>
  </w:num>
  <w:num w:numId="35">
    <w:abstractNumId w:val="29"/>
  </w:num>
  <w:num w:numId="36">
    <w:abstractNumId w:val="63"/>
  </w:num>
  <w:num w:numId="37">
    <w:abstractNumId w:val="20"/>
  </w:num>
  <w:num w:numId="38">
    <w:abstractNumId w:val="47"/>
  </w:num>
  <w:num w:numId="39">
    <w:abstractNumId w:val="50"/>
  </w:num>
  <w:num w:numId="40">
    <w:abstractNumId w:val="64"/>
  </w:num>
  <w:num w:numId="41">
    <w:abstractNumId w:val="11"/>
  </w:num>
  <w:num w:numId="42">
    <w:abstractNumId w:val="7"/>
  </w:num>
  <w:num w:numId="43">
    <w:abstractNumId w:val="56"/>
  </w:num>
  <w:num w:numId="44">
    <w:abstractNumId w:val="54"/>
  </w:num>
  <w:num w:numId="45">
    <w:abstractNumId w:val="18"/>
  </w:num>
  <w:num w:numId="46">
    <w:abstractNumId w:val="6"/>
  </w:num>
  <w:num w:numId="47">
    <w:abstractNumId w:val="31"/>
  </w:num>
  <w:num w:numId="48">
    <w:abstractNumId w:val="70"/>
  </w:num>
  <w:num w:numId="49">
    <w:abstractNumId w:val="55"/>
  </w:num>
  <w:num w:numId="50">
    <w:abstractNumId w:val="40"/>
  </w:num>
  <w:num w:numId="51">
    <w:abstractNumId w:val="67"/>
  </w:num>
  <w:num w:numId="52">
    <w:abstractNumId w:val="13"/>
  </w:num>
  <w:num w:numId="53">
    <w:abstractNumId w:val="14"/>
  </w:num>
  <w:num w:numId="54">
    <w:abstractNumId w:val="72"/>
  </w:num>
  <w:num w:numId="55">
    <w:abstractNumId w:val="8"/>
  </w:num>
  <w:num w:numId="56">
    <w:abstractNumId w:val="71"/>
  </w:num>
  <w:num w:numId="57">
    <w:abstractNumId w:val="32"/>
  </w:num>
  <w:num w:numId="58">
    <w:abstractNumId w:val="30"/>
  </w:num>
  <w:num w:numId="59">
    <w:abstractNumId w:val="65"/>
  </w:num>
  <w:num w:numId="60">
    <w:abstractNumId w:val="68"/>
  </w:num>
  <w:num w:numId="61">
    <w:abstractNumId w:val="69"/>
  </w:num>
  <w:num w:numId="62">
    <w:abstractNumId w:val="28"/>
  </w:num>
  <w:num w:numId="63">
    <w:abstractNumId w:val="53"/>
  </w:num>
  <w:num w:numId="64">
    <w:abstractNumId w:val="25"/>
  </w:num>
  <w:num w:numId="65">
    <w:abstractNumId w:val="23"/>
  </w:num>
  <w:num w:numId="66">
    <w:abstractNumId w:val="17"/>
  </w:num>
  <w:num w:numId="67">
    <w:abstractNumId w:val="15"/>
  </w:num>
  <w:num w:numId="68">
    <w:abstractNumId w:val="48"/>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num>
  <w:num w:numId="82">
    <w:abstractNumId w:val="49"/>
  </w:num>
  <w:num w:numId="83">
    <w:abstractNumId w:val="42"/>
  </w:num>
  <w:num w:numId="84">
    <w:abstractNumId w:val="10"/>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lena Plavetić">
    <w15:presenceInfo w15:providerId="AD" w15:userId="S-1-5-21-770633012-169110031-1155432073-1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3-12-20 16:22: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57"/>
    <w:docVar w:name="DQCResult_UnknownFonts" w:val="0;0"/>
    <w:docVar w:name="DQCResult_UnknownStyles" w:val="0;3"/>
    <w:docVar w:name="DQCStatus" w:val="Yellow"/>
    <w:docVar w:name="DQCVersion" w:val="3"/>
    <w:docVar w:name="DQCWithWarnings" w:val="0"/>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6634FBEDC06C4C0A8EB2C36FE3593655"/>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CP" w:val="laying down rules pursuant to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with regard to models for operational programmes under the Investment for growth and jobs goal and pursuant to Regulation (EU) No 1299/2013 of the European Parliament and of the Council on specific provisions for the support from the European Regional Development Fund to the European territorial cooperation goal with regard to models for cooperation programmes under the European territorial cooperation goal"/>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Model for cooperation programmes under the European territorial cooperation goal"/>
    <w:docVar w:name="LW_TYPE.DOC.CP" w:val="ANNEX"/>
    <w:docVar w:name="LW_TYPEACTEPRINCIPAL.CP" w:val="COMMISSION IMPLEMENTING REGULATION (EU) No \u8230?/.."/>
    <w:docVar w:name="Stamp" w:val="\\dossiers.dgt.cec.eu.int\dossiers\REGIO\REGIO-2013-00828\REGIO-2013-00828-00-02-EN-REV-00.DOC"/>
  </w:docVars>
  <w:rsids>
    <w:rsidRoot w:val="00292003"/>
    <w:rsid w:val="00000298"/>
    <w:rsid w:val="0000039F"/>
    <w:rsid w:val="000004F1"/>
    <w:rsid w:val="00001263"/>
    <w:rsid w:val="00002A11"/>
    <w:rsid w:val="0000353E"/>
    <w:rsid w:val="00005256"/>
    <w:rsid w:val="0000527F"/>
    <w:rsid w:val="00006FB1"/>
    <w:rsid w:val="00006FDC"/>
    <w:rsid w:val="0000709E"/>
    <w:rsid w:val="00007D81"/>
    <w:rsid w:val="00010A21"/>
    <w:rsid w:val="00011F40"/>
    <w:rsid w:val="000127B4"/>
    <w:rsid w:val="00012F0E"/>
    <w:rsid w:val="00014013"/>
    <w:rsid w:val="00014C24"/>
    <w:rsid w:val="0001548F"/>
    <w:rsid w:val="0001646E"/>
    <w:rsid w:val="00016935"/>
    <w:rsid w:val="000175C0"/>
    <w:rsid w:val="00021F69"/>
    <w:rsid w:val="00024883"/>
    <w:rsid w:val="000258D2"/>
    <w:rsid w:val="0002780D"/>
    <w:rsid w:val="00027D45"/>
    <w:rsid w:val="00030E3C"/>
    <w:rsid w:val="000316F7"/>
    <w:rsid w:val="000404F7"/>
    <w:rsid w:val="000407D4"/>
    <w:rsid w:val="0004097F"/>
    <w:rsid w:val="00040DBE"/>
    <w:rsid w:val="0004271A"/>
    <w:rsid w:val="00042E79"/>
    <w:rsid w:val="00044657"/>
    <w:rsid w:val="000448CC"/>
    <w:rsid w:val="00047352"/>
    <w:rsid w:val="0004752D"/>
    <w:rsid w:val="00050A46"/>
    <w:rsid w:val="00052931"/>
    <w:rsid w:val="00053ABA"/>
    <w:rsid w:val="00053B3B"/>
    <w:rsid w:val="00053E46"/>
    <w:rsid w:val="000542F1"/>
    <w:rsid w:val="0005500E"/>
    <w:rsid w:val="00055394"/>
    <w:rsid w:val="00056085"/>
    <w:rsid w:val="00056E78"/>
    <w:rsid w:val="00057D7F"/>
    <w:rsid w:val="00060327"/>
    <w:rsid w:val="00061508"/>
    <w:rsid w:val="00062165"/>
    <w:rsid w:val="0006252B"/>
    <w:rsid w:val="0006313C"/>
    <w:rsid w:val="00064744"/>
    <w:rsid w:val="000653D2"/>
    <w:rsid w:val="000655FA"/>
    <w:rsid w:val="0006682B"/>
    <w:rsid w:val="00066AC9"/>
    <w:rsid w:val="0006723B"/>
    <w:rsid w:val="00067A10"/>
    <w:rsid w:val="00070237"/>
    <w:rsid w:val="000703EA"/>
    <w:rsid w:val="00070A08"/>
    <w:rsid w:val="00070D33"/>
    <w:rsid w:val="00073B6E"/>
    <w:rsid w:val="0007480E"/>
    <w:rsid w:val="00075906"/>
    <w:rsid w:val="0007735C"/>
    <w:rsid w:val="000773E3"/>
    <w:rsid w:val="00080357"/>
    <w:rsid w:val="000814C8"/>
    <w:rsid w:val="000819C4"/>
    <w:rsid w:val="0008208D"/>
    <w:rsid w:val="00082507"/>
    <w:rsid w:val="00082B87"/>
    <w:rsid w:val="00082EDF"/>
    <w:rsid w:val="00083F18"/>
    <w:rsid w:val="0008435A"/>
    <w:rsid w:val="00084F43"/>
    <w:rsid w:val="00084F53"/>
    <w:rsid w:val="0008559F"/>
    <w:rsid w:val="00085AC2"/>
    <w:rsid w:val="000864EF"/>
    <w:rsid w:val="00087EA3"/>
    <w:rsid w:val="00092883"/>
    <w:rsid w:val="00092A77"/>
    <w:rsid w:val="00094796"/>
    <w:rsid w:val="00094D41"/>
    <w:rsid w:val="00095203"/>
    <w:rsid w:val="000955D2"/>
    <w:rsid w:val="000A0825"/>
    <w:rsid w:val="000A0E97"/>
    <w:rsid w:val="000A28F4"/>
    <w:rsid w:val="000A36AF"/>
    <w:rsid w:val="000A3964"/>
    <w:rsid w:val="000A409A"/>
    <w:rsid w:val="000A65E0"/>
    <w:rsid w:val="000A691B"/>
    <w:rsid w:val="000A7373"/>
    <w:rsid w:val="000B1E11"/>
    <w:rsid w:val="000B2980"/>
    <w:rsid w:val="000B3958"/>
    <w:rsid w:val="000B5243"/>
    <w:rsid w:val="000B5F72"/>
    <w:rsid w:val="000B6D7A"/>
    <w:rsid w:val="000B6F5D"/>
    <w:rsid w:val="000B7228"/>
    <w:rsid w:val="000C0830"/>
    <w:rsid w:val="000C0BCF"/>
    <w:rsid w:val="000C0F25"/>
    <w:rsid w:val="000C17F1"/>
    <w:rsid w:val="000C1B88"/>
    <w:rsid w:val="000C28AB"/>
    <w:rsid w:val="000C424A"/>
    <w:rsid w:val="000C46E0"/>
    <w:rsid w:val="000C4759"/>
    <w:rsid w:val="000D0F90"/>
    <w:rsid w:val="000D1331"/>
    <w:rsid w:val="000D2043"/>
    <w:rsid w:val="000D2579"/>
    <w:rsid w:val="000D3EF0"/>
    <w:rsid w:val="000D467A"/>
    <w:rsid w:val="000D4E37"/>
    <w:rsid w:val="000D6FF7"/>
    <w:rsid w:val="000D7006"/>
    <w:rsid w:val="000D755D"/>
    <w:rsid w:val="000D795F"/>
    <w:rsid w:val="000E08D9"/>
    <w:rsid w:val="000E0E41"/>
    <w:rsid w:val="000E123E"/>
    <w:rsid w:val="000E16EA"/>
    <w:rsid w:val="000E21BD"/>
    <w:rsid w:val="000E2340"/>
    <w:rsid w:val="000E37E3"/>
    <w:rsid w:val="000E4C9B"/>
    <w:rsid w:val="000E57E4"/>
    <w:rsid w:val="000E584D"/>
    <w:rsid w:val="000E5D2A"/>
    <w:rsid w:val="000E6326"/>
    <w:rsid w:val="000E6383"/>
    <w:rsid w:val="000E66FB"/>
    <w:rsid w:val="000E6E70"/>
    <w:rsid w:val="000E7F28"/>
    <w:rsid w:val="000F005A"/>
    <w:rsid w:val="000F0DC1"/>
    <w:rsid w:val="000F1A36"/>
    <w:rsid w:val="000F24A7"/>
    <w:rsid w:val="000F3E91"/>
    <w:rsid w:val="000F4C85"/>
    <w:rsid w:val="000F53EE"/>
    <w:rsid w:val="000F791D"/>
    <w:rsid w:val="00100255"/>
    <w:rsid w:val="0010037D"/>
    <w:rsid w:val="00100913"/>
    <w:rsid w:val="00102326"/>
    <w:rsid w:val="00102936"/>
    <w:rsid w:val="00106690"/>
    <w:rsid w:val="001109EE"/>
    <w:rsid w:val="00110C82"/>
    <w:rsid w:val="00110D54"/>
    <w:rsid w:val="001114C9"/>
    <w:rsid w:val="001125E2"/>
    <w:rsid w:val="001126FF"/>
    <w:rsid w:val="00113ABC"/>
    <w:rsid w:val="001149DD"/>
    <w:rsid w:val="00114CDE"/>
    <w:rsid w:val="00114DC7"/>
    <w:rsid w:val="001159C2"/>
    <w:rsid w:val="00120DAE"/>
    <w:rsid w:val="00121548"/>
    <w:rsid w:val="00121906"/>
    <w:rsid w:val="00122116"/>
    <w:rsid w:val="00122E43"/>
    <w:rsid w:val="001231C2"/>
    <w:rsid w:val="00123883"/>
    <w:rsid w:val="00123D0A"/>
    <w:rsid w:val="00124575"/>
    <w:rsid w:val="001249C2"/>
    <w:rsid w:val="0012510A"/>
    <w:rsid w:val="0012589D"/>
    <w:rsid w:val="0012768B"/>
    <w:rsid w:val="00127CAE"/>
    <w:rsid w:val="001303CB"/>
    <w:rsid w:val="0013082B"/>
    <w:rsid w:val="00131681"/>
    <w:rsid w:val="001318F8"/>
    <w:rsid w:val="00131ED8"/>
    <w:rsid w:val="00133168"/>
    <w:rsid w:val="00134506"/>
    <w:rsid w:val="0013515A"/>
    <w:rsid w:val="00136087"/>
    <w:rsid w:val="00136F4C"/>
    <w:rsid w:val="00137FFC"/>
    <w:rsid w:val="00140C97"/>
    <w:rsid w:val="001448FC"/>
    <w:rsid w:val="0014528D"/>
    <w:rsid w:val="001453E0"/>
    <w:rsid w:val="0014651E"/>
    <w:rsid w:val="00146D4C"/>
    <w:rsid w:val="0014712D"/>
    <w:rsid w:val="0015085A"/>
    <w:rsid w:val="00150B41"/>
    <w:rsid w:val="00151565"/>
    <w:rsid w:val="001520EA"/>
    <w:rsid w:val="00152A5C"/>
    <w:rsid w:val="00153539"/>
    <w:rsid w:val="001571A9"/>
    <w:rsid w:val="00157A34"/>
    <w:rsid w:val="0016095C"/>
    <w:rsid w:val="00160D99"/>
    <w:rsid w:val="00161E08"/>
    <w:rsid w:val="00164A7E"/>
    <w:rsid w:val="00165043"/>
    <w:rsid w:val="001654B1"/>
    <w:rsid w:val="00165E2E"/>
    <w:rsid w:val="00166627"/>
    <w:rsid w:val="001710B5"/>
    <w:rsid w:val="0017143D"/>
    <w:rsid w:val="00171635"/>
    <w:rsid w:val="00172340"/>
    <w:rsid w:val="00172836"/>
    <w:rsid w:val="00173E70"/>
    <w:rsid w:val="001751AC"/>
    <w:rsid w:val="001754F2"/>
    <w:rsid w:val="00176F1C"/>
    <w:rsid w:val="001777D4"/>
    <w:rsid w:val="001805FB"/>
    <w:rsid w:val="001828FB"/>
    <w:rsid w:val="00183776"/>
    <w:rsid w:val="00184365"/>
    <w:rsid w:val="00185E02"/>
    <w:rsid w:val="0018638B"/>
    <w:rsid w:val="00186895"/>
    <w:rsid w:val="00187481"/>
    <w:rsid w:val="0019022B"/>
    <w:rsid w:val="00190BB1"/>
    <w:rsid w:val="00190C40"/>
    <w:rsid w:val="00191D55"/>
    <w:rsid w:val="00192586"/>
    <w:rsid w:val="001925BD"/>
    <w:rsid w:val="00194C5A"/>
    <w:rsid w:val="0019529E"/>
    <w:rsid w:val="00195588"/>
    <w:rsid w:val="00195843"/>
    <w:rsid w:val="00195BB4"/>
    <w:rsid w:val="00196114"/>
    <w:rsid w:val="0019744A"/>
    <w:rsid w:val="001A048F"/>
    <w:rsid w:val="001A1048"/>
    <w:rsid w:val="001A12F6"/>
    <w:rsid w:val="001A1A35"/>
    <w:rsid w:val="001A1A67"/>
    <w:rsid w:val="001A38A7"/>
    <w:rsid w:val="001A4A87"/>
    <w:rsid w:val="001A4CEB"/>
    <w:rsid w:val="001A5E5D"/>
    <w:rsid w:val="001A69B7"/>
    <w:rsid w:val="001A766B"/>
    <w:rsid w:val="001A7D0D"/>
    <w:rsid w:val="001B022A"/>
    <w:rsid w:val="001B1375"/>
    <w:rsid w:val="001B22D8"/>
    <w:rsid w:val="001B2B68"/>
    <w:rsid w:val="001B3A9F"/>
    <w:rsid w:val="001B3B72"/>
    <w:rsid w:val="001B4A52"/>
    <w:rsid w:val="001B6014"/>
    <w:rsid w:val="001B7DC1"/>
    <w:rsid w:val="001C1FDA"/>
    <w:rsid w:val="001C2D75"/>
    <w:rsid w:val="001C3724"/>
    <w:rsid w:val="001C4DFF"/>
    <w:rsid w:val="001C73C8"/>
    <w:rsid w:val="001C7A6C"/>
    <w:rsid w:val="001D026F"/>
    <w:rsid w:val="001D169B"/>
    <w:rsid w:val="001D1E40"/>
    <w:rsid w:val="001D2AB3"/>
    <w:rsid w:val="001D2EB6"/>
    <w:rsid w:val="001D3041"/>
    <w:rsid w:val="001D40C1"/>
    <w:rsid w:val="001D446A"/>
    <w:rsid w:val="001D5153"/>
    <w:rsid w:val="001D60E9"/>
    <w:rsid w:val="001D7296"/>
    <w:rsid w:val="001D742E"/>
    <w:rsid w:val="001D7E6B"/>
    <w:rsid w:val="001E0204"/>
    <w:rsid w:val="001E03C7"/>
    <w:rsid w:val="001E1A08"/>
    <w:rsid w:val="001E1DBD"/>
    <w:rsid w:val="001E1FD0"/>
    <w:rsid w:val="001E2C7F"/>
    <w:rsid w:val="001E3BE0"/>
    <w:rsid w:val="001E4E47"/>
    <w:rsid w:val="001E581E"/>
    <w:rsid w:val="001E5979"/>
    <w:rsid w:val="001E62FA"/>
    <w:rsid w:val="001E6E29"/>
    <w:rsid w:val="001F1183"/>
    <w:rsid w:val="001F2C99"/>
    <w:rsid w:val="001F445C"/>
    <w:rsid w:val="001F4D97"/>
    <w:rsid w:val="001F4F35"/>
    <w:rsid w:val="001F517C"/>
    <w:rsid w:val="001F5667"/>
    <w:rsid w:val="001F5FA0"/>
    <w:rsid w:val="001F6A7C"/>
    <w:rsid w:val="001F70B7"/>
    <w:rsid w:val="002007DA"/>
    <w:rsid w:val="002015B1"/>
    <w:rsid w:val="00201AA3"/>
    <w:rsid w:val="00202803"/>
    <w:rsid w:val="00202932"/>
    <w:rsid w:val="00203835"/>
    <w:rsid w:val="002067B3"/>
    <w:rsid w:val="00210B53"/>
    <w:rsid w:val="00211C1C"/>
    <w:rsid w:val="0021214B"/>
    <w:rsid w:val="0021256A"/>
    <w:rsid w:val="00212832"/>
    <w:rsid w:val="00213A3C"/>
    <w:rsid w:val="00213B6F"/>
    <w:rsid w:val="002140CD"/>
    <w:rsid w:val="00214EC4"/>
    <w:rsid w:val="00214EF3"/>
    <w:rsid w:val="00215188"/>
    <w:rsid w:val="00216A27"/>
    <w:rsid w:val="0022046E"/>
    <w:rsid w:val="002211BF"/>
    <w:rsid w:val="00221EAA"/>
    <w:rsid w:val="0022249F"/>
    <w:rsid w:val="00222804"/>
    <w:rsid w:val="002230A3"/>
    <w:rsid w:val="00225BBC"/>
    <w:rsid w:val="00226345"/>
    <w:rsid w:val="002276D5"/>
    <w:rsid w:val="002300A8"/>
    <w:rsid w:val="00230E2F"/>
    <w:rsid w:val="00231313"/>
    <w:rsid w:val="00233769"/>
    <w:rsid w:val="00233952"/>
    <w:rsid w:val="00233ADC"/>
    <w:rsid w:val="0023417E"/>
    <w:rsid w:val="0023505F"/>
    <w:rsid w:val="002356CC"/>
    <w:rsid w:val="002359A6"/>
    <w:rsid w:val="00235F21"/>
    <w:rsid w:val="00237BE3"/>
    <w:rsid w:val="00237D5D"/>
    <w:rsid w:val="00241544"/>
    <w:rsid w:val="0024159F"/>
    <w:rsid w:val="0024160D"/>
    <w:rsid w:val="00241F01"/>
    <w:rsid w:val="00241F83"/>
    <w:rsid w:val="00244203"/>
    <w:rsid w:val="00244F7F"/>
    <w:rsid w:val="00245A2A"/>
    <w:rsid w:val="002477AC"/>
    <w:rsid w:val="0024786C"/>
    <w:rsid w:val="00250667"/>
    <w:rsid w:val="0025239F"/>
    <w:rsid w:val="00252ABF"/>
    <w:rsid w:val="00252DD5"/>
    <w:rsid w:val="0025375A"/>
    <w:rsid w:val="0025485F"/>
    <w:rsid w:val="00255B5E"/>
    <w:rsid w:val="0025769D"/>
    <w:rsid w:val="002576DB"/>
    <w:rsid w:val="00261982"/>
    <w:rsid w:val="002623E1"/>
    <w:rsid w:val="00262E17"/>
    <w:rsid w:val="00263182"/>
    <w:rsid w:val="00263D3E"/>
    <w:rsid w:val="00265A50"/>
    <w:rsid w:val="002670B1"/>
    <w:rsid w:val="00267610"/>
    <w:rsid w:val="002701C9"/>
    <w:rsid w:val="00270E25"/>
    <w:rsid w:val="002728D6"/>
    <w:rsid w:val="00274FD1"/>
    <w:rsid w:val="00275896"/>
    <w:rsid w:val="00276414"/>
    <w:rsid w:val="0027762A"/>
    <w:rsid w:val="00281A6C"/>
    <w:rsid w:val="00281E89"/>
    <w:rsid w:val="00282248"/>
    <w:rsid w:val="00282858"/>
    <w:rsid w:val="00283AB2"/>
    <w:rsid w:val="0028452A"/>
    <w:rsid w:val="0028456A"/>
    <w:rsid w:val="00286FE3"/>
    <w:rsid w:val="00287337"/>
    <w:rsid w:val="00287FEA"/>
    <w:rsid w:val="00292003"/>
    <w:rsid w:val="002931F7"/>
    <w:rsid w:val="00294072"/>
    <w:rsid w:val="0029489C"/>
    <w:rsid w:val="00294F67"/>
    <w:rsid w:val="00294FA4"/>
    <w:rsid w:val="002950C2"/>
    <w:rsid w:val="00295E1A"/>
    <w:rsid w:val="00296848"/>
    <w:rsid w:val="00297A73"/>
    <w:rsid w:val="002A1819"/>
    <w:rsid w:val="002A438B"/>
    <w:rsid w:val="002A4646"/>
    <w:rsid w:val="002A58D1"/>
    <w:rsid w:val="002A712A"/>
    <w:rsid w:val="002B134C"/>
    <w:rsid w:val="002B23B4"/>
    <w:rsid w:val="002B2812"/>
    <w:rsid w:val="002B39A5"/>
    <w:rsid w:val="002B3B01"/>
    <w:rsid w:val="002B46A0"/>
    <w:rsid w:val="002B6CB9"/>
    <w:rsid w:val="002C0736"/>
    <w:rsid w:val="002C0B63"/>
    <w:rsid w:val="002C1897"/>
    <w:rsid w:val="002C2CD2"/>
    <w:rsid w:val="002C3CF3"/>
    <w:rsid w:val="002C4A46"/>
    <w:rsid w:val="002C59DD"/>
    <w:rsid w:val="002C5C86"/>
    <w:rsid w:val="002C77CC"/>
    <w:rsid w:val="002D1D1D"/>
    <w:rsid w:val="002D1D85"/>
    <w:rsid w:val="002D23C9"/>
    <w:rsid w:val="002D2408"/>
    <w:rsid w:val="002D4601"/>
    <w:rsid w:val="002D47E5"/>
    <w:rsid w:val="002D4947"/>
    <w:rsid w:val="002D4B74"/>
    <w:rsid w:val="002D5851"/>
    <w:rsid w:val="002D674D"/>
    <w:rsid w:val="002E0108"/>
    <w:rsid w:val="002E0699"/>
    <w:rsid w:val="002E1E2E"/>
    <w:rsid w:val="002E37B7"/>
    <w:rsid w:val="002E491D"/>
    <w:rsid w:val="002E4AD9"/>
    <w:rsid w:val="002E684E"/>
    <w:rsid w:val="002E7F4E"/>
    <w:rsid w:val="002F0A62"/>
    <w:rsid w:val="002F0C76"/>
    <w:rsid w:val="002F2115"/>
    <w:rsid w:val="002F36A8"/>
    <w:rsid w:val="002F3A27"/>
    <w:rsid w:val="002F43A6"/>
    <w:rsid w:val="002F43B7"/>
    <w:rsid w:val="002F442C"/>
    <w:rsid w:val="002F4E3E"/>
    <w:rsid w:val="002F6EE2"/>
    <w:rsid w:val="002F7117"/>
    <w:rsid w:val="002F73E1"/>
    <w:rsid w:val="002F7F90"/>
    <w:rsid w:val="00301B46"/>
    <w:rsid w:val="0030237E"/>
    <w:rsid w:val="00304150"/>
    <w:rsid w:val="00307B8F"/>
    <w:rsid w:val="00307FBC"/>
    <w:rsid w:val="003109F9"/>
    <w:rsid w:val="00313E8B"/>
    <w:rsid w:val="00316477"/>
    <w:rsid w:val="00317783"/>
    <w:rsid w:val="00320F1C"/>
    <w:rsid w:val="00321770"/>
    <w:rsid w:val="00321DFD"/>
    <w:rsid w:val="003232E6"/>
    <w:rsid w:val="0032353C"/>
    <w:rsid w:val="00324F9F"/>
    <w:rsid w:val="00325F3E"/>
    <w:rsid w:val="003276C3"/>
    <w:rsid w:val="003302D6"/>
    <w:rsid w:val="003303E7"/>
    <w:rsid w:val="00330891"/>
    <w:rsid w:val="00332023"/>
    <w:rsid w:val="00332654"/>
    <w:rsid w:val="0033565E"/>
    <w:rsid w:val="003362DB"/>
    <w:rsid w:val="003363D0"/>
    <w:rsid w:val="0034007F"/>
    <w:rsid w:val="0034027E"/>
    <w:rsid w:val="003402D7"/>
    <w:rsid w:val="00342AB6"/>
    <w:rsid w:val="00343344"/>
    <w:rsid w:val="0034445E"/>
    <w:rsid w:val="0034573F"/>
    <w:rsid w:val="003472F2"/>
    <w:rsid w:val="003475A0"/>
    <w:rsid w:val="00350893"/>
    <w:rsid w:val="00350941"/>
    <w:rsid w:val="00350BD3"/>
    <w:rsid w:val="00350C55"/>
    <w:rsid w:val="00350E90"/>
    <w:rsid w:val="00351018"/>
    <w:rsid w:val="003528AA"/>
    <w:rsid w:val="003531D1"/>
    <w:rsid w:val="003534CF"/>
    <w:rsid w:val="003538D0"/>
    <w:rsid w:val="003570FD"/>
    <w:rsid w:val="003607F6"/>
    <w:rsid w:val="003656A0"/>
    <w:rsid w:val="00365892"/>
    <w:rsid w:val="003662DE"/>
    <w:rsid w:val="003665BA"/>
    <w:rsid w:val="00367B3C"/>
    <w:rsid w:val="0037321B"/>
    <w:rsid w:val="0037347F"/>
    <w:rsid w:val="00373561"/>
    <w:rsid w:val="00374A8C"/>
    <w:rsid w:val="00374D7B"/>
    <w:rsid w:val="00375179"/>
    <w:rsid w:val="00375FE7"/>
    <w:rsid w:val="00376CCA"/>
    <w:rsid w:val="0037732C"/>
    <w:rsid w:val="00377536"/>
    <w:rsid w:val="00377BA1"/>
    <w:rsid w:val="00380074"/>
    <w:rsid w:val="00381045"/>
    <w:rsid w:val="003817B6"/>
    <w:rsid w:val="00384B30"/>
    <w:rsid w:val="00394F8E"/>
    <w:rsid w:val="00394FC5"/>
    <w:rsid w:val="00397C1E"/>
    <w:rsid w:val="003A00DF"/>
    <w:rsid w:val="003A17B3"/>
    <w:rsid w:val="003A1F75"/>
    <w:rsid w:val="003A226E"/>
    <w:rsid w:val="003A241C"/>
    <w:rsid w:val="003A30CD"/>
    <w:rsid w:val="003A3361"/>
    <w:rsid w:val="003A3B29"/>
    <w:rsid w:val="003A3B80"/>
    <w:rsid w:val="003A5323"/>
    <w:rsid w:val="003A5757"/>
    <w:rsid w:val="003A7312"/>
    <w:rsid w:val="003A77CF"/>
    <w:rsid w:val="003B08F4"/>
    <w:rsid w:val="003B0D97"/>
    <w:rsid w:val="003B10B7"/>
    <w:rsid w:val="003B161B"/>
    <w:rsid w:val="003B1FA4"/>
    <w:rsid w:val="003B2279"/>
    <w:rsid w:val="003B4910"/>
    <w:rsid w:val="003B516A"/>
    <w:rsid w:val="003B6986"/>
    <w:rsid w:val="003B7000"/>
    <w:rsid w:val="003B70D5"/>
    <w:rsid w:val="003B7FBF"/>
    <w:rsid w:val="003C1046"/>
    <w:rsid w:val="003C29AF"/>
    <w:rsid w:val="003C31AB"/>
    <w:rsid w:val="003C33DE"/>
    <w:rsid w:val="003C53BF"/>
    <w:rsid w:val="003C6581"/>
    <w:rsid w:val="003C73A0"/>
    <w:rsid w:val="003D080D"/>
    <w:rsid w:val="003D13B6"/>
    <w:rsid w:val="003D1F50"/>
    <w:rsid w:val="003D249A"/>
    <w:rsid w:val="003D2A1E"/>
    <w:rsid w:val="003D39BC"/>
    <w:rsid w:val="003D4384"/>
    <w:rsid w:val="003D47A4"/>
    <w:rsid w:val="003D486A"/>
    <w:rsid w:val="003E10BA"/>
    <w:rsid w:val="003E255F"/>
    <w:rsid w:val="003E28C3"/>
    <w:rsid w:val="003E28E0"/>
    <w:rsid w:val="003E28E2"/>
    <w:rsid w:val="003E4534"/>
    <w:rsid w:val="003E5088"/>
    <w:rsid w:val="003E6723"/>
    <w:rsid w:val="003E6E16"/>
    <w:rsid w:val="003E75F1"/>
    <w:rsid w:val="003F0937"/>
    <w:rsid w:val="003F1835"/>
    <w:rsid w:val="003F1C91"/>
    <w:rsid w:val="003F27B9"/>
    <w:rsid w:val="003F446F"/>
    <w:rsid w:val="003F56B4"/>
    <w:rsid w:val="003F77CF"/>
    <w:rsid w:val="003F7959"/>
    <w:rsid w:val="003F7B79"/>
    <w:rsid w:val="00400D63"/>
    <w:rsid w:val="00402048"/>
    <w:rsid w:val="0040454C"/>
    <w:rsid w:val="00410538"/>
    <w:rsid w:val="00411A8C"/>
    <w:rsid w:val="00411C83"/>
    <w:rsid w:val="00412DF8"/>
    <w:rsid w:val="0041384B"/>
    <w:rsid w:val="00414803"/>
    <w:rsid w:val="00415C35"/>
    <w:rsid w:val="004162BF"/>
    <w:rsid w:val="004167F0"/>
    <w:rsid w:val="0041684A"/>
    <w:rsid w:val="0041695E"/>
    <w:rsid w:val="004201F5"/>
    <w:rsid w:val="00420C70"/>
    <w:rsid w:val="00420D85"/>
    <w:rsid w:val="004211E3"/>
    <w:rsid w:val="00421815"/>
    <w:rsid w:val="00430AA7"/>
    <w:rsid w:val="00430ECA"/>
    <w:rsid w:val="0043161B"/>
    <w:rsid w:val="00431E1F"/>
    <w:rsid w:val="0043425A"/>
    <w:rsid w:val="004343E7"/>
    <w:rsid w:val="00434907"/>
    <w:rsid w:val="00436685"/>
    <w:rsid w:val="0043672E"/>
    <w:rsid w:val="00437319"/>
    <w:rsid w:val="0044000F"/>
    <w:rsid w:val="00440022"/>
    <w:rsid w:val="004406CF"/>
    <w:rsid w:val="004408B8"/>
    <w:rsid w:val="00441280"/>
    <w:rsid w:val="00442311"/>
    <w:rsid w:val="0044268C"/>
    <w:rsid w:val="00442759"/>
    <w:rsid w:val="00442F7E"/>
    <w:rsid w:val="004436C6"/>
    <w:rsid w:val="00443B89"/>
    <w:rsid w:val="00443BC6"/>
    <w:rsid w:val="00443DF8"/>
    <w:rsid w:val="00444897"/>
    <w:rsid w:val="00446913"/>
    <w:rsid w:val="0044752F"/>
    <w:rsid w:val="00447B8F"/>
    <w:rsid w:val="00450B37"/>
    <w:rsid w:val="00450B41"/>
    <w:rsid w:val="0045155B"/>
    <w:rsid w:val="004527DE"/>
    <w:rsid w:val="004535A0"/>
    <w:rsid w:val="00454D15"/>
    <w:rsid w:val="004554A6"/>
    <w:rsid w:val="00455940"/>
    <w:rsid w:val="004565F0"/>
    <w:rsid w:val="00456DD8"/>
    <w:rsid w:val="0045731E"/>
    <w:rsid w:val="00457BAD"/>
    <w:rsid w:val="00460712"/>
    <w:rsid w:val="004610D9"/>
    <w:rsid w:val="0046160C"/>
    <w:rsid w:val="00461E7A"/>
    <w:rsid w:val="004621D8"/>
    <w:rsid w:val="0046536C"/>
    <w:rsid w:val="0046559E"/>
    <w:rsid w:val="004704E8"/>
    <w:rsid w:val="00471D49"/>
    <w:rsid w:val="0047363A"/>
    <w:rsid w:val="00473E0B"/>
    <w:rsid w:val="0047421B"/>
    <w:rsid w:val="00474FB6"/>
    <w:rsid w:val="0048112D"/>
    <w:rsid w:val="00481558"/>
    <w:rsid w:val="00482AAF"/>
    <w:rsid w:val="0048566F"/>
    <w:rsid w:val="004868CC"/>
    <w:rsid w:val="004871A2"/>
    <w:rsid w:val="00487311"/>
    <w:rsid w:val="00487D18"/>
    <w:rsid w:val="00487D34"/>
    <w:rsid w:val="004903DB"/>
    <w:rsid w:val="00494EB2"/>
    <w:rsid w:val="00496404"/>
    <w:rsid w:val="004972CF"/>
    <w:rsid w:val="004A057C"/>
    <w:rsid w:val="004A05B0"/>
    <w:rsid w:val="004A07CA"/>
    <w:rsid w:val="004A0CFC"/>
    <w:rsid w:val="004A0D81"/>
    <w:rsid w:val="004A1074"/>
    <w:rsid w:val="004A12DB"/>
    <w:rsid w:val="004A1362"/>
    <w:rsid w:val="004A1BE0"/>
    <w:rsid w:val="004A29F3"/>
    <w:rsid w:val="004A2B07"/>
    <w:rsid w:val="004A3E43"/>
    <w:rsid w:val="004A4BE9"/>
    <w:rsid w:val="004A5824"/>
    <w:rsid w:val="004B0DA9"/>
    <w:rsid w:val="004B1982"/>
    <w:rsid w:val="004B1E7B"/>
    <w:rsid w:val="004B3DC6"/>
    <w:rsid w:val="004B40D3"/>
    <w:rsid w:val="004B4C02"/>
    <w:rsid w:val="004B4D7A"/>
    <w:rsid w:val="004B6114"/>
    <w:rsid w:val="004B7198"/>
    <w:rsid w:val="004C15C5"/>
    <w:rsid w:val="004C1A1C"/>
    <w:rsid w:val="004C25B4"/>
    <w:rsid w:val="004C276B"/>
    <w:rsid w:val="004C2A1D"/>
    <w:rsid w:val="004C5D16"/>
    <w:rsid w:val="004C6D21"/>
    <w:rsid w:val="004D0259"/>
    <w:rsid w:val="004D24EA"/>
    <w:rsid w:val="004D3B88"/>
    <w:rsid w:val="004D48FD"/>
    <w:rsid w:val="004D510A"/>
    <w:rsid w:val="004D6578"/>
    <w:rsid w:val="004D6C2F"/>
    <w:rsid w:val="004E14E7"/>
    <w:rsid w:val="004E28C4"/>
    <w:rsid w:val="004E29F3"/>
    <w:rsid w:val="004E6C8D"/>
    <w:rsid w:val="004E7B2E"/>
    <w:rsid w:val="004F16AA"/>
    <w:rsid w:val="004F18A0"/>
    <w:rsid w:val="004F222C"/>
    <w:rsid w:val="004F2CA3"/>
    <w:rsid w:val="004F2CD9"/>
    <w:rsid w:val="004F5D32"/>
    <w:rsid w:val="004F5D74"/>
    <w:rsid w:val="004F65EE"/>
    <w:rsid w:val="004F7F97"/>
    <w:rsid w:val="00500BAC"/>
    <w:rsid w:val="00501502"/>
    <w:rsid w:val="0050358A"/>
    <w:rsid w:val="005059A8"/>
    <w:rsid w:val="00506E2F"/>
    <w:rsid w:val="0050728A"/>
    <w:rsid w:val="0051168D"/>
    <w:rsid w:val="00512206"/>
    <w:rsid w:val="0051241F"/>
    <w:rsid w:val="00512CFE"/>
    <w:rsid w:val="00513B7E"/>
    <w:rsid w:val="005153B7"/>
    <w:rsid w:val="005159B7"/>
    <w:rsid w:val="0051646A"/>
    <w:rsid w:val="00516ADD"/>
    <w:rsid w:val="00517294"/>
    <w:rsid w:val="005178FE"/>
    <w:rsid w:val="005202CB"/>
    <w:rsid w:val="00520301"/>
    <w:rsid w:val="00520A17"/>
    <w:rsid w:val="0052117D"/>
    <w:rsid w:val="00521D11"/>
    <w:rsid w:val="00521EC1"/>
    <w:rsid w:val="00522E20"/>
    <w:rsid w:val="00523197"/>
    <w:rsid w:val="00523685"/>
    <w:rsid w:val="005251B1"/>
    <w:rsid w:val="00527C42"/>
    <w:rsid w:val="00527E32"/>
    <w:rsid w:val="005321EC"/>
    <w:rsid w:val="00532348"/>
    <w:rsid w:val="00535974"/>
    <w:rsid w:val="00537212"/>
    <w:rsid w:val="00537BDA"/>
    <w:rsid w:val="00537E0A"/>
    <w:rsid w:val="0054042D"/>
    <w:rsid w:val="005410F3"/>
    <w:rsid w:val="005433D1"/>
    <w:rsid w:val="005454BB"/>
    <w:rsid w:val="00545578"/>
    <w:rsid w:val="00545FE4"/>
    <w:rsid w:val="00551B30"/>
    <w:rsid w:val="0055205F"/>
    <w:rsid w:val="00552F55"/>
    <w:rsid w:val="00555176"/>
    <w:rsid w:val="005556BA"/>
    <w:rsid w:val="0055656C"/>
    <w:rsid w:val="00557488"/>
    <w:rsid w:val="005575ED"/>
    <w:rsid w:val="005603FE"/>
    <w:rsid w:val="005609B2"/>
    <w:rsid w:val="0056199D"/>
    <w:rsid w:val="005619AB"/>
    <w:rsid w:val="00564292"/>
    <w:rsid w:val="00567147"/>
    <w:rsid w:val="005672C0"/>
    <w:rsid w:val="00567ABA"/>
    <w:rsid w:val="00567B61"/>
    <w:rsid w:val="00567F19"/>
    <w:rsid w:val="005706C5"/>
    <w:rsid w:val="0057076D"/>
    <w:rsid w:val="00570833"/>
    <w:rsid w:val="00570F5E"/>
    <w:rsid w:val="00571896"/>
    <w:rsid w:val="00571E12"/>
    <w:rsid w:val="00572467"/>
    <w:rsid w:val="00573DD7"/>
    <w:rsid w:val="00573E10"/>
    <w:rsid w:val="00575154"/>
    <w:rsid w:val="00575C0F"/>
    <w:rsid w:val="0058242F"/>
    <w:rsid w:val="005824D8"/>
    <w:rsid w:val="00583800"/>
    <w:rsid w:val="0058460B"/>
    <w:rsid w:val="00591155"/>
    <w:rsid w:val="0059168F"/>
    <w:rsid w:val="0059650C"/>
    <w:rsid w:val="00596816"/>
    <w:rsid w:val="00597602"/>
    <w:rsid w:val="005A0BE5"/>
    <w:rsid w:val="005A4A5E"/>
    <w:rsid w:val="005A5AB3"/>
    <w:rsid w:val="005A752F"/>
    <w:rsid w:val="005A7746"/>
    <w:rsid w:val="005A7849"/>
    <w:rsid w:val="005B0AE6"/>
    <w:rsid w:val="005B136D"/>
    <w:rsid w:val="005B17B2"/>
    <w:rsid w:val="005B1D81"/>
    <w:rsid w:val="005B23B4"/>
    <w:rsid w:val="005B25A8"/>
    <w:rsid w:val="005B3931"/>
    <w:rsid w:val="005B5026"/>
    <w:rsid w:val="005B54AA"/>
    <w:rsid w:val="005B5540"/>
    <w:rsid w:val="005B56E3"/>
    <w:rsid w:val="005B58F4"/>
    <w:rsid w:val="005B74A0"/>
    <w:rsid w:val="005B768D"/>
    <w:rsid w:val="005B7887"/>
    <w:rsid w:val="005C00DF"/>
    <w:rsid w:val="005C07F9"/>
    <w:rsid w:val="005C0885"/>
    <w:rsid w:val="005C3D44"/>
    <w:rsid w:val="005C473E"/>
    <w:rsid w:val="005C5553"/>
    <w:rsid w:val="005C5A97"/>
    <w:rsid w:val="005C633B"/>
    <w:rsid w:val="005D02FE"/>
    <w:rsid w:val="005D04E4"/>
    <w:rsid w:val="005D0A11"/>
    <w:rsid w:val="005D283D"/>
    <w:rsid w:val="005D4DD7"/>
    <w:rsid w:val="005D59AA"/>
    <w:rsid w:val="005D6595"/>
    <w:rsid w:val="005D6B81"/>
    <w:rsid w:val="005D6FCF"/>
    <w:rsid w:val="005D7739"/>
    <w:rsid w:val="005E0256"/>
    <w:rsid w:val="005E1406"/>
    <w:rsid w:val="005E29BE"/>
    <w:rsid w:val="005E2F31"/>
    <w:rsid w:val="005E307E"/>
    <w:rsid w:val="005E333E"/>
    <w:rsid w:val="005E613D"/>
    <w:rsid w:val="005E6BBF"/>
    <w:rsid w:val="005E6E51"/>
    <w:rsid w:val="005E7E4D"/>
    <w:rsid w:val="005F0A7B"/>
    <w:rsid w:val="005F0EAB"/>
    <w:rsid w:val="005F141D"/>
    <w:rsid w:val="005F350A"/>
    <w:rsid w:val="005F374A"/>
    <w:rsid w:val="005F376F"/>
    <w:rsid w:val="005F431B"/>
    <w:rsid w:val="005F4405"/>
    <w:rsid w:val="005F4A09"/>
    <w:rsid w:val="005F4BCA"/>
    <w:rsid w:val="005F4D20"/>
    <w:rsid w:val="005F69F2"/>
    <w:rsid w:val="005F7B19"/>
    <w:rsid w:val="005F7F7C"/>
    <w:rsid w:val="006037F7"/>
    <w:rsid w:val="006068C3"/>
    <w:rsid w:val="00607D26"/>
    <w:rsid w:val="0061146B"/>
    <w:rsid w:val="0061224C"/>
    <w:rsid w:val="00612375"/>
    <w:rsid w:val="00612C72"/>
    <w:rsid w:val="00612DA5"/>
    <w:rsid w:val="006130B9"/>
    <w:rsid w:val="0061360C"/>
    <w:rsid w:val="00613E9A"/>
    <w:rsid w:val="00613EA2"/>
    <w:rsid w:val="0061402F"/>
    <w:rsid w:val="0061458B"/>
    <w:rsid w:val="00614C17"/>
    <w:rsid w:val="00615C3A"/>
    <w:rsid w:val="0061629E"/>
    <w:rsid w:val="00616B58"/>
    <w:rsid w:val="006171E8"/>
    <w:rsid w:val="006209ED"/>
    <w:rsid w:val="00621D11"/>
    <w:rsid w:val="00622061"/>
    <w:rsid w:val="00622148"/>
    <w:rsid w:val="00623385"/>
    <w:rsid w:val="00624028"/>
    <w:rsid w:val="006242E7"/>
    <w:rsid w:val="006248F5"/>
    <w:rsid w:val="006249CA"/>
    <w:rsid w:val="00624BF4"/>
    <w:rsid w:val="00625A0C"/>
    <w:rsid w:val="00625ADF"/>
    <w:rsid w:val="006267D5"/>
    <w:rsid w:val="00626AD3"/>
    <w:rsid w:val="00626D4E"/>
    <w:rsid w:val="00627008"/>
    <w:rsid w:val="00630EA9"/>
    <w:rsid w:val="00630FCD"/>
    <w:rsid w:val="0063207D"/>
    <w:rsid w:val="00632226"/>
    <w:rsid w:val="00634152"/>
    <w:rsid w:val="00634455"/>
    <w:rsid w:val="00634458"/>
    <w:rsid w:val="006344D2"/>
    <w:rsid w:val="00634613"/>
    <w:rsid w:val="00634D67"/>
    <w:rsid w:val="006359B8"/>
    <w:rsid w:val="00637B4C"/>
    <w:rsid w:val="00640398"/>
    <w:rsid w:val="0064074D"/>
    <w:rsid w:val="006409EB"/>
    <w:rsid w:val="00641C1F"/>
    <w:rsid w:val="0064234B"/>
    <w:rsid w:val="006423F7"/>
    <w:rsid w:val="00642E85"/>
    <w:rsid w:val="006437B5"/>
    <w:rsid w:val="00643D70"/>
    <w:rsid w:val="00644E7D"/>
    <w:rsid w:val="00645294"/>
    <w:rsid w:val="006452F6"/>
    <w:rsid w:val="00645B45"/>
    <w:rsid w:val="00646690"/>
    <w:rsid w:val="0065033A"/>
    <w:rsid w:val="0065047D"/>
    <w:rsid w:val="0065075A"/>
    <w:rsid w:val="00650B82"/>
    <w:rsid w:val="006526FC"/>
    <w:rsid w:val="006533FE"/>
    <w:rsid w:val="006535F6"/>
    <w:rsid w:val="00654476"/>
    <w:rsid w:val="00655AD1"/>
    <w:rsid w:val="00655CA1"/>
    <w:rsid w:val="0065746A"/>
    <w:rsid w:val="00657A33"/>
    <w:rsid w:val="00660DF5"/>
    <w:rsid w:val="00660FCA"/>
    <w:rsid w:val="00661998"/>
    <w:rsid w:val="00661D9F"/>
    <w:rsid w:val="00662866"/>
    <w:rsid w:val="00662B60"/>
    <w:rsid w:val="0066337C"/>
    <w:rsid w:val="00663619"/>
    <w:rsid w:val="006637BB"/>
    <w:rsid w:val="00663BB9"/>
    <w:rsid w:val="006655FA"/>
    <w:rsid w:val="0066622E"/>
    <w:rsid w:val="006665BF"/>
    <w:rsid w:val="00666890"/>
    <w:rsid w:val="0066751A"/>
    <w:rsid w:val="00670E94"/>
    <w:rsid w:val="00671804"/>
    <w:rsid w:val="0067242A"/>
    <w:rsid w:val="00672F9E"/>
    <w:rsid w:val="0067405B"/>
    <w:rsid w:val="0067454E"/>
    <w:rsid w:val="006746D3"/>
    <w:rsid w:val="00674929"/>
    <w:rsid w:val="006750A9"/>
    <w:rsid w:val="00675430"/>
    <w:rsid w:val="0067574C"/>
    <w:rsid w:val="00677030"/>
    <w:rsid w:val="00677134"/>
    <w:rsid w:val="00681286"/>
    <w:rsid w:val="00682003"/>
    <w:rsid w:val="006828FA"/>
    <w:rsid w:val="00683E4F"/>
    <w:rsid w:val="00686EA7"/>
    <w:rsid w:val="00686F24"/>
    <w:rsid w:val="006871DF"/>
    <w:rsid w:val="00690517"/>
    <w:rsid w:val="00691B3C"/>
    <w:rsid w:val="00692F5F"/>
    <w:rsid w:val="00693173"/>
    <w:rsid w:val="0069320D"/>
    <w:rsid w:val="00693EB4"/>
    <w:rsid w:val="0069531F"/>
    <w:rsid w:val="00695439"/>
    <w:rsid w:val="00695455"/>
    <w:rsid w:val="00696118"/>
    <w:rsid w:val="006964DE"/>
    <w:rsid w:val="006A09B1"/>
    <w:rsid w:val="006A1548"/>
    <w:rsid w:val="006A3132"/>
    <w:rsid w:val="006A39AB"/>
    <w:rsid w:val="006A4734"/>
    <w:rsid w:val="006A48C7"/>
    <w:rsid w:val="006A4BDD"/>
    <w:rsid w:val="006A677F"/>
    <w:rsid w:val="006A793F"/>
    <w:rsid w:val="006A7AA9"/>
    <w:rsid w:val="006B095D"/>
    <w:rsid w:val="006B1AA7"/>
    <w:rsid w:val="006B1C6B"/>
    <w:rsid w:val="006B1E0B"/>
    <w:rsid w:val="006B296F"/>
    <w:rsid w:val="006B2C89"/>
    <w:rsid w:val="006B2F33"/>
    <w:rsid w:val="006B3F4E"/>
    <w:rsid w:val="006B4EC8"/>
    <w:rsid w:val="006B5498"/>
    <w:rsid w:val="006B5552"/>
    <w:rsid w:val="006B5EAC"/>
    <w:rsid w:val="006B629E"/>
    <w:rsid w:val="006B68CB"/>
    <w:rsid w:val="006B73E3"/>
    <w:rsid w:val="006B7DE9"/>
    <w:rsid w:val="006C12C6"/>
    <w:rsid w:val="006C1D14"/>
    <w:rsid w:val="006C2120"/>
    <w:rsid w:val="006C2BAB"/>
    <w:rsid w:val="006C2CB5"/>
    <w:rsid w:val="006C4651"/>
    <w:rsid w:val="006C4CEF"/>
    <w:rsid w:val="006C5F80"/>
    <w:rsid w:val="006C614D"/>
    <w:rsid w:val="006C629A"/>
    <w:rsid w:val="006C6864"/>
    <w:rsid w:val="006D0F18"/>
    <w:rsid w:val="006D221F"/>
    <w:rsid w:val="006D244F"/>
    <w:rsid w:val="006D2DEE"/>
    <w:rsid w:val="006D511E"/>
    <w:rsid w:val="006D57C4"/>
    <w:rsid w:val="006D63EC"/>
    <w:rsid w:val="006D701A"/>
    <w:rsid w:val="006D70E9"/>
    <w:rsid w:val="006D78F3"/>
    <w:rsid w:val="006E0419"/>
    <w:rsid w:val="006E1133"/>
    <w:rsid w:val="006E357B"/>
    <w:rsid w:val="006E3E11"/>
    <w:rsid w:val="006E42DF"/>
    <w:rsid w:val="006E4605"/>
    <w:rsid w:val="006E5E3B"/>
    <w:rsid w:val="006E67EC"/>
    <w:rsid w:val="006E6C0C"/>
    <w:rsid w:val="006E7676"/>
    <w:rsid w:val="006E780B"/>
    <w:rsid w:val="006F039C"/>
    <w:rsid w:val="006F0F86"/>
    <w:rsid w:val="006F17A4"/>
    <w:rsid w:val="006F27EF"/>
    <w:rsid w:val="006F2E3E"/>
    <w:rsid w:val="006F2EB6"/>
    <w:rsid w:val="006F31D2"/>
    <w:rsid w:val="006F3967"/>
    <w:rsid w:val="006F449C"/>
    <w:rsid w:val="006F49EA"/>
    <w:rsid w:val="006F4A3C"/>
    <w:rsid w:val="006F5014"/>
    <w:rsid w:val="006F5304"/>
    <w:rsid w:val="006F5E29"/>
    <w:rsid w:val="006F65AE"/>
    <w:rsid w:val="006F6E01"/>
    <w:rsid w:val="006F77A9"/>
    <w:rsid w:val="007005F7"/>
    <w:rsid w:val="00700716"/>
    <w:rsid w:val="00702C84"/>
    <w:rsid w:val="00702D3F"/>
    <w:rsid w:val="00703654"/>
    <w:rsid w:val="00703E50"/>
    <w:rsid w:val="00704895"/>
    <w:rsid w:val="00704D45"/>
    <w:rsid w:val="0070516B"/>
    <w:rsid w:val="00705520"/>
    <w:rsid w:val="00705693"/>
    <w:rsid w:val="00706034"/>
    <w:rsid w:val="0070697A"/>
    <w:rsid w:val="00707280"/>
    <w:rsid w:val="00707547"/>
    <w:rsid w:val="0071029E"/>
    <w:rsid w:val="00710413"/>
    <w:rsid w:val="00711165"/>
    <w:rsid w:val="0071178E"/>
    <w:rsid w:val="00711BFD"/>
    <w:rsid w:val="007148EC"/>
    <w:rsid w:val="00714C98"/>
    <w:rsid w:val="00715E80"/>
    <w:rsid w:val="00717D57"/>
    <w:rsid w:val="00717F5F"/>
    <w:rsid w:val="007216FF"/>
    <w:rsid w:val="00721CD7"/>
    <w:rsid w:val="00721FAB"/>
    <w:rsid w:val="00722362"/>
    <w:rsid w:val="00723219"/>
    <w:rsid w:val="00725959"/>
    <w:rsid w:val="00726FF5"/>
    <w:rsid w:val="00727972"/>
    <w:rsid w:val="007313FB"/>
    <w:rsid w:val="00731B97"/>
    <w:rsid w:val="00731C64"/>
    <w:rsid w:val="00732C2E"/>
    <w:rsid w:val="00732D41"/>
    <w:rsid w:val="007345D9"/>
    <w:rsid w:val="007369E2"/>
    <w:rsid w:val="007374EC"/>
    <w:rsid w:val="00737911"/>
    <w:rsid w:val="00737F18"/>
    <w:rsid w:val="00740A78"/>
    <w:rsid w:val="00741A7B"/>
    <w:rsid w:val="00742576"/>
    <w:rsid w:val="00742A46"/>
    <w:rsid w:val="007432F5"/>
    <w:rsid w:val="0074412F"/>
    <w:rsid w:val="00744C02"/>
    <w:rsid w:val="00744EE3"/>
    <w:rsid w:val="00746418"/>
    <w:rsid w:val="0074641B"/>
    <w:rsid w:val="0074724F"/>
    <w:rsid w:val="007501A9"/>
    <w:rsid w:val="007507BD"/>
    <w:rsid w:val="00752CE1"/>
    <w:rsid w:val="0075364F"/>
    <w:rsid w:val="007547FB"/>
    <w:rsid w:val="00754EFF"/>
    <w:rsid w:val="0075503A"/>
    <w:rsid w:val="0075640D"/>
    <w:rsid w:val="007564A1"/>
    <w:rsid w:val="00756ACD"/>
    <w:rsid w:val="0076004C"/>
    <w:rsid w:val="00761EE3"/>
    <w:rsid w:val="00762970"/>
    <w:rsid w:val="007635E8"/>
    <w:rsid w:val="0076442A"/>
    <w:rsid w:val="00764451"/>
    <w:rsid w:val="007645DF"/>
    <w:rsid w:val="00765055"/>
    <w:rsid w:val="007664B3"/>
    <w:rsid w:val="00766545"/>
    <w:rsid w:val="00770E60"/>
    <w:rsid w:val="00771EBD"/>
    <w:rsid w:val="007720F4"/>
    <w:rsid w:val="00773F01"/>
    <w:rsid w:val="0077405D"/>
    <w:rsid w:val="007775D5"/>
    <w:rsid w:val="007776D0"/>
    <w:rsid w:val="007777ED"/>
    <w:rsid w:val="007807AF"/>
    <w:rsid w:val="00780CBD"/>
    <w:rsid w:val="00783261"/>
    <w:rsid w:val="00783A0C"/>
    <w:rsid w:val="00784B10"/>
    <w:rsid w:val="00786410"/>
    <w:rsid w:val="00786861"/>
    <w:rsid w:val="0078695B"/>
    <w:rsid w:val="00786DAB"/>
    <w:rsid w:val="007870EB"/>
    <w:rsid w:val="0078735D"/>
    <w:rsid w:val="00790760"/>
    <w:rsid w:val="007926BF"/>
    <w:rsid w:val="0079338B"/>
    <w:rsid w:val="0079345D"/>
    <w:rsid w:val="00793BBA"/>
    <w:rsid w:val="0079451A"/>
    <w:rsid w:val="007947C1"/>
    <w:rsid w:val="007962D2"/>
    <w:rsid w:val="007966EA"/>
    <w:rsid w:val="00796970"/>
    <w:rsid w:val="007969C7"/>
    <w:rsid w:val="00796C11"/>
    <w:rsid w:val="00796D5B"/>
    <w:rsid w:val="00797341"/>
    <w:rsid w:val="00797706"/>
    <w:rsid w:val="00797F05"/>
    <w:rsid w:val="00797FE3"/>
    <w:rsid w:val="007A0A92"/>
    <w:rsid w:val="007A1073"/>
    <w:rsid w:val="007A14A9"/>
    <w:rsid w:val="007A4209"/>
    <w:rsid w:val="007A49CF"/>
    <w:rsid w:val="007A5CC3"/>
    <w:rsid w:val="007A659E"/>
    <w:rsid w:val="007A7290"/>
    <w:rsid w:val="007B18AC"/>
    <w:rsid w:val="007B3AA7"/>
    <w:rsid w:val="007B457D"/>
    <w:rsid w:val="007B45E3"/>
    <w:rsid w:val="007B4BF2"/>
    <w:rsid w:val="007B5BB8"/>
    <w:rsid w:val="007B60A4"/>
    <w:rsid w:val="007B6D33"/>
    <w:rsid w:val="007C09EB"/>
    <w:rsid w:val="007C12AB"/>
    <w:rsid w:val="007C2AEA"/>
    <w:rsid w:val="007C2B90"/>
    <w:rsid w:val="007C3833"/>
    <w:rsid w:val="007C3C9E"/>
    <w:rsid w:val="007C5059"/>
    <w:rsid w:val="007C5441"/>
    <w:rsid w:val="007C587D"/>
    <w:rsid w:val="007C5D57"/>
    <w:rsid w:val="007C7206"/>
    <w:rsid w:val="007C7495"/>
    <w:rsid w:val="007C7B30"/>
    <w:rsid w:val="007D084E"/>
    <w:rsid w:val="007D0C9F"/>
    <w:rsid w:val="007D152E"/>
    <w:rsid w:val="007D1A20"/>
    <w:rsid w:val="007D1E21"/>
    <w:rsid w:val="007D1EAB"/>
    <w:rsid w:val="007D3142"/>
    <w:rsid w:val="007D36DD"/>
    <w:rsid w:val="007D3B1C"/>
    <w:rsid w:val="007D3D5A"/>
    <w:rsid w:val="007D43F9"/>
    <w:rsid w:val="007D4FB2"/>
    <w:rsid w:val="007D508D"/>
    <w:rsid w:val="007D5BCC"/>
    <w:rsid w:val="007D5CF0"/>
    <w:rsid w:val="007D5D2E"/>
    <w:rsid w:val="007D710C"/>
    <w:rsid w:val="007E0EB1"/>
    <w:rsid w:val="007E42B2"/>
    <w:rsid w:val="007E4342"/>
    <w:rsid w:val="007E44E9"/>
    <w:rsid w:val="007E4744"/>
    <w:rsid w:val="007E4F59"/>
    <w:rsid w:val="007E5895"/>
    <w:rsid w:val="007E613C"/>
    <w:rsid w:val="007E7EA4"/>
    <w:rsid w:val="007E7FA3"/>
    <w:rsid w:val="007F15BC"/>
    <w:rsid w:val="007F2709"/>
    <w:rsid w:val="007F2BC5"/>
    <w:rsid w:val="007F2D0D"/>
    <w:rsid w:val="007F302A"/>
    <w:rsid w:val="007F31A7"/>
    <w:rsid w:val="007F4991"/>
    <w:rsid w:val="008002CD"/>
    <w:rsid w:val="00801DA3"/>
    <w:rsid w:val="00803720"/>
    <w:rsid w:val="00804385"/>
    <w:rsid w:val="008044DE"/>
    <w:rsid w:val="00806AB4"/>
    <w:rsid w:val="00810163"/>
    <w:rsid w:val="00810D53"/>
    <w:rsid w:val="008110DD"/>
    <w:rsid w:val="00811CC3"/>
    <w:rsid w:val="00813B5E"/>
    <w:rsid w:val="00814534"/>
    <w:rsid w:val="00815C15"/>
    <w:rsid w:val="00816658"/>
    <w:rsid w:val="00817477"/>
    <w:rsid w:val="008209AA"/>
    <w:rsid w:val="00822222"/>
    <w:rsid w:val="0082271D"/>
    <w:rsid w:val="00823B8B"/>
    <w:rsid w:val="00823FED"/>
    <w:rsid w:val="0082412C"/>
    <w:rsid w:val="0082414E"/>
    <w:rsid w:val="00825E03"/>
    <w:rsid w:val="0082645B"/>
    <w:rsid w:val="008268E7"/>
    <w:rsid w:val="00827326"/>
    <w:rsid w:val="00827E22"/>
    <w:rsid w:val="00827FD5"/>
    <w:rsid w:val="00830CCB"/>
    <w:rsid w:val="00831A5B"/>
    <w:rsid w:val="008327B4"/>
    <w:rsid w:val="0083280A"/>
    <w:rsid w:val="0083291C"/>
    <w:rsid w:val="008345BE"/>
    <w:rsid w:val="008346F4"/>
    <w:rsid w:val="0083494D"/>
    <w:rsid w:val="00834EA5"/>
    <w:rsid w:val="00834F94"/>
    <w:rsid w:val="00835956"/>
    <w:rsid w:val="00835ACA"/>
    <w:rsid w:val="008363F1"/>
    <w:rsid w:val="00837154"/>
    <w:rsid w:val="00837E64"/>
    <w:rsid w:val="00837F44"/>
    <w:rsid w:val="00840120"/>
    <w:rsid w:val="0084022B"/>
    <w:rsid w:val="00840606"/>
    <w:rsid w:val="00840FC9"/>
    <w:rsid w:val="0084321E"/>
    <w:rsid w:val="00843DCD"/>
    <w:rsid w:val="00844590"/>
    <w:rsid w:val="00844A3E"/>
    <w:rsid w:val="00844D6C"/>
    <w:rsid w:val="00844EF7"/>
    <w:rsid w:val="00846202"/>
    <w:rsid w:val="008463E2"/>
    <w:rsid w:val="0084777D"/>
    <w:rsid w:val="008516CF"/>
    <w:rsid w:val="00852F68"/>
    <w:rsid w:val="0085341B"/>
    <w:rsid w:val="00855986"/>
    <w:rsid w:val="00855E92"/>
    <w:rsid w:val="00856164"/>
    <w:rsid w:val="0085791F"/>
    <w:rsid w:val="008608A1"/>
    <w:rsid w:val="0086135E"/>
    <w:rsid w:val="0086259C"/>
    <w:rsid w:val="008629D3"/>
    <w:rsid w:val="008631D8"/>
    <w:rsid w:val="00863218"/>
    <w:rsid w:val="00863EB1"/>
    <w:rsid w:val="008658C8"/>
    <w:rsid w:val="00865B25"/>
    <w:rsid w:val="0086644D"/>
    <w:rsid w:val="0086651F"/>
    <w:rsid w:val="0086661B"/>
    <w:rsid w:val="00866786"/>
    <w:rsid w:val="00870F5D"/>
    <w:rsid w:val="008710F8"/>
    <w:rsid w:val="00871621"/>
    <w:rsid w:val="00872D2F"/>
    <w:rsid w:val="008735E0"/>
    <w:rsid w:val="0087376E"/>
    <w:rsid w:val="00873EC9"/>
    <w:rsid w:val="00873EE3"/>
    <w:rsid w:val="00875BE9"/>
    <w:rsid w:val="008762C6"/>
    <w:rsid w:val="00877A1B"/>
    <w:rsid w:val="00877F6E"/>
    <w:rsid w:val="008806B7"/>
    <w:rsid w:val="00880A07"/>
    <w:rsid w:val="00881416"/>
    <w:rsid w:val="00881EDD"/>
    <w:rsid w:val="008822F3"/>
    <w:rsid w:val="00883A53"/>
    <w:rsid w:val="00884913"/>
    <w:rsid w:val="00885BC1"/>
    <w:rsid w:val="0088642F"/>
    <w:rsid w:val="008902D4"/>
    <w:rsid w:val="00893BD8"/>
    <w:rsid w:val="008955BB"/>
    <w:rsid w:val="008967E6"/>
    <w:rsid w:val="00897920"/>
    <w:rsid w:val="008A1792"/>
    <w:rsid w:val="008A3172"/>
    <w:rsid w:val="008A452D"/>
    <w:rsid w:val="008A5D01"/>
    <w:rsid w:val="008A725B"/>
    <w:rsid w:val="008A771F"/>
    <w:rsid w:val="008A7CB8"/>
    <w:rsid w:val="008A7F7E"/>
    <w:rsid w:val="008B0DF1"/>
    <w:rsid w:val="008B1BD4"/>
    <w:rsid w:val="008B2ADC"/>
    <w:rsid w:val="008B5793"/>
    <w:rsid w:val="008B6CDF"/>
    <w:rsid w:val="008B72BF"/>
    <w:rsid w:val="008B7FB7"/>
    <w:rsid w:val="008C04AB"/>
    <w:rsid w:val="008C0E07"/>
    <w:rsid w:val="008C1265"/>
    <w:rsid w:val="008C194E"/>
    <w:rsid w:val="008C2012"/>
    <w:rsid w:val="008C262E"/>
    <w:rsid w:val="008C40C7"/>
    <w:rsid w:val="008C4F51"/>
    <w:rsid w:val="008C5282"/>
    <w:rsid w:val="008C5A61"/>
    <w:rsid w:val="008C6089"/>
    <w:rsid w:val="008C7297"/>
    <w:rsid w:val="008C7FB0"/>
    <w:rsid w:val="008D0215"/>
    <w:rsid w:val="008D16A3"/>
    <w:rsid w:val="008D3FE2"/>
    <w:rsid w:val="008D48DA"/>
    <w:rsid w:val="008D52D7"/>
    <w:rsid w:val="008D5307"/>
    <w:rsid w:val="008D693C"/>
    <w:rsid w:val="008D7E06"/>
    <w:rsid w:val="008D7E5A"/>
    <w:rsid w:val="008D7ED0"/>
    <w:rsid w:val="008E0757"/>
    <w:rsid w:val="008E11F3"/>
    <w:rsid w:val="008E27CA"/>
    <w:rsid w:val="008E2BB8"/>
    <w:rsid w:val="008E3617"/>
    <w:rsid w:val="008E4285"/>
    <w:rsid w:val="008E5030"/>
    <w:rsid w:val="008E60CA"/>
    <w:rsid w:val="008E69DD"/>
    <w:rsid w:val="008E6BCE"/>
    <w:rsid w:val="008E7488"/>
    <w:rsid w:val="008E76CF"/>
    <w:rsid w:val="008F0389"/>
    <w:rsid w:val="008F03A7"/>
    <w:rsid w:val="008F0B2D"/>
    <w:rsid w:val="008F10D5"/>
    <w:rsid w:val="008F1380"/>
    <w:rsid w:val="008F1DC0"/>
    <w:rsid w:val="008F279E"/>
    <w:rsid w:val="008F3D73"/>
    <w:rsid w:val="008F40D7"/>
    <w:rsid w:val="008F41E8"/>
    <w:rsid w:val="008F47C9"/>
    <w:rsid w:val="008F533F"/>
    <w:rsid w:val="008F5B01"/>
    <w:rsid w:val="008F675E"/>
    <w:rsid w:val="008F7CE9"/>
    <w:rsid w:val="009014BE"/>
    <w:rsid w:val="00901CB6"/>
    <w:rsid w:val="00903A26"/>
    <w:rsid w:val="00903CF6"/>
    <w:rsid w:val="00904739"/>
    <w:rsid w:val="0090552B"/>
    <w:rsid w:val="00905819"/>
    <w:rsid w:val="00905C71"/>
    <w:rsid w:val="00906380"/>
    <w:rsid w:val="0090645C"/>
    <w:rsid w:val="00906E05"/>
    <w:rsid w:val="00911A62"/>
    <w:rsid w:val="00911E73"/>
    <w:rsid w:val="009124EA"/>
    <w:rsid w:val="009124F0"/>
    <w:rsid w:val="0091357B"/>
    <w:rsid w:val="009136B8"/>
    <w:rsid w:val="0091402F"/>
    <w:rsid w:val="009164F1"/>
    <w:rsid w:val="00916CC0"/>
    <w:rsid w:val="00917134"/>
    <w:rsid w:val="00920E5B"/>
    <w:rsid w:val="009210BB"/>
    <w:rsid w:val="009230C5"/>
    <w:rsid w:val="00923A3A"/>
    <w:rsid w:val="00923C0F"/>
    <w:rsid w:val="0092437D"/>
    <w:rsid w:val="00924394"/>
    <w:rsid w:val="009248C7"/>
    <w:rsid w:val="00924FCC"/>
    <w:rsid w:val="00930034"/>
    <w:rsid w:val="0093079F"/>
    <w:rsid w:val="00930CE6"/>
    <w:rsid w:val="00931065"/>
    <w:rsid w:val="00934D67"/>
    <w:rsid w:val="00935C67"/>
    <w:rsid w:val="00936AC8"/>
    <w:rsid w:val="009374B6"/>
    <w:rsid w:val="009378A6"/>
    <w:rsid w:val="00937F74"/>
    <w:rsid w:val="0094017D"/>
    <w:rsid w:val="009405C5"/>
    <w:rsid w:val="00940AD9"/>
    <w:rsid w:val="0094247A"/>
    <w:rsid w:val="0094497B"/>
    <w:rsid w:val="00944B1A"/>
    <w:rsid w:val="00945FCE"/>
    <w:rsid w:val="00946D42"/>
    <w:rsid w:val="00947346"/>
    <w:rsid w:val="0094765E"/>
    <w:rsid w:val="009501D7"/>
    <w:rsid w:val="009503C5"/>
    <w:rsid w:val="009503F9"/>
    <w:rsid w:val="00950931"/>
    <w:rsid w:val="0095133C"/>
    <w:rsid w:val="009513C2"/>
    <w:rsid w:val="00951EBA"/>
    <w:rsid w:val="00952283"/>
    <w:rsid w:val="00953169"/>
    <w:rsid w:val="0095443E"/>
    <w:rsid w:val="00954575"/>
    <w:rsid w:val="00954A6E"/>
    <w:rsid w:val="00954AE1"/>
    <w:rsid w:val="00954D82"/>
    <w:rsid w:val="00954E1F"/>
    <w:rsid w:val="00955249"/>
    <w:rsid w:val="00956063"/>
    <w:rsid w:val="00956C7D"/>
    <w:rsid w:val="0095714B"/>
    <w:rsid w:val="00960F74"/>
    <w:rsid w:val="009618C4"/>
    <w:rsid w:val="00962583"/>
    <w:rsid w:val="00962831"/>
    <w:rsid w:val="00962A6D"/>
    <w:rsid w:val="00962A75"/>
    <w:rsid w:val="00962AA6"/>
    <w:rsid w:val="00964C95"/>
    <w:rsid w:val="00965678"/>
    <w:rsid w:val="009657E6"/>
    <w:rsid w:val="0096629E"/>
    <w:rsid w:val="0097092F"/>
    <w:rsid w:val="00970BD4"/>
    <w:rsid w:val="00971D62"/>
    <w:rsid w:val="00971E8A"/>
    <w:rsid w:val="00972AEF"/>
    <w:rsid w:val="00974055"/>
    <w:rsid w:val="009742A0"/>
    <w:rsid w:val="0097467F"/>
    <w:rsid w:val="009748C7"/>
    <w:rsid w:val="00974A32"/>
    <w:rsid w:val="00974B7B"/>
    <w:rsid w:val="00976374"/>
    <w:rsid w:val="00977C0C"/>
    <w:rsid w:val="00981AA7"/>
    <w:rsid w:val="0098324D"/>
    <w:rsid w:val="00983C28"/>
    <w:rsid w:val="00983FBA"/>
    <w:rsid w:val="00985AE6"/>
    <w:rsid w:val="009862F7"/>
    <w:rsid w:val="00986CF3"/>
    <w:rsid w:val="009871C0"/>
    <w:rsid w:val="0099007D"/>
    <w:rsid w:val="009911EB"/>
    <w:rsid w:val="00991CAF"/>
    <w:rsid w:val="009924A9"/>
    <w:rsid w:val="00993CA6"/>
    <w:rsid w:val="00993FEB"/>
    <w:rsid w:val="00994030"/>
    <w:rsid w:val="00994177"/>
    <w:rsid w:val="00995046"/>
    <w:rsid w:val="0099523B"/>
    <w:rsid w:val="00996ED5"/>
    <w:rsid w:val="00997BEE"/>
    <w:rsid w:val="009A027B"/>
    <w:rsid w:val="009A2F15"/>
    <w:rsid w:val="009A3ED7"/>
    <w:rsid w:val="009A6A4C"/>
    <w:rsid w:val="009A6CFE"/>
    <w:rsid w:val="009A6F90"/>
    <w:rsid w:val="009A7987"/>
    <w:rsid w:val="009B01E1"/>
    <w:rsid w:val="009B16BD"/>
    <w:rsid w:val="009B3883"/>
    <w:rsid w:val="009B4032"/>
    <w:rsid w:val="009B543C"/>
    <w:rsid w:val="009B578F"/>
    <w:rsid w:val="009B59DF"/>
    <w:rsid w:val="009B5CB8"/>
    <w:rsid w:val="009B6212"/>
    <w:rsid w:val="009B6952"/>
    <w:rsid w:val="009B7928"/>
    <w:rsid w:val="009C06B4"/>
    <w:rsid w:val="009C11F4"/>
    <w:rsid w:val="009C1CAD"/>
    <w:rsid w:val="009C2489"/>
    <w:rsid w:val="009C2FDD"/>
    <w:rsid w:val="009C31ED"/>
    <w:rsid w:val="009C3316"/>
    <w:rsid w:val="009C4C7C"/>
    <w:rsid w:val="009C51A0"/>
    <w:rsid w:val="009C66A3"/>
    <w:rsid w:val="009C6CFA"/>
    <w:rsid w:val="009C778F"/>
    <w:rsid w:val="009C7965"/>
    <w:rsid w:val="009D0910"/>
    <w:rsid w:val="009D1688"/>
    <w:rsid w:val="009D2831"/>
    <w:rsid w:val="009D3D78"/>
    <w:rsid w:val="009D4200"/>
    <w:rsid w:val="009D4FD7"/>
    <w:rsid w:val="009D5148"/>
    <w:rsid w:val="009E0A0D"/>
    <w:rsid w:val="009E0A1B"/>
    <w:rsid w:val="009E0F20"/>
    <w:rsid w:val="009E0FAF"/>
    <w:rsid w:val="009E154F"/>
    <w:rsid w:val="009E3F0B"/>
    <w:rsid w:val="009E474E"/>
    <w:rsid w:val="009E5703"/>
    <w:rsid w:val="009E5E7C"/>
    <w:rsid w:val="009E646A"/>
    <w:rsid w:val="009E68AC"/>
    <w:rsid w:val="009E711F"/>
    <w:rsid w:val="009E7F6A"/>
    <w:rsid w:val="009F014B"/>
    <w:rsid w:val="009F0BCB"/>
    <w:rsid w:val="009F29FA"/>
    <w:rsid w:val="009F2BC0"/>
    <w:rsid w:val="009F3089"/>
    <w:rsid w:val="009F3126"/>
    <w:rsid w:val="009F49B0"/>
    <w:rsid w:val="009F51E3"/>
    <w:rsid w:val="009F5261"/>
    <w:rsid w:val="009F53CD"/>
    <w:rsid w:val="009F596C"/>
    <w:rsid w:val="009F7932"/>
    <w:rsid w:val="009F7DE2"/>
    <w:rsid w:val="00A014C7"/>
    <w:rsid w:val="00A01829"/>
    <w:rsid w:val="00A01B05"/>
    <w:rsid w:val="00A020ED"/>
    <w:rsid w:val="00A029BF"/>
    <w:rsid w:val="00A03B98"/>
    <w:rsid w:val="00A05845"/>
    <w:rsid w:val="00A061AE"/>
    <w:rsid w:val="00A06422"/>
    <w:rsid w:val="00A06B1C"/>
    <w:rsid w:val="00A0761C"/>
    <w:rsid w:val="00A11B48"/>
    <w:rsid w:val="00A11C62"/>
    <w:rsid w:val="00A11F92"/>
    <w:rsid w:val="00A1279B"/>
    <w:rsid w:val="00A14443"/>
    <w:rsid w:val="00A14C7D"/>
    <w:rsid w:val="00A167CA"/>
    <w:rsid w:val="00A17808"/>
    <w:rsid w:val="00A1790F"/>
    <w:rsid w:val="00A20ECC"/>
    <w:rsid w:val="00A21280"/>
    <w:rsid w:val="00A21548"/>
    <w:rsid w:val="00A22239"/>
    <w:rsid w:val="00A226AA"/>
    <w:rsid w:val="00A2437C"/>
    <w:rsid w:val="00A24932"/>
    <w:rsid w:val="00A24CFD"/>
    <w:rsid w:val="00A2600C"/>
    <w:rsid w:val="00A26399"/>
    <w:rsid w:val="00A26907"/>
    <w:rsid w:val="00A27A27"/>
    <w:rsid w:val="00A30480"/>
    <w:rsid w:val="00A314F0"/>
    <w:rsid w:val="00A31665"/>
    <w:rsid w:val="00A317FA"/>
    <w:rsid w:val="00A344D1"/>
    <w:rsid w:val="00A34952"/>
    <w:rsid w:val="00A34C16"/>
    <w:rsid w:val="00A35CB2"/>
    <w:rsid w:val="00A366E4"/>
    <w:rsid w:val="00A36723"/>
    <w:rsid w:val="00A3691E"/>
    <w:rsid w:val="00A3763A"/>
    <w:rsid w:val="00A413B4"/>
    <w:rsid w:val="00A414FA"/>
    <w:rsid w:val="00A41549"/>
    <w:rsid w:val="00A42E02"/>
    <w:rsid w:val="00A430A9"/>
    <w:rsid w:val="00A44B01"/>
    <w:rsid w:val="00A44BA6"/>
    <w:rsid w:val="00A459C4"/>
    <w:rsid w:val="00A45E5B"/>
    <w:rsid w:val="00A464C7"/>
    <w:rsid w:val="00A4670C"/>
    <w:rsid w:val="00A47087"/>
    <w:rsid w:val="00A500DD"/>
    <w:rsid w:val="00A50B4D"/>
    <w:rsid w:val="00A5139C"/>
    <w:rsid w:val="00A51E80"/>
    <w:rsid w:val="00A523C6"/>
    <w:rsid w:val="00A52424"/>
    <w:rsid w:val="00A55A8D"/>
    <w:rsid w:val="00A55F69"/>
    <w:rsid w:val="00A565EE"/>
    <w:rsid w:val="00A57B52"/>
    <w:rsid w:val="00A57BB0"/>
    <w:rsid w:val="00A6088B"/>
    <w:rsid w:val="00A60E94"/>
    <w:rsid w:val="00A60F2C"/>
    <w:rsid w:val="00A638A0"/>
    <w:rsid w:val="00A63C76"/>
    <w:rsid w:val="00A652DC"/>
    <w:rsid w:val="00A66180"/>
    <w:rsid w:val="00A66219"/>
    <w:rsid w:val="00A70248"/>
    <w:rsid w:val="00A70653"/>
    <w:rsid w:val="00A7159A"/>
    <w:rsid w:val="00A71B6A"/>
    <w:rsid w:val="00A723AC"/>
    <w:rsid w:val="00A73AB6"/>
    <w:rsid w:val="00A73E8F"/>
    <w:rsid w:val="00A74AD3"/>
    <w:rsid w:val="00A750B1"/>
    <w:rsid w:val="00A75B3F"/>
    <w:rsid w:val="00A760F6"/>
    <w:rsid w:val="00A77689"/>
    <w:rsid w:val="00A776DF"/>
    <w:rsid w:val="00A80A36"/>
    <w:rsid w:val="00A8101A"/>
    <w:rsid w:val="00A81570"/>
    <w:rsid w:val="00A81EEA"/>
    <w:rsid w:val="00A8284D"/>
    <w:rsid w:val="00A85267"/>
    <w:rsid w:val="00A8584F"/>
    <w:rsid w:val="00A859E6"/>
    <w:rsid w:val="00A86726"/>
    <w:rsid w:val="00A87019"/>
    <w:rsid w:val="00A87127"/>
    <w:rsid w:val="00A87283"/>
    <w:rsid w:val="00A87A02"/>
    <w:rsid w:val="00A90053"/>
    <w:rsid w:val="00A902D6"/>
    <w:rsid w:val="00A90499"/>
    <w:rsid w:val="00A90974"/>
    <w:rsid w:val="00A90B8C"/>
    <w:rsid w:val="00A92402"/>
    <w:rsid w:val="00A9327F"/>
    <w:rsid w:val="00A932EE"/>
    <w:rsid w:val="00A9353F"/>
    <w:rsid w:val="00A938F6"/>
    <w:rsid w:val="00A94099"/>
    <w:rsid w:val="00A945D8"/>
    <w:rsid w:val="00A96E93"/>
    <w:rsid w:val="00AA00F8"/>
    <w:rsid w:val="00AA01FD"/>
    <w:rsid w:val="00AA069D"/>
    <w:rsid w:val="00AA0B1F"/>
    <w:rsid w:val="00AA1951"/>
    <w:rsid w:val="00AA1CCD"/>
    <w:rsid w:val="00AA1CD9"/>
    <w:rsid w:val="00AA250C"/>
    <w:rsid w:val="00AA26C6"/>
    <w:rsid w:val="00AA2937"/>
    <w:rsid w:val="00AA2C0C"/>
    <w:rsid w:val="00AA2DF4"/>
    <w:rsid w:val="00AA36FA"/>
    <w:rsid w:val="00AA42C9"/>
    <w:rsid w:val="00AA5C92"/>
    <w:rsid w:val="00AA76B9"/>
    <w:rsid w:val="00AA76C2"/>
    <w:rsid w:val="00AB05A1"/>
    <w:rsid w:val="00AB0627"/>
    <w:rsid w:val="00AB0E76"/>
    <w:rsid w:val="00AB18F2"/>
    <w:rsid w:val="00AB1D4B"/>
    <w:rsid w:val="00AB336D"/>
    <w:rsid w:val="00AB33D5"/>
    <w:rsid w:val="00AB54C3"/>
    <w:rsid w:val="00AB60BF"/>
    <w:rsid w:val="00AB70E5"/>
    <w:rsid w:val="00AB72FC"/>
    <w:rsid w:val="00AB7B1A"/>
    <w:rsid w:val="00AB7F3C"/>
    <w:rsid w:val="00AC06A2"/>
    <w:rsid w:val="00AC14F2"/>
    <w:rsid w:val="00AC23A9"/>
    <w:rsid w:val="00AC3752"/>
    <w:rsid w:val="00AC487B"/>
    <w:rsid w:val="00AC48D4"/>
    <w:rsid w:val="00AC70EB"/>
    <w:rsid w:val="00AD3192"/>
    <w:rsid w:val="00AD513F"/>
    <w:rsid w:val="00AD55AC"/>
    <w:rsid w:val="00AD5FDC"/>
    <w:rsid w:val="00AD61DA"/>
    <w:rsid w:val="00AD6349"/>
    <w:rsid w:val="00AD70B5"/>
    <w:rsid w:val="00AE00F9"/>
    <w:rsid w:val="00AE0A76"/>
    <w:rsid w:val="00AE1615"/>
    <w:rsid w:val="00AE1F4C"/>
    <w:rsid w:val="00AE293D"/>
    <w:rsid w:val="00AE3480"/>
    <w:rsid w:val="00AE3758"/>
    <w:rsid w:val="00AE3B35"/>
    <w:rsid w:val="00AE507E"/>
    <w:rsid w:val="00AE59E5"/>
    <w:rsid w:val="00AE61D4"/>
    <w:rsid w:val="00AE73F1"/>
    <w:rsid w:val="00AE7831"/>
    <w:rsid w:val="00AE7ABD"/>
    <w:rsid w:val="00AE7CC9"/>
    <w:rsid w:val="00AF0432"/>
    <w:rsid w:val="00AF0FCF"/>
    <w:rsid w:val="00AF12E2"/>
    <w:rsid w:val="00AF1540"/>
    <w:rsid w:val="00AF22A6"/>
    <w:rsid w:val="00AF2720"/>
    <w:rsid w:val="00AF2732"/>
    <w:rsid w:val="00AF4250"/>
    <w:rsid w:val="00AF4478"/>
    <w:rsid w:val="00AF4DFB"/>
    <w:rsid w:val="00AF5616"/>
    <w:rsid w:val="00AF6673"/>
    <w:rsid w:val="00AF764A"/>
    <w:rsid w:val="00AF7704"/>
    <w:rsid w:val="00B006B4"/>
    <w:rsid w:val="00B00CF6"/>
    <w:rsid w:val="00B01B90"/>
    <w:rsid w:val="00B022B5"/>
    <w:rsid w:val="00B0359F"/>
    <w:rsid w:val="00B04DCA"/>
    <w:rsid w:val="00B06A2E"/>
    <w:rsid w:val="00B07FEF"/>
    <w:rsid w:val="00B104A7"/>
    <w:rsid w:val="00B13F4D"/>
    <w:rsid w:val="00B14370"/>
    <w:rsid w:val="00B14786"/>
    <w:rsid w:val="00B14E76"/>
    <w:rsid w:val="00B153BA"/>
    <w:rsid w:val="00B158F0"/>
    <w:rsid w:val="00B15999"/>
    <w:rsid w:val="00B15EAF"/>
    <w:rsid w:val="00B16FE2"/>
    <w:rsid w:val="00B21A60"/>
    <w:rsid w:val="00B224B8"/>
    <w:rsid w:val="00B22710"/>
    <w:rsid w:val="00B24C4F"/>
    <w:rsid w:val="00B256A4"/>
    <w:rsid w:val="00B25828"/>
    <w:rsid w:val="00B25858"/>
    <w:rsid w:val="00B25A17"/>
    <w:rsid w:val="00B25C9D"/>
    <w:rsid w:val="00B260C9"/>
    <w:rsid w:val="00B271BC"/>
    <w:rsid w:val="00B30930"/>
    <w:rsid w:val="00B32842"/>
    <w:rsid w:val="00B330DC"/>
    <w:rsid w:val="00B33D10"/>
    <w:rsid w:val="00B34FC6"/>
    <w:rsid w:val="00B35C49"/>
    <w:rsid w:val="00B36264"/>
    <w:rsid w:val="00B36E20"/>
    <w:rsid w:val="00B41C39"/>
    <w:rsid w:val="00B4247F"/>
    <w:rsid w:val="00B426FC"/>
    <w:rsid w:val="00B427A3"/>
    <w:rsid w:val="00B42A4D"/>
    <w:rsid w:val="00B4317E"/>
    <w:rsid w:val="00B43A19"/>
    <w:rsid w:val="00B43BC0"/>
    <w:rsid w:val="00B44CFD"/>
    <w:rsid w:val="00B46296"/>
    <w:rsid w:val="00B46792"/>
    <w:rsid w:val="00B46EBF"/>
    <w:rsid w:val="00B474CB"/>
    <w:rsid w:val="00B502AD"/>
    <w:rsid w:val="00B5064C"/>
    <w:rsid w:val="00B508C0"/>
    <w:rsid w:val="00B50AB7"/>
    <w:rsid w:val="00B51132"/>
    <w:rsid w:val="00B516FE"/>
    <w:rsid w:val="00B54C20"/>
    <w:rsid w:val="00B54D88"/>
    <w:rsid w:val="00B54DBC"/>
    <w:rsid w:val="00B555AF"/>
    <w:rsid w:val="00B55E9C"/>
    <w:rsid w:val="00B57F1C"/>
    <w:rsid w:val="00B60370"/>
    <w:rsid w:val="00B6239F"/>
    <w:rsid w:val="00B62861"/>
    <w:rsid w:val="00B63494"/>
    <w:rsid w:val="00B63624"/>
    <w:rsid w:val="00B649FD"/>
    <w:rsid w:val="00B66D0E"/>
    <w:rsid w:val="00B6792F"/>
    <w:rsid w:val="00B70F03"/>
    <w:rsid w:val="00B70F55"/>
    <w:rsid w:val="00B7132D"/>
    <w:rsid w:val="00B737DC"/>
    <w:rsid w:val="00B73805"/>
    <w:rsid w:val="00B74393"/>
    <w:rsid w:val="00B750ED"/>
    <w:rsid w:val="00B75105"/>
    <w:rsid w:val="00B75EB0"/>
    <w:rsid w:val="00B76016"/>
    <w:rsid w:val="00B76110"/>
    <w:rsid w:val="00B76ACD"/>
    <w:rsid w:val="00B77D2F"/>
    <w:rsid w:val="00B8035B"/>
    <w:rsid w:val="00B808FB"/>
    <w:rsid w:val="00B81DC1"/>
    <w:rsid w:val="00B832ED"/>
    <w:rsid w:val="00B834B6"/>
    <w:rsid w:val="00B83B3E"/>
    <w:rsid w:val="00B85D97"/>
    <w:rsid w:val="00B85FF7"/>
    <w:rsid w:val="00B875AC"/>
    <w:rsid w:val="00B87B39"/>
    <w:rsid w:val="00B90CEB"/>
    <w:rsid w:val="00B93D21"/>
    <w:rsid w:val="00B94B61"/>
    <w:rsid w:val="00B94E9E"/>
    <w:rsid w:val="00B94F10"/>
    <w:rsid w:val="00B96F1B"/>
    <w:rsid w:val="00BA085A"/>
    <w:rsid w:val="00BA1176"/>
    <w:rsid w:val="00BA1B5C"/>
    <w:rsid w:val="00BA29D4"/>
    <w:rsid w:val="00BA308E"/>
    <w:rsid w:val="00BA527D"/>
    <w:rsid w:val="00BA54A2"/>
    <w:rsid w:val="00BA5B87"/>
    <w:rsid w:val="00BA642B"/>
    <w:rsid w:val="00BA722C"/>
    <w:rsid w:val="00BA7BE5"/>
    <w:rsid w:val="00BB2492"/>
    <w:rsid w:val="00BB2AAB"/>
    <w:rsid w:val="00BB3494"/>
    <w:rsid w:val="00BB3B9C"/>
    <w:rsid w:val="00BB5AFD"/>
    <w:rsid w:val="00BB6877"/>
    <w:rsid w:val="00BC09FD"/>
    <w:rsid w:val="00BC230D"/>
    <w:rsid w:val="00BC2404"/>
    <w:rsid w:val="00BC3516"/>
    <w:rsid w:val="00BC380E"/>
    <w:rsid w:val="00BC3AC5"/>
    <w:rsid w:val="00BC4752"/>
    <w:rsid w:val="00BC4BC3"/>
    <w:rsid w:val="00BC4F82"/>
    <w:rsid w:val="00BC5939"/>
    <w:rsid w:val="00BC6289"/>
    <w:rsid w:val="00BC630C"/>
    <w:rsid w:val="00BC6579"/>
    <w:rsid w:val="00BC7FC8"/>
    <w:rsid w:val="00BD0BD9"/>
    <w:rsid w:val="00BD0CAA"/>
    <w:rsid w:val="00BD24FC"/>
    <w:rsid w:val="00BD3E81"/>
    <w:rsid w:val="00BD42A0"/>
    <w:rsid w:val="00BD4461"/>
    <w:rsid w:val="00BD50F7"/>
    <w:rsid w:val="00BD5AE8"/>
    <w:rsid w:val="00BD5CBB"/>
    <w:rsid w:val="00BD697A"/>
    <w:rsid w:val="00BD6E8A"/>
    <w:rsid w:val="00BE07CA"/>
    <w:rsid w:val="00BE129C"/>
    <w:rsid w:val="00BE14B5"/>
    <w:rsid w:val="00BE16DB"/>
    <w:rsid w:val="00BE212D"/>
    <w:rsid w:val="00BE2167"/>
    <w:rsid w:val="00BE36BF"/>
    <w:rsid w:val="00BE3A40"/>
    <w:rsid w:val="00BE3FDC"/>
    <w:rsid w:val="00BE4FF6"/>
    <w:rsid w:val="00BE52E6"/>
    <w:rsid w:val="00BE59E1"/>
    <w:rsid w:val="00BE6DB5"/>
    <w:rsid w:val="00BF0D13"/>
    <w:rsid w:val="00BF174E"/>
    <w:rsid w:val="00BF246A"/>
    <w:rsid w:val="00BF3CE1"/>
    <w:rsid w:val="00BF3D1C"/>
    <w:rsid w:val="00BF463B"/>
    <w:rsid w:val="00BF4CD5"/>
    <w:rsid w:val="00BF583D"/>
    <w:rsid w:val="00BF5BDA"/>
    <w:rsid w:val="00BF6086"/>
    <w:rsid w:val="00BF6089"/>
    <w:rsid w:val="00BF6D62"/>
    <w:rsid w:val="00BF70E4"/>
    <w:rsid w:val="00C0236F"/>
    <w:rsid w:val="00C0360D"/>
    <w:rsid w:val="00C038BD"/>
    <w:rsid w:val="00C04087"/>
    <w:rsid w:val="00C05014"/>
    <w:rsid w:val="00C0535C"/>
    <w:rsid w:val="00C0542A"/>
    <w:rsid w:val="00C0550A"/>
    <w:rsid w:val="00C05E24"/>
    <w:rsid w:val="00C10980"/>
    <w:rsid w:val="00C10ACA"/>
    <w:rsid w:val="00C12589"/>
    <w:rsid w:val="00C125BC"/>
    <w:rsid w:val="00C127EB"/>
    <w:rsid w:val="00C129A2"/>
    <w:rsid w:val="00C13738"/>
    <w:rsid w:val="00C13F62"/>
    <w:rsid w:val="00C14ABF"/>
    <w:rsid w:val="00C14BA3"/>
    <w:rsid w:val="00C15DA8"/>
    <w:rsid w:val="00C17803"/>
    <w:rsid w:val="00C201FA"/>
    <w:rsid w:val="00C20827"/>
    <w:rsid w:val="00C20B0C"/>
    <w:rsid w:val="00C213BA"/>
    <w:rsid w:val="00C216AE"/>
    <w:rsid w:val="00C229D2"/>
    <w:rsid w:val="00C23C1A"/>
    <w:rsid w:val="00C23C85"/>
    <w:rsid w:val="00C250A8"/>
    <w:rsid w:val="00C25270"/>
    <w:rsid w:val="00C25817"/>
    <w:rsid w:val="00C268AA"/>
    <w:rsid w:val="00C268CE"/>
    <w:rsid w:val="00C31776"/>
    <w:rsid w:val="00C32355"/>
    <w:rsid w:val="00C34482"/>
    <w:rsid w:val="00C34820"/>
    <w:rsid w:val="00C36B44"/>
    <w:rsid w:val="00C3760D"/>
    <w:rsid w:val="00C37F1C"/>
    <w:rsid w:val="00C400CF"/>
    <w:rsid w:val="00C40589"/>
    <w:rsid w:val="00C41791"/>
    <w:rsid w:val="00C41A2C"/>
    <w:rsid w:val="00C41DFE"/>
    <w:rsid w:val="00C4409E"/>
    <w:rsid w:val="00C46252"/>
    <w:rsid w:val="00C4678C"/>
    <w:rsid w:val="00C46801"/>
    <w:rsid w:val="00C472D5"/>
    <w:rsid w:val="00C475A0"/>
    <w:rsid w:val="00C5051A"/>
    <w:rsid w:val="00C5128D"/>
    <w:rsid w:val="00C540F5"/>
    <w:rsid w:val="00C5425A"/>
    <w:rsid w:val="00C54923"/>
    <w:rsid w:val="00C558D2"/>
    <w:rsid w:val="00C55D89"/>
    <w:rsid w:val="00C55FB9"/>
    <w:rsid w:val="00C5675F"/>
    <w:rsid w:val="00C56F3C"/>
    <w:rsid w:val="00C57D63"/>
    <w:rsid w:val="00C609C6"/>
    <w:rsid w:val="00C60C0C"/>
    <w:rsid w:val="00C61093"/>
    <w:rsid w:val="00C666A7"/>
    <w:rsid w:val="00C66CB0"/>
    <w:rsid w:val="00C672D0"/>
    <w:rsid w:val="00C702CF"/>
    <w:rsid w:val="00C72A68"/>
    <w:rsid w:val="00C72CA7"/>
    <w:rsid w:val="00C73179"/>
    <w:rsid w:val="00C73CBC"/>
    <w:rsid w:val="00C74227"/>
    <w:rsid w:val="00C74AB5"/>
    <w:rsid w:val="00C769A7"/>
    <w:rsid w:val="00C7702C"/>
    <w:rsid w:val="00C80F8B"/>
    <w:rsid w:val="00C81A4F"/>
    <w:rsid w:val="00C828FB"/>
    <w:rsid w:val="00C82CEF"/>
    <w:rsid w:val="00C83015"/>
    <w:rsid w:val="00C834F2"/>
    <w:rsid w:val="00C84695"/>
    <w:rsid w:val="00C85036"/>
    <w:rsid w:val="00C85DAB"/>
    <w:rsid w:val="00C86B04"/>
    <w:rsid w:val="00C8786B"/>
    <w:rsid w:val="00C908F6"/>
    <w:rsid w:val="00C9094F"/>
    <w:rsid w:val="00C91D22"/>
    <w:rsid w:val="00C92DC6"/>
    <w:rsid w:val="00C93B7E"/>
    <w:rsid w:val="00C94411"/>
    <w:rsid w:val="00C94549"/>
    <w:rsid w:val="00C97046"/>
    <w:rsid w:val="00CA096D"/>
    <w:rsid w:val="00CA1D1B"/>
    <w:rsid w:val="00CA27DB"/>
    <w:rsid w:val="00CA2BCC"/>
    <w:rsid w:val="00CA356F"/>
    <w:rsid w:val="00CA57B6"/>
    <w:rsid w:val="00CA604B"/>
    <w:rsid w:val="00CA6B2F"/>
    <w:rsid w:val="00CA70BC"/>
    <w:rsid w:val="00CA7148"/>
    <w:rsid w:val="00CA7CAF"/>
    <w:rsid w:val="00CB0C1D"/>
    <w:rsid w:val="00CB0F03"/>
    <w:rsid w:val="00CB1819"/>
    <w:rsid w:val="00CB235A"/>
    <w:rsid w:val="00CB280E"/>
    <w:rsid w:val="00CB2B72"/>
    <w:rsid w:val="00CB6D28"/>
    <w:rsid w:val="00CB77DA"/>
    <w:rsid w:val="00CB7B46"/>
    <w:rsid w:val="00CC0CF0"/>
    <w:rsid w:val="00CC1A4D"/>
    <w:rsid w:val="00CC21D3"/>
    <w:rsid w:val="00CC35B0"/>
    <w:rsid w:val="00CC3D5F"/>
    <w:rsid w:val="00CC44F1"/>
    <w:rsid w:val="00CC458D"/>
    <w:rsid w:val="00CC4D08"/>
    <w:rsid w:val="00CC5129"/>
    <w:rsid w:val="00CC6A66"/>
    <w:rsid w:val="00CD07DC"/>
    <w:rsid w:val="00CD0984"/>
    <w:rsid w:val="00CD2537"/>
    <w:rsid w:val="00CD392D"/>
    <w:rsid w:val="00CD3F33"/>
    <w:rsid w:val="00CD4839"/>
    <w:rsid w:val="00CD4D16"/>
    <w:rsid w:val="00CD4F57"/>
    <w:rsid w:val="00CD593E"/>
    <w:rsid w:val="00CD6631"/>
    <w:rsid w:val="00CD6A27"/>
    <w:rsid w:val="00CD6BE3"/>
    <w:rsid w:val="00CD7D64"/>
    <w:rsid w:val="00CE1264"/>
    <w:rsid w:val="00CE1360"/>
    <w:rsid w:val="00CE1FA0"/>
    <w:rsid w:val="00CE2359"/>
    <w:rsid w:val="00CE2DE8"/>
    <w:rsid w:val="00CE346E"/>
    <w:rsid w:val="00CE3699"/>
    <w:rsid w:val="00CE3CA2"/>
    <w:rsid w:val="00CE3D54"/>
    <w:rsid w:val="00CE5652"/>
    <w:rsid w:val="00CE7B34"/>
    <w:rsid w:val="00CF117C"/>
    <w:rsid w:val="00CF1204"/>
    <w:rsid w:val="00CF165E"/>
    <w:rsid w:val="00CF204A"/>
    <w:rsid w:val="00CF3112"/>
    <w:rsid w:val="00CF348C"/>
    <w:rsid w:val="00CF3C88"/>
    <w:rsid w:val="00CF3D3D"/>
    <w:rsid w:val="00CF4B62"/>
    <w:rsid w:val="00CF5594"/>
    <w:rsid w:val="00CF63D8"/>
    <w:rsid w:val="00CF6496"/>
    <w:rsid w:val="00CF7079"/>
    <w:rsid w:val="00CF7939"/>
    <w:rsid w:val="00CF7E61"/>
    <w:rsid w:val="00D00AF1"/>
    <w:rsid w:val="00D00E0E"/>
    <w:rsid w:val="00D016F6"/>
    <w:rsid w:val="00D02AFF"/>
    <w:rsid w:val="00D030FA"/>
    <w:rsid w:val="00D06463"/>
    <w:rsid w:val="00D104FC"/>
    <w:rsid w:val="00D10D90"/>
    <w:rsid w:val="00D11F86"/>
    <w:rsid w:val="00D14650"/>
    <w:rsid w:val="00D16A86"/>
    <w:rsid w:val="00D172EA"/>
    <w:rsid w:val="00D17A3D"/>
    <w:rsid w:val="00D20074"/>
    <w:rsid w:val="00D22BF4"/>
    <w:rsid w:val="00D241D7"/>
    <w:rsid w:val="00D24200"/>
    <w:rsid w:val="00D2579C"/>
    <w:rsid w:val="00D26297"/>
    <w:rsid w:val="00D26618"/>
    <w:rsid w:val="00D26CE9"/>
    <w:rsid w:val="00D26FD0"/>
    <w:rsid w:val="00D27657"/>
    <w:rsid w:val="00D3018C"/>
    <w:rsid w:val="00D3063D"/>
    <w:rsid w:val="00D30DEB"/>
    <w:rsid w:val="00D32E7F"/>
    <w:rsid w:val="00D330AB"/>
    <w:rsid w:val="00D338C0"/>
    <w:rsid w:val="00D354BF"/>
    <w:rsid w:val="00D36635"/>
    <w:rsid w:val="00D36BB6"/>
    <w:rsid w:val="00D372DE"/>
    <w:rsid w:val="00D37672"/>
    <w:rsid w:val="00D41B73"/>
    <w:rsid w:val="00D41BB7"/>
    <w:rsid w:val="00D41BC0"/>
    <w:rsid w:val="00D42366"/>
    <w:rsid w:val="00D42D63"/>
    <w:rsid w:val="00D43252"/>
    <w:rsid w:val="00D45D9A"/>
    <w:rsid w:val="00D461FD"/>
    <w:rsid w:val="00D46593"/>
    <w:rsid w:val="00D46801"/>
    <w:rsid w:val="00D46EC2"/>
    <w:rsid w:val="00D475EC"/>
    <w:rsid w:val="00D4797B"/>
    <w:rsid w:val="00D50011"/>
    <w:rsid w:val="00D50DC7"/>
    <w:rsid w:val="00D52DCD"/>
    <w:rsid w:val="00D536AF"/>
    <w:rsid w:val="00D53B6F"/>
    <w:rsid w:val="00D557FC"/>
    <w:rsid w:val="00D5643D"/>
    <w:rsid w:val="00D565AE"/>
    <w:rsid w:val="00D56C8B"/>
    <w:rsid w:val="00D57C7A"/>
    <w:rsid w:val="00D60DA2"/>
    <w:rsid w:val="00D61599"/>
    <w:rsid w:val="00D62BB7"/>
    <w:rsid w:val="00D62E93"/>
    <w:rsid w:val="00D65451"/>
    <w:rsid w:val="00D65D69"/>
    <w:rsid w:val="00D65E7A"/>
    <w:rsid w:val="00D67ED6"/>
    <w:rsid w:val="00D712D9"/>
    <w:rsid w:val="00D725B4"/>
    <w:rsid w:val="00D72E16"/>
    <w:rsid w:val="00D72EC9"/>
    <w:rsid w:val="00D7303E"/>
    <w:rsid w:val="00D73FD7"/>
    <w:rsid w:val="00D756C1"/>
    <w:rsid w:val="00D75A8D"/>
    <w:rsid w:val="00D76927"/>
    <w:rsid w:val="00D778F0"/>
    <w:rsid w:val="00D77F32"/>
    <w:rsid w:val="00D809D1"/>
    <w:rsid w:val="00D80A42"/>
    <w:rsid w:val="00D81D6F"/>
    <w:rsid w:val="00D86A0C"/>
    <w:rsid w:val="00D86A9C"/>
    <w:rsid w:val="00D86FAE"/>
    <w:rsid w:val="00D87415"/>
    <w:rsid w:val="00D9003B"/>
    <w:rsid w:val="00D901B5"/>
    <w:rsid w:val="00D90211"/>
    <w:rsid w:val="00D909E1"/>
    <w:rsid w:val="00D90D8A"/>
    <w:rsid w:val="00D91CE3"/>
    <w:rsid w:val="00D927C1"/>
    <w:rsid w:val="00D92852"/>
    <w:rsid w:val="00D94F7B"/>
    <w:rsid w:val="00D9516D"/>
    <w:rsid w:val="00D96D9D"/>
    <w:rsid w:val="00D97870"/>
    <w:rsid w:val="00DA0F86"/>
    <w:rsid w:val="00DA1612"/>
    <w:rsid w:val="00DA1E8A"/>
    <w:rsid w:val="00DA2261"/>
    <w:rsid w:val="00DA275F"/>
    <w:rsid w:val="00DA298A"/>
    <w:rsid w:val="00DA4108"/>
    <w:rsid w:val="00DA4627"/>
    <w:rsid w:val="00DA4F67"/>
    <w:rsid w:val="00DA6FD3"/>
    <w:rsid w:val="00DA7456"/>
    <w:rsid w:val="00DB2F51"/>
    <w:rsid w:val="00DB2F5F"/>
    <w:rsid w:val="00DB3A27"/>
    <w:rsid w:val="00DB55B9"/>
    <w:rsid w:val="00DB577E"/>
    <w:rsid w:val="00DB588D"/>
    <w:rsid w:val="00DB672B"/>
    <w:rsid w:val="00DB7047"/>
    <w:rsid w:val="00DB78B8"/>
    <w:rsid w:val="00DB79CB"/>
    <w:rsid w:val="00DB7A6E"/>
    <w:rsid w:val="00DC2FAC"/>
    <w:rsid w:val="00DC3350"/>
    <w:rsid w:val="00DC3C18"/>
    <w:rsid w:val="00DC4838"/>
    <w:rsid w:val="00DC4C06"/>
    <w:rsid w:val="00DC5430"/>
    <w:rsid w:val="00DD09B8"/>
    <w:rsid w:val="00DD0CD6"/>
    <w:rsid w:val="00DD0E7E"/>
    <w:rsid w:val="00DD258B"/>
    <w:rsid w:val="00DD292A"/>
    <w:rsid w:val="00DD5A16"/>
    <w:rsid w:val="00DE0384"/>
    <w:rsid w:val="00DE0643"/>
    <w:rsid w:val="00DE218B"/>
    <w:rsid w:val="00DE2A38"/>
    <w:rsid w:val="00DE5D22"/>
    <w:rsid w:val="00DE6CDD"/>
    <w:rsid w:val="00DE78C0"/>
    <w:rsid w:val="00DE7D88"/>
    <w:rsid w:val="00DF0B18"/>
    <w:rsid w:val="00DF15CA"/>
    <w:rsid w:val="00DF3214"/>
    <w:rsid w:val="00DF45AD"/>
    <w:rsid w:val="00DF4638"/>
    <w:rsid w:val="00DF4ACE"/>
    <w:rsid w:val="00DF727F"/>
    <w:rsid w:val="00E00141"/>
    <w:rsid w:val="00E0086E"/>
    <w:rsid w:val="00E012BF"/>
    <w:rsid w:val="00E02C3E"/>
    <w:rsid w:val="00E02E54"/>
    <w:rsid w:val="00E03975"/>
    <w:rsid w:val="00E063CA"/>
    <w:rsid w:val="00E1057C"/>
    <w:rsid w:val="00E11866"/>
    <w:rsid w:val="00E12277"/>
    <w:rsid w:val="00E135DF"/>
    <w:rsid w:val="00E13977"/>
    <w:rsid w:val="00E13B03"/>
    <w:rsid w:val="00E14050"/>
    <w:rsid w:val="00E14344"/>
    <w:rsid w:val="00E147A8"/>
    <w:rsid w:val="00E1530F"/>
    <w:rsid w:val="00E17367"/>
    <w:rsid w:val="00E178FB"/>
    <w:rsid w:val="00E211B4"/>
    <w:rsid w:val="00E22ED9"/>
    <w:rsid w:val="00E23AED"/>
    <w:rsid w:val="00E23D67"/>
    <w:rsid w:val="00E26B3C"/>
    <w:rsid w:val="00E27547"/>
    <w:rsid w:val="00E27638"/>
    <w:rsid w:val="00E30330"/>
    <w:rsid w:val="00E30745"/>
    <w:rsid w:val="00E30DA6"/>
    <w:rsid w:val="00E31388"/>
    <w:rsid w:val="00E31B2E"/>
    <w:rsid w:val="00E32915"/>
    <w:rsid w:val="00E34C99"/>
    <w:rsid w:val="00E351B1"/>
    <w:rsid w:val="00E354EE"/>
    <w:rsid w:val="00E35A6A"/>
    <w:rsid w:val="00E35DF6"/>
    <w:rsid w:val="00E36C23"/>
    <w:rsid w:val="00E36DC6"/>
    <w:rsid w:val="00E37DDA"/>
    <w:rsid w:val="00E421C0"/>
    <w:rsid w:val="00E42C22"/>
    <w:rsid w:val="00E431E7"/>
    <w:rsid w:val="00E43ABD"/>
    <w:rsid w:val="00E43D51"/>
    <w:rsid w:val="00E4462B"/>
    <w:rsid w:val="00E455DE"/>
    <w:rsid w:val="00E45E59"/>
    <w:rsid w:val="00E4740B"/>
    <w:rsid w:val="00E50588"/>
    <w:rsid w:val="00E5190B"/>
    <w:rsid w:val="00E51999"/>
    <w:rsid w:val="00E51D87"/>
    <w:rsid w:val="00E5438D"/>
    <w:rsid w:val="00E5480B"/>
    <w:rsid w:val="00E54D42"/>
    <w:rsid w:val="00E54D8F"/>
    <w:rsid w:val="00E56CE5"/>
    <w:rsid w:val="00E56EA6"/>
    <w:rsid w:val="00E61399"/>
    <w:rsid w:val="00E61B77"/>
    <w:rsid w:val="00E64B2F"/>
    <w:rsid w:val="00E65620"/>
    <w:rsid w:val="00E659E3"/>
    <w:rsid w:val="00E66A08"/>
    <w:rsid w:val="00E66B87"/>
    <w:rsid w:val="00E670B2"/>
    <w:rsid w:val="00E701AA"/>
    <w:rsid w:val="00E706A7"/>
    <w:rsid w:val="00E70E8E"/>
    <w:rsid w:val="00E72F3C"/>
    <w:rsid w:val="00E73316"/>
    <w:rsid w:val="00E73F17"/>
    <w:rsid w:val="00E741ED"/>
    <w:rsid w:val="00E761F7"/>
    <w:rsid w:val="00E763A6"/>
    <w:rsid w:val="00E76861"/>
    <w:rsid w:val="00E77116"/>
    <w:rsid w:val="00E802F9"/>
    <w:rsid w:val="00E82F13"/>
    <w:rsid w:val="00E848F9"/>
    <w:rsid w:val="00E84D9E"/>
    <w:rsid w:val="00E86A2D"/>
    <w:rsid w:val="00E86D4A"/>
    <w:rsid w:val="00E874FB"/>
    <w:rsid w:val="00E87EA8"/>
    <w:rsid w:val="00E91339"/>
    <w:rsid w:val="00E91A9B"/>
    <w:rsid w:val="00E92303"/>
    <w:rsid w:val="00E929AF"/>
    <w:rsid w:val="00E92B0F"/>
    <w:rsid w:val="00E94C41"/>
    <w:rsid w:val="00E966B7"/>
    <w:rsid w:val="00E97197"/>
    <w:rsid w:val="00E9725D"/>
    <w:rsid w:val="00E97B63"/>
    <w:rsid w:val="00EA1F39"/>
    <w:rsid w:val="00EA2768"/>
    <w:rsid w:val="00EA3357"/>
    <w:rsid w:val="00EA3668"/>
    <w:rsid w:val="00EA3E84"/>
    <w:rsid w:val="00EA5039"/>
    <w:rsid w:val="00EA55F4"/>
    <w:rsid w:val="00EA6877"/>
    <w:rsid w:val="00EA7314"/>
    <w:rsid w:val="00EA7F00"/>
    <w:rsid w:val="00EB036B"/>
    <w:rsid w:val="00EB0821"/>
    <w:rsid w:val="00EB2253"/>
    <w:rsid w:val="00EB602E"/>
    <w:rsid w:val="00EB6036"/>
    <w:rsid w:val="00EB7C51"/>
    <w:rsid w:val="00EC0786"/>
    <w:rsid w:val="00EC081D"/>
    <w:rsid w:val="00EC109F"/>
    <w:rsid w:val="00EC2AC6"/>
    <w:rsid w:val="00EC318B"/>
    <w:rsid w:val="00EC3554"/>
    <w:rsid w:val="00EC3AD0"/>
    <w:rsid w:val="00EC3C45"/>
    <w:rsid w:val="00EC4480"/>
    <w:rsid w:val="00EC5A0A"/>
    <w:rsid w:val="00EC7241"/>
    <w:rsid w:val="00EC72C3"/>
    <w:rsid w:val="00EC736B"/>
    <w:rsid w:val="00EC7F07"/>
    <w:rsid w:val="00ED0289"/>
    <w:rsid w:val="00ED1451"/>
    <w:rsid w:val="00ED15E6"/>
    <w:rsid w:val="00ED23D7"/>
    <w:rsid w:val="00ED24E5"/>
    <w:rsid w:val="00ED284C"/>
    <w:rsid w:val="00ED29CA"/>
    <w:rsid w:val="00ED3434"/>
    <w:rsid w:val="00ED392B"/>
    <w:rsid w:val="00ED54FC"/>
    <w:rsid w:val="00ED614F"/>
    <w:rsid w:val="00ED6CEE"/>
    <w:rsid w:val="00EE02C4"/>
    <w:rsid w:val="00EE0BB1"/>
    <w:rsid w:val="00EE1846"/>
    <w:rsid w:val="00EE2246"/>
    <w:rsid w:val="00EE29E5"/>
    <w:rsid w:val="00EE2BD9"/>
    <w:rsid w:val="00EE3188"/>
    <w:rsid w:val="00EE43D6"/>
    <w:rsid w:val="00EE503D"/>
    <w:rsid w:val="00EE5B49"/>
    <w:rsid w:val="00EE61DF"/>
    <w:rsid w:val="00EE6221"/>
    <w:rsid w:val="00EE62D0"/>
    <w:rsid w:val="00EE6795"/>
    <w:rsid w:val="00EF00E0"/>
    <w:rsid w:val="00EF118F"/>
    <w:rsid w:val="00EF2106"/>
    <w:rsid w:val="00EF2FCA"/>
    <w:rsid w:val="00EF30C0"/>
    <w:rsid w:val="00EF32FA"/>
    <w:rsid w:val="00EF4E4B"/>
    <w:rsid w:val="00EF7AE5"/>
    <w:rsid w:val="00F01286"/>
    <w:rsid w:val="00F01731"/>
    <w:rsid w:val="00F0222F"/>
    <w:rsid w:val="00F02289"/>
    <w:rsid w:val="00F0307B"/>
    <w:rsid w:val="00F04798"/>
    <w:rsid w:val="00F04A67"/>
    <w:rsid w:val="00F05591"/>
    <w:rsid w:val="00F056AF"/>
    <w:rsid w:val="00F061DD"/>
    <w:rsid w:val="00F06B73"/>
    <w:rsid w:val="00F075A1"/>
    <w:rsid w:val="00F10141"/>
    <w:rsid w:val="00F10DE9"/>
    <w:rsid w:val="00F10F2F"/>
    <w:rsid w:val="00F130A2"/>
    <w:rsid w:val="00F13F0D"/>
    <w:rsid w:val="00F174A6"/>
    <w:rsid w:val="00F20441"/>
    <w:rsid w:val="00F21C23"/>
    <w:rsid w:val="00F22DA7"/>
    <w:rsid w:val="00F23718"/>
    <w:rsid w:val="00F26A17"/>
    <w:rsid w:val="00F31AF4"/>
    <w:rsid w:val="00F31EDC"/>
    <w:rsid w:val="00F32579"/>
    <w:rsid w:val="00F33C86"/>
    <w:rsid w:val="00F33DF0"/>
    <w:rsid w:val="00F346CB"/>
    <w:rsid w:val="00F36A25"/>
    <w:rsid w:val="00F41CDB"/>
    <w:rsid w:val="00F444EA"/>
    <w:rsid w:val="00F44696"/>
    <w:rsid w:val="00F455BE"/>
    <w:rsid w:val="00F4635D"/>
    <w:rsid w:val="00F4778D"/>
    <w:rsid w:val="00F47B48"/>
    <w:rsid w:val="00F505E8"/>
    <w:rsid w:val="00F5081D"/>
    <w:rsid w:val="00F514A1"/>
    <w:rsid w:val="00F52176"/>
    <w:rsid w:val="00F54C21"/>
    <w:rsid w:val="00F556B1"/>
    <w:rsid w:val="00F55943"/>
    <w:rsid w:val="00F564E2"/>
    <w:rsid w:val="00F56855"/>
    <w:rsid w:val="00F577C7"/>
    <w:rsid w:val="00F57B4A"/>
    <w:rsid w:val="00F606E3"/>
    <w:rsid w:val="00F60AB3"/>
    <w:rsid w:val="00F60D83"/>
    <w:rsid w:val="00F6235A"/>
    <w:rsid w:val="00F653FC"/>
    <w:rsid w:val="00F65FAB"/>
    <w:rsid w:val="00F66545"/>
    <w:rsid w:val="00F67396"/>
    <w:rsid w:val="00F701FB"/>
    <w:rsid w:val="00F70979"/>
    <w:rsid w:val="00F716BC"/>
    <w:rsid w:val="00F72DF3"/>
    <w:rsid w:val="00F72E82"/>
    <w:rsid w:val="00F74106"/>
    <w:rsid w:val="00F74BC6"/>
    <w:rsid w:val="00F759D9"/>
    <w:rsid w:val="00F81932"/>
    <w:rsid w:val="00F81C4A"/>
    <w:rsid w:val="00F82449"/>
    <w:rsid w:val="00F82517"/>
    <w:rsid w:val="00F831BC"/>
    <w:rsid w:val="00F83361"/>
    <w:rsid w:val="00F842CE"/>
    <w:rsid w:val="00F84EE9"/>
    <w:rsid w:val="00F853BD"/>
    <w:rsid w:val="00F85DC7"/>
    <w:rsid w:val="00F86B3D"/>
    <w:rsid w:val="00F87183"/>
    <w:rsid w:val="00F902BB"/>
    <w:rsid w:val="00F90502"/>
    <w:rsid w:val="00F91250"/>
    <w:rsid w:val="00F91737"/>
    <w:rsid w:val="00F923DD"/>
    <w:rsid w:val="00F92681"/>
    <w:rsid w:val="00F9365B"/>
    <w:rsid w:val="00F9424A"/>
    <w:rsid w:val="00F943B6"/>
    <w:rsid w:val="00F9511A"/>
    <w:rsid w:val="00F97E5E"/>
    <w:rsid w:val="00FA1C87"/>
    <w:rsid w:val="00FA2DF0"/>
    <w:rsid w:val="00FA33DE"/>
    <w:rsid w:val="00FA3BBA"/>
    <w:rsid w:val="00FA3CE3"/>
    <w:rsid w:val="00FA6C4E"/>
    <w:rsid w:val="00FA6D24"/>
    <w:rsid w:val="00FA762C"/>
    <w:rsid w:val="00FA7765"/>
    <w:rsid w:val="00FB0B87"/>
    <w:rsid w:val="00FB1012"/>
    <w:rsid w:val="00FB17E1"/>
    <w:rsid w:val="00FB295E"/>
    <w:rsid w:val="00FB3C98"/>
    <w:rsid w:val="00FB5AAF"/>
    <w:rsid w:val="00FB6C93"/>
    <w:rsid w:val="00FB701A"/>
    <w:rsid w:val="00FB7F41"/>
    <w:rsid w:val="00FC1451"/>
    <w:rsid w:val="00FC26A3"/>
    <w:rsid w:val="00FC2A53"/>
    <w:rsid w:val="00FC2D8F"/>
    <w:rsid w:val="00FC3586"/>
    <w:rsid w:val="00FC5293"/>
    <w:rsid w:val="00FC6A3B"/>
    <w:rsid w:val="00FD0495"/>
    <w:rsid w:val="00FD0B61"/>
    <w:rsid w:val="00FD260F"/>
    <w:rsid w:val="00FD2676"/>
    <w:rsid w:val="00FD2D9E"/>
    <w:rsid w:val="00FD37BC"/>
    <w:rsid w:val="00FD37C7"/>
    <w:rsid w:val="00FD4585"/>
    <w:rsid w:val="00FD5786"/>
    <w:rsid w:val="00FD595E"/>
    <w:rsid w:val="00FD5AED"/>
    <w:rsid w:val="00FD5C05"/>
    <w:rsid w:val="00FD6E0E"/>
    <w:rsid w:val="00FE0132"/>
    <w:rsid w:val="00FE0561"/>
    <w:rsid w:val="00FE0A2B"/>
    <w:rsid w:val="00FE1C7D"/>
    <w:rsid w:val="00FE2A5D"/>
    <w:rsid w:val="00FE2C66"/>
    <w:rsid w:val="00FE3D89"/>
    <w:rsid w:val="00FE3E78"/>
    <w:rsid w:val="00FE64FE"/>
    <w:rsid w:val="00FE6605"/>
    <w:rsid w:val="00FE67A0"/>
    <w:rsid w:val="00FE6840"/>
    <w:rsid w:val="00FE72AC"/>
    <w:rsid w:val="00FF00A6"/>
    <w:rsid w:val="00FF03EF"/>
    <w:rsid w:val="00FF07AE"/>
    <w:rsid w:val="00FF07BB"/>
    <w:rsid w:val="00FF091A"/>
    <w:rsid w:val="00FF185F"/>
    <w:rsid w:val="00FF22E8"/>
    <w:rsid w:val="00FF2FDE"/>
    <w:rsid w:val="00FF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semiHidden="0" w:unhideWhenUsed="0" w:qFormat="1"/>
    <w:lsdException w:name="Signature" w:uiPriority="99"/>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F118F"/>
    <w:pPr>
      <w:spacing w:before="120" w:after="120"/>
      <w:jc w:val="both"/>
    </w:pPr>
    <w:rPr>
      <w:rFonts w:ascii="Times New Roman" w:hAnsi="Times New Roman"/>
      <w:sz w:val="24"/>
    </w:rPr>
  </w:style>
  <w:style w:type="paragraph" w:styleId="Heading1">
    <w:name w:val="heading 1"/>
    <w:basedOn w:val="Normal"/>
    <w:next w:val="Text1"/>
    <w:link w:val="Heading1Char"/>
    <w:uiPriority w:val="9"/>
    <w:qFormat/>
    <w:rsid w:val="0075503A"/>
    <w:pPr>
      <w:keepNext/>
      <w:numPr>
        <w:numId w:val="24"/>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24"/>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24"/>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24"/>
      </w:numPr>
      <w:outlineLvl w:val="3"/>
    </w:pPr>
    <w:rPr>
      <w:rFonts w:eastAsia="Times New Roman"/>
      <w:bCs/>
      <w:iCs/>
    </w:rPr>
  </w:style>
  <w:style w:type="paragraph" w:styleId="Heading5">
    <w:name w:val="heading 5"/>
    <w:basedOn w:val="Normal"/>
    <w:next w:val="Normal"/>
    <w:link w:val="Heading5Char"/>
    <w:qFormat/>
    <w:rsid w:val="00FB701A"/>
    <w:pPr>
      <w:spacing w:before="240" w:after="60"/>
      <w:ind w:left="1008" w:hanging="1008"/>
      <w:outlineLvl w:val="4"/>
    </w:pPr>
    <w:rPr>
      <w:rFonts w:ascii="Arial" w:eastAsia="Times New Roman" w:hAnsi="Arial"/>
      <w:sz w:val="22"/>
    </w:rPr>
  </w:style>
  <w:style w:type="paragraph" w:styleId="Heading6">
    <w:name w:val="heading 6"/>
    <w:basedOn w:val="Normal"/>
    <w:next w:val="Normal"/>
    <w:link w:val="Heading6Char"/>
    <w:qFormat/>
    <w:rsid w:val="00FB701A"/>
    <w:pPr>
      <w:spacing w:before="240" w:after="60"/>
      <w:ind w:left="1152" w:hanging="1152"/>
      <w:outlineLvl w:val="5"/>
    </w:pPr>
    <w:rPr>
      <w:rFonts w:ascii="Arial" w:eastAsia="Times New Roman" w:hAnsi="Arial"/>
      <w:i/>
      <w:sz w:val="22"/>
    </w:rPr>
  </w:style>
  <w:style w:type="paragraph" w:styleId="Heading7">
    <w:name w:val="heading 7"/>
    <w:basedOn w:val="Normal"/>
    <w:next w:val="Normal"/>
    <w:link w:val="Heading7Char"/>
    <w:qFormat/>
    <w:rsid w:val="00FB701A"/>
    <w:pPr>
      <w:spacing w:before="240" w:after="60"/>
      <w:ind w:left="1296" w:hanging="1296"/>
      <w:outlineLvl w:val="6"/>
    </w:pPr>
    <w:rPr>
      <w:rFonts w:ascii="Arial" w:eastAsia="Times New Roman" w:hAnsi="Arial"/>
      <w:sz w:val="20"/>
    </w:rPr>
  </w:style>
  <w:style w:type="paragraph" w:styleId="Heading8">
    <w:name w:val="heading 8"/>
    <w:basedOn w:val="Normal"/>
    <w:next w:val="Normal"/>
    <w:link w:val="Heading8Char"/>
    <w:qFormat/>
    <w:rsid w:val="00FB701A"/>
    <w:pPr>
      <w:spacing w:before="240" w:after="60"/>
      <w:ind w:left="1440" w:hanging="1440"/>
      <w:outlineLvl w:val="7"/>
    </w:pPr>
    <w:rPr>
      <w:rFonts w:ascii="Arial" w:eastAsia="Times New Roman" w:hAnsi="Arial"/>
      <w:i/>
      <w:sz w:val="20"/>
    </w:rPr>
  </w:style>
  <w:style w:type="paragraph" w:styleId="Heading9">
    <w:name w:val="heading 9"/>
    <w:basedOn w:val="Normal"/>
    <w:next w:val="Normal"/>
    <w:link w:val="Heading9Char"/>
    <w:qFormat/>
    <w:rsid w:val="00FB701A"/>
    <w:pPr>
      <w:spacing w:before="240" w:after="60"/>
      <w:ind w:left="1584" w:hanging="1584"/>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796970"/>
    <w:pPr>
      <w:numPr>
        <w:numId w:val="1"/>
      </w:numPr>
      <w:contextualSpacing/>
    </w:pPr>
  </w:style>
  <w:style w:type="paragraph" w:styleId="ListBullet2">
    <w:name w:val="List Bullet 2"/>
    <w:basedOn w:val="Normal"/>
    <w:unhideWhenUsed/>
    <w:rsid w:val="00796970"/>
    <w:pPr>
      <w:numPr>
        <w:numId w:val="2"/>
      </w:numPr>
      <w:contextualSpacing/>
    </w:pPr>
  </w:style>
  <w:style w:type="paragraph" w:styleId="ListBullet3">
    <w:name w:val="List Bullet 3"/>
    <w:basedOn w:val="Normal"/>
    <w:unhideWhenUsed/>
    <w:rsid w:val="00796970"/>
    <w:pPr>
      <w:numPr>
        <w:numId w:val="3"/>
      </w:numPr>
      <w:contextualSpacing/>
    </w:pPr>
  </w:style>
  <w:style w:type="paragraph" w:styleId="ListBullet4">
    <w:name w:val="List Bullet 4"/>
    <w:basedOn w:val="Normal"/>
    <w:unhideWhenUsed/>
    <w:rsid w:val="00796970"/>
    <w:pPr>
      <w:numPr>
        <w:numId w:val="4"/>
      </w:numPr>
      <w:contextualSpacing/>
    </w:pPr>
  </w:style>
  <w:style w:type="character" w:customStyle="1" w:styleId="Heading5Char">
    <w:name w:val="Heading 5 Char"/>
    <w:link w:val="Heading5"/>
    <w:rsid w:val="00FB701A"/>
    <w:rPr>
      <w:rFonts w:ascii="Arial" w:eastAsia="Times New Roman" w:hAnsi="Arial"/>
      <w:sz w:val="22"/>
      <w:lang w:eastAsia="en-US"/>
    </w:rPr>
  </w:style>
  <w:style w:type="character" w:customStyle="1" w:styleId="Heading6Char">
    <w:name w:val="Heading 6 Char"/>
    <w:link w:val="Heading6"/>
    <w:rsid w:val="00FB701A"/>
    <w:rPr>
      <w:rFonts w:ascii="Arial" w:eastAsia="Times New Roman" w:hAnsi="Arial"/>
      <w:i/>
      <w:sz w:val="22"/>
      <w:lang w:eastAsia="en-US"/>
    </w:rPr>
  </w:style>
  <w:style w:type="character" w:customStyle="1" w:styleId="Heading7Char">
    <w:name w:val="Heading 7 Char"/>
    <w:link w:val="Heading7"/>
    <w:rsid w:val="00FB701A"/>
    <w:rPr>
      <w:rFonts w:ascii="Arial" w:eastAsia="Times New Roman" w:hAnsi="Arial"/>
      <w:lang w:eastAsia="en-US"/>
    </w:rPr>
  </w:style>
  <w:style w:type="character" w:customStyle="1" w:styleId="Heading8Char">
    <w:name w:val="Heading 8 Char"/>
    <w:link w:val="Heading8"/>
    <w:rsid w:val="00FB701A"/>
    <w:rPr>
      <w:rFonts w:ascii="Arial" w:eastAsia="Times New Roman" w:hAnsi="Arial"/>
      <w:i/>
      <w:lang w:eastAsia="en-US"/>
    </w:rPr>
  </w:style>
  <w:style w:type="character" w:customStyle="1" w:styleId="Heading9Char">
    <w:name w:val="Heading 9 Char"/>
    <w:link w:val="Heading9"/>
    <w:rsid w:val="00FB701A"/>
    <w:rPr>
      <w:rFonts w:ascii="Arial" w:eastAsia="Times New Roman" w:hAnsi="Arial"/>
      <w:i/>
      <w:sz w:val="18"/>
      <w:lang w:eastAsia="en-US"/>
    </w:rPr>
  </w:style>
  <w:style w:type="numbering" w:customStyle="1" w:styleId="NoList1">
    <w:name w:val="No List1"/>
    <w:next w:val="NoList"/>
    <w:uiPriority w:val="99"/>
    <w:semiHidden/>
    <w:unhideWhenUsed/>
    <w:rsid w:val="00FB701A"/>
  </w:style>
  <w:style w:type="paragraph" w:customStyle="1" w:styleId="AddressTL">
    <w:name w:val="AddressTL"/>
    <w:basedOn w:val="Normal"/>
    <w:next w:val="Normal"/>
    <w:rsid w:val="00FB701A"/>
    <w:pPr>
      <w:spacing w:before="0" w:after="720"/>
      <w:jc w:val="left"/>
    </w:pPr>
    <w:rPr>
      <w:rFonts w:eastAsia="Times New Roman"/>
    </w:rPr>
  </w:style>
  <w:style w:type="paragraph" w:customStyle="1" w:styleId="AddressTR">
    <w:name w:val="AddressTR"/>
    <w:basedOn w:val="Normal"/>
    <w:next w:val="Normal"/>
    <w:rsid w:val="00FB701A"/>
    <w:pPr>
      <w:spacing w:before="0" w:after="720"/>
      <w:ind w:left="5103"/>
      <w:jc w:val="left"/>
    </w:pPr>
    <w:rPr>
      <w:rFonts w:eastAsia="Times New Roman"/>
    </w:rPr>
  </w:style>
  <w:style w:type="paragraph" w:styleId="BlockText">
    <w:name w:val="Block Text"/>
    <w:basedOn w:val="Normal"/>
    <w:rsid w:val="00FB701A"/>
    <w:pPr>
      <w:spacing w:before="0"/>
      <w:ind w:left="1440" w:right="1440"/>
    </w:pPr>
    <w:rPr>
      <w:rFonts w:eastAsia="Times New Roman"/>
    </w:rPr>
  </w:style>
  <w:style w:type="paragraph" w:styleId="BodyText">
    <w:name w:val="Body Text"/>
    <w:basedOn w:val="Normal"/>
    <w:link w:val="BodyTextChar"/>
    <w:rsid w:val="00FB701A"/>
    <w:pPr>
      <w:spacing w:before="0"/>
    </w:pPr>
    <w:rPr>
      <w:rFonts w:eastAsia="Times New Roman"/>
    </w:rPr>
  </w:style>
  <w:style w:type="character" w:customStyle="1" w:styleId="BodyTextChar">
    <w:name w:val="Body Text Char"/>
    <w:link w:val="BodyText"/>
    <w:rsid w:val="00FB701A"/>
    <w:rPr>
      <w:rFonts w:ascii="Times New Roman" w:eastAsia="Times New Roman" w:hAnsi="Times New Roman"/>
      <w:sz w:val="24"/>
      <w:lang w:eastAsia="en-US"/>
    </w:rPr>
  </w:style>
  <w:style w:type="paragraph" w:styleId="BodyText2">
    <w:name w:val="Body Text 2"/>
    <w:basedOn w:val="Normal"/>
    <w:link w:val="BodyText2Char"/>
    <w:rsid w:val="00FB701A"/>
    <w:pPr>
      <w:spacing w:before="0" w:line="480" w:lineRule="auto"/>
    </w:pPr>
    <w:rPr>
      <w:rFonts w:eastAsia="Times New Roman"/>
    </w:rPr>
  </w:style>
  <w:style w:type="character" w:customStyle="1" w:styleId="BodyText2Char">
    <w:name w:val="Body Text 2 Char"/>
    <w:link w:val="BodyText2"/>
    <w:rsid w:val="00FB701A"/>
    <w:rPr>
      <w:rFonts w:ascii="Times New Roman" w:eastAsia="Times New Roman" w:hAnsi="Times New Roman"/>
      <w:sz w:val="24"/>
      <w:lang w:eastAsia="en-US"/>
    </w:rPr>
  </w:style>
  <w:style w:type="paragraph" w:styleId="BodyText3">
    <w:name w:val="Body Text 3"/>
    <w:basedOn w:val="Normal"/>
    <w:link w:val="BodyText3Char"/>
    <w:rsid w:val="00FB701A"/>
    <w:pPr>
      <w:spacing w:before="0"/>
    </w:pPr>
    <w:rPr>
      <w:rFonts w:eastAsia="Times New Roman"/>
      <w:sz w:val="16"/>
    </w:rPr>
  </w:style>
  <w:style w:type="character" w:customStyle="1" w:styleId="BodyText3Char">
    <w:name w:val="Body Text 3 Char"/>
    <w:link w:val="BodyText3"/>
    <w:rsid w:val="00FB701A"/>
    <w:rPr>
      <w:rFonts w:ascii="Times New Roman" w:eastAsia="Times New Roman" w:hAnsi="Times New Roman"/>
      <w:sz w:val="16"/>
      <w:lang w:eastAsia="en-US"/>
    </w:rPr>
  </w:style>
  <w:style w:type="paragraph" w:styleId="BodyTextFirstIndent">
    <w:name w:val="Body Text First Indent"/>
    <w:basedOn w:val="BodyText"/>
    <w:link w:val="BodyTextFirstIndentChar"/>
    <w:rsid w:val="00FB701A"/>
    <w:pPr>
      <w:ind w:firstLine="210"/>
    </w:pPr>
  </w:style>
  <w:style w:type="character" w:customStyle="1" w:styleId="BodyTextFirstIndentChar">
    <w:name w:val="Body Text First Indent Char"/>
    <w:link w:val="BodyTextFirstIndent"/>
    <w:rsid w:val="00FB701A"/>
    <w:rPr>
      <w:rFonts w:ascii="Times New Roman" w:eastAsia="Times New Roman" w:hAnsi="Times New Roman"/>
      <w:sz w:val="24"/>
      <w:lang w:eastAsia="en-US"/>
    </w:rPr>
  </w:style>
  <w:style w:type="paragraph" w:styleId="BodyTextIndent">
    <w:name w:val="Body Text Indent"/>
    <w:basedOn w:val="Normal"/>
    <w:link w:val="BodyTextIndentChar"/>
    <w:rsid w:val="00FB701A"/>
    <w:pPr>
      <w:spacing w:before="0"/>
      <w:ind w:left="283"/>
    </w:pPr>
    <w:rPr>
      <w:rFonts w:eastAsia="Times New Roman"/>
    </w:rPr>
  </w:style>
  <w:style w:type="character" w:customStyle="1" w:styleId="BodyTextIndentChar">
    <w:name w:val="Body Text Indent Char"/>
    <w:link w:val="BodyTextIndent"/>
    <w:rsid w:val="00FB701A"/>
    <w:rPr>
      <w:rFonts w:ascii="Times New Roman" w:eastAsia="Times New Roman" w:hAnsi="Times New Roman"/>
      <w:sz w:val="24"/>
      <w:lang w:eastAsia="en-US"/>
    </w:rPr>
  </w:style>
  <w:style w:type="paragraph" w:styleId="BodyTextFirstIndent2">
    <w:name w:val="Body Text First Indent 2"/>
    <w:basedOn w:val="BodyTextIndent"/>
    <w:link w:val="BodyTextFirstIndent2Char"/>
    <w:rsid w:val="00FB701A"/>
    <w:pPr>
      <w:ind w:firstLine="210"/>
    </w:pPr>
  </w:style>
  <w:style w:type="character" w:customStyle="1" w:styleId="BodyTextFirstIndent2Char">
    <w:name w:val="Body Text First Indent 2 Char"/>
    <w:link w:val="BodyTextFirstIndent2"/>
    <w:rsid w:val="00FB701A"/>
    <w:rPr>
      <w:rFonts w:ascii="Times New Roman" w:eastAsia="Times New Roman" w:hAnsi="Times New Roman"/>
      <w:sz w:val="24"/>
      <w:lang w:eastAsia="en-US"/>
    </w:rPr>
  </w:style>
  <w:style w:type="paragraph" w:styleId="BodyTextIndent2">
    <w:name w:val="Body Text Indent 2"/>
    <w:basedOn w:val="Normal"/>
    <w:link w:val="BodyTextIndent2Char"/>
    <w:rsid w:val="00FB701A"/>
    <w:pPr>
      <w:spacing w:before="0" w:line="480" w:lineRule="auto"/>
      <w:ind w:left="283"/>
    </w:pPr>
    <w:rPr>
      <w:rFonts w:eastAsia="Times New Roman"/>
    </w:rPr>
  </w:style>
  <w:style w:type="character" w:customStyle="1" w:styleId="BodyTextIndent2Char">
    <w:name w:val="Body Text Indent 2 Char"/>
    <w:link w:val="BodyTextIndent2"/>
    <w:rsid w:val="00FB701A"/>
    <w:rPr>
      <w:rFonts w:ascii="Times New Roman" w:eastAsia="Times New Roman" w:hAnsi="Times New Roman"/>
      <w:sz w:val="24"/>
      <w:lang w:eastAsia="en-US"/>
    </w:rPr>
  </w:style>
  <w:style w:type="paragraph" w:styleId="BodyTextIndent3">
    <w:name w:val="Body Text Indent 3"/>
    <w:basedOn w:val="Normal"/>
    <w:link w:val="BodyTextIndent3Char"/>
    <w:rsid w:val="00FB701A"/>
    <w:pPr>
      <w:spacing w:before="0"/>
      <w:ind w:left="283"/>
    </w:pPr>
    <w:rPr>
      <w:rFonts w:eastAsia="Times New Roman"/>
      <w:sz w:val="16"/>
    </w:rPr>
  </w:style>
  <w:style w:type="character" w:customStyle="1" w:styleId="BodyTextIndent3Char">
    <w:name w:val="Body Text Indent 3 Char"/>
    <w:link w:val="BodyTextIndent3"/>
    <w:rsid w:val="00FB701A"/>
    <w:rPr>
      <w:rFonts w:ascii="Times New Roman" w:eastAsia="Times New Roman" w:hAnsi="Times New Roman"/>
      <w:sz w:val="16"/>
      <w:lang w:eastAsia="en-US"/>
    </w:rPr>
  </w:style>
  <w:style w:type="paragraph" w:styleId="Caption">
    <w:name w:val="caption"/>
    <w:basedOn w:val="Normal"/>
    <w:next w:val="Normal"/>
    <w:qFormat/>
    <w:rsid w:val="00FB701A"/>
    <w:rPr>
      <w:rFonts w:eastAsia="Times New Roman"/>
      <w:b/>
    </w:rPr>
  </w:style>
  <w:style w:type="paragraph" w:styleId="Closing">
    <w:name w:val="Closing"/>
    <w:basedOn w:val="Normal"/>
    <w:next w:val="Signature"/>
    <w:link w:val="ClosingChar"/>
    <w:rsid w:val="00FB701A"/>
    <w:pPr>
      <w:tabs>
        <w:tab w:val="left" w:pos="5103"/>
      </w:tabs>
      <w:spacing w:before="240" w:after="240"/>
      <w:ind w:left="5103"/>
      <w:jc w:val="left"/>
    </w:pPr>
    <w:rPr>
      <w:rFonts w:eastAsia="Times New Roman"/>
    </w:rPr>
  </w:style>
  <w:style w:type="character" w:customStyle="1" w:styleId="ClosingChar">
    <w:name w:val="Closing Char"/>
    <w:link w:val="Closing"/>
    <w:rsid w:val="00FB701A"/>
    <w:rPr>
      <w:rFonts w:ascii="Times New Roman" w:eastAsia="Times New Roman" w:hAnsi="Times New Roman"/>
      <w:sz w:val="24"/>
      <w:lang w:eastAsia="en-US"/>
    </w:rPr>
  </w:style>
  <w:style w:type="paragraph" w:styleId="Signature">
    <w:name w:val="Signature"/>
    <w:basedOn w:val="Normal"/>
    <w:next w:val="Contact"/>
    <w:link w:val="SignatureChar"/>
    <w:uiPriority w:val="99"/>
    <w:rsid w:val="00FB701A"/>
    <w:pPr>
      <w:tabs>
        <w:tab w:val="left" w:pos="5103"/>
      </w:tabs>
      <w:spacing w:before="1200" w:after="0"/>
      <w:ind w:left="5103"/>
      <w:jc w:val="center"/>
    </w:pPr>
    <w:rPr>
      <w:rFonts w:eastAsia="Times New Roman"/>
    </w:rPr>
  </w:style>
  <w:style w:type="character" w:customStyle="1" w:styleId="SignatureChar">
    <w:name w:val="Signature Char"/>
    <w:link w:val="Signature"/>
    <w:uiPriority w:val="99"/>
    <w:rsid w:val="00FB701A"/>
    <w:rPr>
      <w:rFonts w:ascii="Times New Roman" w:eastAsia="Times New Roman" w:hAnsi="Times New Roman"/>
      <w:sz w:val="24"/>
      <w:lang w:eastAsia="en-US"/>
    </w:rPr>
  </w:style>
  <w:style w:type="paragraph" w:customStyle="1" w:styleId="Enclosures">
    <w:name w:val="Enclosures"/>
    <w:basedOn w:val="Normal"/>
    <w:next w:val="Participants"/>
    <w:rsid w:val="00FB701A"/>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uiPriority w:val="99"/>
    <w:rsid w:val="00FB701A"/>
    <w:pPr>
      <w:spacing w:before="0" w:after="240"/>
    </w:pPr>
    <w:rPr>
      <w:rFonts w:eastAsia="Times New Roman"/>
      <w:sz w:val="20"/>
    </w:rPr>
  </w:style>
  <w:style w:type="character" w:customStyle="1" w:styleId="CommentTextChar">
    <w:name w:val="Comment Text Char"/>
    <w:link w:val="CommentText"/>
    <w:uiPriority w:val="99"/>
    <w:rsid w:val="00FB701A"/>
    <w:rPr>
      <w:rFonts w:ascii="Times New Roman" w:eastAsia="Times New Roman" w:hAnsi="Times New Roman"/>
      <w:lang w:eastAsia="en-US"/>
    </w:rPr>
  </w:style>
  <w:style w:type="paragraph" w:styleId="Date">
    <w:name w:val="Date"/>
    <w:basedOn w:val="Normal"/>
    <w:next w:val="References"/>
    <w:link w:val="DateChar"/>
    <w:rsid w:val="00FB701A"/>
    <w:pPr>
      <w:spacing w:before="0" w:after="0"/>
      <w:ind w:left="5103" w:right="-567"/>
      <w:jc w:val="left"/>
    </w:pPr>
    <w:rPr>
      <w:rFonts w:eastAsia="Times New Roman"/>
    </w:rPr>
  </w:style>
  <w:style w:type="character" w:customStyle="1" w:styleId="DateChar">
    <w:name w:val="Date Char"/>
    <w:link w:val="Date"/>
    <w:rsid w:val="00FB701A"/>
    <w:rPr>
      <w:rFonts w:ascii="Times New Roman" w:eastAsia="Times New Roman" w:hAnsi="Times New Roman"/>
      <w:sz w:val="24"/>
      <w:lang w:eastAsia="en-US"/>
    </w:rPr>
  </w:style>
  <w:style w:type="paragraph" w:customStyle="1" w:styleId="References">
    <w:name w:val="References"/>
    <w:basedOn w:val="Normal"/>
    <w:next w:val="AddressTR"/>
    <w:rsid w:val="00FB701A"/>
    <w:pPr>
      <w:spacing w:before="0" w:after="240"/>
      <w:ind w:left="5103"/>
      <w:jc w:val="left"/>
    </w:pPr>
    <w:rPr>
      <w:rFonts w:eastAsia="Times New Roman"/>
      <w:sz w:val="20"/>
    </w:rPr>
  </w:style>
  <w:style w:type="paragraph" w:styleId="DocumentMap">
    <w:name w:val="Document Map"/>
    <w:basedOn w:val="Normal"/>
    <w:link w:val="DocumentMapChar"/>
    <w:semiHidden/>
    <w:rsid w:val="00FB701A"/>
    <w:pPr>
      <w:shd w:val="clear" w:color="auto" w:fill="000080"/>
      <w:spacing w:before="0" w:after="240"/>
    </w:pPr>
    <w:rPr>
      <w:rFonts w:ascii="Tahoma" w:eastAsia="Times New Roman" w:hAnsi="Tahoma"/>
    </w:rPr>
  </w:style>
  <w:style w:type="character" w:customStyle="1" w:styleId="DocumentMapChar">
    <w:name w:val="Document Map Char"/>
    <w:link w:val="DocumentMap"/>
    <w:semiHidden/>
    <w:rsid w:val="00FB701A"/>
    <w:rPr>
      <w:rFonts w:ascii="Tahoma" w:eastAsia="Times New Roman" w:hAnsi="Tahoma"/>
      <w:sz w:val="24"/>
      <w:shd w:val="clear" w:color="auto" w:fill="000080"/>
      <w:lang w:eastAsia="en-US"/>
    </w:rPr>
  </w:style>
  <w:style w:type="paragraph" w:customStyle="1" w:styleId="DoubSign">
    <w:name w:val="DoubSign"/>
    <w:basedOn w:val="Normal"/>
    <w:next w:val="Contact"/>
    <w:rsid w:val="00FB701A"/>
    <w:pPr>
      <w:tabs>
        <w:tab w:val="left" w:pos="5103"/>
      </w:tabs>
      <w:spacing w:before="1200" w:after="0"/>
      <w:jc w:val="left"/>
    </w:pPr>
    <w:rPr>
      <w:rFonts w:eastAsia="Times New Roman"/>
    </w:rPr>
  </w:style>
  <w:style w:type="paragraph" w:styleId="EndnoteText">
    <w:name w:val="endnote text"/>
    <w:basedOn w:val="Normal"/>
    <w:link w:val="EndnoteTextChar"/>
    <w:semiHidden/>
    <w:rsid w:val="00FB701A"/>
    <w:pPr>
      <w:spacing w:before="0" w:after="240"/>
    </w:pPr>
    <w:rPr>
      <w:rFonts w:eastAsia="Times New Roman"/>
      <w:sz w:val="20"/>
    </w:rPr>
  </w:style>
  <w:style w:type="character" w:customStyle="1" w:styleId="EndnoteTextChar">
    <w:name w:val="Endnote Text Char"/>
    <w:link w:val="EndnoteText"/>
    <w:semiHidden/>
    <w:rsid w:val="00FB701A"/>
    <w:rPr>
      <w:rFonts w:ascii="Times New Roman" w:eastAsia="Times New Roman" w:hAnsi="Times New Roman"/>
      <w:lang w:eastAsia="en-US"/>
    </w:rPr>
  </w:style>
  <w:style w:type="paragraph" w:styleId="EnvelopeAddress">
    <w:name w:val="envelope address"/>
    <w:basedOn w:val="Normal"/>
    <w:rsid w:val="00FB701A"/>
    <w:pPr>
      <w:framePr w:w="7920" w:h="1980" w:hRule="exact" w:hSpace="180" w:wrap="auto" w:hAnchor="page" w:xAlign="center" w:yAlign="bottom"/>
      <w:spacing w:before="0" w:after="0"/>
    </w:pPr>
    <w:rPr>
      <w:rFonts w:eastAsia="Times New Roman"/>
    </w:rPr>
  </w:style>
  <w:style w:type="paragraph" w:styleId="EnvelopeReturn">
    <w:name w:val="envelope return"/>
    <w:basedOn w:val="Normal"/>
    <w:rsid w:val="00FB701A"/>
    <w:pPr>
      <w:spacing w:before="0" w:after="0"/>
    </w:pPr>
    <w:rPr>
      <w:rFonts w:eastAsia="Times New Roman"/>
      <w:sz w:val="20"/>
    </w:rPr>
  </w:style>
  <w:style w:type="paragraph" w:styleId="Index1">
    <w:name w:val="index 1"/>
    <w:basedOn w:val="Normal"/>
    <w:next w:val="Normal"/>
    <w:autoRedefine/>
    <w:semiHidden/>
    <w:rsid w:val="00FB701A"/>
    <w:pPr>
      <w:spacing w:before="0" w:after="240"/>
      <w:ind w:left="240" w:hanging="240"/>
    </w:pPr>
    <w:rPr>
      <w:rFonts w:eastAsia="Times New Roman"/>
    </w:rPr>
  </w:style>
  <w:style w:type="paragraph" w:styleId="Index2">
    <w:name w:val="index 2"/>
    <w:basedOn w:val="Normal"/>
    <w:next w:val="Normal"/>
    <w:autoRedefine/>
    <w:semiHidden/>
    <w:rsid w:val="00FB701A"/>
    <w:pPr>
      <w:spacing w:before="0" w:after="240"/>
      <w:ind w:left="480" w:hanging="240"/>
    </w:pPr>
    <w:rPr>
      <w:rFonts w:eastAsia="Times New Roman"/>
    </w:rPr>
  </w:style>
  <w:style w:type="paragraph" w:styleId="Index3">
    <w:name w:val="index 3"/>
    <w:basedOn w:val="Normal"/>
    <w:next w:val="Normal"/>
    <w:autoRedefine/>
    <w:semiHidden/>
    <w:rsid w:val="00FB701A"/>
    <w:pPr>
      <w:spacing w:before="0" w:after="240"/>
      <w:ind w:left="720" w:hanging="240"/>
    </w:pPr>
    <w:rPr>
      <w:rFonts w:eastAsia="Times New Roman"/>
    </w:rPr>
  </w:style>
  <w:style w:type="paragraph" w:styleId="Index4">
    <w:name w:val="index 4"/>
    <w:basedOn w:val="Normal"/>
    <w:next w:val="Normal"/>
    <w:autoRedefine/>
    <w:semiHidden/>
    <w:rsid w:val="00FB701A"/>
    <w:pPr>
      <w:spacing w:before="0" w:after="240"/>
      <w:ind w:left="960" w:hanging="240"/>
    </w:pPr>
    <w:rPr>
      <w:rFonts w:eastAsia="Times New Roman"/>
    </w:rPr>
  </w:style>
  <w:style w:type="paragraph" w:styleId="Index5">
    <w:name w:val="index 5"/>
    <w:basedOn w:val="Normal"/>
    <w:next w:val="Normal"/>
    <w:autoRedefine/>
    <w:semiHidden/>
    <w:rsid w:val="00FB701A"/>
    <w:pPr>
      <w:spacing w:before="0" w:after="240"/>
      <w:ind w:left="1200" w:hanging="240"/>
    </w:pPr>
    <w:rPr>
      <w:rFonts w:eastAsia="Times New Roman"/>
    </w:rPr>
  </w:style>
  <w:style w:type="paragraph" w:styleId="Index6">
    <w:name w:val="index 6"/>
    <w:basedOn w:val="Normal"/>
    <w:next w:val="Normal"/>
    <w:autoRedefine/>
    <w:semiHidden/>
    <w:rsid w:val="00FB701A"/>
    <w:pPr>
      <w:spacing w:before="0" w:after="240"/>
      <w:ind w:left="1440" w:hanging="240"/>
    </w:pPr>
    <w:rPr>
      <w:rFonts w:eastAsia="Times New Roman"/>
    </w:rPr>
  </w:style>
  <w:style w:type="paragraph" w:styleId="Index7">
    <w:name w:val="index 7"/>
    <w:basedOn w:val="Normal"/>
    <w:next w:val="Normal"/>
    <w:autoRedefine/>
    <w:semiHidden/>
    <w:rsid w:val="00FB701A"/>
    <w:pPr>
      <w:spacing w:before="0" w:after="240"/>
      <w:ind w:left="1680" w:hanging="240"/>
    </w:pPr>
    <w:rPr>
      <w:rFonts w:eastAsia="Times New Roman"/>
    </w:rPr>
  </w:style>
  <w:style w:type="paragraph" w:styleId="Index8">
    <w:name w:val="index 8"/>
    <w:basedOn w:val="Normal"/>
    <w:next w:val="Normal"/>
    <w:autoRedefine/>
    <w:semiHidden/>
    <w:rsid w:val="00FB701A"/>
    <w:pPr>
      <w:spacing w:before="0" w:after="240"/>
      <w:ind w:left="1920" w:hanging="240"/>
    </w:pPr>
    <w:rPr>
      <w:rFonts w:eastAsia="Times New Roman"/>
    </w:rPr>
  </w:style>
  <w:style w:type="paragraph" w:styleId="Index9">
    <w:name w:val="index 9"/>
    <w:basedOn w:val="Normal"/>
    <w:next w:val="Normal"/>
    <w:autoRedefine/>
    <w:semiHidden/>
    <w:rsid w:val="00FB701A"/>
    <w:pPr>
      <w:spacing w:before="0" w:after="240"/>
      <w:ind w:left="2160" w:hanging="240"/>
    </w:pPr>
    <w:rPr>
      <w:rFonts w:eastAsia="Times New Roman"/>
    </w:rPr>
  </w:style>
  <w:style w:type="paragraph" w:styleId="IndexHeading">
    <w:name w:val="index heading"/>
    <w:basedOn w:val="Normal"/>
    <w:next w:val="Index1"/>
    <w:semiHidden/>
    <w:rsid w:val="00FB701A"/>
    <w:pPr>
      <w:spacing w:before="0" w:after="240"/>
    </w:pPr>
    <w:rPr>
      <w:rFonts w:ascii="Arial" w:eastAsia="Times New Roman" w:hAnsi="Arial"/>
      <w:b/>
    </w:rPr>
  </w:style>
  <w:style w:type="paragraph" w:styleId="List">
    <w:name w:val="List"/>
    <w:basedOn w:val="Normal"/>
    <w:rsid w:val="00FB701A"/>
    <w:pPr>
      <w:spacing w:before="0" w:after="240"/>
      <w:ind w:left="283" w:hanging="283"/>
    </w:pPr>
    <w:rPr>
      <w:rFonts w:eastAsia="Times New Roman"/>
    </w:rPr>
  </w:style>
  <w:style w:type="paragraph" w:styleId="List2">
    <w:name w:val="List 2"/>
    <w:basedOn w:val="Normal"/>
    <w:rsid w:val="00FB701A"/>
    <w:pPr>
      <w:spacing w:before="0" w:after="240"/>
      <w:ind w:left="566" w:hanging="283"/>
    </w:pPr>
    <w:rPr>
      <w:rFonts w:eastAsia="Times New Roman"/>
    </w:rPr>
  </w:style>
  <w:style w:type="paragraph" w:styleId="List3">
    <w:name w:val="List 3"/>
    <w:basedOn w:val="Normal"/>
    <w:rsid w:val="00FB701A"/>
    <w:pPr>
      <w:spacing w:before="0" w:after="240"/>
      <w:ind w:left="849" w:hanging="283"/>
    </w:pPr>
    <w:rPr>
      <w:rFonts w:eastAsia="Times New Roman"/>
    </w:rPr>
  </w:style>
  <w:style w:type="paragraph" w:styleId="List4">
    <w:name w:val="List 4"/>
    <w:basedOn w:val="Normal"/>
    <w:rsid w:val="00FB701A"/>
    <w:pPr>
      <w:spacing w:before="0" w:after="240"/>
      <w:ind w:left="1132" w:hanging="283"/>
    </w:pPr>
    <w:rPr>
      <w:rFonts w:eastAsia="Times New Roman"/>
    </w:rPr>
  </w:style>
  <w:style w:type="paragraph" w:styleId="List5">
    <w:name w:val="List 5"/>
    <w:basedOn w:val="Normal"/>
    <w:rsid w:val="00FB701A"/>
    <w:pPr>
      <w:spacing w:before="0" w:after="240"/>
      <w:ind w:left="1415" w:hanging="283"/>
    </w:pPr>
    <w:rPr>
      <w:rFonts w:eastAsia="Times New Roman"/>
    </w:rPr>
  </w:style>
  <w:style w:type="paragraph" w:styleId="ListBullet5">
    <w:name w:val="List Bullet 5"/>
    <w:basedOn w:val="Normal"/>
    <w:autoRedefine/>
    <w:rsid w:val="00FB701A"/>
    <w:pPr>
      <w:numPr>
        <w:numId w:val="5"/>
      </w:numPr>
      <w:spacing w:before="0" w:after="240"/>
    </w:pPr>
    <w:rPr>
      <w:rFonts w:eastAsia="Times New Roman"/>
    </w:rPr>
  </w:style>
  <w:style w:type="paragraph" w:styleId="ListContinue">
    <w:name w:val="List Continue"/>
    <w:basedOn w:val="Normal"/>
    <w:rsid w:val="00FB701A"/>
    <w:pPr>
      <w:spacing w:before="0"/>
      <w:ind w:left="283"/>
    </w:pPr>
    <w:rPr>
      <w:rFonts w:eastAsia="Times New Roman"/>
    </w:rPr>
  </w:style>
  <w:style w:type="paragraph" w:styleId="ListContinue2">
    <w:name w:val="List Continue 2"/>
    <w:basedOn w:val="Normal"/>
    <w:rsid w:val="00FB701A"/>
    <w:pPr>
      <w:spacing w:before="0"/>
      <w:ind w:left="566"/>
    </w:pPr>
    <w:rPr>
      <w:rFonts w:eastAsia="Times New Roman"/>
    </w:rPr>
  </w:style>
  <w:style w:type="paragraph" w:styleId="ListContinue3">
    <w:name w:val="List Continue 3"/>
    <w:basedOn w:val="Normal"/>
    <w:rsid w:val="00FB701A"/>
    <w:pPr>
      <w:spacing w:before="0"/>
      <w:ind w:left="849"/>
    </w:pPr>
    <w:rPr>
      <w:rFonts w:eastAsia="Times New Roman"/>
    </w:rPr>
  </w:style>
  <w:style w:type="paragraph" w:styleId="ListContinue4">
    <w:name w:val="List Continue 4"/>
    <w:basedOn w:val="Normal"/>
    <w:rsid w:val="00FB701A"/>
    <w:pPr>
      <w:spacing w:before="0"/>
      <w:ind w:left="1132"/>
    </w:pPr>
    <w:rPr>
      <w:rFonts w:eastAsia="Times New Roman"/>
    </w:rPr>
  </w:style>
  <w:style w:type="paragraph" w:styleId="ListContinue5">
    <w:name w:val="List Continue 5"/>
    <w:basedOn w:val="Normal"/>
    <w:rsid w:val="00FB701A"/>
    <w:pPr>
      <w:spacing w:before="0"/>
      <w:ind w:left="1415"/>
    </w:pPr>
    <w:rPr>
      <w:rFonts w:eastAsia="Times New Roman"/>
    </w:rPr>
  </w:style>
  <w:style w:type="paragraph" w:styleId="ListNumber">
    <w:name w:val="List Number"/>
    <w:basedOn w:val="Normal"/>
    <w:rsid w:val="00FB701A"/>
    <w:pPr>
      <w:numPr>
        <w:numId w:val="12"/>
      </w:numPr>
      <w:spacing w:before="0" w:after="240"/>
    </w:pPr>
    <w:rPr>
      <w:rFonts w:eastAsia="Times New Roman"/>
    </w:rPr>
  </w:style>
  <w:style w:type="paragraph" w:styleId="ListNumber2">
    <w:name w:val="List Number 2"/>
    <w:basedOn w:val="Text2"/>
    <w:rsid w:val="00FB701A"/>
    <w:pPr>
      <w:numPr>
        <w:numId w:val="14"/>
      </w:numPr>
      <w:spacing w:before="0" w:after="240"/>
    </w:pPr>
    <w:rPr>
      <w:rFonts w:eastAsia="Times New Roman"/>
    </w:rPr>
  </w:style>
  <w:style w:type="paragraph" w:styleId="ListNumber3">
    <w:name w:val="List Number 3"/>
    <w:basedOn w:val="Text3"/>
    <w:rsid w:val="00FB701A"/>
    <w:pPr>
      <w:numPr>
        <w:numId w:val="15"/>
      </w:numPr>
      <w:spacing w:before="0" w:after="240"/>
    </w:pPr>
    <w:rPr>
      <w:rFonts w:eastAsia="Times New Roman"/>
    </w:rPr>
  </w:style>
  <w:style w:type="paragraph" w:styleId="ListNumber4">
    <w:name w:val="List Number 4"/>
    <w:basedOn w:val="Text4"/>
    <w:rsid w:val="00FB701A"/>
    <w:pPr>
      <w:numPr>
        <w:numId w:val="16"/>
      </w:numPr>
      <w:spacing w:before="0" w:after="240"/>
    </w:pPr>
    <w:rPr>
      <w:rFonts w:eastAsia="Times New Roman"/>
    </w:rPr>
  </w:style>
  <w:style w:type="paragraph" w:styleId="ListNumber5">
    <w:name w:val="List Number 5"/>
    <w:basedOn w:val="Normal"/>
    <w:rsid w:val="00FB701A"/>
    <w:pPr>
      <w:numPr>
        <w:numId w:val="6"/>
      </w:numPr>
      <w:spacing w:before="0" w:after="240"/>
    </w:pPr>
    <w:rPr>
      <w:rFonts w:eastAsia="Times New Roman"/>
    </w:rPr>
  </w:style>
  <w:style w:type="paragraph" w:styleId="MacroText">
    <w:name w:val="macro"/>
    <w:link w:val="MacroTextChar"/>
    <w:semiHidden/>
    <w:rsid w:val="00FB70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sid w:val="00FB701A"/>
    <w:rPr>
      <w:rFonts w:ascii="Courier New" w:eastAsia="Times New Roman" w:hAnsi="Courier New"/>
      <w:lang w:eastAsia="en-US"/>
    </w:rPr>
  </w:style>
  <w:style w:type="paragraph" w:styleId="MessageHeader">
    <w:name w:val="Message Header"/>
    <w:basedOn w:val="Normal"/>
    <w:link w:val="MessageHeaderChar"/>
    <w:rsid w:val="00FB701A"/>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rPr>
  </w:style>
  <w:style w:type="character" w:customStyle="1" w:styleId="MessageHeaderChar">
    <w:name w:val="Message Header Char"/>
    <w:link w:val="MessageHeader"/>
    <w:rsid w:val="00FB701A"/>
    <w:rPr>
      <w:rFonts w:ascii="Arial" w:eastAsia="Times New Roman" w:hAnsi="Arial"/>
      <w:sz w:val="24"/>
      <w:shd w:val="pct20" w:color="auto" w:fill="auto"/>
      <w:lang w:eastAsia="en-US"/>
    </w:rPr>
  </w:style>
  <w:style w:type="paragraph" w:styleId="NormalIndent">
    <w:name w:val="Normal Indent"/>
    <w:basedOn w:val="Normal"/>
    <w:rsid w:val="00FB701A"/>
    <w:pPr>
      <w:spacing w:before="0" w:after="240"/>
      <w:ind w:left="720"/>
    </w:pPr>
    <w:rPr>
      <w:rFonts w:eastAsia="Times New Roman"/>
    </w:rPr>
  </w:style>
  <w:style w:type="paragraph" w:styleId="NoteHeading">
    <w:name w:val="Note Heading"/>
    <w:basedOn w:val="Normal"/>
    <w:next w:val="Normal"/>
    <w:link w:val="NoteHeadingChar"/>
    <w:rsid w:val="00FB701A"/>
    <w:pPr>
      <w:spacing w:before="0" w:after="240"/>
    </w:pPr>
    <w:rPr>
      <w:rFonts w:eastAsia="Times New Roman"/>
    </w:rPr>
  </w:style>
  <w:style w:type="character" w:customStyle="1" w:styleId="NoteHeadingChar">
    <w:name w:val="Note Heading Char"/>
    <w:link w:val="NoteHeading"/>
    <w:rsid w:val="00FB701A"/>
    <w:rPr>
      <w:rFonts w:ascii="Times New Roman" w:eastAsia="Times New Roman" w:hAnsi="Times New Roman"/>
      <w:sz w:val="24"/>
      <w:lang w:eastAsia="en-US"/>
    </w:rPr>
  </w:style>
  <w:style w:type="paragraph" w:customStyle="1" w:styleId="NoteHead">
    <w:name w:val="NoteHead"/>
    <w:basedOn w:val="Normal"/>
    <w:next w:val="Subject"/>
    <w:rsid w:val="00FB701A"/>
    <w:pPr>
      <w:spacing w:before="720" w:after="720"/>
      <w:jc w:val="center"/>
    </w:pPr>
    <w:rPr>
      <w:rFonts w:eastAsia="Times New Roman"/>
      <w:b/>
      <w:smallCaps/>
    </w:rPr>
  </w:style>
  <w:style w:type="paragraph" w:customStyle="1" w:styleId="Subject">
    <w:name w:val="Subject"/>
    <w:basedOn w:val="Normal"/>
    <w:next w:val="Normal"/>
    <w:rsid w:val="00FB701A"/>
    <w:pPr>
      <w:spacing w:before="0" w:after="480"/>
      <w:ind w:left="1531" w:hanging="1531"/>
      <w:jc w:val="left"/>
    </w:pPr>
    <w:rPr>
      <w:rFonts w:eastAsia="Times New Roman"/>
      <w:b/>
    </w:rPr>
  </w:style>
  <w:style w:type="paragraph" w:customStyle="1" w:styleId="NoteList">
    <w:name w:val="NoteList"/>
    <w:basedOn w:val="Normal"/>
    <w:next w:val="Subject"/>
    <w:rsid w:val="00FB701A"/>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rsid w:val="00FB701A"/>
    <w:pPr>
      <w:spacing w:before="0" w:after="240"/>
    </w:pPr>
    <w:rPr>
      <w:rFonts w:ascii="Courier New" w:eastAsia="Times New Roman" w:hAnsi="Courier New"/>
      <w:sz w:val="20"/>
    </w:rPr>
  </w:style>
  <w:style w:type="character" w:customStyle="1" w:styleId="PlainTextChar">
    <w:name w:val="Plain Text Char"/>
    <w:link w:val="PlainText"/>
    <w:rsid w:val="00FB701A"/>
    <w:rPr>
      <w:rFonts w:ascii="Courier New" w:eastAsia="Times New Roman" w:hAnsi="Courier New"/>
      <w:lang w:eastAsia="en-US"/>
    </w:rPr>
  </w:style>
  <w:style w:type="paragraph" w:styleId="Salutation">
    <w:name w:val="Salutation"/>
    <w:basedOn w:val="Normal"/>
    <w:next w:val="Normal"/>
    <w:link w:val="SalutationChar"/>
    <w:rsid w:val="00FB701A"/>
    <w:pPr>
      <w:spacing w:before="0" w:after="240"/>
    </w:pPr>
    <w:rPr>
      <w:rFonts w:eastAsia="Times New Roman"/>
    </w:rPr>
  </w:style>
  <w:style w:type="character" w:customStyle="1" w:styleId="SalutationChar">
    <w:name w:val="Salutation Char"/>
    <w:link w:val="Salutation"/>
    <w:rsid w:val="00FB701A"/>
    <w:rPr>
      <w:rFonts w:ascii="Times New Roman" w:eastAsia="Times New Roman" w:hAnsi="Times New Roman"/>
      <w:sz w:val="24"/>
      <w:lang w:eastAsia="en-US"/>
    </w:rPr>
  </w:style>
  <w:style w:type="paragraph" w:styleId="Subtitle">
    <w:name w:val="Subtitle"/>
    <w:basedOn w:val="Normal"/>
    <w:link w:val="SubtitleChar"/>
    <w:qFormat/>
    <w:rsid w:val="00FB701A"/>
    <w:pPr>
      <w:spacing w:before="0" w:after="60"/>
      <w:jc w:val="center"/>
      <w:outlineLvl w:val="1"/>
    </w:pPr>
    <w:rPr>
      <w:rFonts w:ascii="Arial" w:eastAsia="Times New Roman" w:hAnsi="Arial"/>
    </w:rPr>
  </w:style>
  <w:style w:type="character" w:customStyle="1" w:styleId="SubtitleChar">
    <w:name w:val="Subtitle Char"/>
    <w:link w:val="Subtitle"/>
    <w:rsid w:val="00FB701A"/>
    <w:rPr>
      <w:rFonts w:ascii="Arial" w:eastAsia="Times New Roman" w:hAnsi="Arial"/>
      <w:sz w:val="24"/>
      <w:lang w:eastAsia="en-US"/>
    </w:rPr>
  </w:style>
  <w:style w:type="paragraph" w:styleId="TableofAuthorities">
    <w:name w:val="table of authorities"/>
    <w:basedOn w:val="Normal"/>
    <w:next w:val="Normal"/>
    <w:semiHidden/>
    <w:rsid w:val="00FB701A"/>
    <w:pPr>
      <w:spacing w:before="0" w:after="240"/>
      <w:ind w:left="240" w:hanging="240"/>
    </w:pPr>
    <w:rPr>
      <w:rFonts w:eastAsia="Times New Roman"/>
    </w:rPr>
  </w:style>
  <w:style w:type="paragraph" w:styleId="TableofFigures">
    <w:name w:val="table of figures"/>
    <w:basedOn w:val="Normal"/>
    <w:next w:val="Normal"/>
    <w:semiHidden/>
    <w:rsid w:val="00FB701A"/>
    <w:pPr>
      <w:spacing w:before="0" w:after="240"/>
      <w:ind w:left="480" w:hanging="480"/>
    </w:pPr>
    <w:rPr>
      <w:rFonts w:eastAsia="Times New Roman"/>
    </w:rPr>
  </w:style>
  <w:style w:type="paragraph" w:styleId="Title">
    <w:name w:val="Title"/>
    <w:basedOn w:val="Normal"/>
    <w:link w:val="TitleChar"/>
    <w:qFormat/>
    <w:rsid w:val="00FB701A"/>
    <w:pPr>
      <w:spacing w:before="240" w:after="60"/>
      <w:jc w:val="center"/>
      <w:outlineLvl w:val="0"/>
    </w:pPr>
    <w:rPr>
      <w:rFonts w:ascii="Arial" w:eastAsia="Times New Roman" w:hAnsi="Arial"/>
      <w:b/>
      <w:kern w:val="28"/>
      <w:sz w:val="32"/>
    </w:rPr>
  </w:style>
  <w:style w:type="character" w:customStyle="1" w:styleId="TitleChar">
    <w:name w:val="Title Char"/>
    <w:link w:val="Title"/>
    <w:rsid w:val="00FB701A"/>
    <w:rPr>
      <w:rFonts w:ascii="Arial" w:eastAsia="Times New Roman" w:hAnsi="Arial"/>
      <w:b/>
      <w:kern w:val="28"/>
      <w:sz w:val="32"/>
      <w:lang w:eastAsia="en-US"/>
    </w:rPr>
  </w:style>
  <w:style w:type="paragraph" w:styleId="TOAHeading">
    <w:name w:val="toa heading"/>
    <w:basedOn w:val="Normal"/>
    <w:next w:val="Normal"/>
    <w:semiHidden/>
    <w:rsid w:val="00FB701A"/>
    <w:pPr>
      <w:spacing w:after="240"/>
    </w:pPr>
    <w:rPr>
      <w:rFonts w:ascii="Arial" w:eastAsia="Times New Roman" w:hAnsi="Arial"/>
      <w:b/>
    </w:rPr>
  </w:style>
  <w:style w:type="paragraph" w:customStyle="1" w:styleId="YReferences">
    <w:name w:val="YReferences"/>
    <w:basedOn w:val="Normal"/>
    <w:next w:val="Normal"/>
    <w:rsid w:val="00FB701A"/>
    <w:pPr>
      <w:spacing w:before="0" w:after="480"/>
      <w:ind w:left="1531" w:hanging="1531"/>
    </w:pPr>
    <w:rPr>
      <w:rFonts w:eastAsia="Times New Roman"/>
    </w:rPr>
  </w:style>
  <w:style w:type="paragraph" w:customStyle="1" w:styleId="ListBullet1">
    <w:name w:val="List Bullet 1"/>
    <w:basedOn w:val="Text1"/>
    <w:rsid w:val="00FB701A"/>
    <w:pPr>
      <w:tabs>
        <w:tab w:val="num" w:pos="765"/>
      </w:tabs>
      <w:spacing w:before="0" w:after="240"/>
      <w:ind w:left="765" w:hanging="283"/>
    </w:pPr>
    <w:rPr>
      <w:rFonts w:eastAsia="Times New Roman"/>
    </w:rPr>
  </w:style>
  <w:style w:type="paragraph" w:customStyle="1" w:styleId="ListDash">
    <w:name w:val="List Dash"/>
    <w:basedOn w:val="Normal"/>
    <w:rsid w:val="00FB701A"/>
    <w:pPr>
      <w:numPr>
        <w:numId w:val="7"/>
      </w:numPr>
      <w:spacing w:before="0" w:after="240"/>
    </w:pPr>
    <w:rPr>
      <w:rFonts w:eastAsia="Times New Roman"/>
    </w:rPr>
  </w:style>
  <w:style w:type="paragraph" w:customStyle="1" w:styleId="ListDash1">
    <w:name w:val="List Dash 1"/>
    <w:basedOn w:val="Text1"/>
    <w:rsid w:val="00FB701A"/>
    <w:pPr>
      <w:numPr>
        <w:numId w:val="8"/>
      </w:numPr>
      <w:spacing w:before="0" w:after="240"/>
    </w:pPr>
    <w:rPr>
      <w:rFonts w:eastAsia="Times New Roman"/>
    </w:rPr>
  </w:style>
  <w:style w:type="paragraph" w:customStyle="1" w:styleId="ListDash2">
    <w:name w:val="List Dash 2"/>
    <w:basedOn w:val="Text2"/>
    <w:rsid w:val="00FB701A"/>
    <w:pPr>
      <w:numPr>
        <w:numId w:val="9"/>
      </w:numPr>
      <w:spacing w:before="0" w:after="240"/>
    </w:pPr>
    <w:rPr>
      <w:rFonts w:eastAsia="Times New Roman"/>
    </w:rPr>
  </w:style>
  <w:style w:type="paragraph" w:customStyle="1" w:styleId="ListDash3">
    <w:name w:val="List Dash 3"/>
    <w:basedOn w:val="Text3"/>
    <w:rsid w:val="00FB701A"/>
    <w:pPr>
      <w:numPr>
        <w:numId w:val="10"/>
      </w:numPr>
      <w:spacing w:before="0" w:after="240"/>
    </w:pPr>
    <w:rPr>
      <w:rFonts w:eastAsia="Times New Roman"/>
    </w:rPr>
  </w:style>
  <w:style w:type="paragraph" w:customStyle="1" w:styleId="ListDash4">
    <w:name w:val="List Dash 4"/>
    <w:basedOn w:val="Text4"/>
    <w:rsid w:val="00FB701A"/>
    <w:pPr>
      <w:numPr>
        <w:numId w:val="11"/>
      </w:numPr>
      <w:spacing w:before="0" w:after="240"/>
    </w:pPr>
    <w:rPr>
      <w:rFonts w:eastAsia="Times New Roman"/>
    </w:rPr>
  </w:style>
  <w:style w:type="paragraph" w:customStyle="1" w:styleId="ListNumberLevel2">
    <w:name w:val="List Number (Level 2)"/>
    <w:basedOn w:val="Normal"/>
    <w:rsid w:val="00FB701A"/>
    <w:pPr>
      <w:numPr>
        <w:ilvl w:val="1"/>
        <w:numId w:val="12"/>
      </w:numPr>
      <w:spacing w:before="0" w:after="240"/>
    </w:pPr>
    <w:rPr>
      <w:rFonts w:eastAsia="Times New Roman"/>
    </w:rPr>
  </w:style>
  <w:style w:type="paragraph" w:customStyle="1" w:styleId="ListNumberLevel3">
    <w:name w:val="List Number (Level 3)"/>
    <w:basedOn w:val="Normal"/>
    <w:rsid w:val="00FB701A"/>
    <w:pPr>
      <w:numPr>
        <w:ilvl w:val="2"/>
        <w:numId w:val="12"/>
      </w:numPr>
      <w:spacing w:before="0" w:after="240"/>
    </w:pPr>
    <w:rPr>
      <w:rFonts w:eastAsia="Times New Roman"/>
    </w:rPr>
  </w:style>
  <w:style w:type="paragraph" w:customStyle="1" w:styleId="ListNumberLevel4">
    <w:name w:val="List Number (Level 4)"/>
    <w:basedOn w:val="Normal"/>
    <w:rsid w:val="00FB701A"/>
    <w:pPr>
      <w:numPr>
        <w:ilvl w:val="3"/>
        <w:numId w:val="12"/>
      </w:numPr>
      <w:spacing w:before="0" w:after="240"/>
    </w:pPr>
    <w:rPr>
      <w:rFonts w:eastAsia="Times New Roman"/>
    </w:rPr>
  </w:style>
  <w:style w:type="paragraph" w:customStyle="1" w:styleId="ListNumber1">
    <w:name w:val="List Number 1"/>
    <w:basedOn w:val="Text1"/>
    <w:rsid w:val="00FB701A"/>
    <w:pPr>
      <w:numPr>
        <w:numId w:val="13"/>
      </w:numPr>
      <w:spacing w:before="0" w:after="240"/>
    </w:pPr>
    <w:rPr>
      <w:rFonts w:eastAsia="Times New Roman"/>
    </w:rPr>
  </w:style>
  <w:style w:type="paragraph" w:customStyle="1" w:styleId="ListNumber1Level2">
    <w:name w:val="List Number 1 (Level 2)"/>
    <w:basedOn w:val="Text1"/>
    <w:rsid w:val="00FB701A"/>
    <w:pPr>
      <w:numPr>
        <w:ilvl w:val="1"/>
        <w:numId w:val="13"/>
      </w:numPr>
      <w:spacing w:before="0" w:after="240"/>
    </w:pPr>
    <w:rPr>
      <w:rFonts w:eastAsia="Times New Roman"/>
    </w:rPr>
  </w:style>
  <w:style w:type="paragraph" w:customStyle="1" w:styleId="ListNumber1Level3">
    <w:name w:val="List Number 1 (Level 3)"/>
    <w:basedOn w:val="Text1"/>
    <w:rsid w:val="00FB701A"/>
    <w:pPr>
      <w:numPr>
        <w:ilvl w:val="2"/>
        <w:numId w:val="13"/>
      </w:numPr>
      <w:spacing w:before="0" w:after="240"/>
    </w:pPr>
    <w:rPr>
      <w:rFonts w:eastAsia="Times New Roman"/>
    </w:rPr>
  </w:style>
  <w:style w:type="paragraph" w:customStyle="1" w:styleId="ListNumber1Level4">
    <w:name w:val="List Number 1 (Level 4)"/>
    <w:basedOn w:val="Text1"/>
    <w:rsid w:val="00FB701A"/>
    <w:pPr>
      <w:numPr>
        <w:ilvl w:val="3"/>
        <w:numId w:val="13"/>
      </w:numPr>
      <w:spacing w:before="0" w:after="240"/>
    </w:pPr>
    <w:rPr>
      <w:rFonts w:eastAsia="Times New Roman"/>
    </w:rPr>
  </w:style>
  <w:style w:type="paragraph" w:customStyle="1" w:styleId="ListNumber2Level2">
    <w:name w:val="List Number 2 (Level 2)"/>
    <w:basedOn w:val="Text2"/>
    <w:rsid w:val="00FB701A"/>
    <w:pPr>
      <w:numPr>
        <w:ilvl w:val="1"/>
        <w:numId w:val="14"/>
      </w:numPr>
      <w:spacing w:before="0" w:after="240"/>
    </w:pPr>
    <w:rPr>
      <w:rFonts w:eastAsia="Times New Roman"/>
    </w:rPr>
  </w:style>
  <w:style w:type="paragraph" w:customStyle="1" w:styleId="ListNumber2Level3">
    <w:name w:val="List Number 2 (Level 3)"/>
    <w:basedOn w:val="Text2"/>
    <w:rsid w:val="00FB701A"/>
    <w:pPr>
      <w:numPr>
        <w:ilvl w:val="2"/>
        <w:numId w:val="14"/>
      </w:numPr>
      <w:spacing w:before="0" w:after="240"/>
    </w:pPr>
    <w:rPr>
      <w:rFonts w:eastAsia="Times New Roman"/>
    </w:rPr>
  </w:style>
  <w:style w:type="paragraph" w:customStyle="1" w:styleId="ListNumber2Level4">
    <w:name w:val="List Number 2 (Level 4)"/>
    <w:basedOn w:val="Text2"/>
    <w:rsid w:val="00FB701A"/>
    <w:pPr>
      <w:numPr>
        <w:ilvl w:val="3"/>
        <w:numId w:val="14"/>
      </w:numPr>
      <w:spacing w:before="0" w:after="240"/>
      <w:ind w:left="3901" w:hanging="703"/>
    </w:pPr>
    <w:rPr>
      <w:rFonts w:eastAsia="Times New Roman"/>
    </w:rPr>
  </w:style>
  <w:style w:type="paragraph" w:customStyle="1" w:styleId="ListNumber3Level2">
    <w:name w:val="List Number 3 (Level 2)"/>
    <w:basedOn w:val="Text3"/>
    <w:rsid w:val="00FB701A"/>
    <w:pPr>
      <w:numPr>
        <w:ilvl w:val="1"/>
        <w:numId w:val="15"/>
      </w:numPr>
      <w:spacing w:before="0" w:after="240"/>
    </w:pPr>
    <w:rPr>
      <w:rFonts w:eastAsia="Times New Roman"/>
    </w:rPr>
  </w:style>
  <w:style w:type="paragraph" w:customStyle="1" w:styleId="ListNumber3Level3">
    <w:name w:val="List Number 3 (Level 3)"/>
    <w:basedOn w:val="Text3"/>
    <w:rsid w:val="00FB701A"/>
    <w:pPr>
      <w:numPr>
        <w:ilvl w:val="2"/>
        <w:numId w:val="15"/>
      </w:numPr>
      <w:spacing w:before="0" w:after="240"/>
    </w:pPr>
    <w:rPr>
      <w:rFonts w:eastAsia="Times New Roman"/>
    </w:rPr>
  </w:style>
  <w:style w:type="paragraph" w:customStyle="1" w:styleId="ListNumber3Level4">
    <w:name w:val="List Number 3 (Level 4)"/>
    <w:basedOn w:val="Text3"/>
    <w:rsid w:val="00FB701A"/>
    <w:pPr>
      <w:numPr>
        <w:ilvl w:val="3"/>
        <w:numId w:val="15"/>
      </w:numPr>
      <w:spacing w:before="0" w:after="240"/>
    </w:pPr>
    <w:rPr>
      <w:rFonts w:eastAsia="Times New Roman"/>
    </w:rPr>
  </w:style>
  <w:style w:type="paragraph" w:customStyle="1" w:styleId="ListNumber4Level2">
    <w:name w:val="List Number 4 (Level 2)"/>
    <w:basedOn w:val="Text4"/>
    <w:rsid w:val="00FB701A"/>
    <w:pPr>
      <w:numPr>
        <w:ilvl w:val="1"/>
        <w:numId w:val="16"/>
      </w:numPr>
      <w:spacing w:before="0" w:after="240"/>
    </w:pPr>
    <w:rPr>
      <w:rFonts w:eastAsia="Times New Roman"/>
    </w:rPr>
  </w:style>
  <w:style w:type="paragraph" w:customStyle="1" w:styleId="ListNumber4Level3">
    <w:name w:val="List Number 4 (Level 3)"/>
    <w:basedOn w:val="Text4"/>
    <w:rsid w:val="00FB701A"/>
    <w:pPr>
      <w:numPr>
        <w:ilvl w:val="2"/>
        <w:numId w:val="16"/>
      </w:numPr>
      <w:spacing w:before="0" w:after="240"/>
    </w:pPr>
    <w:rPr>
      <w:rFonts w:eastAsia="Times New Roman"/>
    </w:rPr>
  </w:style>
  <w:style w:type="paragraph" w:customStyle="1" w:styleId="ListNumber4Level4">
    <w:name w:val="List Number 4 (Level 4)"/>
    <w:basedOn w:val="Text4"/>
    <w:rsid w:val="00FB701A"/>
    <w:pPr>
      <w:numPr>
        <w:ilvl w:val="3"/>
        <w:numId w:val="16"/>
      </w:numPr>
      <w:spacing w:before="0" w:after="240"/>
    </w:pPr>
    <w:rPr>
      <w:rFonts w:eastAsia="Times New Roman"/>
    </w:rPr>
  </w:style>
  <w:style w:type="paragraph" w:customStyle="1" w:styleId="Contact">
    <w:name w:val="Contact"/>
    <w:basedOn w:val="Normal"/>
    <w:next w:val="Enclosures"/>
    <w:rsid w:val="00FB701A"/>
    <w:pPr>
      <w:spacing w:before="480" w:after="0"/>
      <w:ind w:left="567" w:hanging="567"/>
      <w:jc w:val="left"/>
    </w:pPr>
    <w:rPr>
      <w:rFonts w:eastAsia="Times New Roman"/>
    </w:rPr>
  </w:style>
  <w:style w:type="paragraph" w:customStyle="1" w:styleId="DisclaimerNotice">
    <w:name w:val="Disclaimer Notice"/>
    <w:basedOn w:val="Normal"/>
    <w:next w:val="AddressTR"/>
    <w:rsid w:val="00FB701A"/>
    <w:pPr>
      <w:spacing w:before="0" w:after="240"/>
      <w:ind w:left="5103"/>
      <w:jc w:val="left"/>
    </w:pPr>
    <w:rPr>
      <w:rFonts w:eastAsia="Times New Roman"/>
      <w:i/>
      <w:sz w:val="20"/>
    </w:rPr>
  </w:style>
  <w:style w:type="paragraph" w:customStyle="1" w:styleId="Disclaimer">
    <w:name w:val="Disclaimer"/>
    <w:basedOn w:val="Normal"/>
    <w:rsid w:val="00FB701A"/>
    <w:pPr>
      <w:keepLines/>
      <w:pBdr>
        <w:top w:val="single" w:sz="4" w:space="1" w:color="auto"/>
      </w:pBdr>
      <w:spacing w:before="480" w:after="0"/>
    </w:pPr>
    <w:rPr>
      <w:rFonts w:eastAsia="Times New Roman"/>
      <w:i/>
    </w:rPr>
  </w:style>
  <w:style w:type="character" w:styleId="FollowedHyperlink">
    <w:name w:val="FollowedHyperlink"/>
    <w:rsid w:val="00FB701A"/>
    <w:rPr>
      <w:color w:val="800080"/>
      <w:u w:val="single"/>
    </w:rPr>
  </w:style>
  <w:style w:type="paragraph" w:customStyle="1" w:styleId="DisclaimerSJ">
    <w:name w:val="Disclaimer_SJ"/>
    <w:basedOn w:val="Normal"/>
    <w:next w:val="Normal"/>
    <w:rsid w:val="00FB701A"/>
    <w:pPr>
      <w:spacing w:before="0" w:after="0"/>
    </w:pPr>
    <w:rPr>
      <w:rFonts w:ascii="Arial" w:eastAsia="Times New Roman" w:hAnsi="Arial"/>
      <w:b/>
      <w:sz w:val="16"/>
    </w:rPr>
  </w:style>
  <w:style w:type="paragraph" w:styleId="NormalWeb">
    <w:name w:val="Normal (Web)"/>
    <w:basedOn w:val="Normal"/>
    <w:rsid w:val="00FB701A"/>
    <w:pPr>
      <w:suppressAutoHyphens/>
      <w:spacing w:before="100" w:after="100"/>
      <w:jc w:val="left"/>
    </w:pPr>
    <w:rPr>
      <w:rFonts w:eastAsia="Times New Roman"/>
      <w:szCs w:val="24"/>
      <w:lang w:eastAsia="ar-SA"/>
    </w:rPr>
  </w:style>
  <w:style w:type="character" w:customStyle="1" w:styleId="Text1Char">
    <w:name w:val="Text 1 Char"/>
    <w:link w:val="Text1"/>
    <w:uiPriority w:val="99"/>
    <w:locked/>
    <w:rsid w:val="00FB701A"/>
    <w:rPr>
      <w:rFonts w:ascii="Times New Roman" w:hAnsi="Times New Roman"/>
      <w:sz w:val="24"/>
      <w:szCs w:val="22"/>
      <w:lang w:eastAsia="en-US"/>
    </w:rPr>
  </w:style>
  <w:style w:type="table" w:styleId="TableGrid">
    <w:name w:val="Table Grid"/>
    <w:basedOn w:val="TableNormal"/>
    <w:rsid w:val="00FB70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ink w:val="ManualNumPar1"/>
    <w:rsid w:val="00FB701A"/>
    <w:rPr>
      <w:rFonts w:ascii="Times New Roman" w:hAnsi="Times New Roman"/>
      <w:sz w:val="24"/>
      <w:szCs w:val="22"/>
      <w:lang w:eastAsia="en-US"/>
    </w:rPr>
  </w:style>
  <w:style w:type="character" w:styleId="PageNumber">
    <w:name w:val="page number"/>
    <w:rsid w:val="00FB701A"/>
  </w:style>
  <w:style w:type="paragraph" w:styleId="BalloonText">
    <w:name w:val="Balloon Text"/>
    <w:basedOn w:val="Normal"/>
    <w:link w:val="BalloonTextChar"/>
    <w:semiHidden/>
    <w:rsid w:val="00FB701A"/>
    <w:pPr>
      <w:spacing w:before="0" w:after="240"/>
    </w:pPr>
    <w:rPr>
      <w:rFonts w:ascii="Tahoma" w:eastAsia="Times New Roman" w:hAnsi="Tahoma" w:cs="Tahoma"/>
      <w:sz w:val="16"/>
      <w:szCs w:val="16"/>
    </w:rPr>
  </w:style>
  <w:style w:type="character" w:customStyle="1" w:styleId="BalloonTextChar">
    <w:name w:val="Balloon Text Char"/>
    <w:link w:val="BalloonText"/>
    <w:semiHidden/>
    <w:rsid w:val="00FB701A"/>
    <w:rPr>
      <w:rFonts w:ascii="Tahoma" w:eastAsia="Times New Roman" w:hAnsi="Tahoma" w:cs="Tahoma"/>
      <w:sz w:val="16"/>
      <w:szCs w:val="16"/>
      <w:lang w:eastAsia="en-US"/>
    </w:rPr>
  </w:style>
  <w:style w:type="paragraph" w:customStyle="1" w:styleId="StyleHeading3BoldNotItalic">
    <w:name w:val="Style Heading 3 + Bold Not Italic"/>
    <w:basedOn w:val="Heading3"/>
    <w:autoRedefine/>
    <w:rsid w:val="00FB701A"/>
    <w:pPr>
      <w:spacing w:before="0" w:after="240"/>
      <w:ind w:left="720" w:hanging="720"/>
    </w:pPr>
    <w:rPr>
      <w:rFonts w:ascii="Times New Roman Bold" w:hAnsi="Times New Roman Bold"/>
    </w:rPr>
  </w:style>
  <w:style w:type="character" w:styleId="CommentReference">
    <w:name w:val="annotation reference"/>
    <w:uiPriority w:val="99"/>
    <w:semiHidden/>
    <w:rsid w:val="00FB701A"/>
    <w:rPr>
      <w:sz w:val="16"/>
      <w:szCs w:val="16"/>
    </w:rPr>
  </w:style>
  <w:style w:type="paragraph" w:styleId="CommentSubject">
    <w:name w:val="annotation subject"/>
    <w:basedOn w:val="CommentText"/>
    <w:next w:val="CommentText"/>
    <w:link w:val="CommentSubjectChar"/>
    <w:semiHidden/>
    <w:rsid w:val="00FB701A"/>
    <w:rPr>
      <w:b/>
      <w:bCs/>
    </w:rPr>
  </w:style>
  <w:style w:type="character" w:customStyle="1" w:styleId="CommentSubjectChar">
    <w:name w:val="Comment Subject Char"/>
    <w:link w:val="CommentSubject"/>
    <w:semiHidden/>
    <w:rsid w:val="00FB701A"/>
    <w:rPr>
      <w:rFonts w:ascii="Times New Roman" w:eastAsia="Times New Roman" w:hAnsi="Times New Roman"/>
      <w:b/>
      <w:bCs/>
      <w:lang w:eastAsia="en-US"/>
    </w:rPr>
  </w:style>
  <w:style w:type="paragraph" w:customStyle="1" w:styleId="Annextitle">
    <w:name w:val="Annex title"/>
    <w:basedOn w:val="Normal"/>
    <w:autoRedefine/>
    <w:uiPriority w:val="99"/>
    <w:rsid w:val="00FB701A"/>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FB701A"/>
    <w:rPr>
      <w:rFonts w:ascii="Times New Roman" w:eastAsia="Times New Roman" w:hAnsi="Times New Roman"/>
      <w:sz w:val="24"/>
      <w:lang w:eastAsia="en-US"/>
    </w:rPr>
  </w:style>
  <w:style w:type="character" w:styleId="EndnoteReference">
    <w:name w:val="endnote reference"/>
    <w:rsid w:val="00FB701A"/>
    <w:rPr>
      <w:vertAlign w:val="superscript"/>
    </w:rPr>
  </w:style>
  <w:style w:type="paragraph" w:styleId="ListParagraph">
    <w:name w:val="List Paragraph"/>
    <w:basedOn w:val="Normal"/>
    <w:link w:val="ListParagraphChar"/>
    <w:uiPriority w:val="99"/>
    <w:qFormat/>
    <w:rsid w:val="00FB701A"/>
    <w:pPr>
      <w:spacing w:before="0" w:after="240"/>
      <w:ind w:left="720"/>
    </w:pPr>
    <w:rPr>
      <w:rFonts w:eastAsia="Times New Roman"/>
    </w:rPr>
  </w:style>
  <w:style w:type="paragraph" w:customStyle="1" w:styleId="StyleHeading1Hanging085cm">
    <w:name w:val="Style Heading 1 + Hanging:  0.85 cm"/>
    <w:basedOn w:val="Heading1"/>
    <w:autoRedefine/>
    <w:rsid w:val="00FB701A"/>
    <w:pPr>
      <w:numPr>
        <w:numId w:val="0"/>
      </w:numPr>
      <w:spacing w:after="240"/>
    </w:pPr>
    <w:rPr>
      <w:bCs w:val="0"/>
      <w:szCs w:val="24"/>
    </w:rPr>
  </w:style>
  <w:style w:type="paragraph" w:customStyle="1" w:styleId="StyleHeading1Left0cm">
    <w:name w:val="Style Heading 1 + Left:  0 cm"/>
    <w:basedOn w:val="Heading1"/>
    <w:autoRedefine/>
    <w:rsid w:val="00FB701A"/>
    <w:pPr>
      <w:numPr>
        <w:numId w:val="18"/>
      </w:numPr>
      <w:spacing w:after="240"/>
    </w:pPr>
    <w:rPr>
      <w:rFonts w:ascii="Times New Roman Bold" w:hAnsi="Times New Roman Bold"/>
      <w:bCs w:val="0"/>
      <w:szCs w:val="24"/>
    </w:rPr>
  </w:style>
  <w:style w:type="character" w:customStyle="1" w:styleId="CharacterStyle2">
    <w:name w:val="Character Style 2"/>
    <w:uiPriority w:val="99"/>
    <w:rsid w:val="00FB701A"/>
    <w:rPr>
      <w:sz w:val="20"/>
      <w:szCs w:val="20"/>
    </w:rPr>
  </w:style>
  <w:style w:type="character" w:styleId="Hyperlink">
    <w:name w:val="Hyperlink"/>
    <w:uiPriority w:val="99"/>
    <w:unhideWhenUsed/>
    <w:rsid w:val="00481558"/>
    <w:rPr>
      <w:color w:val="0000FF"/>
      <w:u w:val="single"/>
    </w:rPr>
  </w:style>
  <w:style w:type="paragraph" w:styleId="Header">
    <w:name w:val="header"/>
    <w:basedOn w:val="Normal"/>
    <w:link w:val="HeaderChar"/>
    <w:uiPriority w:val="99"/>
    <w:unhideWhenUsed/>
    <w:rsid w:val="006A4BD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sid w:val="006A4BDD"/>
    <w:rPr>
      <w:rFonts w:ascii="Times New Roman" w:eastAsiaTheme="minorHAnsi" w:hAnsi="Times New Roman"/>
      <w:sz w:val="24"/>
      <w:szCs w:val="22"/>
      <w:lang w:eastAsia="en-US"/>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b/>
      <w:bCs/>
      <w:smallCaps/>
      <w:sz w:val="24"/>
      <w:szCs w:val="28"/>
    </w:rPr>
  </w:style>
  <w:style w:type="character" w:customStyle="1" w:styleId="Heading2Char">
    <w:name w:val="Heading 2 Char"/>
    <w:link w:val="Heading2"/>
    <w:uiPriority w:val="9"/>
    <w:semiHidden/>
    <w:rsid w:val="0075503A"/>
    <w:rPr>
      <w:rFonts w:ascii="Times New Roman" w:eastAsia="Times New Roman" w:hAnsi="Times New Roman"/>
      <w:b/>
      <w:bCs/>
      <w:sz w:val="24"/>
      <w:szCs w:val="26"/>
    </w:rPr>
  </w:style>
  <w:style w:type="character" w:customStyle="1" w:styleId="Heading3Char">
    <w:name w:val="Heading 3 Char"/>
    <w:link w:val="Heading3"/>
    <w:uiPriority w:val="9"/>
    <w:semiHidden/>
    <w:rsid w:val="0075503A"/>
    <w:rPr>
      <w:rFonts w:ascii="Times New Roman" w:eastAsia="Times New Roman" w:hAnsi="Times New Roman"/>
      <w:bCs/>
      <w:i/>
      <w:sz w:val="24"/>
    </w:rPr>
  </w:style>
  <w:style w:type="character" w:customStyle="1" w:styleId="Heading4Char">
    <w:name w:val="Heading 4 Char"/>
    <w:link w:val="Heading4"/>
    <w:uiPriority w:val="9"/>
    <w:semiHidden/>
    <w:rsid w:val="0075503A"/>
    <w:rPr>
      <w:rFonts w:ascii="Times New Roman" w:eastAsia="Times New Roman" w:hAnsi="Times New Roman"/>
      <w:bCs/>
      <w:iCs/>
      <w:sz w:val="24"/>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6A4BDD"/>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link w:val="Text1Char"/>
    <w:uiPriority w:val="99"/>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9"/>
      </w:numPr>
    </w:pPr>
  </w:style>
  <w:style w:type="paragraph" w:customStyle="1" w:styleId="Tiret1">
    <w:name w:val="Tiret 1"/>
    <w:basedOn w:val="Point1"/>
    <w:rsid w:val="0075503A"/>
    <w:pPr>
      <w:numPr>
        <w:numId w:val="20"/>
      </w:numPr>
    </w:pPr>
  </w:style>
  <w:style w:type="paragraph" w:customStyle="1" w:styleId="Tiret2">
    <w:name w:val="Tiret 2"/>
    <w:basedOn w:val="Point2"/>
    <w:rsid w:val="0075503A"/>
    <w:pPr>
      <w:numPr>
        <w:numId w:val="21"/>
      </w:numPr>
    </w:pPr>
  </w:style>
  <w:style w:type="paragraph" w:customStyle="1" w:styleId="Tiret3">
    <w:name w:val="Tiret 3"/>
    <w:basedOn w:val="Point3"/>
    <w:rsid w:val="0075503A"/>
    <w:pPr>
      <w:numPr>
        <w:numId w:val="22"/>
      </w:numPr>
    </w:pPr>
  </w:style>
  <w:style w:type="paragraph" w:customStyle="1" w:styleId="Tiret4">
    <w:name w:val="Tiret 4"/>
    <w:basedOn w:val="Point4"/>
    <w:rsid w:val="0075503A"/>
    <w:pPr>
      <w:numPr>
        <w:numId w:val="2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45"/>
      </w:numPr>
    </w:pPr>
  </w:style>
  <w:style w:type="paragraph" w:customStyle="1" w:styleId="NumPar2">
    <w:name w:val="NumPar 2"/>
    <w:basedOn w:val="Normal"/>
    <w:next w:val="Text1"/>
    <w:rsid w:val="0075503A"/>
    <w:pPr>
      <w:numPr>
        <w:ilvl w:val="1"/>
        <w:numId w:val="45"/>
      </w:numPr>
    </w:pPr>
  </w:style>
  <w:style w:type="paragraph" w:customStyle="1" w:styleId="NumPar3">
    <w:name w:val="NumPar 3"/>
    <w:basedOn w:val="Normal"/>
    <w:next w:val="Text1"/>
    <w:rsid w:val="0075503A"/>
    <w:pPr>
      <w:numPr>
        <w:ilvl w:val="2"/>
        <w:numId w:val="45"/>
      </w:numPr>
    </w:pPr>
  </w:style>
  <w:style w:type="paragraph" w:customStyle="1" w:styleId="NumPar4">
    <w:name w:val="NumPar 4"/>
    <w:basedOn w:val="Normal"/>
    <w:next w:val="Text1"/>
    <w:rsid w:val="0075503A"/>
    <w:pPr>
      <w:numPr>
        <w:ilvl w:val="3"/>
        <w:numId w:val="45"/>
      </w:numPr>
    </w:pPr>
  </w:style>
  <w:style w:type="paragraph" w:customStyle="1" w:styleId="ManualNumPar1">
    <w:name w:val="Manual NumPar 1"/>
    <w:basedOn w:val="Normal"/>
    <w:next w:val="Text1"/>
    <w:link w:val="ManualNumPar1Char"/>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25"/>
      </w:numPr>
    </w:pPr>
  </w:style>
  <w:style w:type="paragraph" w:customStyle="1" w:styleId="Point1number">
    <w:name w:val="Point 1 (number)"/>
    <w:basedOn w:val="Normal"/>
    <w:rsid w:val="0075503A"/>
    <w:pPr>
      <w:numPr>
        <w:ilvl w:val="2"/>
        <w:numId w:val="25"/>
      </w:numPr>
    </w:pPr>
  </w:style>
  <w:style w:type="paragraph" w:customStyle="1" w:styleId="Point2number">
    <w:name w:val="Point 2 (number)"/>
    <w:basedOn w:val="Normal"/>
    <w:rsid w:val="0075503A"/>
    <w:pPr>
      <w:numPr>
        <w:ilvl w:val="4"/>
        <w:numId w:val="25"/>
      </w:numPr>
    </w:pPr>
  </w:style>
  <w:style w:type="paragraph" w:customStyle="1" w:styleId="Point3number">
    <w:name w:val="Point 3 (number)"/>
    <w:basedOn w:val="Normal"/>
    <w:rsid w:val="0075503A"/>
    <w:pPr>
      <w:numPr>
        <w:ilvl w:val="6"/>
        <w:numId w:val="25"/>
      </w:numPr>
    </w:pPr>
  </w:style>
  <w:style w:type="paragraph" w:customStyle="1" w:styleId="Point0letter">
    <w:name w:val="Point 0 (letter)"/>
    <w:basedOn w:val="Normal"/>
    <w:rsid w:val="0075503A"/>
    <w:pPr>
      <w:numPr>
        <w:ilvl w:val="1"/>
        <w:numId w:val="25"/>
      </w:numPr>
    </w:pPr>
  </w:style>
  <w:style w:type="paragraph" w:customStyle="1" w:styleId="Point1letter">
    <w:name w:val="Point 1 (letter)"/>
    <w:basedOn w:val="Normal"/>
    <w:rsid w:val="0075503A"/>
    <w:pPr>
      <w:numPr>
        <w:ilvl w:val="3"/>
        <w:numId w:val="25"/>
      </w:numPr>
    </w:pPr>
  </w:style>
  <w:style w:type="paragraph" w:customStyle="1" w:styleId="Point2letter">
    <w:name w:val="Point 2 (letter)"/>
    <w:basedOn w:val="Normal"/>
    <w:rsid w:val="0075503A"/>
    <w:pPr>
      <w:numPr>
        <w:ilvl w:val="5"/>
        <w:numId w:val="25"/>
      </w:numPr>
    </w:pPr>
  </w:style>
  <w:style w:type="paragraph" w:customStyle="1" w:styleId="Point3letter">
    <w:name w:val="Point 3 (letter)"/>
    <w:basedOn w:val="Normal"/>
    <w:rsid w:val="0075503A"/>
    <w:pPr>
      <w:numPr>
        <w:ilvl w:val="7"/>
        <w:numId w:val="25"/>
      </w:numPr>
    </w:pPr>
  </w:style>
  <w:style w:type="paragraph" w:customStyle="1" w:styleId="Point4letter">
    <w:name w:val="Point 4 (letter)"/>
    <w:basedOn w:val="Normal"/>
    <w:rsid w:val="0075503A"/>
    <w:pPr>
      <w:numPr>
        <w:ilvl w:val="8"/>
        <w:numId w:val="25"/>
      </w:numPr>
    </w:pPr>
  </w:style>
  <w:style w:type="paragraph" w:customStyle="1" w:styleId="Bullet0">
    <w:name w:val="Bullet 0"/>
    <w:basedOn w:val="Normal"/>
    <w:rsid w:val="0075503A"/>
    <w:pPr>
      <w:numPr>
        <w:numId w:val="26"/>
      </w:numPr>
    </w:pPr>
  </w:style>
  <w:style w:type="paragraph" w:customStyle="1" w:styleId="Bullet1">
    <w:name w:val="Bullet 1"/>
    <w:basedOn w:val="Normal"/>
    <w:rsid w:val="0075503A"/>
    <w:pPr>
      <w:numPr>
        <w:numId w:val="27"/>
      </w:numPr>
    </w:pPr>
  </w:style>
  <w:style w:type="paragraph" w:customStyle="1" w:styleId="Bullet2">
    <w:name w:val="Bullet 2"/>
    <w:basedOn w:val="Normal"/>
    <w:rsid w:val="0075503A"/>
    <w:pPr>
      <w:numPr>
        <w:numId w:val="28"/>
      </w:numPr>
    </w:pPr>
  </w:style>
  <w:style w:type="paragraph" w:customStyle="1" w:styleId="Bullet3">
    <w:name w:val="Bullet 3"/>
    <w:basedOn w:val="Normal"/>
    <w:rsid w:val="0075503A"/>
    <w:pPr>
      <w:numPr>
        <w:numId w:val="29"/>
      </w:numPr>
    </w:pPr>
  </w:style>
  <w:style w:type="paragraph" w:customStyle="1" w:styleId="Bullet4">
    <w:name w:val="Bullet 4"/>
    <w:basedOn w:val="Normal"/>
    <w:rsid w:val="0075503A"/>
    <w:pPr>
      <w:numPr>
        <w:numId w:val="30"/>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1"/>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styleId="NoSpacing">
    <w:name w:val="No Spacing"/>
    <w:link w:val="NoSpacingChar"/>
    <w:uiPriority w:val="1"/>
    <w:qFormat/>
    <w:rsid w:val="00BA642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A642B"/>
    <w:rPr>
      <w:rFonts w:asciiTheme="minorHAnsi" w:eastAsiaTheme="minorEastAsia" w:hAnsiTheme="minorHAnsi" w:cstheme="minorBidi"/>
      <w:sz w:val="22"/>
      <w:szCs w:val="22"/>
      <w:lang w:val="en-US" w:eastAsia="ja-JP"/>
    </w:rPr>
  </w:style>
  <w:style w:type="paragraph" w:customStyle="1" w:styleId="7C1ACB1844B645AE9187B20DABB10BEE">
    <w:name w:val="7C1ACB1844B645AE9187B20DABB10BEE"/>
    <w:rsid w:val="00BA642B"/>
    <w:pPr>
      <w:spacing w:after="200" w:line="276" w:lineRule="auto"/>
    </w:pPr>
    <w:rPr>
      <w:rFonts w:asciiTheme="minorHAnsi" w:eastAsiaTheme="minorEastAsia" w:hAnsiTheme="minorHAnsi" w:cstheme="minorBidi"/>
      <w:sz w:val="22"/>
      <w:szCs w:val="22"/>
      <w:lang w:val="en-US" w:eastAsia="ja-JP"/>
    </w:rPr>
  </w:style>
  <w:style w:type="paragraph" w:customStyle="1" w:styleId="BeschriftungKarte">
    <w:name w:val="Beschriftung_Karte"/>
    <w:basedOn w:val="Caption"/>
    <w:qFormat/>
    <w:rsid w:val="00DD0E7E"/>
    <w:pPr>
      <w:keepNext/>
      <w:ind w:left="567" w:hanging="567"/>
      <w:jc w:val="left"/>
    </w:pPr>
    <w:rPr>
      <w:rFonts w:ascii="Arial Narrow" w:hAnsi="Arial Narrow"/>
      <w:b w:val="0"/>
      <w:sz w:val="18"/>
      <w:szCs w:val="16"/>
      <w:lang w:eastAsia="de-DE"/>
    </w:rPr>
  </w:style>
  <w:style w:type="paragraph" w:customStyle="1" w:styleId="Default">
    <w:name w:val="Default"/>
    <w:rsid w:val="00461E7A"/>
    <w:pPr>
      <w:widowControl w:val="0"/>
      <w:autoSpaceDE w:val="0"/>
      <w:autoSpaceDN w:val="0"/>
      <w:adjustRightInd w:val="0"/>
    </w:pPr>
    <w:rPr>
      <w:rFonts w:ascii="Verdana" w:hAnsi="Verdana" w:cs="Verdana"/>
      <w:color w:val="000000"/>
      <w:sz w:val="24"/>
      <w:szCs w:val="24"/>
      <w:lang w:val="en-US"/>
    </w:rPr>
  </w:style>
  <w:style w:type="character" w:customStyle="1" w:styleId="ListParagraphChar">
    <w:name w:val="List Paragraph Char"/>
    <w:basedOn w:val="DefaultParagraphFont"/>
    <w:link w:val="ListParagraph"/>
    <w:uiPriority w:val="99"/>
    <w:locked/>
    <w:rsid w:val="00D557FC"/>
    <w:rPr>
      <w:rFonts w:ascii="Times New Roman" w:eastAsia="Times New Roman" w:hAnsi="Times New Roman"/>
      <w:sz w:val="24"/>
    </w:rPr>
  </w:style>
  <w:style w:type="paragraph" w:customStyle="1" w:styleId="Tabelle">
    <w:name w:val="Tabelle"/>
    <w:basedOn w:val="Normal"/>
    <w:qFormat/>
    <w:rsid w:val="00377536"/>
    <w:pPr>
      <w:spacing w:before="40" w:after="40"/>
      <w:jc w:val="left"/>
    </w:pPr>
    <w:rPr>
      <w:rFonts w:ascii="Arial Narrow" w:eastAsia="Times New Roman" w:hAnsi="Arial Narrow" w:cs="Arial"/>
      <w:sz w:val="18"/>
      <w:lang w:eastAsia="de-DE"/>
    </w:rPr>
  </w:style>
  <w:style w:type="paragraph" w:customStyle="1" w:styleId="Tabelle2">
    <w:name w:val="Tabelle2"/>
    <w:basedOn w:val="Normal"/>
    <w:qFormat/>
    <w:rsid w:val="00377BA1"/>
    <w:pPr>
      <w:spacing w:before="60" w:after="60"/>
      <w:jc w:val="left"/>
    </w:pPr>
    <w:rPr>
      <w:rFonts w:ascii="Arial" w:eastAsia="Times New Roman" w:hAnsi="Arial" w:cs="Arial"/>
      <w:sz w:val="20"/>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semiHidden="0" w:unhideWhenUsed="0" w:qFormat="1"/>
    <w:lsdException w:name="Signature" w:uiPriority="99"/>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F118F"/>
    <w:pPr>
      <w:spacing w:before="120" w:after="120"/>
      <w:jc w:val="both"/>
    </w:pPr>
    <w:rPr>
      <w:rFonts w:ascii="Times New Roman" w:hAnsi="Times New Roman"/>
      <w:sz w:val="24"/>
    </w:rPr>
  </w:style>
  <w:style w:type="paragraph" w:styleId="Heading1">
    <w:name w:val="heading 1"/>
    <w:basedOn w:val="Normal"/>
    <w:next w:val="Text1"/>
    <w:link w:val="Heading1Char"/>
    <w:uiPriority w:val="9"/>
    <w:qFormat/>
    <w:rsid w:val="0075503A"/>
    <w:pPr>
      <w:keepNext/>
      <w:numPr>
        <w:numId w:val="24"/>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24"/>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24"/>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24"/>
      </w:numPr>
      <w:outlineLvl w:val="3"/>
    </w:pPr>
    <w:rPr>
      <w:rFonts w:eastAsia="Times New Roman"/>
      <w:bCs/>
      <w:iCs/>
    </w:rPr>
  </w:style>
  <w:style w:type="paragraph" w:styleId="Heading5">
    <w:name w:val="heading 5"/>
    <w:basedOn w:val="Normal"/>
    <w:next w:val="Normal"/>
    <w:link w:val="Heading5Char"/>
    <w:qFormat/>
    <w:rsid w:val="00FB701A"/>
    <w:pPr>
      <w:spacing w:before="240" w:after="60"/>
      <w:ind w:left="1008" w:hanging="1008"/>
      <w:outlineLvl w:val="4"/>
    </w:pPr>
    <w:rPr>
      <w:rFonts w:ascii="Arial" w:eastAsia="Times New Roman" w:hAnsi="Arial"/>
      <w:sz w:val="22"/>
    </w:rPr>
  </w:style>
  <w:style w:type="paragraph" w:styleId="Heading6">
    <w:name w:val="heading 6"/>
    <w:basedOn w:val="Normal"/>
    <w:next w:val="Normal"/>
    <w:link w:val="Heading6Char"/>
    <w:qFormat/>
    <w:rsid w:val="00FB701A"/>
    <w:pPr>
      <w:spacing w:before="240" w:after="60"/>
      <w:ind w:left="1152" w:hanging="1152"/>
      <w:outlineLvl w:val="5"/>
    </w:pPr>
    <w:rPr>
      <w:rFonts w:ascii="Arial" w:eastAsia="Times New Roman" w:hAnsi="Arial"/>
      <w:i/>
      <w:sz w:val="22"/>
    </w:rPr>
  </w:style>
  <w:style w:type="paragraph" w:styleId="Heading7">
    <w:name w:val="heading 7"/>
    <w:basedOn w:val="Normal"/>
    <w:next w:val="Normal"/>
    <w:link w:val="Heading7Char"/>
    <w:qFormat/>
    <w:rsid w:val="00FB701A"/>
    <w:pPr>
      <w:spacing w:before="240" w:after="60"/>
      <w:ind w:left="1296" w:hanging="1296"/>
      <w:outlineLvl w:val="6"/>
    </w:pPr>
    <w:rPr>
      <w:rFonts w:ascii="Arial" w:eastAsia="Times New Roman" w:hAnsi="Arial"/>
      <w:sz w:val="20"/>
    </w:rPr>
  </w:style>
  <w:style w:type="paragraph" w:styleId="Heading8">
    <w:name w:val="heading 8"/>
    <w:basedOn w:val="Normal"/>
    <w:next w:val="Normal"/>
    <w:link w:val="Heading8Char"/>
    <w:qFormat/>
    <w:rsid w:val="00FB701A"/>
    <w:pPr>
      <w:spacing w:before="240" w:after="60"/>
      <w:ind w:left="1440" w:hanging="1440"/>
      <w:outlineLvl w:val="7"/>
    </w:pPr>
    <w:rPr>
      <w:rFonts w:ascii="Arial" w:eastAsia="Times New Roman" w:hAnsi="Arial"/>
      <w:i/>
      <w:sz w:val="20"/>
    </w:rPr>
  </w:style>
  <w:style w:type="paragraph" w:styleId="Heading9">
    <w:name w:val="heading 9"/>
    <w:basedOn w:val="Normal"/>
    <w:next w:val="Normal"/>
    <w:link w:val="Heading9Char"/>
    <w:qFormat/>
    <w:rsid w:val="00FB701A"/>
    <w:pPr>
      <w:spacing w:before="240" w:after="60"/>
      <w:ind w:left="1584" w:hanging="1584"/>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796970"/>
    <w:pPr>
      <w:numPr>
        <w:numId w:val="1"/>
      </w:numPr>
      <w:contextualSpacing/>
    </w:pPr>
  </w:style>
  <w:style w:type="paragraph" w:styleId="ListBullet2">
    <w:name w:val="List Bullet 2"/>
    <w:basedOn w:val="Normal"/>
    <w:unhideWhenUsed/>
    <w:rsid w:val="00796970"/>
    <w:pPr>
      <w:numPr>
        <w:numId w:val="2"/>
      </w:numPr>
      <w:contextualSpacing/>
    </w:pPr>
  </w:style>
  <w:style w:type="paragraph" w:styleId="ListBullet3">
    <w:name w:val="List Bullet 3"/>
    <w:basedOn w:val="Normal"/>
    <w:unhideWhenUsed/>
    <w:rsid w:val="00796970"/>
    <w:pPr>
      <w:numPr>
        <w:numId w:val="3"/>
      </w:numPr>
      <w:contextualSpacing/>
    </w:pPr>
  </w:style>
  <w:style w:type="paragraph" w:styleId="ListBullet4">
    <w:name w:val="List Bullet 4"/>
    <w:basedOn w:val="Normal"/>
    <w:unhideWhenUsed/>
    <w:rsid w:val="00796970"/>
    <w:pPr>
      <w:numPr>
        <w:numId w:val="4"/>
      </w:numPr>
      <w:contextualSpacing/>
    </w:pPr>
  </w:style>
  <w:style w:type="character" w:customStyle="1" w:styleId="Heading5Char">
    <w:name w:val="Heading 5 Char"/>
    <w:link w:val="Heading5"/>
    <w:rsid w:val="00FB701A"/>
    <w:rPr>
      <w:rFonts w:ascii="Arial" w:eastAsia="Times New Roman" w:hAnsi="Arial"/>
      <w:sz w:val="22"/>
      <w:lang w:eastAsia="en-US"/>
    </w:rPr>
  </w:style>
  <w:style w:type="character" w:customStyle="1" w:styleId="Heading6Char">
    <w:name w:val="Heading 6 Char"/>
    <w:link w:val="Heading6"/>
    <w:rsid w:val="00FB701A"/>
    <w:rPr>
      <w:rFonts w:ascii="Arial" w:eastAsia="Times New Roman" w:hAnsi="Arial"/>
      <w:i/>
      <w:sz w:val="22"/>
      <w:lang w:eastAsia="en-US"/>
    </w:rPr>
  </w:style>
  <w:style w:type="character" w:customStyle="1" w:styleId="Heading7Char">
    <w:name w:val="Heading 7 Char"/>
    <w:link w:val="Heading7"/>
    <w:rsid w:val="00FB701A"/>
    <w:rPr>
      <w:rFonts w:ascii="Arial" w:eastAsia="Times New Roman" w:hAnsi="Arial"/>
      <w:lang w:eastAsia="en-US"/>
    </w:rPr>
  </w:style>
  <w:style w:type="character" w:customStyle="1" w:styleId="Heading8Char">
    <w:name w:val="Heading 8 Char"/>
    <w:link w:val="Heading8"/>
    <w:rsid w:val="00FB701A"/>
    <w:rPr>
      <w:rFonts w:ascii="Arial" w:eastAsia="Times New Roman" w:hAnsi="Arial"/>
      <w:i/>
      <w:lang w:eastAsia="en-US"/>
    </w:rPr>
  </w:style>
  <w:style w:type="character" w:customStyle="1" w:styleId="Heading9Char">
    <w:name w:val="Heading 9 Char"/>
    <w:link w:val="Heading9"/>
    <w:rsid w:val="00FB701A"/>
    <w:rPr>
      <w:rFonts w:ascii="Arial" w:eastAsia="Times New Roman" w:hAnsi="Arial"/>
      <w:i/>
      <w:sz w:val="18"/>
      <w:lang w:eastAsia="en-US"/>
    </w:rPr>
  </w:style>
  <w:style w:type="numbering" w:customStyle="1" w:styleId="NoList1">
    <w:name w:val="No List1"/>
    <w:next w:val="NoList"/>
    <w:uiPriority w:val="99"/>
    <w:semiHidden/>
    <w:unhideWhenUsed/>
    <w:rsid w:val="00FB701A"/>
  </w:style>
  <w:style w:type="paragraph" w:customStyle="1" w:styleId="AddressTL">
    <w:name w:val="AddressTL"/>
    <w:basedOn w:val="Normal"/>
    <w:next w:val="Normal"/>
    <w:rsid w:val="00FB701A"/>
    <w:pPr>
      <w:spacing w:before="0" w:after="720"/>
      <w:jc w:val="left"/>
    </w:pPr>
    <w:rPr>
      <w:rFonts w:eastAsia="Times New Roman"/>
    </w:rPr>
  </w:style>
  <w:style w:type="paragraph" w:customStyle="1" w:styleId="AddressTR">
    <w:name w:val="AddressTR"/>
    <w:basedOn w:val="Normal"/>
    <w:next w:val="Normal"/>
    <w:rsid w:val="00FB701A"/>
    <w:pPr>
      <w:spacing w:before="0" w:after="720"/>
      <w:ind w:left="5103"/>
      <w:jc w:val="left"/>
    </w:pPr>
    <w:rPr>
      <w:rFonts w:eastAsia="Times New Roman"/>
    </w:rPr>
  </w:style>
  <w:style w:type="paragraph" w:styleId="BlockText">
    <w:name w:val="Block Text"/>
    <w:basedOn w:val="Normal"/>
    <w:rsid w:val="00FB701A"/>
    <w:pPr>
      <w:spacing w:before="0"/>
      <w:ind w:left="1440" w:right="1440"/>
    </w:pPr>
    <w:rPr>
      <w:rFonts w:eastAsia="Times New Roman"/>
    </w:rPr>
  </w:style>
  <w:style w:type="paragraph" w:styleId="BodyText">
    <w:name w:val="Body Text"/>
    <w:basedOn w:val="Normal"/>
    <w:link w:val="BodyTextChar"/>
    <w:rsid w:val="00FB701A"/>
    <w:pPr>
      <w:spacing w:before="0"/>
    </w:pPr>
    <w:rPr>
      <w:rFonts w:eastAsia="Times New Roman"/>
    </w:rPr>
  </w:style>
  <w:style w:type="character" w:customStyle="1" w:styleId="BodyTextChar">
    <w:name w:val="Body Text Char"/>
    <w:link w:val="BodyText"/>
    <w:rsid w:val="00FB701A"/>
    <w:rPr>
      <w:rFonts w:ascii="Times New Roman" w:eastAsia="Times New Roman" w:hAnsi="Times New Roman"/>
      <w:sz w:val="24"/>
      <w:lang w:eastAsia="en-US"/>
    </w:rPr>
  </w:style>
  <w:style w:type="paragraph" w:styleId="BodyText2">
    <w:name w:val="Body Text 2"/>
    <w:basedOn w:val="Normal"/>
    <w:link w:val="BodyText2Char"/>
    <w:rsid w:val="00FB701A"/>
    <w:pPr>
      <w:spacing w:before="0" w:line="480" w:lineRule="auto"/>
    </w:pPr>
    <w:rPr>
      <w:rFonts w:eastAsia="Times New Roman"/>
    </w:rPr>
  </w:style>
  <w:style w:type="character" w:customStyle="1" w:styleId="BodyText2Char">
    <w:name w:val="Body Text 2 Char"/>
    <w:link w:val="BodyText2"/>
    <w:rsid w:val="00FB701A"/>
    <w:rPr>
      <w:rFonts w:ascii="Times New Roman" w:eastAsia="Times New Roman" w:hAnsi="Times New Roman"/>
      <w:sz w:val="24"/>
      <w:lang w:eastAsia="en-US"/>
    </w:rPr>
  </w:style>
  <w:style w:type="paragraph" w:styleId="BodyText3">
    <w:name w:val="Body Text 3"/>
    <w:basedOn w:val="Normal"/>
    <w:link w:val="BodyText3Char"/>
    <w:rsid w:val="00FB701A"/>
    <w:pPr>
      <w:spacing w:before="0"/>
    </w:pPr>
    <w:rPr>
      <w:rFonts w:eastAsia="Times New Roman"/>
      <w:sz w:val="16"/>
    </w:rPr>
  </w:style>
  <w:style w:type="character" w:customStyle="1" w:styleId="BodyText3Char">
    <w:name w:val="Body Text 3 Char"/>
    <w:link w:val="BodyText3"/>
    <w:rsid w:val="00FB701A"/>
    <w:rPr>
      <w:rFonts w:ascii="Times New Roman" w:eastAsia="Times New Roman" w:hAnsi="Times New Roman"/>
      <w:sz w:val="16"/>
      <w:lang w:eastAsia="en-US"/>
    </w:rPr>
  </w:style>
  <w:style w:type="paragraph" w:styleId="BodyTextFirstIndent">
    <w:name w:val="Body Text First Indent"/>
    <w:basedOn w:val="BodyText"/>
    <w:link w:val="BodyTextFirstIndentChar"/>
    <w:rsid w:val="00FB701A"/>
    <w:pPr>
      <w:ind w:firstLine="210"/>
    </w:pPr>
  </w:style>
  <w:style w:type="character" w:customStyle="1" w:styleId="BodyTextFirstIndentChar">
    <w:name w:val="Body Text First Indent Char"/>
    <w:link w:val="BodyTextFirstIndent"/>
    <w:rsid w:val="00FB701A"/>
    <w:rPr>
      <w:rFonts w:ascii="Times New Roman" w:eastAsia="Times New Roman" w:hAnsi="Times New Roman"/>
      <w:sz w:val="24"/>
      <w:lang w:eastAsia="en-US"/>
    </w:rPr>
  </w:style>
  <w:style w:type="paragraph" w:styleId="BodyTextIndent">
    <w:name w:val="Body Text Indent"/>
    <w:basedOn w:val="Normal"/>
    <w:link w:val="BodyTextIndentChar"/>
    <w:rsid w:val="00FB701A"/>
    <w:pPr>
      <w:spacing w:before="0"/>
      <w:ind w:left="283"/>
    </w:pPr>
    <w:rPr>
      <w:rFonts w:eastAsia="Times New Roman"/>
    </w:rPr>
  </w:style>
  <w:style w:type="character" w:customStyle="1" w:styleId="BodyTextIndentChar">
    <w:name w:val="Body Text Indent Char"/>
    <w:link w:val="BodyTextIndent"/>
    <w:rsid w:val="00FB701A"/>
    <w:rPr>
      <w:rFonts w:ascii="Times New Roman" w:eastAsia="Times New Roman" w:hAnsi="Times New Roman"/>
      <w:sz w:val="24"/>
      <w:lang w:eastAsia="en-US"/>
    </w:rPr>
  </w:style>
  <w:style w:type="paragraph" w:styleId="BodyTextFirstIndent2">
    <w:name w:val="Body Text First Indent 2"/>
    <w:basedOn w:val="BodyTextIndent"/>
    <w:link w:val="BodyTextFirstIndent2Char"/>
    <w:rsid w:val="00FB701A"/>
    <w:pPr>
      <w:ind w:firstLine="210"/>
    </w:pPr>
  </w:style>
  <w:style w:type="character" w:customStyle="1" w:styleId="BodyTextFirstIndent2Char">
    <w:name w:val="Body Text First Indent 2 Char"/>
    <w:link w:val="BodyTextFirstIndent2"/>
    <w:rsid w:val="00FB701A"/>
    <w:rPr>
      <w:rFonts w:ascii="Times New Roman" w:eastAsia="Times New Roman" w:hAnsi="Times New Roman"/>
      <w:sz w:val="24"/>
      <w:lang w:eastAsia="en-US"/>
    </w:rPr>
  </w:style>
  <w:style w:type="paragraph" w:styleId="BodyTextIndent2">
    <w:name w:val="Body Text Indent 2"/>
    <w:basedOn w:val="Normal"/>
    <w:link w:val="BodyTextIndent2Char"/>
    <w:rsid w:val="00FB701A"/>
    <w:pPr>
      <w:spacing w:before="0" w:line="480" w:lineRule="auto"/>
      <w:ind w:left="283"/>
    </w:pPr>
    <w:rPr>
      <w:rFonts w:eastAsia="Times New Roman"/>
    </w:rPr>
  </w:style>
  <w:style w:type="character" w:customStyle="1" w:styleId="BodyTextIndent2Char">
    <w:name w:val="Body Text Indent 2 Char"/>
    <w:link w:val="BodyTextIndent2"/>
    <w:rsid w:val="00FB701A"/>
    <w:rPr>
      <w:rFonts w:ascii="Times New Roman" w:eastAsia="Times New Roman" w:hAnsi="Times New Roman"/>
      <w:sz w:val="24"/>
      <w:lang w:eastAsia="en-US"/>
    </w:rPr>
  </w:style>
  <w:style w:type="paragraph" w:styleId="BodyTextIndent3">
    <w:name w:val="Body Text Indent 3"/>
    <w:basedOn w:val="Normal"/>
    <w:link w:val="BodyTextIndent3Char"/>
    <w:rsid w:val="00FB701A"/>
    <w:pPr>
      <w:spacing w:before="0"/>
      <w:ind w:left="283"/>
    </w:pPr>
    <w:rPr>
      <w:rFonts w:eastAsia="Times New Roman"/>
      <w:sz w:val="16"/>
    </w:rPr>
  </w:style>
  <w:style w:type="character" w:customStyle="1" w:styleId="BodyTextIndent3Char">
    <w:name w:val="Body Text Indent 3 Char"/>
    <w:link w:val="BodyTextIndent3"/>
    <w:rsid w:val="00FB701A"/>
    <w:rPr>
      <w:rFonts w:ascii="Times New Roman" w:eastAsia="Times New Roman" w:hAnsi="Times New Roman"/>
      <w:sz w:val="16"/>
      <w:lang w:eastAsia="en-US"/>
    </w:rPr>
  </w:style>
  <w:style w:type="paragraph" w:styleId="Caption">
    <w:name w:val="caption"/>
    <w:basedOn w:val="Normal"/>
    <w:next w:val="Normal"/>
    <w:qFormat/>
    <w:rsid w:val="00FB701A"/>
    <w:rPr>
      <w:rFonts w:eastAsia="Times New Roman"/>
      <w:b/>
    </w:rPr>
  </w:style>
  <w:style w:type="paragraph" w:styleId="Closing">
    <w:name w:val="Closing"/>
    <w:basedOn w:val="Normal"/>
    <w:next w:val="Signature"/>
    <w:link w:val="ClosingChar"/>
    <w:rsid w:val="00FB701A"/>
    <w:pPr>
      <w:tabs>
        <w:tab w:val="left" w:pos="5103"/>
      </w:tabs>
      <w:spacing w:before="240" w:after="240"/>
      <w:ind w:left="5103"/>
      <w:jc w:val="left"/>
    </w:pPr>
    <w:rPr>
      <w:rFonts w:eastAsia="Times New Roman"/>
    </w:rPr>
  </w:style>
  <w:style w:type="character" w:customStyle="1" w:styleId="ClosingChar">
    <w:name w:val="Closing Char"/>
    <w:link w:val="Closing"/>
    <w:rsid w:val="00FB701A"/>
    <w:rPr>
      <w:rFonts w:ascii="Times New Roman" w:eastAsia="Times New Roman" w:hAnsi="Times New Roman"/>
      <w:sz w:val="24"/>
      <w:lang w:eastAsia="en-US"/>
    </w:rPr>
  </w:style>
  <w:style w:type="paragraph" w:styleId="Signature">
    <w:name w:val="Signature"/>
    <w:basedOn w:val="Normal"/>
    <w:next w:val="Contact"/>
    <w:link w:val="SignatureChar"/>
    <w:uiPriority w:val="99"/>
    <w:rsid w:val="00FB701A"/>
    <w:pPr>
      <w:tabs>
        <w:tab w:val="left" w:pos="5103"/>
      </w:tabs>
      <w:spacing w:before="1200" w:after="0"/>
      <w:ind w:left="5103"/>
      <w:jc w:val="center"/>
    </w:pPr>
    <w:rPr>
      <w:rFonts w:eastAsia="Times New Roman"/>
    </w:rPr>
  </w:style>
  <w:style w:type="character" w:customStyle="1" w:styleId="SignatureChar">
    <w:name w:val="Signature Char"/>
    <w:link w:val="Signature"/>
    <w:uiPriority w:val="99"/>
    <w:rsid w:val="00FB701A"/>
    <w:rPr>
      <w:rFonts w:ascii="Times New Roman" w:eastAsia="Times New Roman" w:hAnsi="Times New Roman"/>
      <w:sz w:val="24"/>
      <w:lang w:eastAsia="en-US"/>
    </w:rPr>
  </w:style>
  <w:style w:type="paragraph" w:customStyle="1" w:styleId="Enclosures">
    <w:name w:val="Enclosures"/>
    <w:basedOn w:val="Normal"/>
    <w:next w:val="Participants"/>
    <w:rsid w:val="00FB701A"/>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uiPriority w:val="99"/>
    <w:rsid w:val="00FB701A"/>
    <w:pPr>
      <w:spacing w:before="0" w:after="240"/>
    </w:pPr>
    <w:rPr>
      <w:rFonts w:eastAsia="Times New Roman"/>
      <w:sz w:val="20"/>
    </w:rPr>
  </w:style>
  <w:style w:type="character" w:customStyle="1" w:styleId="CommentTextChar">
    <w:name w:val="Comment Text Char"/>
    <w:link w:val="CommentText"/>
    <w:uiPriority w:val="99"/>
    <w:rsid w:val="00FB701A"/>
    <w:rPr>
      <w:rFonts w:ascii="Times New Roman" w:eastAsia="Times New Roman" w:hAnsi="Times New Roman"/>
      <w:lang w:eastAsia="en-US"/>
    </w:rPr>
  </w:style>
  <w:style w:type="paragraph" w:styleId="Date">
    <w:name w:val="Date"/>
    <w:basedOn w:val="Normal"/>
    <w:next w:val="References"/>
    <w:link w:val="DateChar"/>
    <w:rsid w:val="00FB701A"/>
    <w:pPr>
      <w:spacing w:before="0" w:after="0"/>
      <w:ind w:left="5103" w:right="-567"/>
      <w:jc w:val="left"/>
    </w:pPr>
    <w:rPr>
      <w:rFonts w:eastAsia="Times New Roman"/>
    </w:rPr>
  </w:style>
  <w:style w:type="character" w:customStyle="1" w:styleId="DateChar">
    <w:name w:val="Date Char"/>
    <w:link w:val="Date"/>
    <w:rsid w:val="00FB701A"/>
    <w:rPr>
      <w:rFonts w:ascii="Times New Roman" w:eastAsia="Times New Roman" w:hAnsi="Times New Roman"/>
      <w:sz w:val="24"/>
      <w:lang w:eastAsia="en-US"/>
    </w:rPr>
  </w:style>
  <w:style w:type="paragraph" w:customStyle="1" w:styleId="References">
    <w:name w:val="References"/>
    <w:basedOn w:val="Normal"/>
    <w:next w:val="AddressTR"/>
    <w:rsid w:val="00FB701A"/>
    <w:pPr>
      <w:spacing w:before="0" w:after="240"/>
      <w:ind w:left="5103"/>
      <w:jc w:val="left"/>
    </w:pPr>
    <w:rPr>
      <w:rFonts w:eastAsia="Times New Roman"/>
      <w:sz w:val="20"/>
    </w:rPr>
  </w:style>
  <w:style w:type="paragraph" w:styleId="DocumentMap">
    <w:name w:val="Document Map"/>
    <w:basedOn w:val="Normal"/>
    <w:link w:val="DocumentMapChar"/>
    <w:semiHidden/>
    <w:rsid w:val="00FB701A"/>
    <w:pPr>
      <w:shd w:val="clear" w:color="auto" w:fill="000080"/>
      <w:spacing w:before="0" w:after="240"/>
    </w:pPr>
    <w:rPr>
      <w:rFonts w:ascii="Tahoma" w:eastAsia="Times New Roman" w:hAnsi="Tahoma"/>
    </w:rPr>
  </w:style>
  <w:style w:type="character" w:customStyle="1" w:styleId="DocumentMapChar">
    <w:name w:val="Document Map Char"/>
    <w:link w:val="DocumentMap"/>
    <w:semiHidden/>
    <w:rsid w:val="00FB701A"/>
    <w:rPr>
      <w:rFonts w:ascii="Tahoma" w:eastAsia="Times New Roman" w:hAnsi="Tahoma"/>
      <w:sz w:val="24"/>
      <w:shd w:val="clear" w:color="auto" w:fill="000080"/>
      <w:lang w:eastAsia="en-US"/>
    </w:rPr>
  </w:style>
  <w:style w:type="paragraph" w:customStyle="1" w:styleId="DoubSign">
    <w:name w:val="DoubSign"/>
    <w:basedOn w:val="Normal"/>
    <w:next w:val="Contact"/>
    <w:rsid w:val="00FB701A"/>
    <w:pPr>
      <w:tabs>
        <w:tab w:val="left" w:pos="5103"/>
      </w:tabs>
      <w:spacing w:before="1200" w:after="0"/>
      <w:jc w:val="left"/>
    </w:pPr>
    <w:rPr>
      <w:rFonts w:eastAsia="Times New Roman"/>
    </w:rPr>
  </w:style>
  <w:style w:type="paragraph" w:styleId="EndnoteText">
    <w:name w:val="endnote text"/>
    <w:basedOn w:val="Normal"/>
    <w:link w:val="EndnoteTextChar"/>
    <w:semiHidden/>
    <w:rsid w:val="00FB701A"/>
    <w:pPr>
      <w:spacing w:before="0" w:after="240"/>
    </w:pPr>
    <w:rPr>
      <w:rFonts w:eastAsia="Times New Roman"/>
      <w:sz w:val="20"/>
    </w:rPr>
  </w:style>
  <w:style w:type="character" w:customStyle="1" w:styleId="EndnoteTextChar">
    <w:name w:val="Endnote Text Char"/>
    <w:link w:val="EndnoteText"/>
    <w:semiHidden/>
    <w:rsid w:val="00FB701A"/>
    <w:rPr>
      <w:rFonts w:ascii="Times New Roman" w:eastAsia="Times New Roman" w:hAnsi="Times New Roman"/>
      <w:lang w:eastAsia="en-US"/>
    </w:rPr>
  </w:style>
  <w:style w:type="paragraph" w:styleId="EnvelopeAddress">
    <w:name w:val="envelope address"/>
    <w:basedOn w:val="Normal"/>
    <w:rsid w:val="00FB701A"/>
    <w:pPr>
      <w:framePr w:w="7920" w:h="1980" w:hRule="exact" w:hSpace="180" w:wrap="auto" w:hAnchor="page" w:xAlign="center" w:yAlign="bottom"/>
      <w:spacing w:before="0" w:after="0"/>
    </w:pPr>
    <w:rPr>
      <w:rFonts w:eastAsia="Times New Roman"/>
    </w:rPr>
  </w:style>
  <w:style w:type="paragraph" w:styleId="EnvelopeReturn">
    <w:name w:val="envelope return"/>
    <w:basedOn w:val="Normal"/>
    <w:rsid w:val="00FB701A"/>
    <w:pPr>
      <w:spacing w:before="0" w:after="0"/>
    </w:pPr>
    <w:rPr>
      <w:rFonts w:eastAsia="Times New Roman"/>
      <w:sz w:val="20"/>
    </w:rPr>
  </w:style>
  <w:style w:type="paragraph" w:styleId="Index1">
    <w:name w:val="index 1"/>
    <w:basedOn w:val="Normal"/>
    <w:next w:val="Normal"/>
    <w:autoRedefine/>
    <w:semiHidden/>
    <w:rsid w:val="00FB701A"/>
    <w:pPr>
      <w:spacing w:before="0" w:after="240"/>
      <w:ind w:left="240" w:hanging="240"/>
    </w:pPr>
    <w:rPr>
      <w:rFonts w:eastAsia="Times New Roman"/>
    </w:rPr>
  </w:style>
  <w:style w:type="paragraph" w:styleId="Index2">
    <w:name w:val="index 2"/>
    <w:basedOn w:val="Normal"/>
    <w:next w:val="Normal"/>
    <w:autoRedefine/>
    <w:semiHidden/>
    <w:rsid w:val="00FB701A"/>
    <w:pPr>
      <w:spacing w:before="0" w:after="240"/>
      <w:ind w:left="480" w:hanging="240"/>
    </w:pPr>
    <w:rPr>
      <w:rFonts w:eastAsia="Times New Roman"/>
    </w:rPr>
  </w:style>
  <w:style w:type="paragraph" w:styleId="Index3">
    <w:name w:val="index 3"/>
    <w:basedOn w:val="Normal"/>
    <w:next w:val="Normal"/>
    <w:autoRedefine/>
    <w:semiHidden/>
    <w:rsid w:val="00FB701A"/>
    <w:pPr>
      <w:spacing w:before="0" w:after="240"/>
      <w:ind w:left="720" w:hanging="240"/>
    </w:pPr>
    <w:rPr>
      <w:rFonts w:eastAsia="Times New Roman"/>
    </w:rPr>
  </w:style>
  <w:style w:type="paragraph" w:styleId="Index4">
    <w:name w:val="index 4"/>
    <w:basedOn w:val="Normal"/>
    <w:next w:val="Normal"/>
    <w:autoRedefine/>
    <w:semiHidden/>
    <w:rsid w:val="00FB701A"/>
    <w:pPr>
      <w:spacing w:before="0" w:after="240"/>
      <w:ind w:left="960" w:hanging="240"/>
    </w:pPr>
    <w:rPr>
      <w:rFonts w:eastAsia="Times New Roman"/>
    </w:rPr>
  </w:style>
  <w:style w:type="paragraph" w:styleId="Index5">
    <w:name w:val="index 5"/>
    <w:basedOn w:val="Normal"/>
    <w:next w:val="Normal"/>
    <w:autoRedefine/>
    <w:semiHidden/>
    <w:rsid w:val="00FB701A"/>
    <w:pPr>
      <w:spacing w:before="0" w:after="240"/>
      <w:ind w:left="1200" w:hanging="240"/>
    </w:pPr>
    <w:rPr>
      <w:rFonts w:eastAsia="Times New Roman"/>
    </w:rPr>
  </w:style>
  <w:style w:type="paragraph" w:styleId="Index6">
    <w:name w:val="index 6"/>
    <w:basedOn w:val="Normal"/>
    <w:next w:val="Normal"/>
    <w:autoRedefine/>
    <w:semiHidden/>
    <w:rsid w:val="00FB701A"/>
    <w:pPr>
      <w:spacing w:before="0" w:after="240"/>
      <w:ind w:left="1440" w:hanging="240"/>
    </w:pPr>
    <w:rPr>
      <w:rFonts w:eastAsia="Times New Roman"/>
    </w:rPr>
  </w:style>
  <w:style w:type="paragraph" w:styleId="Index7">
    <w:name w:val="index 7"/>
    <w:basedOn w:val="Normal"/>
    <w:next w:val="Normal"/>
    <w:autoRedefine/>
    <w:semiHidden/>
    <w:rsid w:val="00FB701A"/>
    <w:pPr>
      <w:spacing w:before="0" w:after="240"/>
      <w:ind w:left="1680" w:hanging="240"/>
    </w:pPr>
    <w:rPr>
      <w:rFonts w:eastAsia="Times New Roman"/>
    </w:rPr>
  </w:style>
  <w:style w:type="paragraph" w:styleId="Index8">
    <w:name w:val="index 8"/>
    <w:basedOn w:val="Normal"/>
    <w:next w:val="Normal"/>
    <w:autoRedefine/>
    <w:semiHidden/>
    <w:rsid w:val="00FB701A"/>
    <w:pPr>
      <w:spacing w:before="0" w:after="240"/>
      <w:ind w:left="1920" w:hanging="240"/>
    </w:pPr>
    <w:rPr>
      <w:rFonts w:eastAsia="Times New Roman"/>
    </w:rPr>
  </w:style>
  <w:style w:type="paragraph" w:styleId="Index9">
    <w:name w:val="index 9"/>
    <w:basedOn w:val="Normal"/>
    <w:next w:val="Normal"/>
    <w:autoRedefine/>
    <w:semiHidden/>
    <w:rsid w:val="00FB701A"/>
    <w:pPr>
      <w:spacing w:before="0" w:after="240"/>
      <w:ind w:left="2160" w:hanging="240"/>
    </w:pPr>
    <w:rPr>
      <w:rFonts w:eastAsia="Times New Roman"/>
    </w:rPr>
  </w:style>
  <w:style w:type="paragraph" w:styleId="IndexHeading">
    <w:name w:val="index heading"/>
    <w:basedOn w:val="Normal"/>
    <w:next w:val="Index1"/>
    <w:semiHidden/>
    <w:rsid w:val="00FB701A"/>
    <w:pPr>
      <w:spacing w:before="0" w:after="240"/>
    </w:pPr>
    <w:rPr>
      <w:rFonts w:ascii="Arial" w:eastAsia="Times New Roman" w:hAnsi="Arial"/>
      <w:b/>
    </w:rPr>
  </w:style>
  <w:style w:type="paragraph" w:styleId="List">
    <w:name w:val="List"/>
    <w:basedOn w:val="Normal"/>
    <w:rsid w:val="00FB701A"/>
    <w:pPr>
      <w:spacing w:before="0" w:after="240"/>
      <w:ind w:left="283" w:hanging="283"/>
    </w:pPr>
    <w:rPr>
      <w:rFonts w:eastAsia="Times New Roman"/>
    </w:rPr>
  </w:style>
  <w:style w:type="paragraph" w:styleId="List2">
    <w:name w:val="List 2"/>
    <w:basedOn w:val="Normal"/>
    <w:rsid w:val="00FB701A"/>
    <w:pPr>
      <w:spacing w:before="0" w:after="240"/>
      <w:ind w:left="566" w:hanging="283"/>
    </w:pPr>
    <w:rPr>
      <w:rFonts w:eastAsia="Times New Roman"/>
    </w:rPr>
  </w:style>
  <w:style w:type="paragraph" w:styleId="List3">
    <w:name w:val="List 3"/>
    <w:basedOn w:val="Normal"/>
    <w:rsid w:val="00FB701A"/>
    <w:pPr>
      <w:spacing w:before="0" w:after="240"/>
      <w:ind w:left="849" w:hanging="283"/>
    </w:pPr>
    <w:rPr>
      <w:rFonts w:eastAsia="Times New Roman"/>
    </w:rPr>
  </w:style>
  <w:style w:type="paragraph" w:styleId="List4">
    <w:name w:val="List 4"/>
    <w:basedOn w:val="Normal"/>
    <w:rsid w:val="00FB701A"/>
    <w:pPr>
      <w:spacing w:before="0" w:after="240"/>
      <w:ind w:left="1132" w:hanging="283"/>
    </w:pPr>
    <w:rPr>
      <w:rFonts w:eastAsia="Times New Roman"/>
    </w:rPr>
  </w:style>
  <w:style w:type="paragraph" w:styleId="List5">
    <w:name w:val="List 5"/>
    <w:basedOn w:val="Normal"/>
    <w:rsid w:val="00FB701A"/>
    <w:pPr>
      <w:spacing w:before="0" w:after="240"/>
      <w:ind w:left="1415" w:hanging="283"/>
    </w:pPr>
    <w:rPr>
      <w:rFonts w:eastAsia="Times New Roman"/>
    </w:rPr>
  </w:style>
  <w:style w:type="paragraph" w:styleId="ListBullet5">
    <w:name w:val="List Bullet 5"/>
    <w:basedOn w:val="Normal"/>
    <w:autoRedefine/>
    <w:rsid w:val="00FB701A"/>
    <w:pPr>
      <w:numPr>
        <w:numId w:val="5"/>
      </w:numPr>
      <w:spacing w:before="0" w:after="240"/>
    </w:pPr>
    <w:rPr>
      <w:rFonts w:eastAsia="Times New Roman"/>
    </w:rPr>
  </w:style>
  <w:style w:type="paragraph" w:styleId="ListContinue">
    <w:name w:val="List Continue"/>
    <w:basedOn w:val="Normal"/>
    <w:rsid w:val="00FB701A"/>
    <w:pPr>
      <w:spacing w:before="0"/>
      <w:ind w:left="283"/>
    </w:pPr>
    <w:rPr>
      <w:rFonts w:eastAsia="Times New Roman"/>
    </w:rPr>
  </w:style>
  <w:style w:type="paragraph" w:styleId="ListContinue2">
    <w:name w:val="List Continue 2"/>
    <w:basedOn w:val="Normal"/>
    <w:rsid w:val="00FB701A"/>
    <w:pPr>
      <w:spacing w:before="0"/>
      <w:ind w:left="566"/>
    </w:pPr>
    <w:rPr>
      <w:rFonts w:eastAsia="Times New Roman"/>
    </w:rPr>
  </w:style>
  <w:style w:type="paragraph" w:styleId="ListContinue3">
    <w:name w:val="List Continue 3"/>
    <w:basedOn w:val="Normal"/>
    <w:rsid w:val="00FB701A"/>
    <w:pPr>
      <w:spacing w:before="0"/>
      <w:ind w:left="849"/>
    </w:pPr>
    <w:rPr>
      <w:rFonts w:eastAsia="Times New Roman"/>
    </w:rPr>
  </w:style>
  <w:style w:type="paragraph" w:styleId="ListContinue4">
    <w:name w:val="List Continue 4"/>
    <w:basedOn w:val="Normal"/>
    <w:rsid w:val="00FB701A"/>
    <w:pPr>
      <w:spacing w:before="0"/>
      <w:ind w:left="1132"/>
    </w:pPr>
    <w:rPr>
      <w:rFonts w:eastAsia="Times New Roman"/>
    </w:rPr>
  </w:style>
  <w:style w:type="paragraph" w:styleId="ListContinue5">
    <w:name w:val="List Continue 5"/>
    <w:basedOn w:val="Normal"/>
    <w:rsid w:val="00FB701A"/>
    <w:pPr>
      <w:spacing w:before="0"/>
      <w:ind w:left="1415"/>
    </w:pPr>
    <w:rPr>
      <w:rFonts w:eastAsia="Times New Roman"/>
    </w:rPr>
  </w:style>
  <w:style w:type="paragraph" w:styleId="ListNumber">
    <w:name w:val="List Number"/>
    <w:basedOn w:val="Normal"/>
    <w:rsid w:val="00FB701A"/>
    <w:pPr>
      <w:numPr>
        <w:numId w:val="12"/>
      </w:numPr>
      <w:spacing w:before="0" w:after="240"/>
    </w:pPr>
    <w:rPr>
      <w:rFonts w:eastAsia="Times New Roman"/>
    </w:rPr>
  </w:style>
  <w:style w:type="paragraph" w:styleId="ListNumber2">
    <w:name w:val="List Number 2"/>
    <w:basedOn w:val="Text2"/>
    <w:rsid w:val="00FB701A"/>
    <w:pPr>
      <w:numPr>
        <w:numId w:val="14"/>
      </w:numPr>
      <w:spacing w:before="0" w:after="240"/>
    </w:pPr>
    <w:rPr>
      <w:rFonts w:eastAsia="Times New Roman"/>
    </w:rPr>
  </w:style>
  <w:style w:type="paragraph" w:styleId="ListNumber3">
    <w:name w:val="List Number 3"/>
    <w:basedOn w:val="Text3"/>
    <w:rsid w:val="00FB701A"/>
    <w:pPr>
      <w:numPr>
        <w:numId w:val="15"/>
      </w:numPr>
      <w:spacing w:before="0" w:after="240"/>
    </w:pPr>
    <w:rPr>
      <w:rFonts w:eastAsia="Times New Roman"/>
    </w:rPr>
  </w:style>
  <w:style w:type="paragraph" w:styleId="ListNumber4">
    <w:name w:val="List Number 4"/>
    <w:basedOn w:val="Text4"/>
    <w:rsid w:val="00FB701A"/>
    <w:pPr>
      <w:numPr>
        <w:numId w:val="16"/>
      </w:numPr>
      <w:spacing w:before="0" w:after="240"/>
    </w:pPr>
    <w:rPr>
      <w:rFonts w:eastAsia="Times New Roman"/>
    </w:rPr>
  </w:style>
  <w:style w:type="paragraph" w:styleId="ListNumber5">
    <w:name w:val="List Number 5"/>
    <w:basedOn w:val="Normal"/>
    <w:rsid w:val="00FB701A"/>
    <w:pPr>
      <w:numPr>
        <w:numId w:val="6"/>
      </w:numPr>
      <w:spacing w:before="0" w:after="240"/>
    </w:pPr>
    <w:rPr>
      <w:rFonts w:eastAsia="Times New Roman"/>
    </w:rPr>
  </w:style>
  <w:style w:type="paragraph" w:styleId="MacroText">
    <w:name w:val="macro"/>
    <w:link w:val="MacroTextChar"/>
    <w:semiHidden/>
    <w:rsid w:val="00FB70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sid w:val="00FB701A"/>
    <w:rPr>
      <w:rFonts w:ascii="Courier New" w:eastAsia="Times New Roman" w:hAnsi="Courier New"/>
      <w:lang w:eastAsia="en-US"/>
    </w:rPr>
  </w:style>
  <w:style w:type="paragraph" w:styleId="MessageHeader">
    <w:name w:val="Message Header"/>
    <w:basedOn w:val="Normal"/>
    <w:link w:val="MessageHeaderChar"/>
    <w:rsid w:val="00FB701A"/>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rPr>
  </w:style>
  <w:style w:type="character" w:customStyle="1" w:styleId="MessageHeaderChar">
    <w:name w:val="Message Header Char"/>
    <w:link w:val="MessageHeader"/>
    <w:rsid w:val="00FB701A"/>
    <w:rPr>
      <w:rFonts w:ascii="Arial" w:eastAsia="Times New Roman" w:hAnsi="Arial"/>
      <w:sz w:val="24"/>
      <w:shd w:val="pct20" w:color="auto" w:fill="auto"/>
      <w:lang w:eastAsia="en-US"/>
    </w:rPr>
  </w:style>
  <w:style w:type="paragraph" w:styleId="NormalIndent">
    <w:name w:val="Normal Indent"/>
    <w:basedOn w:val="Normal"/>
    <w:rsid w:val="00FB701A"/>
    <w:pPr>
      <w:spacing w:before="0" w:after="240"/>
      <w:ind w:left="720"/>
    </w:pPr>
    <w:rPr>
      <w:rFonts w:eastAsia="Times New Roman"/>
    </w:rPr>
  </w:style>
  <w:style w:type="paragraph" w:styleId="NoteHeading">
    <w:name w:val="Note Heading"/>
    <w:basedOn w:val="Normal"/>
    <w:next w:val="Normal"/>
    <w:link w:val="NoteHeadingChar"/>
    <w:rsid w:val="00FB701A"/>
    <w:pPr>
      <w:spacing w:before="0" w:after="240"/>
    </w:pPr>
    <w:rPr>
      <w:rFonts w:eastAsia="Times New Roman"/>
    </w:rPr>
  </w:style>
  <w:style w:type="character" w:customStyle="1" w:styleId="NoteHeadingChar">
    <w:name w:val="Note Heading Char"/>
    <w:link w:val="NoteHeading"/>
    <w:rsid w:val="00FB701A"/>
    <w:rPr>
      <w:rFonts w:ascii="Times New Roman" w:eastAsia="Times New Roman" w:hAnsi="Times New Roman"/>
      <w:sz w:val="24"/>
      <w:lang w:eastAsia="en-US"/>
    </w:rPr>
  </w:style>
  <w:style w:type="paragraph" w:customStyle="1" w:styleId="NoteHead">
    <w:name w:val="NoteHead"/>
    <w:basedOn w:val="Normal"/>
    <w:next w:val="Subject"/>
    <w:rsid w:val="00FB701A"/>
    <w:pPr>
      <w:spacing w:before="720" w:after="720"/>
      <w:jc w:val="center"/>
    </w:pPr>
    <w:rPr>
      <w:rFonts w:eastAsia="Times New Roman"/>
      <w:b/>
      <w:smallCaps/>
    </w:rPr>
  </w:style>
  <w:style w:type="paragraph" w:customStyle="1" w:styleId="Subject">
    <w:name w:val="Subject"/>
    <w:basedOn w:val="Normal"/>
    <w:next w:val="Normal"/>
    <w:rsid w:val="00FB701A"/>
    <w:pPr>
      <w:spacing w:before="0" w:after="480"/>
      <w:ind w:left="1531" w:hanging="1531"/>
      <w:jc w:val="left"/>
    </w:pPr>
    <w:rPr>
      <w:rFonts w:eastAsia="Times New Roman"/>
      <w:b/>
    </w:rPr>
  </w:style>
  <w:style w:type="paragraph" w:customStyle="1" w:styleId="NoteList">
    <w:name w:val="NoteList"/>
    <w:basedOn w:val="Normal"/>
    <w:next w:val="Subject"/>
    <w:rsid w:val="00FB701A"/>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rsid w:val="00FB701A"/>
    <w:pPr>
      <w:spacing w:before="0" w:after="240"/>
    </w:pPr>
    <w:rPr>
      <w:rFonts w:ascii="Courier New" w:eastAsia="Times New Roman" w:hAnsi="Courier New"/>
      <w:sz w:val="20"/>
    </w:rPr>
  </w:style>
  <w:style w:type="character" w:customStyle="1" w:styleId="PlainTextChar">
    <w:name w:val="Plain Text Char"/>
    <w:link w:val="PlainText"/>
    <w:rsid w:val="00FB701A"/>
    <w:rPr>
      <w:rFonts w:ascii="Courier New" w:eastAsia="Times New Roman" w:hAnsi="Courier New"/>
      <w:lang w:eastAsia="en-US"/>
    </w:rPr>
  </w:style>
  <w:style w:type="paragraph" w:styleId="Salutation">
    <w:name w:val="Salutation"/>
    <w:basedOn w:val="Normal"/>
    <w:next w:val="Normal"/>
    <w:link w:val="SalutationChar"/>
    <w:rsid w:val="00FB701A"/>
    <w:pPr>
      <w:spacing w:before="0" w:after="240"/>
    </w:pPr>
    <w:rPr>
      <w:rFonts w:eastAsia="Times New Roman"/>
    </w:rPr>
  </w:style>
  <w:style w:type="character" w:customStyle="1" w:styleId="SalutationChar">
    <w:name w:val="Salutation Char"/>
    <w:link w:val="Salutation"/>
    <w:rsid w:val="00FB701A"/>
    <w:rPr>
      <w:rFonts w:ascii="Times New Roman" w:eastAsia="Times New Roman" w:hAnsi="Times New Roman"/>
      <w:sz w:val="24"/>
      <w:lang w:eastAsia="en-US"/>
    </w:rPr>
  </w:style>
  <w:style w:type="paragraph" w:styleId="Subtitle">
    <w:name w:val="Subtitle"/>
    <w:basedOn w:val="Normal"/>
    <w:link w:val="SubtitleChar"/>
    <w:qFormat/>
    <w:rsid w:val="00FB701A"/>
    <w:pPr>
      <w:spacing w:before="0" w:after="60"/>
      <w:jc w:val="center"/>
      <w:outlineLvl w:val="1"/>
    </w:pPr>
    <w:rPr>
      <w:rFonts w:ascii="Arial" w:eastAsia="Times New Roman" w:hAnsi="Arial"/>
    </w:rPr>
  </w:style>
  <w:style w:type="character" w:customStyle="1" w:styleId="SubtitleChar">
    <w:name w:val="Subtitle Char"/>
    <w:link w:val="Subtitle"/>
    <w:rsid w:val="00FB701A"/>
    <w:rPr>
      <w:rFonts w:ascii="Arial" w:eastAsia="Times New Roman" w:hAnsi="Arial"/>
      <w:sz w:val="24"/>
      <w:lang w:eastAsia="en-US"/>
    </w:rPr>
  </w:style>
  <w:style w:type="paragraph" w:styleId="TableofAuthorities">
    <w:name w:val="table of authorities"/>
    <w:basedOn w:val="Normal"/>
    <w:next w:val="Normal"/>
    <w:semiHidden/>
    <w:rsid w:val="00FB701A"/>
    <w:pPr>
      <w:spacing w:before="0" w:after="240"/>
      <w:ind w:left="240" w:hanging="240"/>
    </w:pPr>
    <w:rPr>
      <w:rFonts w:eastAsia="Times New Roman"/>
    </w:rPr>
  </w:style>
  <w:style w:type="paragraph" w:styleId="TableofFigures">
    <w:name w:val="table of figures"/>
    <w:basedOn w:val="Normal"/>
    <w:next w:val="Normal"/>
    <w:semiHidden/>
    <w:rsid w:val="00FB701A"/>
    <w:pPr>
      <w:spacing w:before="0" w:after="240"/>
      <w:ind w:left="480" w:hanging="480"/>
    </w:pPr>
    <w:rPr>
      <w:rFonts w:eastAsia="Times New Roman"/>
    </w:rPr>
  </w:style>
  <w:style w:type="paragraph" w:styleId="Title">
    <w:name w:val="Title"/>
    <w:basedOn w:val="Normal"/>
    <w:link w:val="TitleChar"/>
    <w:qFormat/>
    <w:rsid w:val="00FB701A"/>
    <w:pPr>
      <w:spacing w:before="240" w:after="60"/>
      <w:jc w:val="center"/>
      <w:outlineLvl w:val="0"/>
    </w:pPr>
    <w:rPr>
      <w:rFonts w:ascii="Arial" w:eastAsia="Times New Roman" w:hAnsi="Arial"/>
      <w:b/>
      <w:kern w:val="28"/>
      <w:sz w:val="32"/>
    </w:rPr>
  </w:style>
  <w:style w:type="character" w:customStyle="1" w:styleId="TitleChar">
    <w:name w:val="Title Char"/>
    <w:link w:val="Title"/>
    <w:rsid w:val="00FB701A"/>
    <w:rPr>
      <w:rFonts w:ascii="Arial" w:eastAsia="Times New Roman" w:hAnsi="Arial"/>
      <w:b/>
      <w:kern w:val="28"/>
      <w:sz w:val="32"/>
      <w:lang w:eastAsia="en-US"/>
    </w:rPr>
  </w:style>
  <w:style w:type="paragraph" w:styleId="TOAHeading">
    <w:name w:val="toa heading"/>
    <w:basedOn w:val="Normal"/>
    <w:next w:val="Normal"/>
    <w:semiHidden/>
    <w:rsid w:val="00FB701A"/>
    <w:pPr>
      <w:spacing w:after="240"/>
    </w:pPr>
    <w:rPr>
      <w:rFonts w:ascii="Arial" w:eastAsia="Times New Roman" w:hAnsi="Arial"/>
      <w:b/>
    </w:rPr>
  </w:style>
  <w:style w:type="paragraph" w:customStyle="1" w:styleId="YReferences">
    <w:name w:val="YReferences"/>
    <w:basedOn w:val="Normal"/>
    <w:next w:val="Normal"/>
    <w:rsid w:val="00FB701A"/>
    <w:pPr>
      <w:spacing w:before="0" w:after="480"/>
      <w:ind w:left="1531" w:hanging="1531"/>
    </w:pPr>
    <w:rPr>
      <w:rFonts w:eastAsia="Times New Roman"/>
    </w:rPr>
  </w:style>
  <w:style w:type="paragraph" w:customStyle="1" w:styleId="ListBullet1">
    <w:name w:val="List Bullet 1"/>
    <w:basedOn w:val="Text1"/>
    <w:rsid w:val="00FB701A"/>
    <w:pPr>
      <w:tabs>
        <w:tab w:val="num" w:pos="765"/>
      </w:tabs>
      <w:spacing w:before="0" w:after="240"/>
      <w:ind w:left="765" w:hanging="283"/>
    </w:pPr>
    <w:rPr>
      <w:rFonts w:eastAsia="Times New Roman"/>
    </w:rPr>
  </w:style>
  <w:style w:type="paragraph" w:customStyle="1" w:styleId="ListDash">
    <w:name w:val="List Dash"/>
    <w:basedOn w:val="Normal"/>
    <w:rsid w:val="00FB701A"/>
    <w:pPr>
      <w:numPr>
        <w:numId w:val="7"/>
      </w:numPr>
      <w:spacing w:before="0" w:after="240"/>
    </w:pPr>
    <w:rPr>
      <w:rFonts w:eastAsia="Times New Roman"/>
    </w:rPr>
  </w:style>
  <w:style w:type="paragraph" w:customStyle="1" w:styleId="ListDash1">
    <w:name w:val="List Dash 1"/>
    <w:basedOn w:val="Text1"/>
    <w:rsid w:val="00FB701A"/>
    <w:pPr>
      <w:numPr>
        <w:numId w:val="8"/>
      </w:numPr>
      <w:spacing w:before="0" w:after="240"/>
    </w:pPr>
    <w:rPr>
      <w:rFonts w:eastAsia="Times New Roman"/>
    </w:rPr>
  </w:style>
  <w:style w:type="paragraph" w:customStyle="1" w:styleId="ListDash2">
    <w:name w:val="List Dash 2"/>
    <w:basedOn w:val="Text2"/>
    <w:rsid w:val="00FB701A"/>
    <w:pPr>
      <w:numPr>
        <w:numId w:val="9"/>
      </w:numPr>
      <w:spacing w:before="0" w:after="240"/>
    </w:pPr>
    <w:rPr>
      <w:rFonts w:eastAsia="Times New Roman"/>
    </w:rPr>
  </w:style>
  <w:style w:type="paragraph" w:customStyle="1" w:styleId="ListDash3">
    <w:name w:val="List Dash 3"/>
    <w:basedOn w:val="Text3"/>
    <w:rsid w:val="00FB701A"/>
    <w:pPr>
      <w:numPr>
        <w:numId w:val="10"/>
      </w:numPr>
      <w:spacing w:before="0" w:after="240"/>
    </w:pPr>
    <w:rPr>
      <w:rFonts w:eastAsia="Times New Roman"/>
    </w:rPr>
  </w:style>
  <w:style w:type="paragraph" w:customStyle="1" w:styleId="ListDash4">
    <w:name w:val="List Dash 4"/>
    <w:basedOn w:val="Text4"/>
    <w:rsid w:val="00FB701A"/>
    <w:pPr>
      <w:numPr>
        <w:numId w:val="11"/>
      </w:numPr>
      <w:spacing w:before="0" w:after="240"/>
    </w:pPr>
    <w:rPr>
      <w:rFonts w:eastAsia="Times New Roman"/>
    </w:rPr>
  </w:style>
  <w:style w:type="paragraph" w:customStyle="1" w:styleId="ListNumberLevel2">
    <w:name w:val="List Number (Level 2)"/>
    <w:basedOn w:val="Normal"/>
    <w:rsid w:val="00FB701A"/>
    <w:pPr>
      <w:numPr>
        <w:ilvl w:val="1"/>
        <w:numId w:val="12"/>
      </w:numPr>
      <w:spacing w:before="0" w:after="240"/>
    </w:pPr>
    <w:rPr>
      <w:rFonts w:eastAsia="Times New Roman"/>
    </w:rPr>
  </w:style>
  <w:style w:type="paragraph" w:customStyle="1" w:styleId="ListNumberLevel3">
    <w:name w:val="List Number (Level 3)"/>
    <w:basedOn w:val="Normal"/>
    <w:rsid w:val="00FB701A"/>
    <w:pPr>
      <w:numPr>
        <w:ilvl w:val="2"/>
        <w:numId w:val="12"/>
      </w:numPr>
      <w:spacing w:before="0" w:after="240"/>
    </w:pPr>
    <w:rPr>
      <w:rFonts w:eastAsia="Times New Roman"/>
    </w:rPr>
  </w:style>
  <w:style w:type="paragraph" w:customStyle="1" w:styleId="ListNumberLevel4">
    <w:name w:val="List Number (Level 4)"/>
    <w:basedOn w:val="Normal"/>
    <w:rsid w:val="00FB701A"/>
    <w:pPr>
      <w:numPr>
        <w:ilvl w:val="3"/>
        <w:numId w:val="12"/>
      </w:numPr>
      <w:spacing w:before="0" w:after="240"/>
    </w:pPr>
    <w:rPr>
      <w:rFonts w:eastAsia="Times New Roman"/>
    </w:rPr>
  </w:style>
  <w:style w:type="paragraph" w:customStyle="1" w:styleId="ListNumber1">
    <w:name w:val="List Number 1"/>
    <w:basedOn w:val="Text1"/>
    <w:rsid w:val="00FB701A"/>
    <w:pPr>
      <w:numPr>
        <w:numId w:val="13"/>
      </w:numPr>
      <w:spacing w:before="0" w:after="240"/>
    </w:pPr>
    <w:rPr>
      <w:rFonts w:eastAsia="Times New Roman"/>
    </w:rPr>
  </w:style>
  <w:style w:type="paragraph" w:customStyle="1" w:styleId="ListNumber1Level2">
    <w:name w:val="List Number 1 (Level 2)"/>
    <w:basedOn w:val="Text1"/>
    <w:rsid w:val="00FB701A"/>
    <w:pPr>
      <w:numPr>
        <w:ilvl w:val="1"/>
        <w:numId w:val="13"/>
      </w:numPr>
      <w:spacing w:before="0" w:after="240"/>
    </w:pPr>
    <w:rPr>
      <w:rFonts w:eastAsia="Times New Roman"/>
    </w:rPr>
  </w:style>
  <w:style w:type="paragraph" w:customStyle="1" w:styleId="ListNumber1Level3">
    <w:name w:val="List Number 1 (Level 3)"/>
    <w:basedOn w:val="Text1"/>
    <w:rsid w:val="00FB701A"/>
    <w:pPr>
      <w:numPr>
        <w:ilvl w:val="2"/>
        <w:numId w:val="13"/>
      </w:numPr>
      <w:spacing w:before="0" w:after="240"/>
    </w:pPr>
    <w:rPr>
      <w:rFonts w:eastAsia="Times New Roman"/>
    </w:rPr>
  </w:style>
  <w:style w:type="paragraph" w:customStyle="1" w:styleId="ListNumber1Level4">
    <w:name w:val="List Number 1 (Level 4)"/>
    <w:basedOn w:val="Text1"/>
    <w:rsid w:val="00FB701A"/>
    <w:pPr>
      <w:numPr>
        <w:ilvl w:val="3"/>
        <w:numId w:val="13"/>
      </w:numPr>
      <w:spacing w:before="0" w:after="240"/>
    </w:pPr>
    <w:rPr>
      <w:rFonts w:eastAsia="Times New Roman"/>
    </w:rPr>
  </w:style>
  <w:style w:type="paragraph" w:customStyle="1" w:styleId="ListNumber2Level2">
    <w:name w:val="List Number 2 (Level 2)"/>
    <w:basedOn w:val="Text2"/>
    <w:rsid w:val="00FB701A"/>
    <w:pPr>
      <w:numPr>
        <w:ilvl w:val="1"/>
        <w:numId w:val="14"/>
      </w:numPr>
      <w:spacing w:before="0" w:after="240"/>
    </w:pPr>
    <w:rPr>
      <w:rFonts w:eastAsia="Times New Roman"/>
    </w:rPr>
  </w:style>
  <w:style w:type="paragraph" w:customStyle="1" w:styleId="ListNumber2Level3">
    <w:name w:val="List Number 2 (Level 3)"/>
    <w:basedOn w:val="Text2"/>
    <w:rsid w:val="00FB701A"/>
    <w:pPr>
      <w:numPr>
        <w:ilvl w:val="2"/>
        <w:numId w:val="14"/>
      </w:numPr>
      <w:spacing w:before="0" w:after="240"/>
    </w:pPr>
    <w:rPr>
      <w:rFonts w:eastAsia="Times New Roman"/>
    </w:rPr>
  </w:style>
  <w:style w:type="paragraph" w:customStyle="1" w:styleId="ListNumber2Level4">
    <w:name w:val="List Number 2 (Level 4)"/>
    <w:basedOn w:val="Text2"/>
    <w:rsid w:val="00FB701A"/>
    <w:pPr>
      <w:numPr>
        <w:ilvl w:val="3"/>
        <w:numId w:val="14"/>
      </w:numPr>
      <w:spacing w:before="0" w:after="240"/>
      <w:ind w:left="3901" w:hanging="703"/>
    </w:pPr>
    <w:rPr>
      <w:rFonts w:eastAsia="Times New Roman"/>
    </w:rPr>
  </w:style>
  <w:style w:type="paragraph" w:customStyle="1" w:styleId="ListNumber3Level2">
    <w:name w:val="List Number 3 (Level 2)"/>
    <w:basedOn w:val="Text3"/>
    <w:rsid w:val="00FB701A"/>
    <w:pPr>
      <w:numPr>
        <w:ilvl w:val="1"/>
        <w:numId w:val="15"/>
      </w:numPr>
      <w:spacing w:before="0" w:after="240"/>
    </w:pPr>
    <w:rPr>
      <w:rFonts w:eastAsia="Times New Roman"/>
    </w:rPr>
  </w:style>
  <w:style w:type="paragraph" w:customStyle="1" w:styleId="ListNumber3Level3">
    <w:name w:val="List Number 3 (Level 3)"/>
    <w:basedOn w:val="Text3"/>
    <w:rsid w:val="00FB701A"/>
    <w:pPr>
      <w:numPr>
        <w:ilvl w:val="2"/>
        <w:numId w:val="15"/>
      </w:numPr>
      <w:spacing w:before="0" w:after="240"/>
    </w:pPr>
    <w:rPr>
      <w:rFonts w:eastAsia="Times New Roman"/>
    </w:rPr>
  </w:style>
  <w:style w:type="paragraph" w:customStyle="1" w:styleId="ListNumber3Level4">
    <w:name w:val="List Number 3 (Level 4)"/>
    <w:basedOn w:val="Text3"/>
    <w:rsid w:val="00FB701A"/>
    <w:pPr>
      <w:numPr>
        <w:ilvl w:val="3"/>
        <w:numId w:val="15"/>
      </w:numPr>
      <w:spacing w:before="0" w:after="240"/>
    </w:pPr>
    <w:rPr>
      <w:rFonts w:eastAsia="Times New Roman"/>
    </w:rPr>
  </w:style>
  <w:style w:type="paragraph" w:customStyle="1" w:styleId="ListNumber4Level2">
    <w:name w:val="List Number 4 (Level 2)"/>
    <w:basedOn w:val="Text4"/>
    <w:rsid w:val="00FB701A"/>
    <w:pPr>
      <w:numPr>
        <w:ilvl w:val="1"/>
        <w:numId w:val="16"/>
      </w:numPr>
      <w:spacing w:before="0" w:after="240"/>
    </w:pPr>
    <w:rPr>
      <w:rFonts w:eastAsia="Times New Roman"/>
    </w:rPr>
  </w:style>
  <w:style w:type="paragraph" w:customStyle="1" w:styleId="ListNumber4Level3">
    <w:name w:val="List Number 4 (Level 3)"/>
    <w:basedOn w:val="Text4"/>
    <w:rsid w:val="00FB701A"/>
    <w:pPr>
      <w:numPr>
        <w:ilvl w:val="2"/>
        <w:numId w:val="16"/>
      </w:numPr>
      <w:spacing w:before="0" w:after="240"/>
    </w:pPr>
    <w:rPr>
      <w:rFonts w:eastAsia="Times New Roman"/>
    </w:rPr>
  </w:style>
  <w:style w:type="paragraph" w:customStyle="1" w:styleId="ListNumber4Level4">
    <w:name w:val="List Number 4 (Level 4)"/>
    <w:basedOn w:val="Text4"/>
    <w:rsid w:val="00FB701A"/>
    <w:pPr>
      <w:numPr>
        <w:ilvl w:val="3"/>
        <w:numId w:val="16"/>
      </w:numPr>
      <w:spacing w:before="0" w:after="240"/>
    </w:pPr>
    <w:rPr>
      <w:rFonts w:eastAsia="Times New Roman"/>
    </w:rPr>
  </w:style>
  <w:style w:type="paragraph" w:customStyle="1" w:styleId="Contact">
    <w:name w:val="Contact"/>
    <w:basedOn w:val="Normal"/>
    <w:next w:val="Enclosures"/>
    <w:rsid w:val="00FB701A"/>
    <w:pPr>
      <w:spacing w:before="480" w:after="0"/>
      <w:ind w:left="567" w:hanging="567"/>
      <w:jc w:val="left"/>
    </w:pPr>
    <w:rPr>
      <w:rFonts w:eastAsia="Times New Roman"/>
    </w:rPr>
  </w:style>
  <w:style w:type="paragraph" w:customStyle="1" w:styleId="DisclaimerNotice">
    <w:name w:val="Disclaimer Notice"/>
    <w:basedOn w:val="Normal"/>
    <w:next w:val="AddressTR"/>
    <w:rsid w:val="00FB701A"/>
    <w:pPr>
      <w:spacing w:before="0" w:after="240"/>
      <w:ind w:left="5103"/>
      <w:jc w:val="left"/>
    </w:pPr>
    <w:rPr>
      <w:rFonts w:eastAsia="Times New Roman"/>
      <w:i/>
      <w:sz w:val="20"/>
    </w:rPr>
  </w:style>
  <w:style w:type="paragraph" w:customStyle="1" w:styleId="Disclaimer">
    <w:name w:val="Disclaimer"/>
    <w:basedOn w:val="Normal"/>
    <w:rsid w:val="00FB701A"/>
    <w:pPr>
      <w:keepLines/>
      <w:pBdr>
        <w:top w:val="single" w:sz="4" w:space="1" w:color="auto"/>
      </w:pBdr>
      <w:spacing w:before="480" w:after="0"/>
    </w:pPr>
    <w:rPr>
      <w:rFonts w:eastAsia="Times New Roman"/>
      <w:i/>
    </w:rPr>
  </w:style>
  <w:style w:type="character" w:styleId="FollowedHyperlink">
    <w:name w:val="FollowedHyperlink"/>
    <w:rsid w:val="00FB701A"/>
    <w:rPr>
      <w:color w:val="800080"/>
      <w:u w:val="single"/>
    </w:rPr>
  </w:style>
  <w:style w:type="paragraph" w:customStyle="1" w:styleId="DisclaimerSJ">
    <w:name w:val="Disclaimer_SJ"/>
    <w:basedOn w:val="Normal"/>
    <w:next w:val="Normal"/>
    <w:rsid w:val="00FB701A"/>
    <w:pPr>
      <w:spacing w:before="0" w:after="0"/>
    </w:pPr>
    <w:rPr>
      <w:rFonts w:ascii="Arial" w:eastAsia="Times New Roman" w:hAnsi="Arial"/>
      <w:b/>
      <w:sz w:val="16"/>
    </w:rPr>
  </w:style>
  <w:style w:type="paragraph" w:styleId="NormalWeb">
    <w:name w:val="Normal (Web)"/>
    <w:basedOn w:val="Normal"/>
    <w:rsid w:val="00FB701A"/>
    <w:pPr>
      <w:suppressAutoHyphens/>
      <w:spacing w:before="100" w:after="100"/>
      <w:jc w:val="left"/>
    </w:pPr>
    <w:rPr>
      <w:rFonts w:eastAsia="Times New Roman"/>
      <w:szCs w:val="24"/>
      <w:lang w:eastAsia="ar-SA"/>
    </w:rPr>
  </w:style>
  <w:style w:type="character" w:customStyle="1" w:styleId="Text1Char">
    <w:name w:val="Text 1 Char"/>
    <w:link w:val="Text1"/>
    <w:uiPriority w:val="99"/>
    <w:locked/>
    <w:rsid w:val="00FB701A"/>
    <w:rPr>
      <w:rFonts w:ascii="Times New Roman" w:hAnsi="Times New Roman"/>
      <w:sz w:val="24"/>
      <w:szCs w:val="22"/>
      <w:lang w:eastAsia="en-US"/>
    </w:rPr>
  </w:style>
  <w:style w:type="table" w:styleId="TableGrid">
    <w:name w:val="Table Grid"/>
    <w:basedOn w:val="TableNormal"/>
    <w:rsid w:val="00FB70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ink w:val="ManualNumPar1"/>
    <w:rsid w:val="00FB701A"/>
    <w:rPr>
      <w:rFonts w:ascii="Times New Roman" w:hAnsi="Times New Roman"/>
      <w:sz w:val="24"/>
      <w:szCs w:val="22"/>
      <w:lang w:eastAsia="en-US"/>
    </w:rPr>
  </w:style>
  <w:style w:type="character" w:styleId="PageNumber">
    <w:name w:val="page number"/>
    <w:rsid w:val="00FB701A"/>
  </w:style>
  <w:style w:type="paragraph" w:styleId="BalloonText">
    <w:name w:val="Balloon Text"/>
    <w:basedOn w:val="Normal"/>
    <w:link w:val="BalloonTextChar"/>
    <w:semiHidden/>
    <w:rsid w:val="00FB701A"/>
    <w:pPr>
      <w:spacing w:before="0" w:after="240"/>
    </w:pPr>
    <w:rPr>
      <w:rFonts w:ascii="Tahoma" w:eastAsia="Times New Roman" w:hAnsi="Tahoma" w:cs="Tahoma"/>
      <w:sz w:val="16"/>
      <w:szCs w:val="16"/>
    </w:rPr>
  </w:style>
  <w:style w:type="character" w:customStyle="1" w:styleId="BalloonTextChar">
    <w:name w:val="Balloon Text Char"/>
    <w:link w:val="BalloonText"/>
    <w:semiHidden/>
    <w:rsid w:val="00FB701A"/>
    <w:rPr>
      <w:rFonts w:ascii="Tahoma" w:eastAsia="Times New Roman" w:hAnsi="Tahoma" w:cs="Tahoma"/>
      <w:sz w:val="16"/>
      <w:szCs w:val="16"/>
      <w:lang w:eastAsia="en-US"/>
    </w:rPr>
  </w:style>
  <w:style w:type="paragraph" w:customStyle="1" w:styleId="StyleHeading3BoldNotItalic">
    <w:name w:val="Style Heading 3 + Bold Not Italic"/>
    <w:basedOn w:val="Heading3"/>
    <w:autoRedefine/>
    <w:rsid w:val="00FB701A"/>
    <w:pPr>
      <w:spacing w:before="0" w:after="240"/>
      <w:ind w:left="720" w:hanging="720"/>
    </w:pPr>
    <w:rPr>
      <w:rFonts w:ascii="Times New Roman Bold" w:hAnsi="Times New Roman Bold"/>
    </w:rPr>
  </w:style>
  <w:style w:type="character" w:styleId="CommentReference">
    <w:name w:val="annotation reference"/>
    <w:uiPriority w:val="99"/>
    <w:semiHidden/>
    <w:rsid w:val="00FB701A"/>
    <w:rPr>
      <w:sz w:val="16"/>
      <w:szCs w:val="16"/>
    </w:rPr>
  </w:style>
  <w:style w:type="paragraph" w:styleId="CommentSubject">
    <w:name w:val="annotation subject"/>
    <w:basedOn w:val="CommentText"/>
    <w:next w:val="CommentText"/>
    <w:link w:val="CommentSubjectChar"/>
    <w:semiHidden/>
    <w:rsid w:val="00FB701A"/>
    <w:rPr>
      <w:b/>
      <w:bCs/>
    </w:rPr>
  </w:style>
  <w:style w:type="character" w:customStyle="1" w:styleId="CommentSubjectChar">
    <w:name w:val="Comment Subject Char"/>
    <w:link w:val="CommentSubject"/>
    <w:semiHidden/>
    <w:rsid w:val="00FB701A"/>
    <w:rPr>
      <w:rFonts w:ascii="Times New Roman" w:eastAsia="Times New Roman" w:hAnsi="Times New Roman"/>
      <w:b/>
      <w:bCs/>
      <w:lang w:eastAsia="en-US"/>
    </w:rPr>
  </w:style>
  <w:style w:type="paragraph" w:customStyle="1" w:styleId="Annextitle">
    <w:name w:val="Annex title"/>
    <w:basedOn w:val="Normal"/>
    <w:autoRedefine/>
    <w:uiPriority w:val="99"/>
    <w:rsid w:val="00FB701A"/>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FB701A"/>
    <w:rPr>
      <w:rFonts w:ascii="Times New Roman" w:eastAsia="Times New Roman" w:hAnsi="Times New Roman"/>
      <w:sz w:val="24"/>
      <w:lang w:eastAsia="en-US"/>
    </w:rPr>
  </w:style>
  <w:style w:type="character" w:styleId="EndnoteReference">
    <w:name w:val="endnote reference"/>
    <w:rsid w:val="00FB701A"/>
    <w:rPr>
      <w:vertAlign w:val="superscript"/>
    </w:rPr>
  </w:style>
  <w:style w:type="paragraph" w:styleId="ListParagraph">
    <w:name w:val="List Paragraph"/>
    <w:basedOn w:val="Normal"/>
    <w:link w:val="ListParagraphChar"/>
    <w:uiPriority w:val="99"/>
    <w:qFormat/>
    <w:rsid w:val="00FB701A"/>
    <w:pPr>
      <w:spacing w:before="0" w:after="240"/>
      <w:ind w:left="720"/>
    </w:pPr>
    <w:rPr>
      <w:rFonts w:eastAsia="Times New Roman"/>
    </w:rPr>
  </w:style>
  <w:style w:type="paragraph" w:customStyle="1" w:styleId="StyleHeading1Hanging085cm">
    <w:name w:val="Style Heading 1 + Hanging:  0.85 cm"/>
    <w:basedOn w:val="Heading1"/>
    <w:autoRedefine/>
    <w:rsid w:val="00FB701A"/>
    <w:pPr>
      <w:numPr>
        <w:numId w:val="0"/>
      </w:numPr>
      <w:spacing w:after="240"/>
    </w:pPr>
    <w:rPr>
      <w:bCs w:val="0"/>
      <w:szCs w:val="24"/>
    </w:rPr>
  </w:style>
  <w:style w:type="paragraph" w:customStyle="1" w:styleId="StyleHeading1Left0cm">
    <w:name w:val="Style Heading 1 + Left:  0 cm"/>
    <w:basedOn w:val="Heading1"/>
    <w:autoRedefine/>
    <w:rsid w:val="00FB701A"/>
    <w:pPr>
      <w:numPr>
        <w:numId w:val="18"/>
      </w:numPr>
      <w:spacing w:after="240"/>
    </w:pPr>
    <w:rPr>
      <w:rFonts w:ascii="Times New Roman Bold" w:hAnsi="Times New Roman Bold"/>
      <w:bCs w:val="0"/>
      <w:szCs w:val="24"/>
    </w:rPr>
  </w:style>
  <w:style w:type="character" w:customStyle="1" w:styleId="CharacterStyle2">
    <w:name w:val="Character Style 2"/>
    <w:uiPriority w:val="99"/>
    <w:rsid w:val="00FB701A"/>
    <w:rPr>
      <w:sz w:val="20"/>
      <w:szCs w:val="20"/>
    </w:rPr>
  </w:style>
  <w:style w:type="character" w:styleId="Hyperlink">
    <w:name w:val="Hyperlink"/>
    <w:uiPriority w:val="99"/>
    <w:unhideWhenUsed/>
    <w:rsid w:val="00481558"/>
    <w:rPr>
      <w:color w:val="0000FF"/>
      <w:u w:val="single"/>
    </w:rPr>
  </w:style>
  <w:style w:type="paragraph" w:styleId="Header">
    <w:name w:val="header"/>
    <w:basedOn w:val="Normal"/>
    <w:link w:val="HeaderChar"/>
    <w:uiPriority w:val="99"/>
    <w:unhideWhenUsed/>
    <w:rsid w:val="006A4BD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sid w:val="006A4BDD"/>
    <w:rPr>
      <w:rFonts w:ascii="Times New Roman" w:eastAsiaTheme="minorHAnsi" w:hAnsi="Times New Roman"/>
      <w:sz w:val="24"/>
      <w:szCs w:val="22"/>
      <w:lang w:eastAsia="en-US"/>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b/>
      <w:bCs/>
      <w:smallCaps/>
      <w:sz w:val="24"/>
      <w:szCs w:val="28"/>
    </w:rPr>
  </w:style>
  <w:style w:type="character" w:customStyle="1" w:styleId="Heading2Char">
    <w:name w:val="Heading 2 Char"/>
    <w:link w:val="Heading2"/>
    <w:uiPriority w:val="9"/>
    <w:semiHidden/>
    <w:rsid w:val="0075503A"/>
    <w:rPr>
      <w:rFonts w:ascii="Times New Roman" w:eastAsia="Times New Roman" w:hAnsi="Times New Roman"/>
      <w:b/>
      <w:bCs/>
      <w:sz w:val="24"/>
      <w:szCs w:val="26"/>
    </w:rPr>
  </w:style>
  <w:style w:type="character" w:customStyle="1" w:styleId="Heading3Char">
    <w:name w:val="Heading 3 Char"/>
    <w:link w:val="Heading3"/>
    <w:uiPriority w:val="9"/>
    <w:semiHidden/>
    <w:rsid w:val="0075503A"/>
    <w:rPr>
      <w:rFonts w:ascii="Times New Roman" w:eastAsia="Times New Roman" w:hAnsi="Times New Roman"/>
      <w:bCs/>
      <w:i/>
      <w:sz w:val="24"/>
    </w:rPr>
  </w:style>
  <w:style w:type="character" w:customStyle="1" w:styleId="Heading4Char">
    <w:name w:val="Heading 4 Char"/>
    <w:link w:val="Heading4"/>
    <w:uiPriority w:val="9"/>
    <w:semiHidden/>
    <w:rsid w:val="0075503A"/>
    <w:rPr>
      <w:rFonts w:ascii="Times New Roman" w:eastAsia="Times New Roman" w:hAnsi="Times New Roman"/>
      <w:bCs/>
      <w:iCs/>
      <w:sz w:val="24"/>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6A4BDD"/>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link w:val="Text1Char"/>
    <w:uiPriority w:val="99"/>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9"/>
      </w:numPr>
    </w:pPr>
  </w:style>
  <w:style w:type="paragraph" w:customStyle="1" w:styleId="Tiret1">
    <w:name w:val="Tiret 1"/>
    <w:basedOn w:val="Point1"/>
    <w:rsid w:val="0075503A"/>
    <w:pPr>
      <w:numPr>
        <w:numId w:val="20"/>
      </w:numPr>
    </w:pPr>
  </w:style>
  <w:style w:type="paragraph" w:customStyle="1" w:styleId="Tiret2">
    <w:name w:val="Tiret 2"/>
    <w:basedOn w:val="Point2"/>
    <w:rsid w:val="0075503A"/>
    <w:pPr>
      <w:numPr>
        <w:numId w:val="21"/>
      </w:numPr>
    </w:pPr>
  </w:style>
  <w:style w:type="paragraph" w:customStyle="1" w:styleId="Tiret3">
    <w:name w:val="Tiret 3"/>
    <w:basedOn w:val="Point3"/>
    <w:rsid w:val="0075503A"/>
    <w:pPr>
      <w:numPr>
        <w:numId w:val="22"/>
      </w:numPr>
    </w:pPr>
  </w:style>
  <w:style w:type="paragraph" w:customStyle="1" w:styleId="Tiret4">
    <w:name w:val="Tiret 4"/>
    <w:basedOn w:val="Point4"/>
    <w:rsid w:val="0075503A"/>
    <w:pPr>
      <w:numPr>
        <w:numId w:val="2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45"/>
      </w:numPr>
    </w:pPr>
  </w:style>
  <w:style w:type="paragraph" w:customStyle="1" w:styleId="NumPar2">
    <w:name w:val="NumPar 2"/>
    <w:basedOn w:val="Normal"/>
    <w:next w:val="Text1"/>
    <w:rsid w:val="0075503A"/>
    <w:pPr>
      <w:numPr>
        <w:ilvl w:val="1"/>
        <w:numId w:val="45"/>
      </w:numPr>
    </w:pPr>
  </w:style>
  <w:style w:type="paragraph" w:customStyle="1" w:styleId="NumPar3">
    <w:name w:val="NumPar 3"/>
    <w:basedOn w:val="Normal"/>
    <w:next w:val="Text1"/>
    <w:rsid w:val="0075503A"/>
    <w:pPr>
      <w:numPr>
        <w:ilvl w:val="2"/>
        <w:numId w:val="45"/>
      </w:numPr>
    </w:pPr>
  </w:style>
  <w:style w:type="paragraph" w:customStyle="1" w:styleId="NumPar4">
    <w:name w:val="NumPar 4"/>
    <w:basedOn w:val="Normal"/>
    <w:next w:val="Text1"/>
    <w:rsid w:val="0075503A"/>
    <w:pPr>
      <w:numPr>
        <w:ilvl w:val="3"/>
        <w:numId w:val="45"/>
      </w:numPr>
    </w:pPr>
  </w:style>
  <w:style w:type="paragraph" w:customStyle="1" w:styleId="ManualNumPar1">
    <w:name w:val="Manual NumPar 1"/>
    <w:basedOn w:val="Normal"/>
    <w:next w:val="Text1"/>
    <w:link w:val="ManualNumPar1Char"/>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25"/>
      </w:numPr>
    </w:pPr>
  </w:style>
  <w:style w:type="paragraph" w:customStyle="1" w:styleId="Point1number">
    <w:name w:val="Point 1 (number)"/>
    <w:basedOn w:val="Normal"/>
    <w:rsid w:val="0075503A"/>
    <w:pPr>
      <w:numPr>
        <w:ilvl w:val="2"/>
        <w:numId w:val="25"/>
      </w:numPr>
    </w:pPr>
  </w:style>
  <w:style w:type="paragraph" w:customStyle="1" w:styleId="Point2number">
    <w:name w:val="Point 2 (number)"/>
    <w:basedOn w:val="Normal"/>
    <w:rsid w:val="0075503A"/>
    <w:pPr>
      <w:numPr>
        <w:ilvl w:val="4"/>
        <w:numId w:val="25"/>
      </w:numPr>
    </w:pPr>
  </w:style>
  <w:style w:type="paragraph" w:customStyle="1" w:styleId="Point3number">
    <w:name w:val="Point 3 (number)"/>
    <w:basedOn w:val="Normal"/>
    <w:rsid w:val="0075503A"/>
    <w:pPr>
      <w:numPr>
        <w:ilvl w:val="6"/>
        <w:numId w:val="25"/>
      </w:numPr>
    </w:pPr>
  </w:style>
  <w:style w:type="paragraph" w:customStyle="1" w:styleId="Point0letter">
    <w:name w:val="Point 0 (letter)"/>
    <w:basedOn w:val="Normal"/>
    <w:rsid w:val="0075503A"/>
    <w:pPr>
      <w:numPr>
        <w:ilvl w:val="1"/>
        <w:numId w:val="25"/>
      </w:numPr>
    </w:pPr>
  </w:style>
  <w:style w:type="paragraph" w:customStyle="1" w:styleId="Point1letter">
    <w:name w:val="Point 1 (letter)"/>
    <w:basedOn w:val="Normal"/>
    <w:rsid w:val="0075503A"/>
    <w:pPr>
      <w:numPr>
        <w:ilvl w:val="3"/>
        <w:numId w:val="25"/>
      </w:numPr>
    </w:pPr>
  </w:style>
  <w:style w:type="paragraph" w:customStyle="1" w:styleId="Point2letter">
    <w:name w:val="Point 2 (letter)"/>
    <w:basedOn w:val="Normal"/>
    <w:rsid w:val="0075503A"/>
    <w:pPr>
      <w:numPr>
        <w:ilvl w:val="5"/>
        <w:numId w:val="25"/>
      </w:numPr>
    </w:pPr>
  </w:style>
  <w:style w:type="paragraph" w:customStyle="1" w:styleId="Point3letter">
    <w:name w:val="Point 3 (letter)"/>
    <w:basedOn w:val="Normal"/>
    <w:rsid w:val="0075503A"/>
    <w:pPr>
      <w:numPr>
        <w:ilvl w:val="7"/>
        <w:numId w:val="25"/>
      </w:numPr>
    </w:pPr>
  </w:style>
  <w:style w:type="paragraph" w:customStyle="1" w:styleId="Point4letter">
    <w:name w:val="Point 4 (letter)"/>
    <w:basedOn w:val="Normal"/>
    <w:rsid w:val="0075503A"/>
    <w:pPr>
      <w:numPr>
        <w:ilvl w:val="8"/>
        <w:numId w:val="25"/>
      </w:numPr>
    </w:pPr>
  </w:style>
  <w:style w:type="paragraph" w:customStyle="1" w:styleId="Bullet0">
    <w:name w:val="Bullet 0"/>
    <w:basedOn w:val="Normal"/>
    <w:rsid w:val="0075503A"/>
    <w:pPr>
      <w:numPr>
        <w:numId w:val="26"/>
      </w:numPr>
    </w:pPr>
  </w:style>
  <w:style w:type="paragraph" w:customStyle="1" w:styleId="Bullet1">
    <w:name w:val="Bullet 1"/>
    <w:basedOn w:val="Normal"/>
    <w:rsid w:val="0075503A"/>
    <w:pPr>
      <w:numPr>
        <w:numId w:val="27"/>
      </w:numPr>
    </w:pPr>
  </w:style>
  <w:style w:type="paragraph" w:customStyle="1" w:styleId="Bullet2">
    <w:name w:val="Bullet 2"/>
    <w:basedOn w:val="Normal"/>
    <w:rsid w:val="0075503A"/>
    <w:pPr>
      <w:numPr>
        <w:numId w:val="28"/>
      </w:numPr>
    </w:pPr>
  </w:style>
  <w:style w:type="paragraph" w:customStyle="1" w:styleId="Bullet3">
    <w:name w:val="Bullet 3"/>
    <w:basedOn w:val="Normal"/>
    <w:rsid w:val="0075503A"/>
    <w:pPr>
      <w:numPr>
        <w:numId w:val="29"/>
      </w:numPr>
    </w:pPr>
  </w:style>
  <w:style w:type="paragraph" w:customStyle="1" w:styleId="Bullet4">
    <w:name w:val="Bullet 4"/>
    <w:basedOn w:val="Normal"/>
    <w:rsid w:val="0075503A"/>
    <w:pPr>
      <w:numPr>
        <w:numId w:val="30"/>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1"/>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styleId="NoSpacing">
    <w:name w:val="No Spacing"/>
    <w:link w:val="NoSpacingChar"/>
    <w:uiPriority w:val="1"/>
    <w:qFormat/>
    <w:rsid w:val="00BA642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A642B"/>
    <w:rPr>
      <w:rFonts w:asciiTheme="minorHAnsi" w:eastAsiaTheme="minorEastAsia" w:hAnsiTheme="minorHAnsi" w:cstheme="minorBidi"/>
      <w:sz w:val="22"/>
      <w:szCs w:val="22"/>
      <w:lang w:val="en-US" w:eastAsia="ja-JP"/>
    </w:rPr>
  </w:style>
  <w:style w:type="paragraph" w:customStyle="1" w:styleId="7C1ACB1844B645AE9187B20DABB10BEE">
    <w:name w:val="7C1ACB1844B645AE9187B20DABB10BEE"/>
    <w:rsid w:val="00BA642B"/>
    <w:pPr>
      <w:spacing w:after="200" w:line="276" w:lineRule="auto"/>
    </w:pPr>
    <w:rPr>
      <w:rFonts w:asciiTheme="minorHAnsi" w:eastAsiaTheme="minorEastAsia" w:hAnsiTheme="minorHAnsi" w:cstheme="minorBidi"/>
      <w:sz w:val="22"/>
      <w:szCs w:val="22"/>
      <w:lang w:val="en-US" w:eastAsia="ja-JP"/>
    </w:rPr>
  </w:style>
  <w:style w:type="paragraph" w:customStyle="1" w:styleId="BeschriftungKarte">
    <w:name w:val="Beschriftung_Karte"/>
    <w:basedOn w:val="Caption"/>
    <w:qFormat/>
    <w:rsid w:val="00DD0E7E"/>
    <w:pPr>
      <w:keepNext/>
      <w:ind w:left="567" w:hanging="567"/>
      <w:jc w:val="left"/>
    </w:pPr>
    <w:rPr>
      <w:rFonts w:ascii="Arial Narrow" w:hAnsi="Arial Narrow"/>
      <w:b w:val="0"/>
      <w:sz w:val="18"/>
      <w:szCs w:val="16"/>
      <w:lang w:eastAsia="de-DE"/>
    </w:rPr>
  </w:style>
  <w:style w:type="paragraph" w:customStyle="1" w:styleId="Default">
    <w:name w:val="Default"/>
    <w:rsid w:val="00461E7A"/>
    <w:pPr>
      <w:widowControl w:val="0"/>
      <w:autoSpaceDE w:val="0"/>
      <w:autoSpaceDN w:val="0"/>
      <w:adjustRightInd w:val="0"/>
    </w:pPr>
    <w:rPr>
      <w:rFonts w:ascii="Verdana" w:hAnsi="Verdana" w:cs="Verdana"/>
      <w:color w:val="000000"/>
      <w:sz w:val="24"/>
      <w:szCs w:val="24"/>
      <w:lang w:val="en-US"/>
    </w:rPr>
  </w:style>
  <w:style w:type="character" w:customStyle="1" w:styleId="ListParagraphChar">
    <w:name w:val="List Paragraph Char"/>
    <w:basedOn w:val="DefaultParagraphFont"/>
    <w:link w:val="ListParagraph"/>
    <w:uiPriority w:val="99"/>
    <w:locked/>
    <w:rsid w:val="00D557FC"/>
    <w:rPr>
      <w:rFonts w:ascii="Times New Roman" w:eastAsia="Times New Roman" w:hAnsi="Times New Roman"/>
      <w:sz w:val="24"/>
    </w:rPr>
  </w:style>
  <w:style w:type="paragraph" w:customStyle="1" w:styleId="Tabelle">
    <w:name w:val="Tabelle"/>
    <w:basedOn w:val="Normal"/>
    <w:qFormat/>
    <w:rsid w:val="00377536"/>
    <w:pPr>
      <w:spacing w:before="40" w:after="40"/>
      <w:jc w:val="left"/>
    </w:pPr>
    <w:rPr>
      <w:rFonts w:ascii="Arial Narrow" w:eastAsia="Times New Roman" w:hAnsi="Arial Narrow" w:cs="Arial"/>
      <w:sz w:val="18"/>
      <w:lang w:eastAsia="de-DE"/>
    </w:rPr>
  </w:style>
  <w:style w:type="paragraph" w:customStyle="1" w:styleId="Tabelle2">
    <w:name w:val="Tabelle2"/>
    <w:basedOn w:val="Normal"/>
    <w:qFormat/>
    <w:rsid w:val="00377BA1"/>
    <w:pPr>
      <w:spacing w:before="60" w:after="60"/>
      <w:jc w:val="left"/>
    </w:pPr>
    <w:rPr>
      <w:rFonts w:ascii="Arial" w:eastAsia="Times New Roman" w:hAnsi="Arial" w:cs="Arial"/>
      <w:sz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7615">
      <w:bodyDiv w:val="1"/>
      <w:marLeft w:val="0"/>
      <w:marRight w:val="0"/>
      <w:marTop w:val="0"/>
      <w:marBottom w:val="0"/>
      <w:divBdr>
        <w:top w:val="none" w:sz="0" w:space="0" w:color="auto"/>
        <w:left w:val="none" w:sz="0" w:space="0" w:color="auto"/>
        <w:bottom w:val="none" w:sz="0" w:space="0" w:color="auto"/>
        <w:right w:val="none" w:sz="0" w:space="0" w:color="auto"/>
      </w:divBdr>
    </w:div>
    <w:div w:id="34161534">
      <w:bodyDiv w:val="1"/>
      <w:marLeft w:val="0"/>
      <w:marRight w:val="0"/>
      <w:marTop w:val="0"/>
      <w:marBottom w:val="0"/>
      <w:divBdr>
        <w:top w:val="none" w:sz="0" w:space="0" w:color="auto"/>
        <w:left w:val="none" w:sz="0" w:space="0" w:color="auto"/>
        <w:bottom w:val="none" w:sz="0" w:space="0" w:color="auto"/>
        <w:right w:val="none" w:sz="0" w:space="0" w:color="auto"/>
      </w:divBdr>
    </w:div>
    <w:div w:id="36122246">
      <w:bodyDiv w:val="1"/>
      <w:marLeft w:val="0"/>
      <w:marRight w:val="0"/>
      <w:marTop w:val="0"/>
      <w:marBottom w:val="0"/>
      <w:divBdr>
        <w:top w:val="none" w:sz="0" w:space="0" w:color="auto"/>
        <w:left w:val="none" w:sz="0" w:space="0" w:color="auto"/>
        <w:bottom w:val="none" w:sz="0" w:space="0" w:color="auto"/>
        <w:right w:val="none" w:sz="0" w:space="0" w:color="auto"/>
      </w:divBdr>
    </w:div>
    <w:div w:id="42994096">
      <w:bodyDiv w:val="1"/>
      <w:marLeft w:val="0"/>
      <w:marRight w:val="0"/>
      <w:marTop w:val="0"/>
      <w:marBottom w:val="0"/>
      <w:divBdr>
        <w:top w:val="none" w:sz="0" w:space="0" w:color="auto"/>
        <w:left w:val="none" w:sz="0" w:space="0" w:color="auto"/>
        <w:bottom w:val="none" w:sz="0" w:space="0" w:color="auto"/>
        <w:right w:val="none" w:sz="0" w:space="0" w:color="auto"/>
      </w:divBdr>
    </w:div>
    <w:div w:id="62266953">
      <w:bodyDiv w:val="1"/>
      <w:marLeft w:val="0"/>
      <w:marRight w:val="0"/>
      <w:marTop w:val="0"/>
      <w:marBottom w:val="0"/>
      <w:divBdr>
        <w:top w:val="none" w:sz="0" w:space="0" w:color="auto"/>
        <w:left w:val="none" w:sz="0" w:space="0" w:color="auto"/>
        <w:bottom w:val="none" w:sz="0" w:space="0" w:color="auto"/>
        <w:right w:val="none" w:sz="0" w:space="0" w:color="auto"/>
      </w:divBdr>
    </w:div>
    <w:div w:id="114640774">
      <w:bodyDiv w:val="1"/>
      <w:marLeft w:val="0"/>
      <w:marRight w:val="0"/>
      <w:marTop w:val="0"/>
      <w:marBottom w:val="0"/>
      <w:divBdr>
        <w:top w:val="none" w:sz="0" w:space="0" w:color="auto"/>
        <w:left w:val="none" w:sz="0" w:space="0" w:color="auto"/>
        <w:bottom w:val="none" w:sz="0" w:space="0" w:color="auto"/>
        <w:right w:val="none" w:sz="0" w:space="0" w:color="auto"/>
      </w:divBdr>
    </w:div>
    <w:div w:id="121459692">
      <w:bodyDiv w:val="1"/>
      <w:marLeft w:val="0"/>
      <w:marRight w:val="0"/>
      <w:marTop w:val="0"/>
      <w:marBottom w:val="0"/>
      <w:divBdr>
        <w:top w:val="none" w:sz="0" w:space="0" w:color="auto"/>
        <w:left w:val="none" w:sz="0" w:space="0" w:color="auto"/>
        <w:bottom w:val="none" w:sz="0" w:space="0" w:color="auto"/>
        <w:right w:val="none" w:sz="0" w:space="0" w:color="auto"/>
      </w:divBdr>
    </w:div>
    <w:div w:id="125903587">
      <w:bodyDiv w:val="1"/>
      <w:marLeft w:val="0"/>
      <w:marRight w:val="0"/>
      <w:marTop w:val="0"/>
      <w:marBottom w:val="0"/>
      <w:divBdr>
        <w:top w:val="none" w:sz="0" w:space="0" w:color="auto"/>
        <w:left w:val="none" w:sz="0" w:space="0" w:color="auto"/>
        <w:bottom w:val="none" w:sz="0" w:space="0" w:color="auto"/>
        <w:right w:val="none" w:sz="0" w:space="0" w:color="auto"/>
      </w:divBdr>
    </w:div>
    <w:div w:id="129203946">
      <w:bodyDiv w:val="1"/>
      <w:marLeft w:val="0"/>
      <w:marRight w:val="0"/>
      <w:marTop w:val="0"/>
      <w:marBottom w:val="0"/>
      <w:divBdr>
        <w:top w:val="none" w:sz="0" w:space="0" w:color="auto"/>
        <w:left w:val="none" w:sz="0" w:space="0" w:color="auto"/>
        <w:bottom w:val="none" w:sz="0" w:space="0" w:color="auto"/>
        <w:right w:val="none" w:sz="0" w:space="0" w:color="auto"/>
      </w:divBdr>
    </w:div>
    <w:div w:id="133379153">
      <w:bodyDiv w:val="1"/>
      <w:marLeft w:val="0"/>
      <w:marRight w:val="0"/>
      <w:marTop w:val="0"/>
      <w:marBottom w:val="0"/>
      <w:divBdr>
        <w:top w:val="none" w:sz="0" w:space="0" w:color="auto"/>
        <w:left w:val="none" w:sz="0" w:space="0" w:color="auto"/>
        <w:bottom w:val="none" w:sz="0" w:space="0" w:color="auto"/>
        <w:right w:val="none" w:sz="0" w:space="0" w:color="auto"/>
      </w:divBdr>
    </w:div>
    <w:div w:id="181021298">
      <w:bodyDiv w:val="1"/>
      <w:marLeft w:val="0"/>
      <w:marRight w:val="0"/>
      <w:marTop w:val="0"/>
      <w:marBottom w:val="0"/>
      <w:divBdr>
        <w:top w:val="none" w:sz="0" w:space="0" w:color="auto"/>
        <w:left w:val="none" w:sz="0" w:space="0" w:color="auto"/>
        <w:bottom w:val="none" w:sz="0" w:space="0" w:color="auto"/>
        <w:right w:val="none" w:sz="0" w:space="0" w:color="auto"/>
      </w:divBdr>
    </w:div>
    <w:div w:id="188375660">
      <w:bodyDiv w:val="1"/>
      <w:marLeft w:val="0"/>
      <w:marRight w:val="0"/>
      <w:marTop w:val="0"/>
      <w:marBottom w:val="0"/>
      <w:divBdr>
        <w:top w:val="none" w:sz="0" w:space="0" w:color="auto"/>
        <w:left w:val="none" w:sz="0" w:space="0" w:color="auto"/>
        <w:bottom w:val="none" w:sz="0" w:space="0" w:color="auto"/>
        <w:right w:val="none" w:sz="0" w:space="0" w:color="auto"/>
      </w:divBdr>
    </w:div>
    <w:div w:id="194389436">
      <w:bodyDiv w:val="1"/>
      <w:marLeft w:val="0"/>
      <w:marRight w:val="0"/>
      <w:marTop w:val="0"/>
      <w:marBottom w:val="0"/>
      <w:divBdr>
        <w:top w:val="none" w:sz="0" w:space="0" w:color="auto"/>
        <w:left w:val="none" w:sz="0" w:space="0" w:color="auto"/>
        <w:bottom w:val="none" w:sz="0" w:space="0" w:color="auto"/>
        <w:right w:val="none" w:sz="0" w:space="0" w:color="auto"/>
      </w:divBdr>
    </w:div>
    <w:div w:id="235435263">
      <w:bodyDiv w:val="1"/>
      <w:marLeft w:val="0"/>
      <w:marRight w:val="0"/>
      <w:marTop w:val="0"/>
      <w:marBottom w:val="0"/>
      <w:divBdr>
        <w:top w:val="none" w:sz="0" w:space="0" w:color="auto"/>
        <w:left w:val="none" w:sz="0" w:space="0" w:color="auto"/>
        <w:bottom w:val="none" w:sz="0" w:space="0" w:color="auto"/>
        <w:right w:val="none" w:sz="0" w:space="0" w:color="auto"/>
      </w:divBdr>
    </w:div>
    <w:div w:id="255020824">
      <w:bodyDiv w:val="1"/>
      <w:marLeft w:val="0"/>
      <w:marRight w:val="0"/>
      <w:marTop w:val="0"/>
      <w:marBottom w:val="0"/>
      <w:divBdr>
        <w:top w:val="none" w:sz="0" w:space="0" w:color="auto"/>
        <w:left w:val="none" w:sz="0" w:space="0" w:color="auto"/>
        <w:bottom w:val="none" w:sz="0" w:space="0" w:color="auto"/>
        <w:right w:val="none" w:sz="0" w:space="0" w:color="auto"/>
      </w:divBdr>
    </w:div>
    <w:div w:id="264120148">
      <w:bodyDiv w:val="1"/>
      <w:marLeft w:val="0"/>
      <w:marRight w:val="0"/>
      <w:marTop w:val="0"/>
      <w:marBottom w:val="0"/>
      <w:divBdr>
        <w:top w:val="none" w:sz="0" w:space="0" w:color="auto"/>
        <w:left w:val="none" w:sz="0" w:space="0" w:color="auto"/>
        <w:bottom w:val="none" w:sz="0" w:space="0" w:color="auto"/>
        <w:right w:val="none" w:sz="0" w:space="0" w:color="auto"/>
      </w:divBdr>
    </w:div>
    <w:div w:id="266500256">
      <w:bodyDiv w:val="1"/>
      <w:marLeft w:val="0"/>
      <w:marRight w:val="0"/>
      <w:marTop w:val="0"/>
      <w:marBottom w:val="0"/>
      <w:divBdr>
        <w:top w:val="none" w:sz="0" w:space="0" w:color="auto"/>
        <w:left w:val="none" w:sz="0" w:space="0" w:color="auto"/>
        <w:bottom w:val="none" w:sz="0" w:space="0" w:color="auto"/>
        <w:right w:val="none" w:sz="0" w:space="0" w:color="auto"/>
      </w:divBdr>
    </w:div>
    <w:div w:id="284432409">
      <w:bodyDiv w:val="1"/>
      <w:marLeft w:val="0"/>
      <w:marRight w:val="0"/>
      <w:marTop w:val="0"/>
      <w:marBottom w:val="0"/>
      <w:divBdr>
        <w:top w:val="none" w:sz="0" w:space="0" w:color="auto"/>
        <w:left w:val="none" w:sz="0" w:space="0" w:color="auto"/>
        <w:bottom w:val="none" w:sz="0" w:space="0" w:color="auto"/>
        <w:right w:val="none" w:sz="0" w:space="0" w:color="auto"/>
      </w:divBdr>
    </w:div>
    <w:div w:id="299455641">
      <w:bodyDiv w:val="1"/>
      <w:marLeft w:val="0"/>
      <w:marRight w:val="0"/>
      <w:marTop w:val="0"/>
      <w:marBottom w:val="0"/>
      <w:divBdr>
        <w:top w:val="none" w:sz="0" w:space="0" w:color="auto"/>
        <w:left w:val="none" w:sz="0" w:space="0" w:color="auto"/>
        <w:bottom w:val="none" w:sz="0" w:space="0" w:color="auto"/>
        <w:right w:val="none" w:sz="0" w:space="0" w:color="auto"/>
      </w:divBdr>
    </w:div>
    <w:div w:id="340469133">
      <w:bodyDiv w:val="1"/>
      <w:marLeft w:val="0"/>
      <w:marRight w:val="0"/>
      <w:marTop w:val="0"/>
      <w:marBottom w:val="0"/>
      <w:divBdr>
        <w:top w:val="none" w:sz="0" w:space="0" w:color="auto"/>
        <w:left w:val="none" w:sz="0" w:space="0" w:color="auto"/>
        <w:bottom w:val="none" w:sz="0" w:space="0" w:color="auto"/>
        <w:right w:val="none" w:sz="0" w:space="0" w:color="auto"/>
      </w:divBdr>
    </w:div>
    <w:div w:id="368529499">
      <w:bodyDiv w:val="1"/>
      <w:marLeft w:val="0"/>
      <w:marRight w:val="0"/>
      <w:marTop w:val="0"/>
      <w:marBottom w:val="0"/>
      <w:divBdr>
        <w:top w:val="none" w:sz="0" w:space="0" w:color="auto"/>
        <w:left w:val="none" w:sz="0" w:space="0" w:color="auto"/>
        <w:bottom w:val="none" w:sz="0" w:space="0" w:color="auto"/>
        <w:right w:val="none" w:sz="0" w:space="0" w:color="auto"/>
      </w:divBdr>
    </w:div>
    <w:div w:id="373308966">
      <w:bodyDiv w:val="1"/>
      <w:marLeft w:val="0"/>
      <w:marRight w:val="0"/>
      <w:marTop w:val="0"/>
      <w:marBottom w:val="0"/>
      <w:divBdr>
        <w:top w:val="none" w:sz="0" w:space="0" w:color="auto"/>
        <w:left w:val="none" w:sz="0" w:space="0" w:color="auto"/>
        <w:bottom w:val="none" w:sz="0" w:space="0" w:color="auto"/>
        <w:right w:val="none" w:sz="0" w:space="0" w:color="auto"/>
      </w:divBdr>
    </w:div>
    <w:div w:id="391924963">
      <w:bodyDiv w:val="1"/>
      <w:marLeft w:val="0"/>
      <w:marRight w:val="0"/>
      <w:marTop w:val="0"/>
      <w:marBottom w:val="0"/>
      <w:divBdr>
        <w:top w:val="none" w:sz="0" w:space="0" w:color="auto"/>
        <w:left w:val="none" w:sz="0" w:space="0" w:color="auto"/>
        <w:bottom w:val="none" w:sz="0" w:space="0" w:color="auto"/>
        <w:right w:val="none" w:sz="0" w:space="0" w:color="auto"/>
      </w:divBdr>
    </w:div>
    <w:div w:id="410346473">
      <w:bodyDiv w:val="1"/>
      <w:marLeft w:val="0"/>
      <w:marRight w:val="0"/>
      <w:marTop w:val="0"/>
      <w:marBottom w:val="0"/>
      <w:divBdr>
        <w:top w:val="none" w:sz="0" w:space="0" w:color="auto"/>
        <w:left w:val="none" w:sz="0" w:space="0" w:color="auto"/>
        <w:bottom w:val="none" w:sz="0" w:space="0" w:color="auto"/>
        <w:right w:val="none" w:sz="0" w:space="0" w:color="auto"/>
      </w:divBdr>
    </w:div>
    <w:div w:id="426274624">
      <w:bodyDiv w:val="1"/>
      <w:marLeft w:val="0"/>
      <w:marRight w:val="0"/>
      <w:marTop w:val="0"/>
      <w:marBottom w:val="0"/>
      <w:divBdr>
        <w:top w:val="none" w:sz="0" w:space="0" w:color="auto"/>
        <w:left w:val="none" w:sz="0" w:space="0" w:color="auto"/>
        <w:bottom w:val="none" w:sz="0" w:space="0" w:color="auto"/>
        <w:right w:val="none" w:sz="0" w:space="0" w:color="auto"/>
      </w:divBdr>
    </w:div>
    <w:div w:id="438718073">
      <w:bodyDiv w:val="1"/>
      <w:marLeft w:val="0"/>
      <w:marRight w:val="0"/>
      <w:marTop w:val="0"/>
      <w:marBottom w:val="0"/>
      <w:divBdr>
        <w:top w:val="none" w:sz="0" w:space="0" w:color="auto"/>
        <w:left w:val="none" w:sz="0" w:space="0" w:color="auto"/>
        <w:bottom w:val="none" w:sz="0" w:space="0" w:color="auto"/>
        <w:right w:val="none" w:sz="0" w:space="0" w:color="auto"/>
      </w:divBdr>
    </w:div>
    <w:div w:id="465664763">
      <w:bodyDiv w:val="1"/>
      <w:marLeft w:val="0"/>
      <w:marRight w:val="0"/>
      <w:marTop w:val="0"/>
      <w:marBottom w:val="0"/>
      <w:divBdr>
        <w:top w:val="none" w:sz="0" w:space="0" w:color="auto"/>
        <w:left w:val="none" w:sz="0" w:space="0" w:color="auto"/>
        <w:bottom w:val="none" w:sz="0" w:space="0" w:color="auto"/>
        <w:right w:val="none" w:sz="0" w:space="0" w:color="auto"/>
      </w:divBdr>
    </w:div>
    <w:div w:id="483861941">
      <w:bodyDiv w:val="1"/>
      <w:marLeft w:val="0"/>
      <w:marRight w:val="0"/>
      <w:marTop w:val="0"/>
      <w:marBottom w:val="0"/>
      <w:divBdr>
        <w:top w:val="none" w:sz="0" w:space="0" w:color="auto"/>
        <w:left w:val="none" w:sz="0" w:space="0" w:color="auto"/>
        <w:bottom w:val="none" w:sz="0" w:space="0" w:color="auto"/>
        <w:right w:val="none" w:sz="0" w:space="0" w:color="auto"/>
      </w:divBdr>
    </w:div>
    <w:div w:id="498011177">
      <w:bodyDiv w:val="1"/>
      <w:marLeft w:val="0"/>
      <w:marRight w:val="0"/>
      <w:marTop w:val="0"/>
      <w:marBottom w:val="0"/>
      <w:divBdr>
        <w:top w:val="none" w:sz="0" w:space="0" w:color="auto"/>
        <w:left w:val="none" w:sz="0" w:space="0" w:color="auto"/>
        <w:bottom w:val="none" w:sz="0" w:space="0" w:color="auto"/>
        <w:right w:val="none" w:sz="0" w:space="0" w:color="auto"/>
      </w:divBdr>
    </w:div>
    <w:div w:id="513302118">
      <w:bodyDiv w:val="1"/>
      <w:marLeft w:val="0"/>
      <w:marRight w:val="0"/>
      <w:marTop w:val="0"/>
      <w:marBottom w:val="0"/>
      <w:divBdr>
        <w:top w:val="none" w:sz="0" w:space="0" w:color="auto"/>
        <w:left w:val="none" w:sz="0" w:space="0" w:color="auto"/>
        <w:bottom w:val="none" w:sz="0" w:space="0" w:color="auto"/>
        <w:right w:val="none" w:sz="0" w:space="0" w:color="auto"/>
      </w:divBdr>
    </w:div>
    <w:div w:id="592978671">
      <w:bodyDiv w:val="1"/>
      <w:marLeft w:val="0"/>
      <w:marRight w:val="0"/>
      <w:marTop w:val="0"/>
      <w:marBottom w:val="0"/>
      <w:divBdr>
        <w:top w:val="none" w:sz="0" w:space="0" w:color="auto"/>
        <w:left w:val="none" w:sz="0" w:space="0" w:color="auto"/>
        <w:bottom w:val="none" w:sz="0" w:space="0" w:color="auto"/>
        <w:right w:val="none" w:sz="0" w:space="0" w:color="auto"/>
      </w:divBdr>
    </w:div>
    <w:div w:id="606691479">
      <w:bodyDiv w:val="1"/>
      <w:marLeft w:val="0"/>
      <w:marRight w:val="0"/>
      <w:marTop w:val="0"/>
      <w:marBottom w:val="0"/>
      <w:divBdr>
        <w:top w:val="none" w:sz="0" w:space="0" w:color="auto"/>
        <w:left w:val="none" w:sz="0" w:space="0" w:color="auto"/>
        <w:bottom w:val="none" w:sz="0" w:space="0" w:color="auto"/>
        <w:right w:val="none" w:sz="0" w:space="0" w:color="auto"/>
      </w:divBdr>
    </w:div>
    <w:div w:id="620645369">
      <w:bodyDiv w:val="1"/>
      <w:marLeft w:val="0"/>
      <w:marRight w:val="0"/>
      <w:marTop w:val="0"/>
      <w:marBottom w:val="0"/>
      <w:divBdr>
        <w:top w:val="none" w:sz="0" w:space="0" w:color="auto"/>
        <w:left w:val="none" w:sz="0" w:space="0" w:color="auto"/>
        <w:bottom w:val="none" w:sz="0" w:space="0" w:color="auto"/>
        <w:right w:val="none" w:sz="0" w:space="0" w:color="auto"/>
      </w:divBdr>
    </w:div>
    <w:div w:id="622006735">
      <w:bodyDiv w:val="1"/>
      <w:marLeft w:val="0"/>
      <w:marRight w:val="0"/>
      <w:marTop w:val="0"/>
      <w:marBottom w:val="0"/>
      <w:divBdr>
        <w:top w:val="none" w:sz="0" w:space="0" w:color="auto"/>
        <w:left w:val="none" w:sz="0" w:space="0" w:color="auto"/>
        <w:bottom w:val="none" w:sz="0" w:space="0" w:color="auto"/>
        <w:right w:val="none" w:sz="0" w:space="0" w:color="auto"/>
      </w:divBdr>
    </w:div>
    <w:div w:id="639118831">
      <w:bodyDiv w:val="1"/>
      <w:marLeft w:val="0"/>
      <w:marRight w:val="0"/>
      <w:marTop w:val="0"/>
      <w:marBottom w:val="0"/>
      <w:divBdr>
        <w:top w:val="none" w:sz="0" w:space="0" w:color="auto"/>
        <w:left w:val="none" w:sz="0" w:space="0" w:color="auto"/>
        <w:bottom w:val="none" w:sz="0" w:space="0" w:color="auto"/>
        <w:right w:val="none" w:sz="0" w:space="0" w:color="auto"/>
      </w:divBdr>
    </w:div>
    <w:div w:id="680819291">
      <w:bodyDiv w:val="1"/>
      <w:marLeft w:val="0"/>
      <w:marRight w:val="0"/>
      <w:marTop w:val="0"/>
      <w:marBottom w:val="0"/>
      <w:divBdr>
        <w:top w:val="none" w:sz="0" w:space="0" w:color="auto"/>
        <w:left w:val="none" w:sz="0" w:space="0" w:color="auto"/>
        <w:bottom w:val="none" w:sz="0" w:space="0" w:color="auto"/>
        <w:right w:val="none" w:sz="0" w:space="0" w:color="auto"/>
      </w:divBdr>
    </w:div>
    <w:div w:id="724063294">
      <w:bodyDiv w:val="1"/>
      <w:marLeft w:val="0"/>
      <w:marRight w:val="0"/>
      <w:marTop w:val="0"/>
      <w:marBottom w:val="0"/>
      <w:divBdr>
        <w:top w:val="none" w:sz="0" w:space="0" w:color="auto"/>
        <w:left w:val="none" w:sz="0" w:space="0" w:color="auto"/>
        <w:bottom w:val="none" w:sz="0" w:space="0" w:color="auto"/>
        <w:right w:val="none" w:sz="0" w:space="0" w:color="auto"/>
      </w:divBdr>
    </w:div>
    <w:div w:id="732587751">
      <w:bodyDiv w:val="1"/>
      <w:marLeft w:val="0"/>
      <w:marRight w:val="0"/>
      <w:marTop w:val="0"/>
      <w:marBottom w:val="0"/>
      <w:divBdr>
        <w:top w:val="none" w:sz="0" w:space="0" w:color="auto"/>
        <w:left w:val="none" w:sz="0" w:space="0" w:color="auto"/>
        <w:bottom w:val="none" w:sz="0" w:space="0" w:color="auto"/>
        <w:right w:val="none" w:sz="0" w:space="0" w:color="auto"/>
      </w:divBdr>
    </w:div>
    <w:div w:id="784423693">
      <w:bodyDiv w:val="1"/>
      <w:marLeft w:val="0"/>
      <w:marRight w:val="0"/>
      <w:marTop w:val="0"/>
      <w:marBottom w:val="0"/>
      <w:divBdr>
        <w:top w:val="none" w:sz="0" w:space="0" w:color="auto"/>
        <w:left w:val="none" w:sz="0" w:space="0" w:color="auto"/>
        <w:bottom w:val="none" w:sz="0" w:space="0" w:color="auto"/>
        <w:right w:val="none" w:sz="0" w:space="0" w:color="auto"/>
      </w:divBdr>
    </w:div>
    <w:div w:id="792023831">
      <w:bodyDiv w:val="1"/>
      <w:marLeft w:val="0"/>
      <w:marRight w:val="0"/>
      <w:marTop w:val="0"/>
      <w:marBottom w:val="0"/>
      <w:divBdr>
        <w:top w:val="none" w:sz="0" w:space="0" w:color="auto"/>
        <w:left w:val="none" w:sz="0" w:space="0" w:color="auto"/>
        <w:bottom w:val="none" w:sz="0" w:space="0" w:color="auto"/>
        <w:right w:val="none" w:sz="0" w:space="0" w:color="auto"/>
      </w:divBdr>
    </w:div>
    <w:div w:id="792484087">
      <w:bodyDiv w:val="1"/>
      <w:marLeft w:val="0"/>
      <w:marRight w:val="0"/>
      <w:marTop w:val="0"/>
      <w:marBottom w:val="0"/>
      <w:divBdr>
        <w:top w:val="none" w:sz="0" w:space="0" w:color="auto"/>
        <w:left w:val="none" w:sz="0" w:space="0" w:color="auto"/>
        <w:bottom w:val="none" w:sz="0" w:space="0" w:color="auto"/>
        <w:right w:val="none" w:sz="0" w:space="0" w:color="auto"/>
      </w:divBdr>
    </w:div>
    <w:div w:id="829638405">
      <w:bodyDiv w:val="1"/>
      <w:marLeft w:val="0"/>
      <w:marRight w:val="0"/>
      <w:marTop w:val="0"/>
      <w:marBottom w:val="0"/>
      <w:divBdr>
        <w:top w:val="none" w:sz="0" w:space="0" w:color="auto"/>
        <w:left w:val="none" w:sz="0" w:space="0" w:color="auto"/>
        <w:bottom w:val="none" w:sz="0" w:space="0" w:color="auto"/>
        <w:right w:val="none" w:sz="0" w:space="0" w:color="auto"/>
      </w:divBdr>
    </w:div>
    <w:div w:id="845367383">
      <w:bodyDiv w:val="1"/>
      <w:marLeft w:val="0"/>
      <w:marRight w:val="0"/>
      <w:marTop w:val="0"/>
      <w:marBottom w:val="0"/>
      <w:divBdr>
        <w:top w:val="none" w:sz="0" w:space="0" w:color="auto"/>
        <w:left w:val="none" w:sz="0" w:space="0" w:color="auto"/>
        <w:bottom w:val="none" w:sz="0" w:space="0" w:color="auto"/>
        <w:right w:val="none" w:sz="0" w:space="0" w:color="auto"/>
      </w:divBdr>
    </w:div>
    <w:div w:id="869100166">
      <w:bodyDiv w:val="1"/>
      <w:marLeft w:val="0"/>
      <w:marRight w:val="0"/>
      <w:marTop w:val="0"/>
      <w:marBottom w:val="0"/>
      <w:divBdr>
        <w:top w:val="none" w:sz="0" w:space="0" w:color="auto"/>
        <w:left w:val="none" w:sz="0" w:space="0" w:color="auto"/>
        <w:bottom w:val="none" w:sz="0" w:space="0" w:color="auto"/>
        <w:right w:val="none" w:sz="0" w:space="0" w:color="auto"/>
      </w:divBdr>
    </w:div>
    <w:div w:id="894782985">
      <w:bodyDiv w:val="1"/>
      <w:marLeft w:val="0"/>
      <w:marRight w:val="0"/>
      <w:marTop w:val="0"/>
      <w:marBottom w:val="0"/>
      <w:divBdr>
        <w:top w:val="none" w:sz="0" w:space="0" w:color="auto"/>
        <w:left w:val="none" w:sz="0" w:space="0" w:color="auto"/>
        <w:bottom w:val="none" w:sz="0" w:space="0" w:color="auto"/>
        <w:right w:val="none" w:sz="0" w:space="0" w:color="auto"/>
      </w:divBdr>
    </w:div>
    <w:div w:id="905381001">
      <w:bodyDiv w:val="1"/>
      <w:marLeft w:val="0"/>
      <w:marRight w:val="0"/>
      <w:marTop w:val="0"/>
      <w:marBottom w:val="0"/>
      <w:divBdr>
        <w:top w:val="none" w:sz="0" w:space="0" w:color="auto"/>
        <w:left w:val="none" w:sz="0" w:space="0" w:color="auto"/>
        <w:bottom w:val="none" w:sz="0" w:space="0" w:color="auto"/>
        <w:right w:val="none" w:sz="0" w:space="0" w:color="auto"/>
      </w:divBdr>
    </w:div>
    <w:div w:id="936988706">
      <w:bodyDiv w:val="1"/>
      <w:marLeft w:val="0"/>
      <w:marRight w:val="0"/>
      <w:marTop w:val="0"/>
      <w:marBottom w:val="0"/>
      <w:divBdr>
        <w:top w:val="none" w:sz="0" w:space="0" w:color="auto"/>
        <w:left w:val="none" w:sz="0" w:space="0" w:color="auto"/>
        <w:bottom w:val="none" w:sz="0" w:space="0" w:color="auto"/>
        <w:right w:val="none" w:sz="0" w:space="0" w:color="auto"/>
      </w:divBdr>
    </w:div>
    <w:div w:id="939878790">
      <w:bodyDiv w:val="1"/>
      <w:marLeft w:val="0"/>
      <w:marRight w:val="0"/>
      <w:marTop w:val="0"/>
      <w:marBottom w:val="0"/>
      <w:divBdr>
        <w:top w:val="none" w:sz="0" w:space="0" w:color="auto"/>
        <w:left w:val="none" w:sz="0" w:space="0" w:color="auto"/>
        <w:bottom w:val="none" w:sz="0" w:space="0" w:color="auto"/>
        <w:right w:val="none" w:sz="0" w:space="0" w:color="auto"/>
      </w:divBdr>
    </w:div>
    <w:div w:id="1026294482">
      <w:bodyDiv w:val="1"/>
      <w:marLeft w:val="0"/>
      <w:marRight w:val="0"/>
      <w:marTop w:val="0"/>
      <w:marBottom w:val="0"/>
      <w:divBdr>
        <w:top w:val="none" w:sz="0" w:space="0" w:color="auto"/>
        <w:left w:val="none" w:sz="0" w:space="0" w:color="auto"/>
        <w:bottom w:val="none" w:sz="0" w:space="0" w:color="auto"/>
        <w:right w:val="none" w:sz="0" w:space="0" w:color="auto"/>
      </w:divBdr>
    </w:div>
    <w:div w:id="1036731639">
      <w:bodyDiv w:val="1"/>
      <w:marLeft w:val="0"/>
      <w:marRight w:val="0"/>
      <w:marTop w:val="0"/>
      <w:marBottom w:val="0"/>
      <w:divBdr>
        <w:top w:val="none" w:sz="0" w:space="0" w:color="auto"/>
        <w:left w:val="none" w:sz="0" w:space="0" w:color="auto"/>
        <w:bottom w:val="none" w:sz="0" w:space="0" w:color="auto"/>
        <w:right w:val="none" w:sz="0" w:space="0" w:color="auto"/>
      </w:divBdr>
    </w:div>
    <w:div w:id="1221746595">
      <w:bodyDiv w:val="1"/>
      <w:marLeft w:val="0"/>
      <w:marRight w:val="0"/>
      <w:marTop w:val="0"/>
      <w:marBottom w:val="0"/>
      <w:divBdr>
        <w:top w:val="none" w:sz="0" w:space="0" w:color="auto"/>
        <w:left w:val="none" w:sz="0" w:space="0" w:color="auto"/>
        <w:bottom w:val="none" w:sz="0" w:space="0" w:color="auto"/>
        <w:right w:val="none" w:sz="0" w:space="0" w:color="auto"/>
      </w:divBdr>
    </w:div>
    <w:div w:id="1311901905">
      <w:bodyDiv w:val="1"/>
      <w:marLeft w:val="0"/>
      <w:marRight w:val="0"/>
      <w:marTop w:val="0"/>
      <w:marBottom w:val="0"/>
      <w:divBdr>
        <w:top w:val="none" w:sz="0" w:space="0" w:color="auto"/>
        <w:left w:val="none" w:sz="0" w:space="0" w:color="auto"/>
        <w:bottom w:val="none" w:sz="0" w:space="0" w:color="auto"/>
        <w:right w:val="none" w:sz="0" w:space="0" w:color="auto"/>
      </w:divBdr>
    </w:div>
    <w:div w:id="1317147512">
      <w:bodyDiv w:val="1"/>
      <w:marLeft w:val="0"/>
      <w:marRight w:val="0"/>
      <w:marTop w:val="0"/>
      <w:marBottom w:val="0"/>
      <w:divBdr>
        <w:top w:val="none" w:sz="0" w:space="0" w:color="auto"/>
        <w:left w:val="none" w:sz="0" w:space="0" w:color="auto"/>
        <w:bottom w:val="none" w:sz="0" w:space="0" w:color="auto"/>
        <w:right w:val="none" w:sz="0" w:space="0" w:color="auto"/>
      </w:divBdr>
    </w:div>
    <w:div w:id="1318001034">
      <w:bodyDiv w:val="1"/>
      <w:marLeft w:val="0"/>
      <w:marRight w:val="0"/>
      <w:marTop w:val="0"/>
      <w:marBottom w:val="0"/>
      <w:divBdr>
        <w:top w:val="none" w:sz="0" w:space="0" w:color="auto"/>
        <w:left w:val="none" w:sz="0" w:space="0" w:color="auto"/>
        <w:bottom w:val="none" w:sz="0" w:space="0" w:color="auto"/>
        <w:right w:val="none" w:sz="0" w:space="0" w:color="auto"/>
      </w:divBdr>
    </w:div>
    <w:div w:id="1331172836">
      <w:bodyDiv w:val="1"/>
      <w:marLeft w:val="0"/>
      <w:marRight w:val="0"/>
      <w:marTop w:val="0"/>
      <w:marBottom w:val="0"/>
      <w:divBdr>
        <w:top w:val="none" w:sz="0" w:space="0" w:color="auto"/>
        <w:left w:val="none" w:sz="0" w:space="0" w:color="auto"/>
        <w:bottom w:val="none" w:sz="0" w:space="0" w:color="auto"/>
        <w:right w:val="none" w:sz="0" w:space="0" w:color="auto"/>
      </w:divBdr>
    </w:div>
    <w:div w:id="1347756378">
      <w:bodyDiv w:val="1"/>
      <w:marLeft w:val="0"/>
      <w:marRight w:val="0"/>
      <w:marTop w:val="0"/>
      <w:marBottom w:val="0"/>
      <w:divBdr>
        <w:top w:val="none" w:sz="0" w:space="0" w:color="auto"/>
        <w:left w:val="none" w:sz="0" w:space="0" w:color="auto"/>
        <w:bottom w:val="none" w:sz="0" w:space="0" w:color="auto"/>
        <w:right w:val="none" w:sz="0" w:space="0" w:color="auto"/>
      </w:divBdr>
    </w:div>
    <w:div w:id="1367177374">
      <w:bodyDiv w:val="1"/>
      <w:marLeft w:val="0"/>
      <w:marRight w:val="0"/>
      <w:marTop w:val="0"/>
      <w:marBottom w:val="0"/>
      <w:divBdr>
        <w:top w:val="none" w:sz="0" w:space="0" w:color="auto"/>
        <w:left w:val="none" w:sz="0" w:space="0" w:color="auto"/>
        <w:bottom w:val="none" w:sz="0" w:space="0" w:color="auto"/>
        <w:right w:val="none" w:sz="0" w:space="0" w:color="auto"/>
      </w:divBdr>
    </w:div>
    <w:div w:id="1370841837">
      <w:bodyDiv w:val="1"/>
      <w:marLeft w:val="0"/>
      <w:marRight w:val="0"/>
      <w:marTop w:val="0"/>
      <w:marBottom w:val="0"/>
      <w:divBdr>
        <w:top w:val="none" w:sz="0" w:space="0" w:color="auto"/>
        <w:left w:val="none" w:sz="0" w:space="0" w:color="auto"/>
        <w:bottom w:val="none" w:sz="0" w:space="0" w:color="auto"/>
        <w:right w:val="none" w:sz="0" w:space="0" w:color="auto"/>
      </w:divBdr>
    </w:div>
    <w:div w:id="1423722396">
      <w:bodyDiv w:val="1"/>
      <w:marLeft w:val="0"/>
      <w:marRight w:val="0"/>
      <w:marTop w:val="0"/>
      <w:marBottom w:val="0"/>
      <w:divBdr>
        <w:top w:val="none" w:sz="0" w:space="0" w:color="auto"/>
        <w:left w:val="none" w:sz="0" w:space="0" w:color="auto"/>
        <w:bottom w:val="none" w:sz="0" w:space="0" w:color="auto"/>
        <w:right w:val="none" w:sz="0" w:space="0" w:color="auto"/>
      </w:divBdr>
    </w:div>
    <w:div w:id="1447774962">
      <w:bodyDiv w:val="1"/>
      <w:marLeft w:val="0"/>
      <w:marRight w:val="0"/>
      <w:marTop w:val="0"/>
      <w:marBottom w:val="0"/>
      <w:divBdr>
        <w:top w:val="none" w:sz="0" w:space="0" w:color="auto"/>
        <w:left w:val="none" w:sz="0" w:space="0" w:color="auto"/>
        <w:bottom w:val="none" w:sz="0" w:space="0" w:color="auto"/>
        <w:right w:val="none" w:sz="0" w:space="0" w:color="auto"/>
      </w:divBdr>
    </w:div>
    <w:div w:id="1476409388">
      <w:bodyDiv w:val="1"/>
      <w:marLeft w:val="0"/>
      <w:marRight w:val="0"/>
      <w:marTop w:val="0"/>
      <w:marBottom w:val="0"/>
      <w:divBdr>
        <w:top w:val="none" w:sz="0" w:space="0" w:color="auto"/>
        <w:left w:val="none" w:sz="0" w:space="0" w:color="auto"/>
        <w:bottom w:val="none" w:sz="0" w:space="0" w:color="auto"/>
        <w:right w:val="none" w:sz="0" w:space="0" w:color="auto"/>
      </w:divBdr>
    </w:div>
    <w:div w:id="1481773954">
      <w:bodyDiv w:val="1"/>
      <w:marLeft w:val="0"/>
      <w:marRight w:val="0"/>
      <w:marTop w:val="0"/>
      <w:marBottom w:val="0"/>
      <w:divBdr>
        <w:top w:val="none" w:sz="0" w:space="0" w:color="auto"/>
        <w:left w:val="none" w:sz="0" w:space="0" w:color="auto"/>
        <w:bottom w:val="none" w:sz="0" w:space="0" w:color="auto"/>
        <w:right w:val="none" w:sz="0" w:space="0" w:color="auto"/>
      </w:divBdr>
    </w:div>
    <w:div w:id="1541281362">
      <w:bodyDiv w:val="1"/>
      <w:marLeft w:val="0"/>
      <w:marRight w:val="0"/>
      <w:marTop w:val="0"/>
      <w:marBottom w:val="0"/>
      <w:divBdr>
        <w:top w:val="none" w:sz="0" w:space="0" w:color="auto"/>
        <w:left w:val="none" w:sz="0" w:space="0" w:color="auto"/>
        <w:bottom w:val="none" w:sz="0" w:space="0" w:color="auto"/>
        <w:right w:val="none" w:sz="0" w:space="0" w:color="auto"/>
      </w:divBdr>
    </w:div>
    <w:div w:id="1568347059">
      <w:bodyDiv w:val="1"/>
      <w:marLeft w:val="0"/>
      <w:marRight w:val="0"/>
      <w:marTop w:val="0"/>
      <w:marBottom w:val="0"/>
      <w:divBdr>
        <w:top w:val="none" w:sz="0" w:space="0" w:color="auto"/>
        <w:left w:val="none" w:sz="0" w:space="0" w:color="auto"/>
        <w:bottom w:val="none" w:sz="0" w:space="0" w:color="auto"/>
        <w:right w:val="none" w:sz="0" w:space="0" w:color="auto"/>
      </w:divBdr>
    </w:div>
    <w:div w:id="1570461360">
      <w:bodyDiv w:val="1"/>
      <w:marLeft w:val="0"/>
      <w:marRight w:val="0"/>
      <w:marTop w:val="0"/>
      <w:marBottom w:val="0"/>
      <w:divBdr>
        <w:top w:val="none" w:sz="0" w:space="0" w:color="auto"/>
        <w:left w:val="none" w:sz="0" w:space="0" w:color="auto"/>
        <w:bottom w:val="none" w:sz="0" w:space="0" w:color="auto"/>
        <w:right w:val="none" w:sz="0" w:space="0" w:color="auto"/>
      </w:divBdr>
    </w:div>
    <w:div w:id="1599869875">
      <w:bodyDiv w:val="1"/>
      <w:marLeft w:val="0"/>
      <w:marRight w:val="0"/>
      <w:marTop w:val="0"/>
      <w:marBottom w:val="0"/>
      <w:divBdr>
        <w:top w:val="none" w:sz="0" w:space="0" w:color="auto"/>
        <w:left w:val="none" w:sz="0" w:space="0" w:color="auto"/>
        <w:bottom w:val="none" w:sz="0" w:space="0" w:color="auto"/>
        <w:right w:val="none" w:sz="0" w:space="0" w:color="auto"/>
      </w:divBdr>
    </w:div>
    <w:div w:id="1600790595">
      <w:bodyDiv w:val="1"/>
      <w:marLeft w:val="0"/>
      <w:marRight w:val="0"/>
      <w:marTop w:val="0"/>
      <w:marBottom w:val="0"/>
      <w:divBdr>
        <w:top w:val="none" w:sz="0" w:space="0" w:color="auto"/>
        <w:left w:val="none" w:sz="0" w:space="0" w:color="auto"/>
        <w:bottom w:val="none" w:sz="0" w:space="0" w:color="auto"/>
        <w:right w:val="none" w:sz="0" w:space="0" w:color="auto"/>
      </w:divBdr>
    </w:div>
    <w:div w:id="1600794964">
      <w:bodyDiv w:val="1"/>
      <w:marLeft w:val="0"/>
      <w:marRight w:val="0"/>
      <w:marTop w:val="0"/>
      <w:marBottom w:val="0"/>
      <w:divBdr>
        <w:top w:val="none" w:sz="0" w:space="0" w:color="auto"/>
        <w:left w:val="none" w:sz="0" w:space="0" w:color="auto"/>
        <w:bottom w:val="none" w:sz="0" w:space="0" w:color="auto"/>
        <w:right w:val="none" w:sz="0" w:space="0" w:color="auto"/>
      </w:divBdr>
    </w:div>
    <w:div w:id="1603412871">
      <w:bodyDiv w:val="1"/>
      <w:marLeft w:val="0"/>
      <w:marRight w:val="0"/>
      <w:marTop w:val="0"/>
      <w:marBottom w:val="0"/>
      <w:divBdr>
        <w:top w:val="none" w:sz="0" w:space="0" w:color="auto"/>
        <w:left w:val="none" w:sz="0" w:space="0" w:color="auto"/>
        <w:bottom w:val="none" w:sz="0" w:space="0" w:color="auto"/>
        <w:right w:val="none" w:sz="0" w:space="0" w:color="auto"/>
      </w:divBdr>
    </w:div>
    <w:div w:id="1621296964">
      <w:bodyDiv w:val="1"/>
      <w:marLeft w:val="0"/>
      <w:marRight w:val="0"/>
      <w:marTop w:val="0"/>
      <w:marBottom w:val="0"/>
      <w:divBdr>
        <w:top w:val="none" w:sz="0" w:space="0" w:color="auto"/>
        <w:left w:val="none" w:sz="0" w:space="0" w:color="auto"/>
        <w:bottom w:val="none" w:sz="0" w:space="0" w:color="auto"/>
        <w:right w:val="none" w:sz="0" w:space="0" w:color="auto"/>
      </w:divBdr>
    </w:div>
    <w:div w:id="1628580079">
      <w:bodyDiv w:val="1"/>
      <w:marLeft w:val="0"/>
      <w:marRight w:val="0"/>
      <w:marTop w:val="0"/>
      <w:marBottom w:val="0"/>
      <w:divBdr>
        <w:top w:val="none" w:sz="0" w:space="0" w:color="auto"/>
        <w:left w:val="none" w:sz="0" w:space="0" w:color="auto"/>
        <w:bottom w:val="none" w:sz="0" w:space="0" w:color="auto"/>
        <w:right w:val="none" w:sz="0" w:space="0" w:color="auto"/>
      </w:divBdr>
    </w:div>
    <w:div w:id="1645768450">
      <w:bodyDiv w:val="1"/>
      <w:marLeft w:val="0"/>
      <w:marRight w:val="0"/>
      <w:marTop w:val="0"/>
      <w:marBottom w:val="0"/>
      <w:divBdr>
        <w:top w:val="none" w:sz="0" w:space="0" w:color="auto"/>
        <w:left w:val="none" w:sz="0" w:space="0" w:color="auto"/>
        <w:bottom w:val="none" w:sz="0" w:space="0" w:color="auto"/>
        <w:right w:val="none" w:sz="0" w:space="0" w:color="auto"/>
      </w:divBdr>
    </w:div>
    <w:div w:id="1662197063">
      <w:bodyDiv w:val="1"/>
      <w:marLeft w:val="0"/>
      <w:marRight w:val="0"/>
      <w:marTop w:val="0"/>
      <w:marBottom w:val="0"/>
      <w:divBdr>
        <w:top w:val="none" w:sz="0" w:space="0" w:color="auto"/>
        <w:left w:val="none" w:sz="0" w:space="0" w:color="auto"/>
        <w:bottom w:val="none" w:sz="0" w:space="0" w:color="auto"/>
        <w:right w:val="none" w:sz="0" w:space="0" w:color="auto"/>
      </w:divBdr>
    </w:div>
    <w:div w:id="1665470243">
      <w:bodyDiv w:val="1"/>
      <w:marLeft w:val="0"/>
      <w:marRight w:val="0"/>
      <w:marTop w:val="0"/>
      <w:marBottom w:val="0"/>
      <w:divBdr>
        <w:top w:val="none" w:sz="0" w:space="0" w:color="auto"/>
        <w:left w:val="none" w:sz="0" w:space="0" w:color="auto"/>
        <w:bottom w:val="none" w:sz="0" w:space="0" w:color="auto"/>
        <w:right w:val="none" w:sz="0" w:space="0" w:color="auto"/>
      </w:divBdr>
    </w:div>
    <w:div w:id="1671366965">
      <w:bodyDiv w:val="1"/>
      <w:marLeft w:val="0"/>
      <w:marRight w:val="0"/>
      <w:marTop w:val="0"/>
      <w:marBottom w:val="0"/>
      <w:divBdr>
        <w:top w:val="none" w:sz="0" w:space="0" w:color="auto"/>
        <w:left w:val="none" w:sz="0" w:space="0" w:color="auto"/>
        <w:bottom w:val="none" w:sz="0" w:space="0" w:color="auto"/>
        <w:right w:val="none" w:sz="0" w:space="0" w:color="auto"/>
      </w:divBdr>
    </w:div>
    <w:div w:id="1683624686">
      <w:bodyDiv w:val="1"/>
      <w:marLeft w:val="0"/>
      <w:marRight w:val="0"/>
      <w:marTop w:val="0"/>
      <w:marBottom w:val="0"/>
      <w:divBdr>
        <w:top w:val="none" w:sz="0" w:space="0" w:color="auto"/>
        <w:left w:val="none" w:sz="0" w:space="0" w:color="auto"/>
        <w:bottom w:val="none" w:sz="0" w:space="0" w:color="auto"/>
        <w:right w:val="none" w:sz="0" w:space="0" w:color="auto"/>
      </w:divBdr>
    </w:div>
    <w:div w:id="1685743971">
      <w:bodyDiv w:val="1"/>
      <w:marLeft w:val="0"/>
      <w:marRight w:val="0"/>
      <w:marTop w:val="0"/>
      <w:marBottom w:val="0"/>
      <w:divBdr>
        <w:top w:val="none" w:sz="0" w:space="0" w:color="auto"/>
        <w:left w:val="none" w:sz="0" w:space="0" w:color="auto"/>
        <w:bottom w:val="none" w:sz="0" w:space="0" w:color="auto"/>
        <w:right w:val="none" w:sz="0" w:space="0" w:color="auto"/>
      </w:divBdr>
    </w:div>
    <w:div w:id="1782724359">
      <w:bodyDiv w:val="1"/>
      <w:marLeft w:val="0"/>
      <w:marRight w:val="0"/>
      <w:marTop w:val="0"/>
      <w:marBottom w:val="0"/>
      <w:divBdr>
        <w:top w:val="none" w:sz="0" w:space="0" w:color="auto"/>
        <w:left w:val="none" w:sz="0" w:space="0" w:color="auto"/>
        <w:bottom w:val="none" w:sz="0" w:space="0" w:color="auto"/>
        <w:right w:val="none" w:sz="0" w:space="0" w:color="auto"/>
      </w:divBdr>
    </w:div>
    <w:div w:id="1804615839">
      <w:bodyDiv w:val="1"/>
      <w:marLeft w:val="0"/>
      <w:marRight w:val="0"/>
      <w:marTop w:val="0"/>
      <w:marBottom w:val="0"/>
      <w:divBdr>
        <w:top w:val="none" w:sz="0" w:space="0" w:color="auto"/>
        <w:left w:val="none" w:sz="0" w:space="0" w:color="auto"/>
        <w:bottom w:val="none" w:sz="0" w:space="0" w:color="auto"/>
        <w:right w:val="none" w:sz="0" w:space="0" w:color="auto"/>
      </w:divBdr>
    </w:div>
    <w:div w:id="1811747015">
      <w:bodyDiv w:val="1"/>
      <w:marLeft w:val="0"/>
      <w:marRight w:val="0"/>
      <w:marTop w:val="0"/>
      <w:marBottom w:val="0"/>
      <w:divBdr>
        <w:top w:val="none" w:sz="0" w:space="0" w:color="auto"/>
        <w:left w:val="none" w:sz="0" w:space="0" w:color="auto"/>
        <w:bottom w:val="none" w:sz="0" w:space="0" w:color="auto"/>
        <w:right w:val="none" w:sz="0" w:space="0" w:color="auto"/>
      </w:divBdr>
    </w:div>
    <w:div w:id="1831754760">
      <w:bodyDiv w:val="1"/>
      <w:marLeft w:val="0"/>
      <w:marRight w:val="0"/>
      <w:marTop w:val="0"/>
      <w:marBottom w:val="0"/>
      <w:divBdr>
        <w:top w:val="none" w:sz="0" w:space="0" w:color="auto"/>
        <w:left w:val="none" w:sz="0" w:space="0" w:color="auto"/>
        <w:bottom w:val="none" w:sz="0" w:space="0" w:color="auto"/>
        <w:right w:val="none" w:sz="0" w:space="0" w:color="auto"/>
      </w:divBdr>
    </w:div>
    <w:div w:id="1846044604">
      <w:bodyDiv w:val="1"/>
      <w:marLeft w:val="0"/>
      <w:marRight w:val="0"/>
      <w:marTop w:val="0"/>
      <w:marBottom w:val="0"/>
      <w:divBdr>
        <w:top w:val="none" w:sz="0" w:space="0" w:color="auto"/>
        <w:left w:val="none" w:sz="0" w:space="0" w:color="auto"/>
        <w:bottom w:val="none" w:sz="0" w:space="0" w:color="auto"/>
        <w:right w:val="none" w:sz="0" w:space="0" w:color="auto"/>
      </w:divBdr>
    </w:div>
    <w:div w:id="1899973756">
      <w:bodyDiv w:val="1"/>
      <w:marLeft w:val="0"/>
      <w:marRight w:val="0"/>
      <w:marTop w:val="0"/>
      <w:marBottom w:val="0"/>
      <w:divBdr>
        <w:top w:val="none" w:sz="0" w:space="0" w:color="auto"/>
        <w:left w:val="none" w:sz="0" w:space="0" w:color="auto"/>
        <w:bottom w:val="none" w:sz="0" w:space="0" w:color="auto"/>
        <w:right w:val="none" w:sz="0" w:space="0" w:color="auto"/>
      </w:divBdr>
    </w:div>
    <w:div w:id="1915356906">
      <w:bodyDiv w:val="1"/>
      <w:marLeft w:val="0"/>
      <w:marRight w:val="0"/>
      <w:marTop w:val="0"/>
      <w:marBottom w:val="0"/>
      <w:divBdr>
        <w:top w:val="none" w:sz="0" w:space="0" w:color="auto"/>
        <w:left w:val="none" w:sz="0" w:space="0" w:color="auto"/>
        <w:bottom w:val="none" w:sz="0" w:space="0" w:color="auto"/>
        <w:right w:val="none" w:sz="0" w:space="0" w:color="auto"/>
      </w:divBdr>
    </w:div>
    <w:div w:id="1926525142">
      <w:bodyDiv w:val="1"/>
      <w:marLeft w:val="0"/>
      <w:marRight w:val="0"/>
      <w:marTop w:val="0"/>
      <w:marBottom w:val="0"/>
      <w:divBdr>
        <w:top w:val="none" w:sz="0" w:space="0" w:color="auto"/>
        <w:left w:val="none" w:sz="0" w:space="0" w:color="auto"/>
        <w:bottom w:val="none" w:sz="0" w:space="0" w:color="auto"/>
        <w:right w:val="none" w:sz="0" w:space="0" w:color="auto"/>
      </w:divBdr>
    </w:div>
    <w:div w:id="1974015347">
      <w:bodyDiv w:val="1"/>
      <w:marLeft w:val="0"/>
      <w:marRight w:val="0"/>
      <w:marTop w:val="0"/>
      <w:marBottom w:val="0"/>
      <w:divBdr>
        <w:top w:val="none" w:sz="0" w:space="0" w:color="auto"/>
        <w:left w:val="none" w:sz="0" w:space="0" w:color="auto"/>
        <w:bottom w:val="none" w:sz="0" w:space="0" w:color="auto"/>
        <w:right w:val="none" w:sz="0" w:space="0" w:color="auto"/>
      </w:divBdr>
    </w:div>
    <w:div w:id="1993632436">
      <w:bodyDiv w:val="1"/>
      <w:marLeft w:val="0"/>
      <w:marRight w:val="0"/>
      <w:marTop w:val="0"/>
      <w:marBottom w:val="0"/>
      <w:divBdr>
        <w:top w:val="none" w:sz="0" w:space="0" w:color="auto"/>
        <w:left w:val="none" w:sz="0" w:space="0" w:color="auto"/>
        <w:bottom w:val="none" w:sz="0" w:space="0" w:color="auto"/>
        <w:right w:val="none" w:sz="0" w:space="0" w:color="auto"/>
      </w:divBdr>
    </w:div>
    <w:div w:id="2000495231">
      <w:bodyDiv w:val="1"/>
      <w:marLeft w:val="0"/>
      <w:marRight w:val="0"/>
      <w:marTop w:val="0"/>
      <w:marBottom w:val="0"/>
      <w:divBdr>
        <w:top w:val="none" w:sz="0" w:space="0" w:color="auto"/>
        <w:left w:val="none" w:sz="0" w:space="0" w:color="auto"/>
        <w:bottom w:val="none" w:sz="0" w:space="0" w:color="auto"/>
        <w:right w:val="none" w:sz="0" w:space="0" w:color="auto"/>
      </w:divBdr>
    </w:div>
    <w:div w:id="2012677722">
      <w:bodyDiv w:val="1"/>
      <w:marLeft w:val="0"/>
      <w:marRight w:val="0"/>
      <w:marTop w:val="0"/>
      <w:marBottom w:val="0"/>
      <w:divBdr>
        <w:top w:val="none" w:sz="0" w:space="0" w:color="auto"/>
        <w:left w:val="none" w:sz="0" w:space="0" w:color="auto"/>
        <w:bottom w:val="none" w:sz="0" w:space="0" w:color="auto"/>
        <w:right w:val="none" w:sz="0" w:space="0" w:color="auto"/>
      </w:divBdr>
    </w:div>
    <w:div w:id="2026129263">
      <w:bodyDiv w:val="1"/>
      <w:marLeft w:val="0"/>
      <w:marRight w:val="0"/>
      <w:marTop w:val="0"/>
      <w:marBottom w:val="0"/>
      <w:divBdr>
        <w:top w:val="none" w:sz="0" w:space="0" w:color="auto"/>
        <w:left w:val="none" w:sz="0" w:space="0" w:color="auto"/>
        <w:bottom w:val="none" w:sz="0" w:space="0" w:color="auto"/>
        <w:right w:val="none" w:sz="0" w:space="0" w:color="auto"/>
      </w:divBdr>
    </w:div>
    <w:div w:id="2026832069">
      <w:bodyDiv w:val="1"/>
      <w:marLeft w:val="0"/>
      <w:marRight w:val="0"/>
      <w:marTop w:val="0"/>
      <w:marBottom w:val="0"/>
      <w:divBdr>
        <w:top w:val="none" w:sz="0" w:space="0" w:color="auto"/>
        <w:left w:val="none" w:sz="0" w:space="0" w:color="auto"/>
        <w:bottom w:val="none" w:sz="0" w:space="0" w:color="auto"/>
        <w:right w:val="none" w:sz="0" w:space="0" w:color="auto"/>
      </w:divBdr>
    </w:div>
    <w:div w:id="20885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footer" Target="footer2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eader" Target="header23.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oter" Target="footer24.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2.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yperlink" Target="http://eur-lex.europa.eu/LexUriServ/LexUriServ.do?uri=CONSLEG:2006R1828:20091013:EN:HTML"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footer" Target="foot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54B5B-6E06-48DA-BE12-41E2A543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103</Pages>
  <Words>30637</Words>
  <Characters>182622</Characters>
  <Application>Microsoft Office Word</Application>
  <DocSecurity>4</DocSecurity>
  <Lines>1521</Lines>
  <Paragraphs>425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212834</CharactersWithSpaces>
  <SharedDoc>false</SharedDoc>
  <HLinks>
    <vt:vector size="6" baseType="variant">
      <vt:variant>
        <vt:i4>3145831</vt:i4>
      </vt:variant>
      <vt:variant>
        <vt:i4>9</vt:i4>
      </vt:variant>
      <vt:variant>
        <vt:i4>0</vt:i4>
      </vt:variant>
      <vt:variant>
        <vt:i4>5</vt:i4>
      </vt:variant>
      <vt:variant>
        <vt:lpwstr>http://eur-lex.europa.eu/LexUriServ/LexUriServ.do?uri=CONSLEG:2006R1828:20091013:EN:HTML</vt:lpwstr>
      </vt:variant>
      <vt:variant>
        <vt:lpwstr>E0079#E0079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Esempca</dc:creator>
  <cp:lastModifiedBy>GEN</cp:lastModifiedBy>
  <cp:revision>2</cp:revision>
  <cp:lastPrinted>2014-11-14T15:01:00Z</cp:lastPrinted>
  <dcterms:created xsi:type="dcterms:W3CDTF">2015-06-18T13:04:00Z</dcterms:created>
  <dcterms:modified xsi:type="dcterms:W3CDTF">2015-06-18T13:04:00Z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20130911</vt:lpwstr>
  </property>
  <property fmtid="{D5CDD505-2E9C-101B-9397-08002B2CF9AE}" pid="6" name="Created using">
    <vt:lpwstr>LW 5.8.3, Build 20130911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